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24" w:type="dxa"/>
        <w:tblInd w:w="18" w:type="dxa"/>
        <w:tblLook w:val="04A0"/>
      </w:tblPr>
      <w:tblGrid>
        <w:gridCol w:w="5040"/>
        <w:gridCol w:w="1440"/>
        <w:gridCol w:w="1620"/>
        <w:gridCol w:w="1224"/>
      </w:tblGrid>
      <w:tr w:rsidR="00A81E63" w:rsidRPr="00AE7CFB" w:rsidTr="00F663C9">
        <w:tc>
          <w:tcPr>
            <w:tcW w:w="9324" w:type="dxa"/>
            <w:gridSpan w:val="4"/>
          </w:tcPr>
          <w:p w:rsidR="00A81E63" w:rsidRPr="00CD26BB" w:rsidRDefault="000E6FC9" w:rsidP="00F663C9">
            <w:pPr>
              <w:rPr>
                <w:rFonts w:ascii="Arial" w:hAnsi="Arial" w:cs="Arial"/>
                <w:sz w:val="18"/>
                <w:szCs w:val="16"/>
                <w:vertAlign w:val="baseline"/>
              </w:rPr>
            </w:pPr>
            <w:r>
              <w:rPr>
                <w:rFonts w:ascii="Arial" w:hAnsi="Arial" w:cs="Arial"/>
                <w:sz w:val="18"/>
                <w:szCs w:val="18"/>
                <w:vertAlign w:val="baseline"/>
              </w:rPr>
              <w:t>Table 1</w:t>
            </w:r>
            <w:r w:rsidR="00A81E63">
              <w:rPr>
                <w:rFonts w:ascii="Arial" w:hAnsi="Arial" w:cs="Arial"/>
                <w:sz w:val="18"/>
                <w:szCs w:val="18"/>
                <w:vertAlign w:val="baseline"/>
              </w:rPr>
              <w:t xml:space="preserve"> Health care-</w:t>
            </w:r>
            <w:r w:rsidR="00A81E63" w:rsidRPr="00AE7CFB">
              <w:rPr>
                <w:rFonts w:ascii="Arial" w:hAnsi="Arial" w:cs="Arial"/>
                <w:sz w:val="18"/>
                <w:szCs w:val="18"/>
                <w:vertAlign w:val="baseline"/>
              </w:rPr>
              <w:t xml:space="preserve">seeking </w:t>
            </w:r>
            <w:r w:rsidR="00A81E63">
              <w:rPr>
                <w:rFonts w:ascii="Arial" w:hAnsi="Arial" w:cs="Arial"/>
                <w:sz w:val="18"/>
                <w:szCs w:val="18"/>
                <w:vertAlign w:val="baseline"/>
              </w:rPr>
              <w:t>behaviour</w:t>
            </w:r>
            <w:r w:rsidR="00A81E63" w:rsidRPr="00AE7CFB">
              <w:rPr>
                <w:rFonts w:ascii="Arial" w:hAnsi="Arial" w:cs="Arial"/>
                <w:sz w:val="18"/>
                <w:szCs w:val="18"/>
                <w:vertAlign w:val="baseline"/>
              </w:rPr>
              <w:t xml:space="preserve"> among participants</w:t>
            </w:r>
            <w:r w:rsidR="00A81E63" w:rsidRPr="00AE7C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81E63" w:rsidRPr="00AE7CFB" w:rsidTr="00F663C9">
        <w:tc>
          <w:tcPr>
            <w:tcW w:w="5040" w:type="dxa"/>
            <w:vMerge w:val="restart"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</w:p>
        </w:tc>
        <w:tc>
          <w:tcPr>
            <w:tcW w:w="1440" w:type="dxa"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Children under 5 years of age,</w:t>
            </w:r>
          </w:p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N=1310</w:t>
            </w:r>
          </w:p>
        </w:tc>
        <w:tc>
          <w:tcPr>
            <w:tcW w:w="1620" w:type="dxa"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Children ages 5 years and above and adults</w:t>
            </w:r>
            <w:r w:rsidRPr="008F084F">
              <w:rPr>
                <w:rFonts w:ascii="Arial" w:hAnsi="Arial" w:cs="Arial"/>
                <w:sz w:val="16"/>
                <w:szCs w:val="16"/>
              </w:rPr>
              <w:t>2</w:t>
            </w: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, </w:t>
            </w:r>
          </w:p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N=2329</w:t>
            </w:r>
          </w:p>
        </w:tc>
        <w:tc>
          <w:tcPr>
            <w:tcW w:w="1224" w:type="dxa"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Total</w:t>
            </w:r>
          </w:p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N=3639</w:t>
            </w:r>
          </w:p>
        </w:tc>
      </w:tr>
      <w:tr w:rsidR="00A81E63" w:rsidRPr="00AE7CFB" w:rsidTr="00F663C9">
        <w:tc>
          <w:tcPr>
            <w:tcW w:w="5040" w:type="dxa"/>
            <w:vMerge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440" w:type="dxa"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n (%)</w:t>
            </w:r>
          </w:p>
        </w:tc>
        <w:tc>
          <w:tcPr>
            <w:tcW w:w="1620" w:type="dxa"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n (%)</w:t>
            </w:r>
          </w:p>
        </w:tc>
        <w:tc>
          <w:tcPr>
            <w:tcW w:w="1224" w:type="dxa"/>
          </w:tcPr>
          <w:p w:rsidR="00A81E63" w:rsidRPr="008F084F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8F084F">
              <w:rPr>
                <w:rFonts w:ascii="Arial" w:hAnsi="Arial" w:cs="Arial"/>
                <w:sz w:val="16"/>
                <w:szCs w:val="16"/>
                <w:vertAlign w:val="baseline"/>
              </w:rPr>
              <w:t>n (%)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Sought care/treatment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1295 (98.9)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2270 (97.5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3565 (98.0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Sought care with orthodox providers</w:t>
            </w:r>
            <w:r w:rsidRPr="00E43B04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1260 (96.2)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2093 (89.9)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3353 (92.1)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Sought care with orthodox providers</w:t>
            </w:r>
            <w:r w:rsidRPr="00E43B04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the same or next day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931 (71.1)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1444 (62.0)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2375 (65.3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A4324B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Sought care with public sector providers</w:t>
            </w:r>
            <w:r w:rsidRPr="00E43B04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522 (39.9)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731 (31.4)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1253 (34.4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Government primary health centre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495 (37.8)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659 (28.3)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1154 (31.7)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Other public 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29 (2.2)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77 (3.3)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106 (2.9)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Sought care with public sector providers</w:t>
            </w:r>
            <w:r w:rsidRPr="00E43B04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the same or next day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365 (27.9)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482 (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20.7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847 (</w:t>
            </w:r>
            <w:r w:rsidRPr="00E54BF1">
              <w:rPr>
                <w:rFonts w:ascii="Arial" w:hAnsi="Arial" w:cs="Arial"/>
                <w:sz w:val="16"/>
                <w:szCs w:val="16"/>
                <w:vertAlign w:val="baseline"/>
              </w:rPr>
              <w:t>23.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3)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A4324B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Sought care with private sector providers</w:t>
            </w:r>
            <w:r w:rsidRPr="00E43B04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806 (61.5)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1474 (63.3)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2280 (62.6)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Patent medicine vendors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744 (56.8)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1346 (57.8)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2090 (57.4)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Other private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75 (5.7)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142 (6.1)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217 (6.0)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DF1653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DF1653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Sought care with traditional practitioners</w:t>
            </w:r>
          </w:p>
        </w:tc>
        <w:tc>
          <w:tcPr>
            <w:tcW w:w="1440" w:type="dxa"/>
          </w:tcPr>
          <w:p w:rsidR="00A81E63" w:rsidRPr="00DF1653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DF1653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128 (9.8)</w:t>
            </w:r>
          </w:p>
        </w:tc>
        <w:tc>
          <w:tcPr>
            <w:tcW w:w="1620" w:type="dxa"/>
          </w:tcPr>
          <w:p w:rsidR="00A81E63" w:rsidRPr="00DF1653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DF1653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452 (19.4)</w:t>
            </w:r>
          </w:p>
        </w:tc>
        <w:tc>
          <w:tcPr>
            <w:tcW w:w="1224" w:type="dxa"/>
          </w:tcPr>
          <w:p w:rsidR="00A81E63" w:rsidRPr="00DF1653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DF1653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580 (15.9</w:t>
            </w:r>
            <w:r w:rsidRPr="00DF1653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Among those that sought care at more than one places: 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N=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169 (12.9)       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403 (17.3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N=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572 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(15.7)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First sought care with public sector providers</w:t>
            </w:r>
            <w:r w:rsidRPr="00E43B04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: 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28 (16.6)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74 (18.4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102 (17.8)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   First sought care at 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government primary health centres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27 (16.0)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64 (15.9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91 (15.9)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First sought care with private sector providers</w:t>
            </w:r>
            <w:r w:rsidRPr="00E43B04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: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91 (53.9)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188 (46.7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279 (48.8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   First sought care with the</w:t>
            </w:r>
            <w: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patent medicine vendors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85 (50.3)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168 (41.7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253 (44.2)</w:t>
            </w:r>
          </w:p>
        </w:tc>
      </w:tr>
      <w:tr w:rsidR="00A81E63" w:rsidRPr="00E43B04" w:rsidTr="00F663C9">
        <w:tc>
          <w:tcPr>
            <w:tcW w:w="50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First sought care with traditional practitioners</w:t>
            </w:r>
          </w:p>
        </w:tc>
        <w:tc>
          <w:tcPr>
            <w:tcW w:w="144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50 (29.6)</w:t>
            </w:r>
          </w:p>
        </w:tc>
        <w:tc>
          <w:tcPr>
            <w:tcW w:w="1620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14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1 (35.0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224" w:type="dxa"/>
          </w:tcPr>
          <w:p w:rsidR="00A81E63" w:rsidRPr="00E43B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191 (33.4</w:t>
            </w:r>
            <w:r w:rsidRPr="00E43B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</w:tbl>
    <w:p w:rsidR="00A81E63" w:rsidRPr="008F084F" w:rsidRDefault="00A81E63" w:rsidP="00A81E63">
      <w:pPr>
        <w:spacing w:line="240" w:lineRule="auto"/>
        <w:jc w:val="left"/>
        <w:rPr>
          <w:rFonts w:ascii="Arial" w:hAnsi="Arial" w:cs="Arial"/>
          <w:sz w:val="14"/>
          <w:szCs w:val="16"/>
        </w:rPr>
      </w:pPr>
      <w:r w:rsidRPr="008F084F">
        <w:rPr>
          <w:rFonts w:ascii="Arial" w:hAnsi="Arial" w:cs="Arial"/>
          <w:sz w:val="14"/>
          <w:szCs w:val="16"/>
          <w:vertAlign w:val="superscript"/>
          <w:lang w:val="en-GB"/>
        </w:rPr>
        <w:t>1</w:t>
      </w:r>
      <w:r w:rsidRPr="008F084F">
        <w:rPr>
          <w:rFonts w:ascii="Arial" w:hAnsi="Arial" w:cs="Arial"/>
          <w:sz w:val="14"/>
          <w:szCs w:val="16"/>
        </w:rPr>
        <w:t>Children and adults (</w:t>
      </w:r>
      <w:r w:rsidRPr="008F084F">
        <w:rPr>
          <w:rFonts w:ascii="Arial" w:hAnsi="Arial" w:cs="Arial"/>
          <w:sz w:val="14"/>
          <w:szCs w:val="16"/>
          <w:lang w:val="en-GB"/>
        </w:rPr>
        <w:t xml:space="preserve">excluding pregnant women) </w:t>
      </w:r>
      <w:r w:rsidRPr="008F084F">
        <w:rPr>
          <w:rFonts w:ascii="Arial" w:hAnsi="Arial" w:cs="Arial"/>
          <w:sz w:val="14"/>
          <w:szCs w:val="16"/>
        </w:rPr>
        <w:t xml:space="preserve">with </w:t>
      </w:r>
      <w:r w:rsidR="005A5C68" w:rsidRPr="006B59EC">
        <w:rPr>
          <w:rFonts w:ascii="Arial" w:hAnsi="Arial" w:cs="Arial"/>
          <w:sz w:val="14"/>
          <w:szCs w:val="16"/>
        </w:rPr>
        <w:t>reported</w:t>
      </w:r>
      <w:r w:rsidR="005A5C68">
        <w:rPr>
          <w:rFonts w:ascii="Arial" w:hAnsi="Arial" w:cs="Arial"/>
          <w:sz w:val="14"/>
          <w:szCs w:val="16"/>
        </w:rPr>
        <w:t xml:space="preserve"> </w:t>
      </w:r>
      <w:r w:rsidRPr="008F084F">
        <w:rPr>
          <w:rFonts w:ascii="Arial" w:hAnsi="Arial" w:cs="Arial"/>
          <w:sz w:val="14"/>
          <w:szCs w:val="16"/>
        </w:rPr>
        <w:t>fever/malaria-like illness in the  two weeks  preceding a survey.</w:t>
      </w:r>
      <w:r w:rsidRPr="008F084F">
        <w:rPr>
          <w:rFonts w:ascii="Arial" w:hAnsi="Arial" w:cs="Arial"/>
          <w:sz w:val="14"/>
          <w:szCs w:val="16"/>
          <w:vertAlign w:val="superscript"/>
          <w:lang w:val="en-GB"/>
        </w:rPr>
        <w:t xml:space="preserve"> 2</w:t>
      </w:r>
      <w:r w:rsidRPr="008F084F">
        <w:rPr>
          <w:rFonts w:ascii="Arial" w:hAnsi="Arial" w:cs="Arial"/>
          <w:sz w:val="14"/>
          <w:szCs w:val="16"/>
          <w:lang w:val="en-GB"/>
        </w:rPr>
        <w:t xml:space="preserve">Adults excluding pregnant women </w:t>
      </w:r>
      <w:r w:rsidRPr="008F084F">
        <w:rPr>
          <w:rFonts w:ascii="Arial" w:hAnsi="Arial" w:cs="Arial"/>
          <w:sz w:val="14"/>
          <w:szCs w:val="16"/>
          <w:vertAlign w:val="superscript"/>
          <w:lang w:val="en-GB"/>
        </w:rPr>
        <w:t>5</w:t>
      </w:r>
      <w:r>
        <w:rPr>
          <w:rFonts w:ascii="Arial" w:hAnsi="Arial" w:cs="Arial"/>
          <w:sz w:val="14"/>
          <w:szCs w:val="16"/>
          <w:lang w:val="en-GB"/>
        </w:rPr>
        <w:t>Include public and private sector providers (</w:t>
      </w:r>
      <w:r>
        <w:rPr>
          <w:rFonts w:ascii="Arial" w:hAnsi="Arial" w:cs="Arial"/>
          <w:sz w:val="14"/>
          <w:szCs w:val="16"/>
        </w:rPr>
        <w:t>excluding</w:t>
      </w:r>
      <w:r w:rsidRPr="008F084F">
        <w:rPr>
          <w:rFonts w:ascii="Arial" w:hAnsi="Arial" w:cs="Arial"/>
          <w:sz w:val="14"/>
          <w:szCs w:val="16"/>
        </w:rPr>
        <w:t xml:space="preserve"> traditional practitioners</w:t>
      </w:r>
      <w:r>
        <w:rPr>
          <w:rFonts w:ascii="Arial" w:hAnsi="Arial" w:cs="Arial"/>
          <w:sz w:val="14"/>
          <w:szCs w:val="16"/>
        </w:rPr>
        <w:t xml:space="preserve"> and drug hawkers).</w:t>
      </w:r>
      <w:r w:rsidRPr="008F084F">
        <w:rPr>
          <w:rFonts w:ascii="Arial" w:hAnsi="Arial" w:cs="Arial"/>
          <w:sz w:val="14"/>
          <w:szCs w:val="16"/>
        </w:rPr>
        <w:t xml:space="preserve"> </w:t>
      </w:r>
      <w:r w:rsidRPr="008F084F">
        <w:rPr>
          <w:rFonts w:ascii="Arial" w:hAnsi="Arial" w:cs="Arial"/>
          <w:sz w:val="14"/>
          <w:szCs w:val="16"/>
          <w:vertAlign w:val="superscript"/>
        </w:rPr>
        <w:t>6</w:t>
      </w:r>
      <w:r w:rsidRPr="008F084F">
        <w:rPr>
          <w:rFonts w:ascii="Arial" w:hAnsi="Arial" w:cs="Arial"/>
          <w:sz w:val="14"/>
          <w:szCs w:val="16"/>
        </w:rPr>
        <w:t xml:space="preserve">Include </w:t>
      </w:r>
      <w:r w:rsidRPr="008F084F">
        <w:rPr>
          <w:rFonts w:ascii="Arial" w:eastAsia="Yu Gothic UI" w:hAnsi="Arial" w:cs="Arial"/>
          <w:sz w:val="14"/>
          <w:szCs w:val="16"/>
        </w:rPr>
        <w:t xml:space="preserve">mostly the public primary health </w:t>
      </w:r>
      <w:r>
        <w:rPr>
          <w:rFonts w:ascii="Arial" w:eastAsia="Yu Gothic UI" w:hAnsi="Arial" w:cs="Arial"/>
          <w:sz w:val="14"/>
          <w:szCs w:val="16"/>
        </w:rPr>
        <w:t>centres/</w:t>
      </w:r>
      <w:r w:rsidRPr="008F084F">
        <w:rPr>
          <w:rFonts w:ascii="Arial" w:eastAsia="Yu Gothic UI" w:hAnsi="Arial" w:cs="Arial"/>
          <w:sz w:val="14"/>
          <w:szCs w:val="16"/>
        </w:rPr>
        <w:t>providers</w:t>
      </w:r>
      <w:r>
        <w:rPr>
          <w:rFonts w:ascii="Arial" w:eastAsia="Yu Gothic UI" w:hAnsi="Arial" w:cs="Arial"/>
          <w:sz w:val="14"/>
          <w:szCs w:val="16"/>
        </w:rPr>
        <w:t xml:space="preserve"> (others include government hospitals, health posts, community health workers, and free mobile clinics)</w:t>
      </w:r>
      <w:r w:rsidRPr="008F084F">
        <w:rPr>
          <w:rFonts w:ascii="Arial" w:eastAsia="Yu Gothic UI" w:hAnsi="Arial" w:cs="Arial"/>
          <w:sz w:val="14"/>
          <w:szCs w:val="16"/>
        </w:rPr>
        <w:t xml:space="preserve"> </w:t>
      </w:r>
      <w:r w:rsidRPr="008F084F">
        <w:rPr>
          <w:rFonts w:ascii="Arial" w:hAnsi="Arial" w:cs="Arial"/>
          <w:sz w:val="14"/>
          <w:szCs w:val="16"/>
          <w:vertAlign w:val="superscript"/>
        </w:rPr>
        <w:t xml:space="preserve">7 </w:t>
      </w:r>
      <w:r w:rsidRPr="008F084F">
        <w:rPr>
          <w:rFonts w:ascii="Arial" w:hAnsi="Arial" w:cs="Arial"/>
          <w:sz w:val="14"/>
          <w:szCs w:val="16"/>
        </w:rPr>
        <w:t xml:space="preserve">include </w:t>
      </w:r>
      <w:r w:rsidRPr="008F084F">
        <w:rPr>
          <w:rFonts w:ascii="Arial" w:eastAsia="Yu Gothic UI" w:hAnsi="Arial" w:cs="Arial"/>
          <w:sz w:val="14"/>
          <w:szCs w:val="16"/>
        </w:rPr>
        <w:t>mostly th</w:t>
      </w:r>
      <w:r>
        <w:rPr>
          <w:rFonts w:ascii="Arial" w:eastAsia="Yu Gothic UI" w:hAnsi="Arial" w:cs="Arial"/>
          <w:sz w:val="14"/>
          <w:szCs w:val="16"/>
        </w:rPr>
        <w:t>e patent medicine vendors</w:t>
      </w:r>
      <w:r w:rsidRPr="008F084F">
        <w:rPr>
          <w:rFonts w:ascii="Arial" w:eastAsia="Yu Gothic UI" w:hAnsi="Arial" w:cs="Arial"/>
          <w:sz w:val="14"/>
          <w:szCs w:val="16"/>
        </w:rPr>
        <w:t xml:space="preserve"> (others </w:t>
      </w:r>
      <w:r>
        <w:rPr>
          <w:rFonts w:ascii="Arial" w:eastAsia="Yu Gothic UI" w:hAnsi="Arial" w:cs="Arial"/>
          <w:sz w:val="14"/>
          <w:szCs w:val="16"/>
        </w:rPr>
        <w:t xml:space="preserve">include </w:t>
      </w:r>
      <w:r w:rsidRPr="008F084F">
        <w:rPr>
          <w:rFonts w:ascii="Arial" w:eastAsia="Yu Gothic UI" w:hAnsi="Arial" w:cs="Arial"/>
          <w:sz w:val="14"/>
          <w:szCs w:val="16"/>
        </w:rPr>
        <w:t xml:space="preserve">private hospitals/clinics, private health workers, </w:t>
      </w:r>
      <w:r>
        <w:rPr>
          <w:rFonts w:ascii="Arial" w:eastAsia="Yu Gothic UI" w:hAnsi="Arial" w:cs="Arial"/>
          <w:sz w:val="14"/>
          <w:szCs w:val="16"/>
        </w:rPr>
        <w:t xml:space="preserve">private mobile clinics, </w:t>
      </w:r>
      <w:r w:rsidRPr="008F084F">
        <w:rPr>
          <w:rFonts w:ascii="Arial" w:eastAsia="Yu Gothic UI" w:hAnsi="Arial" w:cs="Arial"/>
          <w:sz w:val="14"/>
          <w:szCs w:val="16"/>
        </w:rPr>
        <w:t>pharmacy).</w:t>
      </w:r>
    </w:p>
    <w:p w:rsidR="00A81E63" w:rsidRDefault="00A81E63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0E6FC9" w:rsidRDefault="000E6FC9" w:rsidP="00E17EC6">
      <w:pPr>
        <w:spacing w:after="200"/>
        <w:rPr>
          <w:rFonts w:ascii="Arial" w:hAnsi="Arial" w:cs="Arial"/>
          <w:b/>
          <w:sz w:val="18"/>
          <w:szCs w:val="18"/>
        </w:rPr>
      </w:pPr>
    </w:p>
    <w:p w:rsidR="00A81E63" w:rsidRDefault="009567F7" w:rsidP="00E17EC6">
      <w:pPr>
        <w:spacing w:after="200"/>
        <w:rPr>
          <w:rFonts w:ascii="Times New Roman" w:hAnsi="Times New Roman" w:cs="Times New Roman"/>
          <w:sz w:val="20"/>
          <w:szCs w:val="24"/>
        </w:rPr>
      </w:pPr>
      <w:r w:rsidRPr="003969AF">
        <w:rPr>
          <w:rFonts w:ascii="Times New Roman" w:hAnsi="Times New Roman" w:cs="Times New Roman"/>
          <w:sz w:val="20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313"/>
        <w:gridCol w:w="1435"/>
        <w:gridCol w:w="2061"/>
        <w:gridCol w:w="1436"/>
      </w:tblGrid>
      <w:tr w:rsidR="00A81E63" w:rsidRPr="00060FCF" w:rsidTr="00F663C9">
        <w:tc>
          <w:tcPr>
            <w:tcW w:w="9288" w:type="dxa"/>
            <w:gridSpan w:val="4"/>
          </w:tcPr>
          <w:p w:rsidR="00A81E63" w:rsidRPr="00060FCF" w:rsidRDefault="000E6FC9" w:rsidP="00F663C9">
            <w:pPr>
              <w:rPr>
                <w:rFonts w:ascii="Arial" w:hAnsi="Arial" w:cs="Arial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sz w:val="18"/>
                <w:szCs w:val="18"/>
                <w:vertAlign w:val="baseline"/>
              </w:rPr>
              <w:lastRenderedPageBreak/>
              <w:t>Table 2</w:t>
            </w:r>
            <w:r w:rsidR="00A81E63" w:rsidRPr="00060FCF">
              <w:rPr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  <w:r w:rsidR="00A81E63">
              <w:rPr>
                <w:rFonts w:ascii="Arial" w:hAnsi="Arial" w:cs="Arial"/>
                <w:sz w:val="18"/>
                <w:szCs w:val="18"/>
                <w:vertAlign w:val="baseline"/>
              </w:rPr>
              <w:t>Drug use</w:t>
            </w:r>
            <w:r w:rsidR="00A81E63" w:rsidRPr="00060FCF">
              <w:rPr>
                <w:rFonts w:ascii="Arial" w:hAnsi="Arial" w:cs="Arial"/>
                <w:sz w:val="18"/>
                <w:szCs w:val="18"/>
                <w:vertAlign w:val="baseline"/>
              </w:rPr>
              <w:t xml:space="preserve"> among participants</w:t>
            </w:r>
            <w:r w:rsidR="00A81E63" w:rsidRPr="00060FCF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81E63" w:rsidRPr="00060FCF" w:rsidTr="00F663C9">
        <w:tc>
          <w:tcPr>
            <w:tcW w:w="4338" w:type="dxa"/>
            <w:vMerge w:val="restart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</w:pP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Children under 5 years of age</w:t>
            </w:r>
          </w:p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=1310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Children ages 5 years and above and adults</w:t>
            </w:r>
            <w:r w:rsidRPr="00682104"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=2329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Total</w:t>
            </w:r>
          </w:p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=3639</w:t>
            </w:r>
          </w:p>
        </w:tc>
      </w:tr>
      <w:tr w:rsidR="00A81E63" w:rsidRPr="00060FCF" w:rsidTr="00F663C9">
        <w:tc>
          <w:tcPr>
            <w:tcW w:w="4338" w:type="dxa"/>
            <w:vMerge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n (%)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n (%)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n (%)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Took a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drug/medicine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1303 (99.5)  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2293 (98.5)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3596 (98.8)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Took an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anti-malarial drug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1156 (88.2)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1862 (79.9)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3018 (82.9)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Toot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an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ACT 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1020 (77.9)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1566 (67.2)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2586 (71.1)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Took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an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ACT the same or next day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782 (59.7)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1128 (48.4)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1910 (52.5)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Took paracetamol (or ibuprofen)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1150 (87.8)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1856 (79.7)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3006 (82.6)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Took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an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antibiotic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109 (8.3)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152 (6.5)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261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(7.2)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Took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a traditional medicine (herb or root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74 (5.6)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329 (14.1)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403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(11.1)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Did not know the medicine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that was taken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11 (0.8)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54 (2.3)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65 (1.8)</w:t>
            </w:r>
          </w:p>
        </w:tc>
      </w:tr>
      <w:tr w:rsidR="00A81E63" w:rsidRPr="00A92F8C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Among those that took antibiotics: 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=109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=152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=261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Took amoxicillin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65 (59.6)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97 (63.8)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162 (62.1)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Took co-trimoxazole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20 (18.3)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12 (7.9)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32 (12.3)</w:t>
            </w:r>
          </w:p>
        </w:tc>
      </w:tr>
      <w:tr w:rsidR="00A81E63" w:rsidRPr="00060FCF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Took ampicillin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10 (9.2)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9 (5.9)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19 (7.3)</w:t>
            </w:r>
          </w:p>
        </w:tc>
      </w:tr>
      <w:tr w:rsidR="00A81E63" w:rsidRPr="00A92F8C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Took ampicillin-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cloxacillin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6 (5.5)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8 (5.3)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14 (5.4)</w:t>
            </w:r>
          </w:p>
        </w:tc>
      </w:tr>
      <w:tr w:rsidR="00A81E63" w:rsidRPr="00EA4C53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Took c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iprofloxacin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 (0.9)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11 (7.2)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12 (4.6)</w:t>
            </w:r>
          </w:p>
        </w:tc>
      </w:tr>
      <w:tr w:rsidR="00A81E63" w:rsidRPr="00614761" w:rsidTr="00F663C9">
        <w:tc>
          <w:tcPr>
            <w:tcW w:w="4338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Took m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etronidazole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3 (2.8)</w:t>
            </w:r>
          </w:p>
        </w:tc>
        <w:tc>
          <w:tcPr>
            <w:tcW w:w="207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7 (4.6)</w:t>
            </w:r>
          </w:p>
        </w:tc>
        <w:tc>
          <w:tcPr>
            <w:tcW w:w="1440" w:type="dxa"/>
          </w:tcPr>
          <w:p w:rsidR="00A81E63" w:rsidRPr="00682104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    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10 (3.8)</w:t>
            </w:r>
          </w:p>
        </w:tc>
      </w:tr>
      <w:tr w:rsidR="00A81E63" w:rsidRPr="00AB4018" w:rsidTr="00F663C9">
        <w:tc>
          <w:tcPr>
            <w:tcW w:w="9288" w:type="dxa"/>
            <w:gridSpan w:val="4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</w:tr>
      <w:tr w:rsidR="00A81E63" w:rsidRPr="001B36D3" w:rsidTr="00F663C9">
        <w:tc>
          <w:tcPr>
            <w:tcW w:w="9288" w:type="dxa"/>
            <w:gridSpan w:val="4"/>
          </w:tcPr>
          <w:p w:rsidR="00A81E63" w:rsidRPr="001B36D3" w:rsidRDefault="00A81E63" w:rsidP="00F663C9">
            <w:pPr>
              <w:jc w:val="center"/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Use of 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>anti-malarial drug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s by type of orthodox providers</w:t>
            </w:r>
            <w:r w:rsidRPr="0076499D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A5033">
              <w:rPr>
                <w:rFonts w:ascii="Arial" w:hAnsi="Arial" w:cs="Arial"/>
                <w:sz w:val="16"/>
                <w:szCs w:val="16"/>
                <w:vertAlign w:val="baseline"/>
              </w:rPr>
              <w:t>solely visited</w:t>
            </w:r>
          </w:p>
        </w:tc>
      </w:tr>
      <w:tr w:rsidR="00A81E63" w:rsidRPr="00AB4018" w:rsidTr="00F663C9">
        <w:tc>
          <w:tcPr>
            <w:tcW w:w="4338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4950" w:type="dxa"/>
            <w:gridSpan w:val="3"/>
          </w:tcPr>
          <w:p w:rsidR="00A81E63" w:rsidRPr="00AB4018" w:rsidRDefault="00A81E63" w:rsidP="00F663C9">
            <w:pPr>
              <w:jc w:val="center"/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Took an</w:t>
            </w:r>
            <w:r w:rsidRPr="00682104"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anti-malarial drug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n/N (%)</w:t>
            </w:r>
          </w:p>
        </w:tc>
      </w:tr>
      <w:tr w:rsidR="00A81E63" w:rsidRPr="00AB4018" w:rsidTr="00F663C9">
        <w:tc>
          <w:tcPr>
            <w:tcW w:w="4338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Solely</w:t>
            </w:r>
            <w:r w:rsidR="00281ED0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visited</w:t>
            </w:r>
            <w: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p</w:t>
            </w:r>
            <w:r w:rsidRPr="008F084F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ublic sector providers</w:t>
            </w:r>
            <w:r w:rsidRPr="008F084F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440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422/433 (</w:t>
            </w:r>
            <w:r w:rsidRPr="00B606DF">
              <w:rPr>
                <w:rFonts w:ascii="Arial" w:hAnsi="Arial" w:cs="Arial"/>
                <w:sz w:val="16"/>
                <w:szCs w:val="16"/>
                <w:vertAlign w:val="baseline"/>
              </w:rPr>
              <w:t>97.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5)</w:t>
            </w:r>
          </w:p>
        </w:tc>
        <w:tc>
          <w:tcPr>
            <w:tcW w:w="2070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520/</w:t>
            </w:r>
            <w:r w:rsidRPr="002D1F2A">
              <w:rPr>
                <w:rFonts w:ascii="Arial" w:hAnsi="Arial" w:cs="Arial"/>
                <w:sz w:val="16"/>
                <w:szCs w:val="16"/>
                <w:vertAlign w:val="baseline"/>
              </w:rPr>
              <w:t>560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2D1F2A">
              <w:rPr>
                <w:rFonts w:ascii="Arial" w:hAnsi="Arial" w:cs="Arial"/>
                <w:sz w:val="16"/>
                <w:szCs w:val="16"/>
                <w:vertAlign w:val="baseline"/>
              </w:rPr>
              <w:t>92.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9)</w:t>
            </w:r>
          </w:p>
        </w:tc>
        <w:tc>
          <w:tcPr>
            <w:tcW w:w="1440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942/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993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94.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9)</w:t>
            </w:r>
          </w:p>
        </w:tc>
      </w:tr>
      <w:tr w:rsidR="00A81E63" w:rsidRPr="00AB4018" w:rsidTr="00F663C9">
        <w:tc>
          <w:tcPr>
            <w:tcW w:w="4338" w:type="dxa"/>
          </w:tcPr>
          <w:p w:rsidR="00A81E63" w:rsidRPr="00C91A71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Solely</w:t>
            </w:r>
            <w:r w:rsidR="00281ED0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visited</w:t>
            </w:r>
            <w: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private</w:t>
            </w:r>
            <w:r w:rsidRPr="008F084F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sector</w:t>
            </w:r>
            <w: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</w:t>
            </w:r>
            <w:r w:rsidRPr="008F084F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providers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1440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582/</w:t>
            </w:r>
            <w:r w:rsidRPr="00B606DF">
              <w:rPr>
                <w:rFonts w:ascii="Arial" w:hAnsi="Arial" w:cs="Arial"/>
                <w:sz w:val="16"/>
                <w:szCs w:val="16"/>
                <w:vertAlign w:val="baseline"/>
              </w:rPr>
              <w:t>656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B606DF">
              <w:rPr>
                <w:rFonts w:ascii="Arial" w:hAnsi="Arial" w:cs="Arial"/>
                <w:sz w:val="16"/>
                <w:szCs w:val="16"/>
                <w:vertAlign w:val="baseline"/>
              </w:rPr>
              <w:t>88.7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2070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1006/1</w:t>
            </w:r>
            <w:r w:rsidRPr="002D1F2A">
              <w:rPr>
                <w:rFonts w:ascii="Arial" w:hAnsi="Arial" w:cs="Arial"/>
                <w:sz w:val="16"/>
                <w:szCs w:val="16"/>
                <w:vertAlign w:val="baseline"/>
              </w:rPr>
              <w:t>130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2D1F2A">
              <w:rPr>
                <w:rFonts w:ascii="Arial" w:hAnsi="Arial" w:cs="Arial"/>
                <w:sz w:val="16"/>
                <w:szCs w:val="16"/>
                <w:vertAlign w:val="baseline"/>
              </w:rPr>
              <w:t>89.0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440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1588/1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786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88.9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  <w:tr w:rsidR="00A81E63" w:rsidRPr="00AB4018" w:rsidTr="00F663C9">
        <w:tc>
          <w:tcPr>
            <w:tcW w:w="4338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4950" w:type="dxa"/>
            <w:gridSpan w:val="3"/>
          </w:tcPr>
          <w:p w:rsidR="00A81E63" w:rsidRPr="00AB4018" w:rsidRDefault="00A81E63" w:rsidP="00F663C9">
            <w:pPr>
              <w:jc w:val="center"/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Took an ACT n/N (%)</w:t>
            </w:r>
          </w:p>
        </w:tc>
      </w:tr>
      <w:tr w:rsidR="00A81E63" w:rsidRPr="008753F8" w:rsidTr="00F663C9">
        <w:tc>
          <w:tcPr>
            <w:tcW w:w="4338" w:type="dxa"/>
          </w:tcPr>
          <w:p w:rsidR="00A81E63" w:rsidRPr="00AB401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Solely</w:t>
            </w:r>
            <w:r w:rsidR="00281ED0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visited</w:t>
            </w:r>
            <w: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p</w:t>
            </w:r>
            <w:r w:rsidRPr="008F084F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ublic sector providers</w:t>
            </w:r>
            <w:r w:rsidRPr="008F084F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44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411/</w:t>
            </w:r>
            <w:r w:rsidRPr="00B606DF">
              <w:rPr>
                <w:rFonts w:ascii="Arial" w:hAnsi="Arial" w:cs="Arial"/>
                <w:sz w:val="16"/>
                <w:szCs w:val="16"/>
                <w:vertAlign w:val="baseline"/>
              </w:rPr>
              <w:t>433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B606DF">
              <w:rPr>
                <w:rFonts w:ascii="Arial" w:hAnsi="Arial" w:cs="Arial"/>
                <w:sz w:val="16"/>
                <w:szCs w:val="16"/>
                <w:vertAlign w:val="baseline"/>
              </w:rPr>
              <w:t>94.9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207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503/</w:t>
            </w:r>
            <w:r w:rsidRPr="002D1F2A">
              <w:rPr>
                <w:rFonts w:ascii="Arial" w:hAnsi="Arial" w:cs="Arial"/>
                <w:sz w:val="16"/>
                <w:szCs w:val="16"/>
                <w:vertAlign w:val="baseline"/>
              </w:rPr>
              <w:t>560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2D1F2A">
              <w:rPr>
                <w:rFonts w:ascii="Arial" w:hAnsi="Arial" w:cs="Arial"/>
                <w:sz w:val="16"/>
                <w:szCs w:val="16"/>
                <w:vertAlign w:val="baseline"/>
              </w:rPr>
              <w:t>89.8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44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914/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993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92.0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</w:tr>
      <w:tr w:rsidR="00A81E63" w:rsidRPr="008753F8" w:rsidTr="00F663C9">
        <w:tc>
          <w:tcPr>
            <w:tcW w:w="4338" w:type="dxa"/>
          </w:tcPr>
          <w:p w:rsidR="00A81E63" w:rsidRPr="00C91A71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Solely</w:t>
            </w:r>
            <w:r w:rsidR="00281ED0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visited</w:t>
            </w:r>
            <w: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private</w:t>
            </w:r>
            <w:r w:rsidRPr="008F084F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sector</w:t>
            </w:r>
            <w:r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 xml:space="preserve"> </w:t>
            </w:r>
            <w:r w:rsidRPr="008F084F">
              <w:rPr>
                <w:rFonts w:ascii="Arial" w:hAnsi="Arial" w:cs="Arial"/>
                <w:sz w:val="16"/>
                <w:szCs w:val="16"/>
                <w:vertAlign w:val="baseline"/>
                <w:lang w:val="en-GB"/>
              </w:rPr>
              <w:t>providers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144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476/</w:t>
            </w:r>
            <w:r w:rsidRPr="00B606DF">
              <w:rPr>
                <w:rFonts w:ascii="Arial" w:hAnsi="Arial" w:cs="Arial"/>
                <w:sz w:val="16"/>
                <w:szCs w:val="16"/>
                <w:vertAlign w:val="baseline"/>
              </w:rPr>
              <w:t>656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B606DF">
              <w:rPr>
                <w:rFonts w:ascii="Arial" w:hAnsi="Arial" w:cs="Arial"/>
                <w:sz w:val="16"/>
                <w:szCs w:val="16"/>
                <w:vertAlign w:val="baseline"/>
              </w:rPr>
              <w:t>72.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6)</w:t>
            </w:r>
          </w:p>
        </w:tc>
        <w:tc>
          <w:tcPr>
            <w:tcW w:w="207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 779/1</w:t>
            </w:r>
            <w:r w:rsidRPr="002D1F2A">
              <w:rPr>
                <w:rFonts w:ascii="Arial" w:hAnsi="Arial" w:cs="Arial"/>
                <w:sz w:val="16"/>
                <w:szCs w:val="16"/>
                <w:vertAlign w:val="baseline"/>
              </w:rPr>
              <w:t>130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FA1CA1">
              <w:rPr>
                <w:rFonts w:ascii="Arial" w:hAnsi="Arial" w:cs="Arial"/>
                <w:sz w:val="16"/>
                <w:szCs w:val="16"/>
                <w:vertAlign w:val="baseline"/>
              </w:rPr>
              <w:t>68.9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144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sz w:val="16"/>
                <w:szCs w:val="16"/>
                <w:vertAlign w:val="baseline"/>
              </w:rPr>
              <w:t>1255/1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786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 xml:space="preserve"> (</w:t>
            </w:r>
            <w:r w:rsidRPr="00E25CAE">
              <w:rPr>
                <w:rFonts w:ascii="Arial" w:hAnsi="Arial" w:cs="Arial"/>
                <w:sz w:val="16"/>
                <w:szCs w:val="16"/>
                <w:vertAlign w:val="baseline"/>
              </w:rPr>
              <w:t>70.</w:t>
            </w:r>
            <w:r>
              <w:rPr>
                <w:rFonts w:ascii="Arial" w:hAnsi="Arial" w:cs="Arial"/>
                <w:sz w:val="16"/>
                <w:szCs w:val="16"/>
                <w:vertAlign w:val="baseline"/>
              </w:rPr>
              <w:t>3)</w:t>
            </w:r>
          </w:p>
        </w:tc>
      </w:tr>
      <w:tr w:rsidR="00A81E63" w:rsidRPr="008753F8" w:rsidTr="00F663C9">
        <w:tc>
          <w:tcPr>
            <w:tcW w:w="4338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44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207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  <w:tc>
          <w:tcPr>
            <w:tcW w:w="1440" w:type="dxa"/>
          </w:tcPr>
          <w:p w:rsidR="00A81E63" w:rsidRPr="008753F8" w:rsidRDefault="00A81E63" w:rsidP="00F663C9">
            <w:pPr>
              <w:rPr>
                <w:rFonts w:ascii="Arial" w:hAnsi="Arial" w:cs="Arial"/>
                <w:sz w:val="16"/>
                <w:szCs w:val="16"/>
                <w:vertAlign w:val="baseline"/>
              </w:rPr>
            </w:pPr>
          </w:p>
        </w:tc>
      </w:tr>
    </w:tbl>
    <w:p w:rsidR="00A81E63" w:rsidRPr="00682104" w:rsidRDefault="00A81E63" w:rsidP="00A81E63">
      <w:pPr>
        <w:spacing w:line="240" w:lineRule="auto"/>
        <w:jc w:val="left"/>
        <w:rPr>
          <w:rFonts w:ascii="Arial" w:hAnsi="Arial" w:cs="Arial"/>
          <w:sz w:val="14"/>
          <w:szCs w:val="16"/>
          <w:lang w:val="en-GB"/>
        </w:rPr>
      </w:pPr>
      <w:r w:rsidRPr="00682104">
        <w:rPr>
          <w:rFonts w:ascii="Arial" w:hAnsi="Arial" w:cs="Arial"/>
          <w:sz w:val="14"/>
          <w:szCs w:val="16"/>
          <w:vertAlign w:val="superscript"/>
          <w:lang w:val="en-GB"/>
        </w:rPr>
        <w:t>1</w:t>
      </w:r>
      <w:r w:rsidRPr="00682104">
        <w:rPr>
          <w:rFonts w:ascii="Arial" w:hAnsi="Arial" w:cs="Arial"/>
          <w:sz w:val="14"/>
          <w:szCs w:val="16"/>
        </w:rPr>
        <w:t>Children and adults (</w:t>
      </w:r>
      <w:r w:rsidRPr="00682104">
        <w:rPr>
          <w:rFonts w:ascii="Arial" w:hAnsi="Arial" w:cs="Arial"/>
          <w:sz w:val="14"/>
          <w:szCs w:val="16"/>
          <w:lang w:val="en-GB"/>
        </w:rPr>
        <w:t xml:space="preserve">excluding pregnant women) </w:t>
      </w:r>
      <w:r w:rsidRPr="00682104">
        <w:rPr>
          <w:rFonts w:ascii="Arial" w:hAnsi="Arial" w:cs="Arial"/>
          <w:sz w:val="14"/>
          <w:szCs w:val="16"/>
        </w:rPr>
        <w:t xml:space="preserve">with </w:t>
      </w:r>
      <w:r w:rsidR="005A5C68" w:rsidRPr="006B59EC">
        <w:rPr>
          <w:rFonts w:ascii="Arial" w:hAnsi="Arial" w:cs="Arial"/>
          <w:sz w:val="14"/>
          <w:szCs w:val="16"/>
        </w:rPr>
        <w:t>reported</w:t>
      </w:r>
      <w:r w:rsidR="005A5C68">
        <w:rPr>
          <w:rFonts w:ascii="Arial" w:hAnsi="Arial" w:cs="Arial"/>
          <w:sz w:val="14"/>
          <w:szCs w:val="16"/>
        </w:rPr>
        <w:t xml:space="preserve"> </w:t>
      </w:r>
      <w:r w:rsidRPr="00682104">
        <w:rPr>
          <w:rFonts w:ascii="Arial" w:hAnsi="Arial" w:cs="Arial"/>
          <w:sz w:val="14"/>
          <w:szCs w:val="16"/>
        </w:rPr>
        <w:t>fever/malaria-like illness in the two weeks preceding a survey.</w:t>
      </w:r>
      <w:r w:rsidRPr="00682104">
        <w:rPr>
          <w:rFonts w:ascii="Arial" w:hAnsi="Arial" w:cs="Arial"/>
          <w:sz w:val="14"/>
          <w:szCs w:val="16"/>
          <w:vertAlign w:val="superscript"/>
          <w:lang w:val="en-GB"/>
        </w:rPr>
        <w:t xml:space="preserve"> 2</w:t>
      </w:r>
      <w:r w:rsidRPr="00682104">
        <w:rPr>
          <w:rFonts w:ascii="Arial" w:hAnsi="Arial" w:cs="Arial"/>
          <w:sz w:val="14"/>
          <w:szCs w:val="16"/>
          <w:lang w:val="en-GB"/>
        </w:rPr>
        <w:t>Adults excluding pregnant women.</w:t>
      </w:r>
      <w:r>
        <w:rPr>
          <w:rFonts w:ascii="Arial" w:hAnsi="Arial" w:cs="Arial"/>
          <w:sz w:val="14"/>
          <w:szCs w:val="16"/>
          <w:lang w:val="en-GB"/>
        </w:rPr>
        <w:t xml:space="preserve"> </w:t>
      </w:r>
      <w:r w:rsidRPr="00661297">
        <w:rPr>
          <w:rFonts w:ascii="Arial" w:hAnsi="Arial" w:cs="Arial"/>
          <w:sz w:val="14"/>
          <w:szCs w:val="18"/>
        </w:rPr>
        <w:t>ACT=Artemisinin-based combination therapy</w:t>
      </w:r>
      <w:r>
        <w:rPr>
          <w:rFonts w:ascii="Arial" w:hAnsi="Arial" w:cs="Arial"/>
          <w:sz w:val="14"/>
          <w:szCs w:val="18"/>
        </w:rPr>
        <w:t>.</w:t>
      </w:r>
      <w:r w:rsidRPr="00AF30BF">
        <w:rPr>
          <w:rFonts w:ascii="Arial" w:hAnsi="Arial" w:cs="Arial"/>
          <w:sz w:val="14"/>
          <w:szCs w:val="16"/>
          <w:vertAlign w:val="superscript"/>
          <w:lang w:val="en-GB"/>
        </w:rPr>
        <w:t xml:space="preserve"> </w:t>
      </w:r>
      <w:r w:rsidRPr="008F084F">
        <w:rPr>
          <w:rFonts w:ascii="Arial" w:hAnsi="Arial" w:cs="Arial"/>
          <w:sz w:val="14"/>
          <w:szCs w:val="16"/>
          <w:vertAlign w:val="superscript"/>
          <w:lang w:val="en-GB"/>
        </w:rPr>
        <w:t>5</w:t>
      </w:r>
      <w:r>
        <w:rPr>
          <w:rFonts w:ascii="Arial" w:hAnsi="Arial" w:cs="Arial"/>
          <w:sz w:val="14"/>
          <w:szCs w:val="16"/>
          <w:lang w:val="en-GB"/>
        </w:rPr>
        <w:t>Include public and private sector providers (</w:t>
      </w:r>
      <w:r>
        <w:rPr>
          <w:rFonts w:ascii="Arial" w:hAnsi="Arial" w:cs="Arial"/>
          <w:sz w:val="14"/>
          <w:szCs w:val="16"/>
        </w:rPr>
        <w:t>excluding</w:t>
      </w:r>
      <w:r w:rsidRPr="008F084F">
        <w:rPr>
          <w:rFonts w:ascii="Arial" w:hAnsi="Arial" w:cs="Arial"/>
          <w:sz w:val="14"/>
          <w:szCs w:val="16"/>
        </w:rPr>
        <w:t xml:space="preserve"> traditional practitioners</w:t>
      </w:r>
      <w:r>
        <w:rPr>
          <w:rFonts w:ascii="Arial" w:hAnsi="Arial" w:cs="Arial"/>
          <w:sz w:val="14"/>
          <w:szCs w:val="16"/>
        </w:rPr>
        <w:t xml:space="preserve"> and drug hawkers).</w:t>
      </w:r>
      <w:r>
        <w:rPr>
          <w:rFonts w:ascii="Arial" w:hAnsi="Arial" w:cs="Arial"/>
          <w:sz w:val="14"/>
          <w:szCs w:val="18"/>
        </w:rPr>
        <w:t xml:space="preserve"> </w:t>
      </w:r>
      <w:r w:rsidRPr="008F084F">
        <w:rPr>
          <w:rFonts w:ascii="Arial" w:hAnsi="Arial" w:cs="Arial"/>
          <w:sz w:val="14"/>
          <w:szCs w:val="16"/>
          <w:vertAlign w:val="superscript"/>
        </w:rPr>
        <w:t>6</w:t>
      </w:r>
      <w:r w:rsidRPr="008F084F">
        <w:rPr>
          <w:rFonts w:ascii="Arial" w:hAnsi="Arial" w:cs="Arial"/>
          <w:sz w:val="14"/>
          <w:szCs w:val="16"/>
        </w:rPr>
        <w:t xml:space="preserve">Include </w:t>
      </w:r>
      <w:r w:rsidRPr="008F084F">
        <w:rPr>
          <w:rFonts w:ascii="Arial" w:eastAsia="Yu Gothic UI" w:hAnsi="Arial" w:cs="Arial"/>
          <w:sz w:val="14"/>
          <w:szCs w:val="16"/>
        </w:rPr>
        <w:t xml:space="preserve">mostly the public primary health </w:t>
      </w:r>
      <w:r>
        <w:rPr>
          <w:rFonts w:ascii="Arial" w:eastAsia="Yu Gothic UI" w:hAnsi="Arial" w:cs="Arial"/>
          <w:sz w:val="14"/>
          <w:szCs w:val="16"/>
        </w:rPr>
        <w:t>centres/</w:t>
      </w:r>
      <w:r w:rsidRPr="008F084F">
        <w:rPr>
          <w:rFonts w:ascii="Arial" w:eastAsia="Yu Gothic UI" w:hAnsi="Arial" w:cs="Arial"/>
          <w:sz w:val="14"/>
          <w:szCs w:val="16"/>
        </w:rPr>
        <w:t>providers</w:t>
      </w:r>
      <w:r>
        <w:rPr>
          <w:rFonts w:ascii="Arial" w:eastAsia="Yu Gothic UI" w:hAnsi="Arial" w:cs="Arial"/>
          <w:sz w:val="14"/>
          <w:szCs w:val="16"/>
        </w:rPr>
        <w:t xml:space="preserve"> (others include government hospitals, health posts, community health workers, and free mobile clinics)</w:t>
      </w:r>
      <w:r w:rsidRPr="008F084F">
        <w:rPr>
          <w:rFonts w:ascii="Arial" w:eastAsia="Yu Gothic UI" w:hAnsi="Arial" w:cs="Arial"/>
          <w:sz w:val="14"/>
          <w:szCs w:val="16"/>
        </w:rPr>
        <w:t xml:space="preserve"> </w:t>
      </w:r>
      <w:r w:rsidRPr="008F084F">
        <w:rPr>
          <w:rFonts w:ascii="Arial" w:hAnsi="Arial" w:cs="Arial"/>
          <w:sz w:val="14"/>
          <w:szCs w:val="16"/>
          <w:vertAlign w:val="superscript"/>
        </w:rPr>
        <w:t xml:space="preserve">7 </w:t>
      </w:r>
      <w:r w:rsidRPr="008F084F">
        <w:rPr>
          <w:rFonts w:ascii="Arial" w:hAnsi="Arial" w:cs="Arial"/>
          <w:sz w:val="14"/>
          <w:szCs w:val="16"/>
        </w:rPr>
        <w:t xml:space="preserve">include </w:t>
      </w:r>
      <w:r w:rsidRPr="008F084F">
        <w:rPr>
          <w:rFonts w:ascii="Arial" w:eastAsia="Yu Gothic UI" w:hAnsi="Arial" w:cs="Arial"/>
          <w:sz w:val="14"/>
          <w:szCs w:val="16"/>
        </w:rPr>
        <w:t xml:space="preserve">mostly the patent medicine vendors (PMVs) (others </w:t>
      </w:r>
      <w:r>
        <w:rPr>
          <w:rFonts w:ascii="Arial" w:eastAsia="Yu Gothic UI" w:hAnsi="Arial" w:cs="Arial"/>
          <w:sz w:val="14"/>
          <w:szCs w:val="16"/>
        </w:rPr>
        <w:t xml:space="preserve">include </w:t>
      </w:r>
      <w:r w:rsidRPr="008F084F">
        <w:rPr>
          <w:rFonts w:ascii="Arial" w:eastAsia="Yu Gothic UI" w:hAnsi="Arial" w:cs="Arial"/>
          <w:sz w:val="14"/>
          <w:szCs w:val="16"/>
        </w:rPr>
        <w:t xml:space="preserve">private hospitals/clinics, private health workers, </w:t>
      </w:r>
      <w:r>
        <w:rPr>
          <w:rFonts w:ascii="Arial" w:eastAsia="Yu Gothic UI" w:hAnsi="Arial" w:cs="Arial"/>
          <w:sz w:val="14"/>
          <w:szCs w:val="16"/>
        </w:rPr>
        <w:t xml:space="preserve">private mobile clinics, </w:t>
      </w:r>
      <w:r w:rsidRPr="008F084F">
        <w:rPr>
          <w:rFonts w:ascii="Arial" w:eastAsia="Yu Gothic UI" w:hAnsi="Arial" w:cs="Arial"/>
          <w:sz w:val="14"/>
          <w:szCs w:val="16"/>
        </w:rPr>
        <w:t>pharmacy).</w:t>
      </w:r>
    </w:p>
    <w:p w:rsidR="00A81E63" w:rsidRDefault="00A81E63" w:rsidP="00E17EC6">
      <w:pPr>
        <w:spacing w:after="200"/>
        <w:rPr>
          <w:rFonts w:ascii="Times New Roman" w:hAnsi="Times New Roman" w:cs="Times New Roman"/>
          <w:sz w:val="20"/>
          <w:szCs w:val="24"/>
        </w:rPr>
      </w:pPr>
    </w:p>
    <w:p w:rsidR="00127177" w:rsidRDefault="00127177" w:rsidP="00E17EC6">
      <w:pPr>
        <w:spacing w:after="200"/>
      </w:pPr>
    </w:p>
    <w:sectPr w:rsidR="00127177" w:rsidSect="000E6FC9">
      <w:head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5E0" w:rsidRDefault="007755E0" w:rsidP="008409CF">
      <w:pPr>
        <w:spacing w:line="240" w:lineRule="auto"/>
      </w:pPr>
      <w:r>
        <w:separator/>
      </w:r>
    </w:p>
  </w:endnote>
  <w:endnote w:type="continuationSeparator" w:id="1">
    <w:p w:rsidR="007755E0" w:rsidRDefault="007755E0" w:rsidP="00840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5E0" w:rsidRDefault="007755E0" w:rsidP="008409CF">
      <w:pPr>
        <w:spacing w:line="240" w:lineRule="auto"/>
      </w:pPr>
      <w:r>
        <w:separator/>
      </w:r>
    </w:p>
  </w:footnote>
  <w:footnote w:type="continuationSeparator" w:id="1">
    <w:p w:rsidR="007755E0" w:rsidRDefault="007755E0" w:rsidP="008409C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9472"/>
      <w:docPartObj>
        <w:docPartGallery w:val="Page Numbers (Top of Page)"/>
        <w:docPartUnique/>
      </w:docPartObj>
    </w:sdtPr>
    <w:sdtContent>
      <w:p w:rsidR="00F77519" w:rsidRDefault="000370E7">
        <w:pPr>
          <w:pStyle w:val="Header"/>
          <w:jc w:val="right"/>
        </w:pPr>
        <w:fldSimple w:instr=" PAGE   \* MERGEFORMAT ">
          <w:r w:rsidR="006B59EC">
            <w:rPr>
              <w:noProof/>
            </w:rPr>
            <w:t>1</w:t>
          </w:r>
        </w:fldSimple>
      </w:p>
    </w:sdtContent>
  </w:sdt>
  <w:p w:rsidR="00F77519" w:rsidRDefault="00F7751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726C4D"/>
    <w:rsid w:val="00002D43"/>
    <w:rsid w:val="00007F93"/>
    <w:rsid w:val="00015D98"/>
    <w:rsid w:val="000250FF"/>
    <w:rsid w:val="00032290"/>
    <w:rsid w:val="00034184"/>
    <w:rsid w:val="000345C8"/>
    <w:rsid w:val="000370E7"/>
    <w:rsid w:val="0003754A"/>
    <w:rsid w:val="000436A2"/>
    <w:rsid w:val="00046018"/>
    <w:rsid w:val="000569E7"/>
    <w:rsid w:val="0005711D"/>
    <w:rsid w:val="0006016E"/>
    <w:rsid w:val="00060C2D"/>
    <w:rsid w:val="000632F5"/>
    <w:rsid w:val="000669EC"/>
    <w:rsid w:val="000677CF"/>
    <w:rsid w:val="00075C88"/>
    <w:rsid w:val="00083E5F"/>
    <w:rsid w:val="00087E3C"/>
    <w:rsid w:val="00090244"/>
    <w:rsid w:val="0009436A"/>
    <w:rsid w:val="00095ADE"/>
    <w:rsid w:val="000A26AC"/>
    <w:rsid w:val="000A4964"/>
    <w:rsid w:val="000B1E4B"/>
    <w:rsid w:val="000C5248"/>
    <w:rsid w:val="000C619F"/>
    <w:rsid w:val="000C6FD8"/>
    <w:rsid w:val="000C764F"/>
    <w:rsid w:val="000E38F8"/>
    <w:rsid w:val="000E3AEA"/>
    <w:rsid w:val="000E465F"/>
    <w:rsid w:val="000E48D2"/>
    <w:rsid w:val="000E527E"/>
    <w:rsid w:val="000E6FC9"/>
    <w:rsid w:val="000F5D5E"/>
    <w:rsid w:val="000F68D4"/>
    <w:rsid w:val="0010188D"/>
    <w:rsid w:val="001020B2"/>
    <w:rsid w:val="001044CB"/>
    <w:rsid w:val="0011559A"/>
    <w:rsid w:val="0012089B"/>
    <w:rsid w:val="00126BCF"/>
    <w:rsid w:val="00126FC7"/>
    <w:rsid w:val="00127177"/>
    <w:rsid w:val="00131B14"/>
    <w:rsid w:val="001339CD"/>
    <w:rsid w:val="00134199"/>
    <w:rsid w:val="001346F1"/>
    <w:rsid w:val="0014259E"/>
    <w:rsid w:val="00142BE2"/>
    <w:rsid w:val="00143DAA"/>
    <w:rsid w:val="001563C7"/>
    <w:rsid w:val="00162930"/>
    <w:rsid w:val="00165798"/>
    <w:rsid w:val="00171750"/>
    <w:rsid w:val="00176364"/>
    <w:rsid w:val="00176BA5"/>
    <w:rsid w:val="001773B1"/>
    <w:rsid w:val="001839FF"/>
    <w:rsid w:val="001860F7"/>
    <w:rsid w:val="00190C79"/>
    <w:rsid w:val="00191FF9"/>
    <w:rsid w:val="001A09C1"/>
    <w:rsid w:val="001A240C"/>
    <w:rsid w:val="001C0046"/>
    <w:rsid w:val="001C1A5F"/>
    <w:rsid w:val="001C3B10"/>
    <w:rsid w:val="001C5D65"/>
    <w:rsid w:val="001C7652"/>
    <w:rsid w:val="001D0642"/>
    <w:rsid w:val="001D0C8A"/>
    <w:rsid w:val="001E2BE2"/>
    <w:rsid w:val="001E4507"/>
    <w:rsid w:val="001E75E4"/>
    <w:rsid w:val="001F1B44"/>
    <w:rsid w:val="001F5DC5"/>
    <w:rsid w:val="00220EE7"/>
    <w:rsid w:val="00227D50"/>
    <w:rsid w:val="00230A7C"/>
    <w:rsid w:val="002310A9"/>
    <w:rsid w:val="002321C2"/>
    <w:rsid w:val="002374B8"/>
    <w:rsid w:val="00242291"/>
    <w:rsid w:val="002448B9"/>
    <w:rsid w:val="002455B0"/>
    <w:rsid w:val="00266695"/>
    <w:rsid w:val="002709CB"/>
    <w:rsid w:val="002742A4"/>
    <w:rsid w:val="00276151"/>
    <w:rsid w:val="00281ED0"/>
    <w:rsid w:val="0028298A"/>
    <w:rsid w:val="00283310"/>
    <w:rsid w:val="00290EE1"/>
    <w:rsid w:val="00291D5E"/>
    <w:rsid w:val="00291FD1"/>
    <w:rsid w:val="0029207E"/>
    <w:rsid w:val="002A337F"/>
    <w:rsid w:val="002A39D7"/>
    <w:rsid w:val="002A7D2E"/>
    <w:rsid w:val="002B1D5F"/>
    <w:rsid w:val="002B2D7D"/>
    <w:rsid w:val="002B5578"/>
    <w:rsid w:val="002C1412"/>
    <w:rsid w:val="002C1E61"/>
    <w:rsid w:val="002D31AD"/>
    <w:rsid w:val="002D71BE"/>
    <w:rsid w:val="002E135A"/>
    <w:rsid w:val="002E25A0"/>
    <w:rsid w:val="002E2BB5"/>
    <w:rsid w:val="002E3CAA"/>
    <w:rsid w:val="002E63B5"/>
    <w:rsid w:val="002E6F71"/>
    <w:rsid w:val="002E769D"/>
    <w:rsid w:val="002F0837"/>
    <w:rsid w:val="002F22C8"/>
    <w:rsid w:val="002F3F73"/>
    <w:rsid w:val="002F55BD"/>
    <w:rsid w:val="00301F20"/>
    <w:rsid w:val="00303A39"/>
    <w:rsid w:val="00306062"/>
    <w:rsid w:val="0030762E"/>
    <w:rsid w:val="00314C40"/>
    <w:rsid w:val="00317345"/>
    <w:rsid w:val="0032011B"/>
    <w:rsid w:val="00332387"/>
    <w:rsid w:val="00337EFF"/>
    <w:rsid w:val="00342BDE"/>
    <w:rsid w:val="00345397"/>
    <w:rsid w:val="00345A58"/>
    <w:rsid w:val="00347796"/>
    <w:rsid w:val="00355510"/>
    <w:rsid w:val="00355F68"/>
    <w:rsid w:val="0035691A"/>
    <w:rsid w:val="00357937"/>
    <w:rsid w:val="003614CE"/>
    <w:rsid w:val="00364316"/>
    <w:rsid w:val="00365BD9"/>
    <w:rsid w:val="00372C19"/>
    <w:rsid w:val="00384E2C"/>
    <w:rsid w:val="00393DB9"/>
    <w:rsid w:val="003965D9"/>
    <w:rsid w:val="003969AF"/>
    <w:rsid w:val="003A56D6"/>
    <w:rsid w:val="003B1EAD"/>
    <w:rsid w:val="003B242D"/>
    <w:rsid w:val="003C3AED"/>
    <w:rsid w:val="003C5FFC"/>
    <w:rsid w:val="003D16AE"/>
    <w:rsid w:val="003D6B38"/>
    <w:rsid w:val="003E1B21"/>
    <w:rsid w:val="00413BF6"/>
    <w:rsid w:val="004214F9"/>
    <w:rsid w:val="00422FA6"/>
    <w:rsid w:val="00427EA4"/>
    <w:rsid w:val="00432D4A"/>
    <w:rsid w:val="00432FBE"/>
    <w:rsid w:val="004346F0"/>
    <w:rsid w:val="004403E3"/>
    <w:rsid w:val="00443591"/>
    <w:rsid w:val="00451263"/>
    <w:rsid w:val="00453F2F"/>
    <w:rsid w:val="00460A48"/>
    <w:rsid w:val="00464BF9"/>
    <w:rsid w:val="00465B01"/>
    <w:rsid w:val="00473F73"/>
    <w:rsid w:val="00492F68"/>
    <w:rsid w:val="00496EA4"/>
    <w:rsid w:val="004A48B4"/>
    <w:rsid w:val="004B0D26"/>
    <w:rsid w:val="004B317A"/>
    <w:rsid w:val="004C1CFF"/>
    <w:rsid w:val="004C7F94"/>
    <w:rsid w:val="004D1E79"/>
    <w:rsid w:val="004D204F"/>
    <w:rsid w:val="004D3F51"/>
    <w:rsid w:val="004D436E"/>
    <w:rsid w:val="004D5682"/>
    <w:rsid w:val="004D637F"/>
    <w:rsid w:val="004E3158"/>
    <w:rsid w:val="004E6BDD"/>
    <w:rsid w:val="004F056A"/>
    <w:rsid w:val="0050528F"/>
    <w:rsid w:val="005129E3"/>
    <w:rsid w:val="00516427"/>
    <w:rsid w:val="00523E49"/>
    <w:rsid w:val="0052450B"/>
    <w:rsid w:val="00537683"/>
    <w:rsid w:val="00543E0D"/>
    <w:rsid w:val="00545570"/>
    <w:rsid w:val="0056043D"/>
    <w:rsid w:val="00560B0D"/>
    <w:rsid w:val="0057537E"/>
    <w:rsid w:val="00581A7F"/>
    <w:rsid w:val="00583423"/>
    <w:rsid w:val="00590E1C"/>
    <w:rsid w:val="0059170A"/>
    <w:rsid w:val="00595B7E"/>
    <w:rsid w:val="00597820"/>
    <w:rsid w:val="005A2103"/>
    <w:rsid w:val="005A5C68"/>
    <w:rsid w:val="005A6241"/>
    <w:rsid w:val="005A661C"/>
    <w:rsid w:val="005A6B95"/>
    <w:rsid w:val="005B3EF7"/>
    <w:rsid w:val="005B66CD"/>
    <w:rsid w:val="005C2054"/>
    <w:rsid w:val="005C3138"/>
    <w:rsid w:val="005D1BBC"/>
    <w:rsid w:val="005D237E"/>
    <w:rsid w:val="005E554C"/>
    <w:rsid w:val="005E6D5C"/>
    <w:rsid w:val="005F0DE5"/>
    <w:rsid w:val="005F4008"/>
    <w:rsid w:val="005F5F68"/>
    <w:rsid w:val="00602EF8"/>
    <w:rsid w:val="00603EC6"/>
    <w:rsid w:val="00604FBE"/>
    <w:rsid w:val="00604FD9"/>
    <w:rsid w:val="00607AF3"/>
    <w:rsid w:val="00613C41"/>
    <w:rsid w:val="006141B6"/>
    <w:rsid w:val="00617A14"/>
    <w:rsid w:val="0062693B"/>
    <w:rsid w:val="006364BE"/>
    <w:rsid w:val="006576DB"/>
    <w:rsid w:val="00664E12"/>
    <w:rsid w:val="006664B9"/>
    <w:rsid w:val="006724B8"/>
    <w:rsid w:val="006842ED"/>
    <w:rsid w:val="00690457"/>
    <w:rsid w:val="00694B8A"/>
    <w:rsid w:val="006A4D41"/>
    <w:rsid w:val="006A6F6C"/>
    <w:rsid w:val="006B0694"/>
    <w:rsid w:val="006B22A1"/>
    <w:rsid w:val="006B59EC"/>
    <w:rsid w:val="006B7337"/>
    <w:rsid w:val="006C2943"/>
    <w:rsid w:val="006C433A"/>
    <w:rsid w:val="006C7A25"/>
    <w:rsid w:val="006C7A35"/>
    <w:rsid w:val="006D26D4"/>
    <w:rsid w:val="006D4E17"/>
    <w:rsid w:val="006E2D72"/>
    <w:rsid w:val="006E2E0D"/>
    <w:rsid w:val="006F3429"/>
    <w:rsid w:val="006F4A82"/>
    <w:rsid w:val="00701E58"/>
    <w:rsid w:val="007045AE"/>
    <w:rsid w:val="007057B7"/>
    <w:rsid w:val="007070E7"/>
    <w:rsid w:val="007102DB"/>
    <w:rsid w:val="00710FDF"/>
    <w:rsid w:val="007110C6"/>
    <w:rsid w:val="00711B85"/>
    <w:rsid w:val="00711F71"/>
    <w:rsid w:val="007219ED"/>
    <w:rsid w:val="00726C4D"/>
    <w:rsid w:val="00731F7C"/>
    <w:rsid w:val="00732385"/>
    <w:rsid w:val="00732CDC"/>
    <w:rsid w:val="007339E6"/>
    <w:rsid w:val="00733CAD"/>
    <w:rsid w:val="00752AAB"/>
    <w:rsid w:val="0075593B"/>
    <w:rsid w:val="00755E53"/>
    <w:rsid w:val="00756484"/>
    <w:rsid w:val="00760D3F"/>
    <w:rsid w:val="00765D17"/>
    <w:rsid w:val="00773DEE"/>
    <w:rsid w:val="007755E0"/>
    <w:rsid w:val="00781721"/>
    <w:rsid w:val="00781C67"/>
    <w:rsid w:val="00781EAE"/>
    <w:rsid w:val="00792753"/>
    <w:rsid w:val="007A3291"/>
    <w:rsid w:val="007A43A6"/>
    <w:rsid w:val="007A653C"/>
    <w:rsid w:val="007B280D"/>
    <w:rsid w:val="007C3088"/>
    <w:rsid w:val="007C665E"/>
    <w:rsid w:val="007C7B76"/>
    <w:rsid w:val="007D2A1E"/>
    <w:rsid w:val="007D3998"/>
    <w:rsid w:val="007D646F"/>
    <w:rsid w:val="007D68DD"/>
    <w:rsid w:val="007E2D7A"/>
    <w:rsid w:val="007E353E"/>
    <w:rsid w:val="007E53D8"/>
    <w:rsid w:val="007E6AA0"/>
    <w:rsid w:val="007F08AF"/>
    <w:rsid w:val="007F369F"/>
    <w:rsid w:val="008007BA"/>
    <w:rsid w:val="00800BE9"/>
    <w:rsid w:val="008016C3"/>
    <w:rsid w:val="0080286D"/>
    <w:rsid w:val="00803C86"/>
    <w:rsid w:val="008073B4"/>
    <w:rsid w:val="00807639"/>
    <w:rsid w:val="008110A8"/>
    <w:rsid w:val="00820745"/>
    <w:rsid w:val="008229FE"/>
    <w:rsid w:val="00824CB5"/>
    <w:rsid w:val="00826934"/>
    <w:rsid w:val="00827FBF"/>
    <w:rsid w:val="00832E29"/>
    <w:rsid w:val="008409CF"/>
    <w:rsid w:val="00842812"/>
    <w:rsid w:val="00850514"/>
    <w:rsid w:val="008526F8"/>
    <w:rsid w:val="00854465"/>
    <w:rsid w:val="00857C0D"/>
    <w:rsid w:val="008605F6"/>
    <w:rsid w:val="0086147B"/>
    <w:rsid w:val="00865B41"/>
    <w:rsid w:val="00866683"/>
    <w:rsid w:val="00866E88"/>
    <w:rsid w:val="008720D5"/>
    <w:rsid w:val="008814C3"/>
    <w:rsid w:val="008851B5"/>
    <w:rsid w:val="00896387"/>
    <w:rsid w:val="008A06C2"/>
    <w:rsid w:val="008A2D82"/>
    <w:rsid w:val="008B20A8"/>
    <w:rsid w:val="008B3E45"/>
    <w:rsid w:val="008B4C18"/>
    <w:rsid w:val="008C02A1"/>
    <w:rsid w:val="008E18AE"/>
    <w:rsid w:val="008E24E0"/>
    <w:rsid w:val="008E7198"/>
    <w:rsid w:val="008F5542"/>
    <w:rsid w:val="008F695B"/>
    <w:rsid w:val="009060BC"/>
    <w:rsid w:val="0090690C"/>
    <w:rsid w:val="00906D74"/>
    <w:rsid w:val="00907FEA"/>
    <w:rsid w:val="009131AD"/>
    <w:rsid w:val="0091517E"/>
    <w:rsid w:val="009202D5"/>
    <w:rsid w:val="00941E88"/>
    <w:rsid w:val="00945B03"/>
    <w:rsid w:val="0095112F"/>
    <w:rsid w:val="009511D6"/>
    <w:rsid w:val="00952DAE"/>
    <w:rsid w:val="009567F7"/>
    <w:rsid w:val="009632EA"/>
    <w:rsid w:val="009659BE"/>
    <w:rsid w:val="009850E5"/>
    <w:rsid w:val="009852BE"/>
    <w:rsid w:val="00985C78"/>
    <w:rsid w:val="009916CA"/>
    <w:rsid w:val="00992205"/>
    <w:rsid w:val="009A2B04"/>
    <w:rsid w:val="009A5033"/>
    <w:rsid w:val="009B05C5"/>
    <w:rsid w:val="009B12B5"/>
    <w:rsid w:val="009C275D"/>
    <w:rsid w:val="009C5969"/>
    <w:rsid w:val="009D1806"/>
    <w:rsid w:val="009D2B1A"/>
    <w:rsid w:val="009D32F6"/>
    <w:rsid w:val="009D3C68"/>
    <w:rsid w:val="009D58BA"/>
    <w:rsid w:val="009E2E4B"/>
    <w:rsid w:val="00A00A42"/>
    <w:rsid w:val="00A107D4"/>
    <w:rsid w:val="00A16EF7"/>
    <w:rsid w:val="00A24460"/>
    <w:rsid w:val="00A2663E"/>
    <w:rsid w:val="00A271D3"/>
    <w:rsid w:val="00A27E6B"/>
    <w:rsid w:val="00A41D5A"/>
    <w:rsid w:val="00A4324B"/>
    <w:rsid w:val="00A464B9"/>
    <w:rsid w:val="00A46C73"/>
    <w:rsid w:val="00A474AD"/>
    <w:rsid w:val="00A5203F"/>
    <w:rsid w:val="00A57116"/>
    <w:rsid w:val="00A632A9"/>
    <w:rsid w:val="00A66414"/>
    <w:rsid w:val="00A70EAE"/>
    <w:rsid w:val="00A72C3B"/>
    <w:rsid w:val="00A7397A"/>
    <w:rsid w:val="00A779E4"/>
    <w:rsid w:val="00A81491"/>
    <w:rsid w:val="00A81E63"/>
    <w:rsid w:val="00A86BB2"/>
    <w:rsid w:val="00A91821"/>
    <w:rsid w:val="00A92A98"/>
    <w:rsid w:val="00AA2A9E"/>
    <w:rsid w:val="00AB2A8C"/>
    <w:rsid w:val="00AB638E"/>
    <w:rsid w:val="00AC1551"/>
    <w:rsid w:val="00AC1684"/>
    <w:rsid w:val="00AC1DFD"/>
    <w:rsid w:val="00AC33DC"/>
    <w:rsid w:val="00AC7660"/>
    <w:rsid w:val="00AD399C"/>
    <w:rsid w:val="00AD6175"/>
    <w:rsid w:val="00AE06EB"/>
    <w:rsid w:val="00AE153B"/>
    <w:rsid w:val="00AE56CF"/>
    <w:rsid w:val="00AE794B"/>
    <w:rsid w:val="00AF0D2B"/>
    <w:rsid w:val="00AF1A54"/>
    <w:rsid w:val="00B02982"/>
    <w:rsid w:val="00B10B21"/>
    <w:rsid w:val="00B13AAC"/>
    <w:rsid w:val="00B20A0C"/>
    <w:rsid w:val="00B2480E"/>
    <w:rsid w:val="00B254B5"/>
    <w:rsid w:val="00B25F77"/>
    <w:rsid w:val="00B26781"/>
    <w:rsid w:val="00B26881"/>
    <w:rsid w:val="00B26B7C"/>
    <w:rsid w:val="00B33F56"/>
    <w:rsid w:val="00B36CC6"/>
    <w:rsid w:val="00B5082C"/>
    <w:rsid w:val="00B55FE0"/>
    <w:rsid w:val="00B561FF"/>
    <w:rsid w:val="00B57EF0"/>
    <w:rsid w:val="00B72889"/>
    <w:rsid w:val="00B77CC8"/>
    <w:rsid w:val="00B851B0"/>
    <w:rsid w:val="00B8784A"/>
    <w:rsid w:val="00B90C16"/>
    <w:rsid w:val="00B94FA7"/>
    <w:rsid w:val="00BA2383"/>
    <w:rsid w:val="00BA2DB6"/>
    <w:rsid w:val="00BA3D8A"/>
    <w:rsid w:val="00BA69BD"/>
    <w:rsid w:val="00BA7D34"/>
    <w:rsid w:val="00BB35BD"/>
    <w:rsid w:val="00BB49F4"/>
    <w:rsid w:val="00BB5C78"/>
    <w:rsid w:val="00BC06A3"/>
    <w:rsid w:val="00BC081B"/>
    <w:rsid w:val="00BC4B83"/>
    <w:rsid w:val="00BC7FF1"/>
    <w:rsid w:val="00BD12AF"/>
    <w:rsid w:val="00BD1EE2"/>
    <w:rsid w:val="00BD2913"/>
    <w:rsid w:val="00BF5B67"/>
    <w:rsid w:val="00C117CE"/>
    <w:rsid w:val="00C11A84"/>
    <w:rsid w:val="00C15846"/>
    <w:rsid w:val="00C24537"/>
    <w:rsid w:val="00C260A6"/>
    <w:rsid w:val="00C301C8"/>
    <w:rsid w:val="00C309D7"/>
    <w:rsid w:val="00C30D9B"/>
    <w:rsid w:val="00C33C04"/>
    <w:rsid w:val="00C3524E"/>
    <w:rsid w:val="00C373DB"/>
    <w:rsid w:val="00C45828"/>
    <w:rsid w:val="00C47E21"/>
    <w:rsid w:val="00C63BA1"/>
    <w:rsid w:val="00C776EF"/>
    <w:rsid w:val="00C83DC4"/>
    <w:rsid w:val="00C83E23"/>
    <w:rsid w:val="00C85933"/>
    <w:rsid w:val="00C9341B"/>
    <w:rsid w:val="00C93FFF"/>
    <w:rsid w:val="00C95415"/>
    <w:rsid w:val="00CA372F"/>
    <w:rsid w:val="00CB0CDE"/>
    <w:rsid w:val="00CB4B0E"/>
    <w:rsid w:val="00CB6BCF"/>
    <w:rsid w:val="00CB77B5"/>
    <w:rsid w:val="00CC3421"/>
    <w:rsid w:val="00CC3A36"/>
    <w:rsid w:val="00CC6433"/>
    <w:rsid w:val="00CD178E"/>
    <w:rsid w:val="00CD40D0"/>
    <w:rsid w:val="00CD62A2"/>
    <w:rsid w:val="00CD7F10"/>
    <w:rsid w:val="00CE2238"/>
    <w:rsid w:val="00CE670D"/>
    <w:rsid w:val="00CE679C"/>
    <w:rsid w:val="00CE6FD7"/>
    <w:rsid w:val="00CF2516"/>
    <w:rsid w:val="00CF2E80"/>
    <w:rsid w:val="00CF7BBD"/>
    <w:rsid w:val="00D04C86"/>
    <w:rsid w:val="00D058EB"/>
    <w:rsid w:val="00D217AE"/>
    <w:rsid w:val="00D30C25"/>
    <w:rsid w:val="00D3207E"/>
    <w:rsid w:val="00D320E3"/>
    <w:rsid w:val="00D32DD0"/>
    <w:rsid w:val="00D359A2"/>
    <w:rsid w:val="00D450D0"/>
    <w:rsid w:val="00D45B45"/>
    <w:rsid w:val="00D56302"/>
    <w:rsid w:val="00D65E12"/>
    <w:rsid w:val="00D6684E"/>
    <w:rsid w:val="00D67B4E"/>
    <w:rsid w:val="00D71EC3"/>
    <w:rsid w:val="00D73587"/>
    <w:rsid w:val="00D829EA"/>
    <w:rsid w:val="00D94274"/>
    <w:rsid w:val="00DA28F7"/>
    <w:rsid w:val="00DA7650"/>
    <w:rsid w:val="00DB52C0"/>
    <w:rsid w:val="00DB5C25"/>
    <w:rsid w:val="00DC4034"/>
    <w:rsid w:val="00DC5FE0"/>
    <w:rsid w:val="00DC65C5"/>
    <w:rsid w:val="00DC7228"/>
    <w:rsid w:val="00DD06AF"/>
    <w:rsid w:val="00DD6885"/>
    <w:rsid w:val="00DE0EE1"/>
    <w:rsid w:val="00DE1DC6"/>
    <w:rsid w:val="00DE3EA9"/>
    <w:rsid w:val="00DF0DF6"/>
    <w:rsid w:val="00DF3E20"/>
    <w:rsid w:val="00E02EF5"/>
    <w:rsid w:val="00E105F9"/>
    <w:rsid w:val="00E12BF1"/>
    <w:rsid w:val="00E17EC6"/>
    <w:rsid w:val="00E26382"/>
    <w:rsid w:val="00E41A3B"/>
    <w:rsid w:val="00E436FE"/>
    <w:rsid w:val="00E43F9E"/>
    <w:rsid w:val="00E50DD3"/>
    <w:rsid w:val="00E56903"/>
    <w:rsid w:val="00E577A9"/>
    <w:rsid w:val="00E64093"/>
    <w:rsid w:val="00E64DFF"/>
    <w:rsid w:val="00E662D8"/>
    <w:rsid w:val="00E75FDE"/>
    <w:rsid w:val="00E85F63"/>
    <w:rsid w:val="00E879F0"/>
    <w:rsid w:val="00E9021E"/>
    <w:rsid w:val="00EA2CA0"/>
    <w:rsid w:val="00EA74DB"/>
    <w:rsid w:val="00EB255E"/>
    <w:rsid w:val="00EB4AE4"/>
    <w:rsid w:val="00EB7733"/>
    <w:rsid w:val="00EC05C0"/>
    <w:rsid w:val="00EC2D8A"/>
    <w:rsid w:val="00EC67BD"/>
    <w:rsid w:val="00ED3FEC"/>
    <w:rsid w:val="00EE3B62"/>
    <w:rsid w:val="00F066E1"/>
    <w:rsid w:val="00F151C1"/>
    <w:rsid w:val="00F16BFB"/>
    <w:rsid w:val="00F20595"/>
    <w:rsid w:val="00F226CF"/>
    <w:rsid w:val="00F25547"/>
    <w:rsid w:val="00F26E5A"/>
    <w:rsid w:val="00F316FA"/>
    <w:rsid w:val="00F3180B"/>
    <w:rsid w:val="00F319BF"/>
    <w:rsid w:val="00F3209E"/>
    <w:rsid w:val="00F36342"/>
    <w:rsid w:val="00F41DBE"/>
    <w:rsid w:val="00F4321E"/>
    <w:rsid w:val="00F5285C"/>
    <w:rsid w:val="00F5303C"/>
    <w:rsid w:val="00F62039"/>
    <w:rsid w:val="00F62B1B"/>
    <w:rsid w:val="00F62F51"/>
    <w:rsid w:val="00F663C9"/>
    <w:rsid w:val="00F71DB0"/>
    <w:rsid w:val="00F72F71"/>
    <w:rsid w:val="00F7463C"/>
    <w:rsid w:val="00F77519"/>
    <w:rsid w:val="00F77B58"/>
    <w:rsid w:val="00F81FB0"/>
    <w:rsid w:val="00F8234B"/>
    <w:rsid w:val="00F86795"/>
    <w:rsid w:val="00F93077"/>
    <w:rsid w:val="00F96A81"/>
    <w:rsid w:val="00FA003D"/>
    <w:rsid w:val="00FA103D"/>
    <w:rsid w:val="00FA6A14"/>
    <w:rsid w:val="00FA7103"/>
    <w:rsid w:val="00FB1CC9"/>
    <w:rsid w:val="00FB28A2"/>
    <w:rsid w:val="00FB5E2B"/>
    <w:rsid w:val="00FC4959"/>
    <w:rsid w:val="00FC52A2"/>
    <w:rsid w:val="00FC797B"/>
    <w:rsid w:val="00FD5B3E"/>
    <w:rsid w:val="00FD6D12"/>
    <w:rsid w:val="00FD6F8F"/>
    <w:rsid w:val="00FE0F1C"/>
    <w:rsid w:val="00FE4543"/>
    <w:rsid w:val="00FE7C2F"/>
    <w:rsid w:val="00FF55E8"/>
    <w:rsid w:val="00FF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177"/>
    <w:pPr>
      <w:spacing w:line="240" w:lineRule="auto"/>
      <w:jc w:val="left"/>
    </w:pPr>
    <w:rPr>
      <w:vertAlign w:val="superscri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32FBE"/>
    <w:pPr>
      <w:tabs>
        <w:tab w:val="center" w:pos="4680"/>
        <w:tab w:val="right" w:pos="9360"/>
      </w:tabs>
      <w:spacing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432FBE"/>
  </w:style>
  <w:style w:type="paragraph" w:styleId="Header">
    <w:name w:val="header"/>
    <w:basedOn w:val="Normal"/>
    <w:link w:val="HeaderChar"/>
    <w:uiPriority w:val="99"/>
    <w:unhideWhenUsed/>
    <w:rsid w:val="008409C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9CF"/>
  </w:style>
  <w:style w:type="character" w:styleId="LineNumber">
    <w:name w:val="line number"/>
    <w:basedOn w:val="DefaultParagraphFont"/>
    <w:uiPriority w:val="99"/>
    <w:semiHidden/>
    <w:unhideWhenUsed/>
    <w:rsid w:val="00840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DD3A1-D7F9-476A-B729-5FBFAC4A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6362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306</cp:revision>
  <dcterms:created xsi:type="dcterms:W3CDTF">2019-10-16T20:45:00Z</dcterms:created>
  <dcterms:modified xsi:type="dcterms:W3CDTF">2021-07-28T00:36:00Z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1c677d10-c2ad-38c5-879c-a56fc62320aa</vt:lpwstr>
  </property>
  <property fmtid="{D5CDD505-2E9C-101B-9397-08002B2CF9AE}" pid="24" name="Mendeley Citation Style_1">
    <vt:lpwstr>http://www.zotero.org/styles/vancouver-superscript</vt:lpwstr>
  </property>
</Properties>
</file>