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A10" w:rsidRDefault="00A60A10" w:rsidP="00A60A10">
      <w:pPr>
        <w:pStyle w:val="Heading1"/>
      </w:pPr>
      <w:r>
        <w:t>SUPPLEMENTAL TABLES AND FIGURES</w:t>
      </w:r>
    </w:p>
    <w:p w:rsidR="00A60A10" w:rsidRDefault="00A60A10" w:rsidP="00A60A10">
      <w:pPr>
        <w:pStyle w:val="NoSpacing"/>
      </w:pPr>
    </w:p>
    <w:p w:rsidR="00A60A10" w:rsidRPr="003F7C76" w:rsidRDefault="00A60A10" w:rsidP="00A60A10">
      <w:pPr>
        <w:pStyle w:val="Heading2"/>
      </w:pPr>
      <w:bookmarkStart w:id="0" w:name="_GoBack"/>
      <w:proofErr w:type="gramStart"/>
      <w:r w:rsidRPr="000F7D05">
        <w:t>Supplemental Table 1.</w:t>
      </w:r>
      <w:proofErr w:type="gramEnd"/>
      <w:r w:rsidRPr="000F7D05">
        <w:t xml:space="preserve"> </w:t>
      </w:r>
      <w:r>
        <w:t>National distribution of each available indicator by domain and facility type</w:t>
      </w:r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2082"/>
        <w:gridCol w:w="1427"/>
        <w:gridCol w:w="2649"/>
        <w:gridCol w:w="3418"/>
      </w:tblGrid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Facility tier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Prevalence (95% CI) across districts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1. District Hospital (apex government facility at the district level)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IT infrastructure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Internet Available</w:t>
            </w:r>
            <w:r>
              <w:rPr>
                <w:rFonts w:eastAsia="Times New Roman" w:cs="Times New Roman"/>
                <w:color w:val="000000"/>
                <w:sz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92.3(90.1-94.6)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Essential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Medical Officer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86.5 (83.6-89.4)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Essential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Pharmacist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91.6 (89.3-93.9)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Essential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Staff Nurse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89.4 (86.8-92)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Essential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DH: Essential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70.4 (66.6-74.3)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Summary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DH Composite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64.8 (60.8-68.8)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2. Community Health Centre (mid-tier facility with primary responsibility for NCD care)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Antihypertensive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87 (86-87.9)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Diagnostics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BP instrument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98.3 (98-98.7)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Essential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Medical Officer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82.7 (81.7-83.8)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Essential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Pharmacist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80.2 (79-81.3)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Essential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Staff Nurse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72.7 (71.5-74)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Essential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CHC: Essential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49.9 (48.5-51.3)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IT infrastructure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Computer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91 (90.2-91.8)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IT infrastructure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Internet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84.3 (83.3-85.4)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IT infrastructure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Regular Power Supply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57.8 (56.4-59.2)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IT infrastructure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IT Infrastructure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 composite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50.5 (49.1-51.9)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Summary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CHC: Composite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25.3 (24.1-26.5)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 xml:space="preserve">3. Primary Health Centre (mid-tier </w:t>
            </w:r>
            <w:r w:rsidRPr="0094578B">
              <w:rPr>
                <w:rFonts w:eastAsia="Times New Roman" w:cs="Times New Roman"/>
                <w:color w:val="000000"/>
                <w:sz w:val="22"/>
              </w:rPr>
              <w:lastRenderedPageBreak/>
              <w:t>facility)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>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Antihypertensive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75.4 (74.5-76.4)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Diagnostics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BP instrument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95.5 (95-95.9)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Essential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Medical Officer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69.5 (68.5-70.5)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Essential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Pharmacist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60.7 (59.6-61.7)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Essential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Staff Nurse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31 (30.1-32)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Essential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PHC: Essential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14.8 (14.1-15.6)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IT infrastructure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Computer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56.2 (55.1-57.2)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IT infrastructure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Internet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46.6 (45.6-47.7)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IT infrastructure</w:t>
            </w:r>
          </w:p>
          <w:p w:rsidR="00A60A10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Regular Power Supply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49.6 (48.6-50.7)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IT infrastructure</w:t>
            </w:r>
          </w:p>
          <w:p w:rsidR="00A60A10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IT Infrastructure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 composite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27.6 (26.7-28.6)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Summary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PHC: Composite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4.7 (4.2-5.1)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4. Village Sub-Centre (lowest tier facility at the village-level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  <w:r>
              <w:rPr>
                <w:rFonts w:eastAsia="Times New Roman" w:cs="Times New Roman"/>
                <w:color w:val="000000"/>
                <w:sz w:val="22"/>
              </w:rPr>
              <w:t>Diagnostics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BP instrument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84.4 (83.9-84.9)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IT infrastructure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Regular Power Supply</w:t>
            </w:r>
            <w:r>
              <w:rPr>
                <w:rFonts w:eastAsia="Times New Roman" w:cs="Times New Roman"/>
                <w:color w:val="000000"/>
                <w:sz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29.9 (29.3-30.6)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Essential staff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Female Worker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85.7 (85.2-86.2)</w:t>
            </w:r>
          </w:p>
        </w:tc>
      </w:tr>
      <w:tr w:rsidR="00A60A10" w:rsidRPr="0094578B" w:rsidTr="004060F8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Summary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SC: Composite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0A10" w:rsidRPr="0094578B" w:rsidRDefault="00A60A10" w:rsidP="004060F8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4578B">
              <w:rPr>
                <w:rFonts w:eastAsia="Times New Roman" w:cs="Times New Roman"/>
                <w:color w:val="000000"/>
                <w:sz w:val="22"/>
              </w:rPr>
              <w:t>23.3 (22.7-23.9)</w:t>
            </w:r>
          </w:p>
        </w:tc>
      </w:tr>
    </w:tbl>
    <w:p w:rsidR="00A60A10" w:rsidRDefault="00A60A10" w:rsidP="00A60A10">
      <w:pPr>
        <w:pStyle w:val="NoSpacing"/>
      </w:pPr>
      <w:r>
        <w:t>*The only measured indicator for that domain at that tier.</w:t>
      </w:r>
    </w:p>
    <w:p w:rsidR="00A60A10" w:rsidRDefault="00A60A10" w:rsidP="00A60A10">
      <w:pPr>
        <w:pStyle w:val="NoSpacing"/>
      </w:pPr>
      <w:r>
        <w:t xml:space="preserve">All data are from the DLHS-4 (2012-1014). </w:t>
      </w:r>
    </w:p>
    <w:p w:rsidR="00A60A10" w:rsidRDefault="00A60A10" w:rsidP="00A60A10">
      <w:pPr>
        <w:pStyle w:val="NoSpacing"/>
      </w:pPr>
      <w:r>
        <w:t>Sub-</w:t>
      </w:r>
      <w:proofErr w:type="spellStart"/>
      <w:r>
        <w:t>Centres</w:t>
      </w:r>
      <w:proofErr w:type="spellEnd"/>
      <w:r>
        <w:t xml:space="preserve"> by design do not have medications on site, and district hospitals were not surveyed on medication or diagnostics.</w:t>
      </w:r>
    </w:p>
    <w:p w:rsidR="00A60A10" w:rsidRPr="003F7C76" w:rsidRDefault="00A60A10" w:rsidP="00A60A10">
      <w:pPr>
        <w:pStyle w:val="NoSpacing"/>
        <w:rPr>
          <w:sz w:val="18"/>
          <w:szCs w:val="18"/>
        </w:rPr>
      </w:pPr>
    </w:p>
    <w:p w:rsidR="00A60A10" w:rsidRDefault="00A60A10" w:rsidP="00A60A10"/>
    <w:p w:rsidR="00F008BE" w:rsidRDefault="00F008BE"/>
    <w:sectPr w:rsidR="00F008BE" w:rsidSect="00A60A1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4C3" w:rsidRDefault="00B734C3">
      <w:pPr>
        <w:spacing w:line="240" w:lineRule="auto"/>
      </w:pPr>
      <w:r>
        <w:separator/>
      </w:r>
    </w:p>
  </w:endnote>
  <w:endnote w:type="continuationSeparator" w:id="0">
    <w:p w:rsidR="00B734C3" w:rsidRDefault="00B734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26850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32DD" w:rsidRDefault="00A60A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67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32DD" w:rsidRDefault="00B734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4C3" w:rsidRDefault="00B734C3">
      <w:pPr>
        <w:spacing w:line="240" w:lineRule="auto"/>
      </w:pPr>
      <w:r>
        <w:separator/>
      </w:r>
    </w:p>
  </w:footnote>
  <w:footnote w:type="continuationSeparator" w:id="0">
    <w:p w:rsidR="00B734C3" w:rsidRDefault="00B734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60A10"/>
    <w:rsid w:val="00026427"/>
    <w:rsid w:val="00283642"/>
    <w:rsid w:val="002F6768"/>
    <w:rsid w:val="003712D7"/>
    <w:rsid w:val="003A7FBB"/>
    <w:rsid w:val="00653363"/>
    <w:rsid w:val="007044C1"/>
    <w:rsid w:val="008E59A2"/>
    <w:rsid w:val="00A60A10"/>
    <w:rsid w:val="00B734C3"/>
    <w:rsid w:val="00C21D25"/>
    <w:rsid w:val="00C35247"/>
    <w:rsid w:val="00F008BE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A10"/>
    <w:pPr>
      <w:spacing w:after="0"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1E3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asciiTheme="minorHAnsi" w:eastAsia="Times New Roman" w:hAnsiTheme="minorHAnsi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 w:line="240" w:lineRule="auto"/>
    </w:pPr>
    <w:rPr>
      <w:rFonts w:asciiTheme="minorHAnsi" w:hAnsiTheme="minorHAnsi"/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rFonts w:asciiTheme="minorHAnsi" w:hAnsiTheme="minorHAnsi"/>
      <w:i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4472C4" w:themeColor="accent1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asciiTheme="minorHAnsi" w:eastAsia="Cambria" w:hAnsiTheme="minorHAnsi"/>
      <w:sz w:val="22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  <w:style w:type="paragraph" w:styleId="Footer">
    <w:name w:val="footer"/>
    <w:basedOn w:val="Normal"/>
    <w:link w:val="FooterChar"/>
    <w:uiPriority w:val="99"/>
    <w:unhideWhenUsed/>
    <w:rsid w:val="00A60A1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A10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A10"/>
    <w:pPr>
      <w:spacing w:after="0"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1E3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asciiTheme="minorHAnsi" w:eastAsia="Times New Roman" w:hAnsiTheme="minorHAnsi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 w:line="240" w:lineRule="auto"/>
    </w:pPr>
    <w:rPr>
      <w:rFonts w:asciiTheme="minorHAnsi" w:hAnsiTheme="minorHAnsi"/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rFonts w:asciiTheme="minorHAnsi" w:hAnsiTheme="minorHAnsi"/>
      <w:i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4472C4" w:themeColor="accent1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asciiTheme="minorHAnsi" w:eastAsia="Cambria" w:hAnsiTheme="minorHAnsi"/>
      <w:sz w:val="22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  <w:style w:type="paragraph" w:styleId="Footer">
    <w:name w:val="footer"/>
    <w:basedOn w:val="Normal"/>
    <w:link w:val="FooterChar"/>
    <w:uiPriority w:val="99"/>
    <w:unhideWhenUsed/>
    <w:rsid w:val="00A60A1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A1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2061</Characters>
  <Application>Microsoft Office Word</Application>
  <DocSecurity>0</DocSecurity>
  <Lines>206</Lines>
  <Paragraphs>124</Paragraphs>
  <ScaleCrop>false</ScaleCrop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2</cp:revision>
  <dcterms:created xsi:type="dcterms:W3CDTF">2021-09-09T06:09:00Z</dcterms:created>
  <dcterms:modified xsi:type="dcterms:W3CDTF">2021-09-09T06:16:00Z</dcterms:modified>
</cp:coreProperties>
</file>