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F2" w:rsidRPr="00C313F2" w:rsidRDefault="00C313F2" w:rsidP="00C313F2">
      <w:pPr>
        <w:widowControl/>
        <w:spacing w:after="160" w:line="360" w:lineRule="auto"/>
        <w:outlineLvl w:val="0"/>
        <w:rPr>
          <w:rFonts w:ascii="Arial" w:eastAsia="Calibri" w:hAnsi="Arial" w:cs="Arial"/>
          <w:b/>
          <w:kern w:val="0"/>
          <w:sz w:val="24"/>
          <w:szCs w:val="24"/>
          <w:lang w:val="en-AU"/>
        </w:rPr>
      </w:pPr>
      <w:r w:rsidRPr="00C313F2">
        <w:rPr>
          <w:rFonts w:ascii="Arial" w:eastAsia="Calibri" w:hAnsi="Arial" w:cs="Arial"/>
          <w:b/>
          <w:kern w:val="0"/>
          <w:sz w:val="24"/>
          <w:szCs w:val="24"/>
          <w:lang w:val="en-AU"/>
        </w:rPr>
        <w:t>Supplementary Table 1: Baseline characteristics of included and excluded patients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4"/>
        <w:gridCol w:w="2243"/>
        <w:gridCol w:w="589"/>
        <w:gridCol w:w="588"/>
        <w:gridCol w:w="588"/>
        <w:gridCol w:w="1638"/>
        <w:gridCol w:w="1634"/>
        <w:gridCol w:w="1770"/>
        <w:gridCol w:w="962"/>
      </w:tblGrid>
      <w:tr w:rsidR="00C313F2" w:rsidRPr="00C313F2" w:rsidTr="00C313F2">
        <w:tc>
          <w:tcPr>
            <w:tcW w:w="0" w:type="auto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Bivariate </w:t>
            </w:r>
          </w:p>
        </w:tc>
        <w:tc>
          <w:tcPr>
            <w:tcW w:w="0" w:type="auto"/>
            <w:gridSpan w:val="3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Univariate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C313F2" w:rsidRPr="00C313F2" w:rsidTr="00C313F2">
        <w:tc>
          <w:tcPr>
            <w:tcW w:w="0" w:type="auto"/>
            <w:tcBorders>
              <w:bottom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Study sample N= 19795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Excluded sample </w:t>
            </w:r>
          </w:p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N= 17018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OR (95% CI) of study sample compared to excluded </w:t>
            </w:r>
            <w:proofErr w:type="spellStart"/>
            <w:r w:rsidRPr="00C313F2">
              <w:rPr>
                <w:rFonts w:ascii="Arial" w:eastAsia="Calibri" w:hAnsi="Arial" w:cs="Arial"/>
                <w:sz w:val="24"/>
                <w:szCs w:val="24"/>
              </w:rPr>
              <w:t>sample</w:t>
            </w:r>
            <w:r w:rsidRPr="00C313F2">
              <w:rPr>
                <w:rFonts w:ascii="Arial" w:eastAsia="Calibri" w:hAnsi="Arial" w:cs="Arial"/>
                <w:sz w:val="24"/>
                <w:szCs w:val="24"/>
                <w:vertAlign w:val="superscript"/>
              </w:rPr>
              <w:t>a</w:t>
            </w:r>
            <w:proofErr w:type="spellEnd"/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  <w:tcBorders>
              <w:bottom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P-value</w:t>
            </w:r>
          </w:p>
        </w:tc>
      </w:tr>
      <w:tr w:rsidR="00C313F2" w:rsidRPr="00C313F2" w:rsidTr="00C313F2">
        <w:tc>
          <w:tcPr>
            <w:tcW w:w="0" w:type="auto"/>
            <w:tcBorders>
              <w:top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Age in years (mean, SD)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63.6 (1.3)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61.3 (1.1)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0.99 (0.96-1.02)</w:t>
            </w:r>
          </w:p>
        </w:tc>
        <w:tc>
          <w:tcPr>
            <w:tcW w:w="0" w:type="auto"/>
            <w:tcBorders>
              <w:top w:val="single" w:sz="6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0.31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Male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44.7% (8822)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46.9% (7972)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0.91 (0.75-1.11)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0.34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Female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55.3% (10936)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53.1% (9039)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Ethnicity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Aboriginal or Torres Strait Islander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0.6% (127)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2.0% (341)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0.37 (0.07-1.91)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0.22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Other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99.4% (19668)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98.0% (16677)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Cardiovascular (CVD) risk</w:t>
            </w: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High CVD risk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10.5% (2080)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11.2% (1911)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0.84 (0.61-1.15)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0.25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Established CVD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12.2% (2407)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9.4% (1594)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1.19 (0.90-1.57)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0.45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Low/moderate risk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41.4% (8191)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44.8% (7622)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1.00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Complete risk factor data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51.9% (10271)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56.0% (9533)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0.89 (0.42-1.89)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0.88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Target blood pressure (BP)</w:t>
            </w: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Target BP achieved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49.1% (9716)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47.2% (8039)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0.91 (0.63-1.33)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0.61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Target blood lipids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Total cholesterol &lt; 4.0 </w:t>
            </w:r>
            <w:proofErr w:type="spellStart"/>
            <w:r w:rsidRPr="00C313F2">
              <w:rPr>
                <w:rFonts w:ascii="Arial" w:eastAsia="Calibri" w:hAnsi="Arial" w:cs="Arial"/>
                <w:sz w:val="24"/>
                <w:szCs w:val="24"/>
              </w:rPr>
              <w:t>mmol</w:t>
            </w:r>
            <w:proofErr w:type="spellEnd"/>
            <w:r w:rsidRPr="00C313F2">
              <w:rPr>
                <w:rFonts w:ascii="Arial" w:eastAsia="Calibri" w:hAnsi="Arial" w:cs="Arial"/>
                <w:sz w:val="24"/>
                <w:szCs w:val="24"/>
              </w:rPr>
              <w:t>/L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ind w:left="-744" w:firstLine="744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12.6% (2486)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13.8% (2350)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0.98 (0.72-1.33)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0.88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LDL cholesterol &lt; 2.0 </w:t>
            </w:r>
            <w:proofErr w:type="spellStart"/>
            <w:r w:rsidRPr="00C313F2">
              <w:rPr>
                <w:rFonts w:ascii="Arial" w:eastAsia="Calibri" w:hAnsi="Arial" w:cs="Arial"/>
                <w:sz w:val="24"/>
                <w:szCs w:val="24"/>
              </w:rPr>
              <w:t>mmol</w:t>
            </w:r>
            <w:proofErr w:type="spellEnd"/>
            <w:r w:rsidRPr="00C313F2">
              <w:rPr>
                <w:rFonts w:ascii="Arial" w:eastAsia="Calibri" w:hAnsi="Arial" w:cs="Arial"/>
                <w:sz w:val="24"/>
                <w:szCs w:val="24"/>
              </w:rPr>
              <w:t>/L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15.4% (3045)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23.8% (4057)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0.63 (0.35-1.14)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0.12</w:t>
            </w:r>
          </w:p>
        </w:tc>
      </w:tr>
      <w:tr w:rsidR="00C313F2" w:rsidRPr="00C313F2" w:rsidTr="00C313F2"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jc w:val="left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HDL cholesterol &gt; 1.0 </w:t>
            </w:r>
            <w:proofErr w:type="spellStart"/>
            <w:r w:rsidRPr="00C313F2">
              <w:rPr>
                <w:rFonts w:ascii="Arial" w:eastAsia="Calibri" w:hAnsi="Arial" w:cs="Arial"/>
                <w:sz w:val="24"/>
                <w:szCs w:val="24"/>
              </w:rPr>
              <w:t>mmol</w:t>
            </w:r>
            <w:proofErr w:type="spellEnd"/>
            <w:r w:rsidRPr="00C313F2">
              <w:rPr>
                <w:rFonts w:ascii="Arial" w:eastAsia="Calibri" w:hAnsi="Arial" w:cs="Arial"/>
                <w:sz w:val="24"/>
                <w:szCs w:val="24"/>
              </w:rPr>
              <w:t>/L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53.2% (10529)</w:t>
            </w:r>
          </w:p>
        </w:tc>
        <w:tc>
          <w:tcPr>
            <w:tcW w:w="0" w:type="auto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53.2% (9061)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2.25 (1.36-3.73)</w:t>
            </w:r>
          </w:p>
        </w:tc>
        <w:tc>
          <w:tcPr>
            <w:tcW w:w="0" w:type="auto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>&lt;0.01</w:t>
            </w:r>
          </w:p>
        </w:tc>
      </w:tr>
      <w:tr w:rsidR="00C313F2" w:rsidRPr="00C313F2" w:rsidTr="00C313F2">
        <w:tc>
          <w:tcPr>
            <w:tcW w:w="0" w:type="auto"/>
            <w:tcBorders>
              <w:bottom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bottom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</w:p>
        </w:tc>
      </w:tr>
    </w:tbl>
    <w:p w:rsidR="00C313F2" w:rsidRPr="00C313F2" w:rsidRDefault="00C313F2" w:rsidP="00C313F2">
      <w:pPr>
        <w:widowControl/>
        <w:spacing w:after="160" w:line="360" w:lineRule="auto"/>
        <w:rPr>
          <w:rFonts w:ascii="Arial" w:eastAsia="Calibri" w:hAnsi="Arial" w:cs="Arial"/>
          <w:kern w:val="0"/>
          <w:sz w:val="24"/>
          <w:szCs w:val="24"/>
          <w:lang w:val="en-AU"/>
        </w:rPr>
      </w:pPr>
    </w:p>
    <w:p w:rsidR="00C313F2" w:rsidRPr="00C313F2" w:rsidRDefault="00C313F2" w:rsidP="00C313F2">
      <w:pPr>
        <w:widowControl/>
        <w:spacing w:after="160" w:line="360" w:lineRule="auto"/>
        <w:rPr>
          <w:rFonts w:ascii="Arial" w:eastAsia="Calibri" w:hAnsi="Arial" w:cs="Arial"/>
          <w:kern w:val="0"/>
          <w:sz w:val="24"/>
          <w:szCs w:val="24"/>
          <w:lang w:val="en-AU"/>
        </w:rPr>
      </w:pPr>
      <w:r w:rsidRPr="00C313F2">
        <w:rPr>
          <w:rFonts w:ascii="Arial" w:eastAsia="Calibri" w:hAnsi="Arial" w:cs="Arial"/>
          <w:kern w:val="0"/>
          <w:sz w:val="24"/>
          <w:szCs w:val="24"/>
          <w:lang w:val="en-AU"/>
        </w:rPr>
        <w:t>A</w:t>
      </w:r>
      <w:r w:rsidRPr="00C313F2">
        <w:rPr>
          <w:rFonts w:ascii="Arial" w:eastAsia="Calibri" w:hAnsi="Arial" w:cs="Arial"/>
          <w:kern w:val="0"/>
          <w:sz w:val="24"/>
          <w:szCs w:val="24"/>
          <w:lang w:val="en-AU"/>
        </w:rPr>
        <w:tab/>
        <w:t xml:space="preserve">Univariate analyses were adjusted for gender, age and ethnicity. </w:t>
      </w:r>
    </w:p>
    <w:p w:rsidR="00C313F2" w:rsidRPr="00C313F2" w:rsidRDefault="00C313F2" w:rsidP="00C313F2">
      <w:pPr>
        <w:widowControl/>
        <w:spacing w:after="160" w:line="360" w:lineRule="auto"/>
        <w:rPr>
          <w:rFonts w:ascii="Arial" w:eastAsia="Calibri" w:hAnsi="Arial" w:cs="Arial"/>
          <w:kern w:val="0"/>
          <w:sz w:val="24"/>
          <w:szCs w:val="24"/>
          <w:lang w:val="en-AU"/>
        </w:rPr>
      </w:pPr>
      <w:r w:rsidRPr="00C313F2">
        <w:rPr>
          <w:rFonts w:ascii="Arial" w:eastAsia="Calibri" w:hAnsi="Arial" w:cs="Arial"/>
          <w:kern w:val="0"/>
          <w:sz w:val="24"/>
          <w:szCs w:val="24"/>
          <w:lang w:val="en-AU"/>
        </w:rPr>
        <w:br w:type="page"/>
      </w:r>
    </w:p>
    <w:p w:rsidR="00C313F2" w:rsidRPr="00C313F2" w:rsidRDefault="00C313F2" w:rsidP="00C313F2">
      <w:pPr>
        <w:widowControl/>
        <w:spacing w:after="160" w:line="257" w:lineRule="auto"/>
        <w:rPr>
          <w:rFonts w:ascii="Arial" w:eastAsia="Arial" w:hAnsi="Arial" w:cs="Arial"/>
          <w:b/>
          <w:bCs/>
          <w:kern w:val="0"/>
          <w:sz w:val="24"/>
          <w:szCs w:val="24"/>
          <w:lang w:val="en-AU"/>
        </w:rPr>
      </w:pPr>
      <w:r w:rsidRPr="00C313F2">
        <w:rPr>
          <w:rFonts w:ascii="Arial" w:eastAsia="Arial" w:hAnsi="Arial" w:cs="Arial"/>
          <w:b/>
          <w:bCs/>
          <w:kern w:val="0"/>
          <w:sz w:val="24"/>
          <w:szCs w:val="24"/>
          <w:lang w:val="en-AU"/>
        </w:rPr>
        <w:lastRenderedPageBreak/>
        <w:t xml:space="preserve">Supplementary Table 2: Pre- and post-intervention characteristics of 4 sample practices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76"/>
        <w:gridCol w:w="1418"/>
        <w:gridCol w:w="1125"/>
        <w:gridCol w:w="1275"/>
        <w:gridCol w:w="1140"/>
        <w:gridCol w:w="1279"/>
        <w:gridCol w:w="1276"/>
        <w:gridCol w:w="1285"/>
      </w:tblGrid>
      <w:tr w:rsidR="00C313F2" w:rsidRPr="00C313F2" w:rsidTr="00212907">
        <w:trPr>
          <w:trHeight w:val="120"/>
        </w:trPr>
        <w:tc>
          <w:tcPr>
            <w:tcW w:w="1701" w:type="dxa"/>
            <w:vMerge w:val="restart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  <w:gridSpan w:val="2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Practice 1</w:t>
            </w:r>
          </w:p>
        </w:tc>
        <w:tc>
          <w:tcPr>
            <w:tcW w:w="2400" w:type="dxa"/>
            <w:gridSpan w:val="2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Practice 2</w:t>
            </w:r>
          </w:p>
        </w:tc>
        <w:tc>
          <w:tcPr>
            <w:tcW w:w="2419" w:type="dxa"/>
            <w:gridSpan w:val="2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Practice 3</w:t>
            </w:r>
          </w:p>
        </w:tc>
        <w:tc>
          <w:tcPr>
            <w:tcW w:w="2561" w:type="dxa"/>
            <w:gridSpan w:val="2"/>
            <w:tcBorders>
              <w:top w:val="single" w:sz="24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Practice 4</w:t>
            </w:r>
          </w:p>
        </w:tc>
      </w:tr>
      <w:tr w:rsidR="00C313F2" w:rsidRPr="00C313F2" w:rsidTr="00212907">
        <w:trPr>
          <w:trHeight w:val="120"/>
        </w:trPr>
        <w:tc>
          <w:tcPr>
            <w:tcW w:w="1701" w:type="dxa"/>
            <w:vMerge/>
            <w:vAlign w:val="center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Post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Post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Post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Post</w:t>
            </w:r>
          </w:p>
        </w:tc>
      </w:tr>
      <w:tr w:rsidR="00C313F2" w:rsidRPr="00C313F2" w:rsidTr="00212907">
        <w:tc>
          <w:tcPr>
            <w:tcW w:w="1701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In scope pts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2053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1975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736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712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187</w:t>
            </w:r>
          </w:p>
        </w:tc>
        <w:tc>
          <w:tcPr>
            <w:tcW w:w="1279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174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2019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2165</w:t>
            </w:r>
          </w:p>
        </w:tc>
      </w:tr>
      <w:tr w:rsidR="00C313F2" w:rsidRPr="00C313F2" w:rsidTr="00212907">
        <w:tc>
          <w:tcPr>
            <w:tcW w:w="1701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  <w:tcBorders>
              <w:top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2977" w:type="dxa"/>
            <w:gridSpan w:val="2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Risk factor assessment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Blood </w:t>
            </w:r>
            <w:proofErr w:type="spellStart"/>
            <w:r w:rsidRPr="00C313F2">
              <w:rPr>
                <w:rFonts w:ascii="Arial" w:eastAsia="Arial" w:hAnsi="Arial" w:cs="Arial"/>
                <w:sz w:val="20"/>
                <w:szCs w:val="20"/>
              </w:rPr>
              <w:t>pressure</w:t>
            </w:r>
            <w:r w:rsidRPr="00C313F2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46.3 (951)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54.0* (1066)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92.0 (677)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93.7 (667)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98.9 (185)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97.7 (170)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89.6 (1809)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87.6 (1897)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Blood </w:t>
            </w:r>
            <w:proofErr w:type="spellStart"/>
            <w:r w:rsidRPr="00C313F2">
              <w:rPr>
                <w:rFonts w:ascii="Arial" w:eastAsia="Arial" w:hAnsi="Arial" w:cs="Arial"/>
                <w:sz w:val="20"/>
                <w:szCs w:val="20"/>
              </w:rPr>
              <w:t>lipids</w:t>
            </w:r>
            <w:r w:rsidRPr="00C313F2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62.2 (1276)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73.4* (1444)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91.6 (674)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94.2 (671)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88.8 (166)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92.0 (160)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71.4 (1442)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70.6 (1528)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proofErr w:type="spellStart"/>
            <w:r w:rsidRPr="00C313F2">
              <w:rPr>
                <w:rFonts w:ascii="Arial" w:eastAsia="Arial" w:hAnsi="Arial" w:cs="Arial"/>
                <w:sz w:val="20"/>
                <w:szCs w:val="20"/>
              </w:rPr>
              <w:t>BMI</w:t>
            </w:r>
            <w:r w:rsidRPr="00C313F2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10.5 (115)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18.0 (320)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81.8 (602)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91.7* (653)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94.7 (177)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96.6 (168)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84.2 (1699)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81.8 (1771)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Waist</w:t>
            </w:r>
            <w:r w:rsidRPr="00C313F2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 xml:space="preserve"> </w:t>
            </w:r>
            <w:proofErr w:type="spellStart"/>
            <w:r w:rsidRPr="00C313F2">
              <w:rPr>
                <w:rFonts w:ascii="Arial" w:eastAsia="Arial" w:hAnsi="Arial" w:cs="Arial"/>
                <w:sz w:val="20"/>
                <w:szCs w:val="20"/>
              </w:rPr>
              <w:t>circumference</w:t>
            </w:r>
            <w:r w:rsidRPr="00C313F2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0.7 (15)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18.5* (366)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32.2 (237)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69.8* (497)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6.4 (12)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25.3* (143)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57.2 (1154)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51.8 (1121)</w:t>
            </w:r>
          </w:p>
        </w:tc>
        <w:bookmarkStart w:id="0" w:name="_GoBack"/>
        <w:bookmarkEnd w:id="0"/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Smoking </w:t>
            </w:r>
            <w:proofErr w:type="spellStart"/>
            <w:r w:rsidRPr="00C313F2">
              <w:rPr>
                <w:rFonts w:ascii="Arial" w:eastAsia="Arial" w:hAnsi="Arial" w:cs="Arial"/>
                <w:sz w:val="20"/>
                <w:szCs w:val="20"/>
              </w:rPr>
              <w:t>status</w:t>
            </w:r>
            <w:r w:rsidRPr="00C313F2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71.2 (1461)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69.8 (1221)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73.8 (543)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73.2 (521)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63.2 (119)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65.9 (114)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72.1 (1455)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71.8 (1555)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BMI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Underweight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0.5 (11)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0.6 (12)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4.5 (33)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4.6 (33)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7.0 (13)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6.3 (11)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5.2 (105)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5.2 (117)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Healthy weight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4.3 (88)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5.4 (106)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25.4 (187)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29.1 (207)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27.8 (52)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25.3 (44)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33.3 (672)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32.7 (708)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Overweight/obese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7.9 (163)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9.8 (193)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34.4 (253)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33.8 (241)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32.6 (61)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36.8 (64)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33.7 (681)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33.4 (724)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Not assessed/missin</w:t>
            </w:r>
            <w:r w:rsidRPr="00C313F2">
              <w:rPr>
                <w:rFonts w:ascii="Arial" w:eastAsia="Arial" w:hAnsi="Arial" w:cs="Arial"/>
                <w:sz w:val="20"/>
                <w:szCs w:val="20"/>
              </w:rPr>
              <w:lastRenderedPageBreak/>
              <w:t>g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lastRenderedPageBreak/>
              <w:t>87.2 (1791)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84.3 (1664)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35.7 (263)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32.4 (231)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32.6 (61)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31.6 (55)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27.8 (561)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28.5 (616)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2977" w:type="dxa"/>
            <w:gridSpan w:val="2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Waist circumference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Normal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0.5 (10)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0.7 (13)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5.2 (38)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12.9 (92)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15.0 (28)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15.5 (27)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22.4 (453)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22.6 (490)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At </w:t>
            </w:r>
            <w:proofErr w:type="spellStart"/>
            <w:r w:rsidRPr="00C313F2">
              <w:rPr>
                <w:rFonts w:ascii="Arial" w:eastAsia="Arial" w:hAnsi="Arial" w:cs="Arial"/>
                <w:sz w:val="20"/>
                <w:szCs w:val="20"/>
              </w:rPr>
              <w:t>risk</w:t>
            </w:r>
            <w:r w:rsidRPr="00C313F2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1.1 (23)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2.0 (40)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47.7 (351)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17.1 (122)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48.7 (91)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17.8 (31)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23.3 (471)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21.0 (454)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Smoking status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Never smoker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48.6 (997)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47.4 (937)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57.2 (421)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57.0 (406)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61.5 (115)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60.3 (105)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48.1 (971)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49.2 (1066)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Current smoker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11.1 (228)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11.9 (235)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26.8 (197)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29.2 (208)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19.3 (36)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20.7 (36)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38.7 (781)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37.3 (808)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Ex-smoker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18.2 (373)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17.9 (353)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11.7 (86)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11.0 (78)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17.1 (32)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16.7 (29)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12.7 (257)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12.7 (275)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Missing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22.2 (453)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22.8 (450)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4.3 (32)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2.8 (20)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2.1 (4)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2.3 (4)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0.5 (10)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0.7 (16)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2977" w:type="dxa"/>
            <w:gridSpan w:val="2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CVD risk estimation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Low/moderate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12.8 (262)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30.9 (610)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59.0 (434)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63.5 (452)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60.4 (113)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54.6 (95)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64.7 (1306)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66.5 (1440)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High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3.7 (76)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10.3 (203)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14.3 (105)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14.2 (101)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18.2 (34)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17.8 (31)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10.5 (212)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10.5 (227)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Established CVD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5.2 (106)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5.7 (113)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16.6 (122)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16.7 (119)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13.9 (26)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20.7 (36)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8.8 (178)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10.3 (224)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Insufficient data to assess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83.5 (1715)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58.8* (1162)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26.8 (197)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22.3 (159)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21.4 (40)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27.6 (48)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24.8 (501)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23.0 (498)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2977" w:type="dxa"/>
            <w:gridSpan w:val="2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CVD targets achieved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Blood pressure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78.5 (747)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67.5 (720)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87.1 (590)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83.1 (554)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58.4 (108)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49.4 (84)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72.8 (1317)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73.4 (1393)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Total cholesterol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13.5 (173)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15.6 (226)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32.5 (219)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30.6 (205)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21.1 (35)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20.6 (33)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14.3 (206)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15.6 (239)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LDL cholesterol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26.9 (343)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27.1 (392)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35.8 (241)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31.3 (210)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21.7 (36)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24.4 (39)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17.8 (257)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19.1 (292)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HDL cholesterol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70.1 (384)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73.2 (1062)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89.2 (601)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90.3 (606)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92.2 (153)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87.5 (140)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89.9 (1292)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90.3 (1380)</w:t>
            </w:r>
          </w:p>
        </w:tc>
      </w:tr>
      <w:tr w:rsidR="00C313F2" w:rsidRPr="00C313F2" w:rsidTr="00212907">
        <w:tc>
          <w:tcPr>
            <w:tcW w:w="1701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4395" w:type="dxa"/>
            <w:gridSpan w:val="3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Prescribed CVD risk-reducing medications</w:t>
            </w:r>
          </w:p>
        </w:tc>
        <w:tc>
          <w:tcPr>
            <w:tcW w:w="112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40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9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85" w:type="dxa"/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C313F2" w:rsidRPr="00C313F2" w:rsidTr="00212907">
        <w:tc>
          <w:tcPr>
            <w:tcW w:w="1701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Prescribed recommended risk-reducing </w:t>
            </w:r>
            <w:proofErr w:type="spellStart"/>
            <w:r w:rsidRPr="00C313F2">
              <w:rPr>
                <w:rFonts w:ascii="Arial" w:eastAsia="Arial" w:hAnsi="Arial" w:cs="Arial"/>
                <w:sz w:val="20"/>
                <w:szCs w:val="20"/>
              </w:rPr>
              <w:t>medication</w:t>
            </w:r>
            <w:r w:rsidRPr="00C313F2">
              <w:rPr>
                <w:rFonts w:ascii="Arial" w:eastAsia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51.3 (39)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53.7 (109)</w:t>
            </w:r>
          </w:p>
        </w:tc>
        <w:tc>
          <w:tcPr>
            <w:tcW w:w="1125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53.3 (56)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51.5 (52)</w:t>
            </w:r>
          </w:p>
        </w:tc>
        <w:tc>
          <w:tcPr>
            <w:tcW w:w="1140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47.1 (16)</w:t>
            </w:r>
          </w:p>
        </w:tc>
        <w:tc>
          <w:tcPr>
            <w:tcW w:w="1279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54.8 (17)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46.7 (99)</w:t>
            </w:r>
          </w:p>
        </w:tc>
        <w:tc>
          <w:tcPr>
            <w:tcW w:w="1285" w:type="dxa"/>
            <w:tcBorders>
              <w:bottom w:val="single" w:sz="12" w:space="0" w:color="auto"/>
            </w:tcBorders>
          </w:tcPr>
          <w:p w:rsidR="00C313F2" w:rsidRPr="00C313F2" w:rsidRDefault="00C313F2" w:rsidP="00C313F2">
            <w:pPr>
              <w:widowControl/>
              <w:spacing w:line="360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C313F2">
              <w:rPr>
                <w:rFonts w:ascii="Arial" w:eastAsia="Arial" w:hAnsi="Arial" w:cs="Arial"/>
                <w:sz w:val="20"/>
                <w:szCs w:val="20"/>
              </w:rPr>
              <w:t>46.3 (105)</w:t>
            </w:r>
          </w:p>
        </w:tc>
      </w:tr>
    </w:tbl>
    <w:p w:rsidR="00C313F2" w:rsidRPr="00C313F2" w:rsidRDefault="00C313F2" w:rsidP="00C313F2">
      <w:pPr>
        <w:widowControl/>
        <w:jc w:val="left"/>
        <w:rPr>
          <w:rFonts w:ascii="Calibri" w:eastAsia="Calibri" w:hAnsi="Calibri" w:cs="Times New Roman"/>
          <w:kern w:val="0"/>
          <w:sz w:val="22"/>
          <w:lang w:val="en-AU"/>
        </w:rPr>
      </w:pPr>
      <w:r w:rsidRPr="00C313F2">
        <w:rPr>
          <w:rFonts w:ascii="Calibri" w:eastAsia="Calibri" w:hAnsi="Calibri" w:cs="Times New Roman"/>
          <w:kern w:val="0"/>
          <w:sz w:val="22"/>
          <w:lang w:val="en-AU"/>
        </w:rPr>
        <w:t xml:space="preserve"> </w:t>
      </w:r>
    </w:p>
    <w:p w:rsidR="00C313F2" w:rsidRPr="00C313F2" w:rsidRDefault="00C313F2" w:rsidP="00C313F2">
      <w:pPr>
        <w:widowControl/>
        <w:jc w:val="left"/>
        <w:rPr>
          <w:rFonts w:ascii="Calibri" w:eastAsia="Calibri" w:hAnsi="Calibri" w:cs="Times New Roman"/>
          <w:kern w:val="0"/>
          <w:sz w:val="22"/>
          <w:lang w:val="en-AU"/>
        </w:rPr>
      </w:pPr>
      <w:proofErr w:type="gramStart"/>
      <w:r w:rsidRPr="00C313F2">
        <w:rPr>
          <w:rFonts w:ascii="Calibri" w:eastAsia="Calibri" w:hAnsi="Calibri" w:cs="Times New Roman"/>
          <w:kern w:val="0"/>
          <w:sz w:val="22"/>
          <w:lang w:val="en-AU"/>
        </w:rPr>
        <w:t>A</w:t>
      </w:r>
      <w:proofErr w:type="gramEnd"/>
      <w:r w:rsidRPr="00C313F2">
        <w:rPr>
          <w:rFonts w:ascii="Calibri" w:eastAsia="Calibri" w:hAnsi="Calibri" w:cs="Times New Roman"/>
          <w:kern w:val="0"/>
          <w:sz w:val="22"/>
          <w:lang w:val="en-AU"/>
        </w:rPr>
        <w:tab/>
        <w:t>Assessed in the past 12 months.</w:t>
      </w:r>
    </w:p>
    <w:p w:rsidR="00C313F2" w:rsidRPr="00C313F2" w:rsidRDefault="00C313F2" w:rsidP="00C313F2">
      <w:pPr>
        <w:widowControl/>
        <w:jc w:val="left"/>
        <w:rPr>
          <w:rFonts w:ascii="Calibri" w:eastAsia="Calibri" w:hAnsi="Calibri" w:cs="Times New Roman"/>
          <w:kern w:val="0"/>
          <w:sz w:val="22"/>
          <w:lang w:val="en-AU"/>
        </w:rPr>
      </w:pPr>
      <w:r w:rsidRPr="00C313F2">
        <w:rPr>
          <w:rFonts w:ascii="Calibri" w:eastAsia="Calibri" w:hAnsi="Calibri" w:cs="Times New Roman"/>
          <w:kern w:val="0"/>
          <w:sz w:val="22"/>
          <w:lang w:val="en-AU"/>
        </w:rPr>
        <w:t>B</w:t>
      </w:r>
      <w:r w:rsidRPr="00C313F2">
        <w:rPr>
          <w:rFonts w:ascii="Calibri" w:eastAsia="Calibri" w:hAnsi="Calibri" w:cs="Times New Roman"/>
          <w:kern w:val="0"/>
          <w:sz w:val="22"/>
          <w:lang w:val="en-AU"/>
        </w:rPr>
        <w:tab/>
        <w:t xml:space="preserve">Assessed in the past 2 years. </w:t>
      </w:r>
      <w:r w:rsidRPr="00C313F2">
        <w:rPr>
          <w:rFonts w:ascii="Calibri" w:eastAsia="Calibri" w:hAnsi="Calibri" w:cs="Times New Roman"/>
          <w:kern w:val="0"/>
          <w:sz w:val="22"/>
          <w:lang w:val="en-AU"/>
        </w:rPr>
        <w:tab/>
      </w:r>
    </w:p>
    <w:p w:rsidR="00C313F2" w:rsidRPr="00C313F2" w:rsidRDefault="00C313F2" w:rsidP="00C313F2">
      <w:pPr>
        <w:widowControl/>
        <w:jc w:val="left"/>
        <w:rPr>
          <w:rFonts w:ascii="Calibri" w:eastAsia="Calibri" w:hAnsi="Calibri" w:cs="Times New Roman"/>
          <w:kern w:val="0"/>
          <w:sz w:val="22"/>
          <w:lang w:val="en-AU"/>
        </w:rPr>
      </w:pPr>
      <w:proofErr w:type="gramStart"/>
      <w:r w:rsidRPr="00C313F2">
        <w:rPr>
          <w:rFonts w:ascii="Calibri" w:eastAsia="Calibri" w:hAnsi="Calibri" w:cs="Times New Roman"/>
          <w:kern w:val="0"/>
          <w:sz w:val="22"/>
          <w:lang w:val="en-AU"/>
        </w:rPr>
        <w:t>C</w:t>
      </w:r>
      <w:r w:rsidRPr="00C313F2">
        <w:rPr>
          <w:rFonts w:ascii="Calibri" w:eastAsia="Calibri" w:hAnsi="Calibri" w:cs="Times New Roman"/>
          <w:kern w:val="0"/>
          <w:sz w:val="22"/>
          <w:lang w:val="en-AU"/>
        </w:rPr>
        <w:tab/>
        <w:t>‘At risk’ waist circumference &gt;94cm for males and &gt; 80cm for females.</w:t>
      </w:r>
      <w:proofErr w:type="gramEnd"/>
      <w:r w:rsidRPr="00C313F2">
        <w:rPr>
          <w:rFonts w:ascii="Calibri" w:eastAsia="Calibri" w:hAnsi="Calibri" w:cs="Times New Roman"/>
          <w:kern w:val="0"/>
          <w:sz w:val="22"/>
          <w:lang w:val="en-AU"/>
        </w:rPr>
        <w:t xml:space="preserve"> </w:t>
      </w:r>
    </w:p>
    <w:p w:rsidR="00C313F2" w:rsidRPr="00C313F2" w:rsidRDefault="00C313F2" w:rsidP="00C313F2">
      <w:pPr>
        <w:widowControl/>
        <w:ind w:left="720" w:hanging="720"/>
        <w:jc w:val="left"/>
        <w:rPr>
          <w:rFonts w:ascii="Calibri" w:eastAsia="Calibri" w:hAnsi="Calibri" w:cs="Times New Roman"/>
          <w:kern w:val="0"/>
          <w:sz w:val="22"/>
          <w:lang w:val="en-AU"/>
        </w:rPr>
      </w:pPr>
      <w:r w:rsidRPr="00C313F2">
        <w:rPr>
          <w:rFonts w:ascii="Calibri" w:eastAsia="Calibri" w:hAnsi="Calibri" w:cs="Times New Roman"/>
          <w:kern w:val="0"/>
          <w:sz w:val="22"/>
          <w:lang w:val="en-AU"/>
        </w:rPr>
        <w:t>D</w:t>
      </w:r>
      <w:r w:rsidRPr="00C313F2">
        <w:rPr>
          <w:rFonts w:ascii="Calibri" w:eastAsia="Calibri" w:hAnsi="Calibri" w:cs="Times New Roman"/>
          <w:kern w:val="0"/>
          <w:sz w:val="22"/>
          <w:lang w:val="en-AU"/>
        </w:rPr>
        <w:tab/>
        <w:t xml:space="preserve">Guideline-recommended treatment was defined as (1) </w:t>
      </w:r>
      <w:proofErr w:type="gramStart"/>
      <w:r w:rsidRPr="00C313F2">
        <w:rPr>
          <w:rFonts w:ascii="Calibri" w:eastAsia="Calibri" w:hAnsi="Calibri" w:cs="Times New Roman"/>
          <w:kern w:val="0"/>
          <w:sz w:val="22"/>
          <w:lang w:val="en-AU"/>
        </w:rPr>
        <w:t>For</w:t>
      </w:r>
      <w:proofErr w:type="gramEnd"/>
      <w:r w:rsidRPr="00C313F2">
        <w:rPr>
          <w:rFonts w:ascii="Calibri" w:eastAsia="Calibri" w:hAnsi="Calibri" w:cs="Times New Roman"/>
          <w:kern w:val="0"/>
          <w:sz w:val="22"/>
          <w:lang w:val="en-AU"/>
        </w:rPr>
        <w:t xml:space="preserve"> high-risk patients the prescription of a BP-lowering medication and a statin; [5] for patients with established CVD, prescription of a BP-lowering medication, a statin and either an antiplatelet or an anticoagulant agent (see Appendix A for specific medications).</w:t>
      </w:r>
    </w:p>
    <w:p w:rsidR="00C313F2" w:rsidRPr="00C313F2" w:rsidRDefault="00C313F2" w:rsidP="00C313F2">
      <w:pPr>
        <w:widowControl/>
        <w:spacing w:after="160" w:line="360" w:lineRule="auto"/>
        <w:rPr>
          <w:rFonts w:ascii="Calibri" w:eastAsia="Calibri" w:hAnsi="Calibri" w:cs="Calibri"/>
          <w:kern w:val="0"/>
          <w:sz w:val="22"/>
          <w:lang w:val="en-AU"/>
        </w:rPr>
      </w:pPr>
      <w:r w:rsidRPr="00C313F2">
        <w:rPr>
          <w:rFonts w:ascii="Calibri" w:eastAsia="Calibri" w:hAnsi="Calibri" w:cs="Calibri"/>
          <w:kern w:val="0"/>
          <w:sz w:val="22"/>
          <w:lang w:val="en-AU"/>
        </w:rPr>
        <w:t>*</w:t>
      </w:r>
      <w:r w:rsidRPr="00C313F2">
        <w:rPr>
          <w:rFonts w:ascii="Calibri" w:eastAsia="Calibri" w:hAnsi="Calibri" w:cs="Calibri"/>
          <w:kern w:val="0"/>
          <w:sz w:val="22"/>
          <w:lang w:val="en-AU"/>
        </w:rPr>
        <w:tab/>
        <w:t xml:space="preserve">Statistically significant (p&lt;0.05) between baseline and follow-up. </w:t>
      </w:r>
    </w:p>
    <w:p w:rsidR="003D03B8" w:rsidRDefault="003D03B8"/>
    <w:sectPr w:rsidR="003D03B8" w:rsidSect="00C313F2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F2"/>
    <w:rsid w:val="003D03B8"/>
    <w:rsid w:val="003D1127"/>
    <w:rsid w:val="00C313F2"/>
    <w:rsid w:val="00CA3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table" w:styleId="TableGrid">
    <w:name w:val="Table Grid"/>
    <w:basedOn w:val="TableNormal"/>
    <w:uiPriority w:val="39"/>
    <w:rsid w:val="00C313F2"/>
    <w:rPr>
      <w:kern w:val="0"/>
      <w:sz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1"/>
        <w:szCs w:val="22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6A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36A6"/>
    <w:pPr>
      <w:ind w:firstLineChars="200" w:firstLine="420"/>
    </w:pPr>
  </w:style>
  <w:style w:type="table" w:styleId="TableGrid">
    <w:name w:val="Table Grid"/>
    <w:basedOn w:val="TableNormal"/>
    <w:uiPriority w:val="39"/>
    <w:rsid w:val="00C313F2"/>
    <w:rPr>
      <w:kern w:val="0"/>
      <w:sz w:val="22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738</Words>
  <Characters>4216</Characters>
  <Application>Microsoft Office Word</Application>
  <DocSecurity>0</DocSecurity>
  <Lines>150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MLAPINIG</dc:creator>
  <cp:lastModifiedBy>MLAPINIG</cp:lastModifiedBy>
  <cp:revision>1</cp:revision>
  <dcterms:created xsi:type="dcterms:W3CDTF">2021-11-25T02:25:00Z</dcterms:created>
  <dcterms:modified xsi:type="dcterms:W3CDTF">2021-11-25T02:27:00Z</dcterms:modified>
</cp:coreProperties>
</file>