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2Ebene"/>
        <w:spacing w:after="0" w:line="480" w:lineRule="auto"/>
        <w:rPr>
          <w:sz w:val="24"/>
        </w:rPr>
      </w:pPr>
      <w:r>
        <w:rPr>
          <w:sz w:val="24"/>
        </w:rPr>
        <w:t>Supplementary material</w:t>
      </w:r>
    </w:p>
    <w:p>
      <w:pPr>
        <w:spacing w:after="240" w:line="240" w:lineRule="auto"/>
        <w:rPr>
          <w:rFonts w:ascii="Arial" w:eastAsia="SimSun" w:hAnsi="Arial" w:cs="Arial"/>
          <w:lang w:val="en-US"/>
        </w:rPr>
      </w:pPr>
      <w:r>
        <w:rPr>
          <w:rFonts w:ascii="Arial" w:hAnsi="Arial" w:cs="Arial"/>
          <w:lang w:val="en-US"/>
        </w:rPr>
        <w:t>Table S1</w:t>
      </w:r>
      <w:r>
        <w:rPr>
          <w:rFonts w:ascii="Arial" w:eastAsia="SimSun" w:hAnsi="Arial" w:cs="Arial"/>
          <w:lang w:val="en-US"/>
        </w:rPr>
        <w:t>: Anatomical Therapeutic Chemical classifications with their defined daily dose (N), revenue (Euro), weighted average price (Euro) by patent status between 1/2017 and 2/2019</w:t>
      </w:r>
    </w:p>
    <w:p>
      <w:pPr>
        <w:spacing w:after="240" w:line="240" w:lineRule="auto"/>
        <w:rPr>
          <w:rFonts w:ascii="Arial" w:eastAsia="SimSun" w:hAnsi="Arial" w:cs="Arial"/>
          <w:lang w:val="en-US"/>
        </w:rPr>
      </w:pPr>
      <w:r>
        <w:rPr>
          <w:noProof/>
        </w:rPr>
        <w:drawing>
          <wp:inline distT="0" distB="0" distL="0" distR="0">
            <wp:extent cx="9972040" cy="320738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Table S2: Cost-savings (Euro, % of revenue) through the distribution of generic antiretroviral drugs between 1/2017 and 2/2019 </w:t>
      </w:r>
    </w:p>
    <w:p>
      <w:pPr>
        <w:spacing w:after="240" w:line="240" w:lineRule="auto"/>
        <w:rPr>
          <w:rFonts w:ascii="Arial" w:hAnsi="Arial" w:cs="Arial"/>
          <w:lang w:val="en-US"/>
        </w:rPr>
      </w:pPr>
      <w:r>
        <w:drawing>
          <wp:inline distT="0" distB="0" distL="0" distR="0">
            <wp:extent cx="9972040" cy="1631315"/>
            <wp:effectExtent l="0" t="0" r="0" b="698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line="240" w:lineRule="auto"/>
        <w:rPr>
          <w:rFonts w:ascii="Arial" w:hAnsi="Arial" w:cs="Arial"/>
          <w:lang w:val="en-US"/>
        </w:rPr>
      </w:pPr>
    </w:p>
    <w:p>
      <w:pPr>
        <w:spacing w:after="240" w:line="240" w:lineRule="auto"/>
        <w:rPr>
          <w:rFonts w:ascii="Arial" w:hAnsi="Arial" w:cs="Arial"/>
          <w:lang w:val="en-US"/>
        </w:rPr>
      </w:pPr>
    </w:p>
    <w:p>
      <w:pPr>
        <w:spacing w:after="24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Table S3: Potential cost-savings (Euro, % of revenue) through the maximum possible use of generic antiretroviral drugs between 1/2017 and 2/2019 </w:t>
      </w:r>
    </w:p>
    <w:p>
      <w:pPr>
        <w:spacing w:after="240" w:line="240" w:lineRule="auto"/>
        <w:rPr>
          <w:lang w:val="en-US"/>
        </w:rPr>
      </w:pPr>
      <w:r>
        <w:drawing>
          <wp:inline distT="0" distB="0" distL="0" distR="0">
            <wp:extent cx="9972040" cy="143637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Table S4: Potential cost-savings (Euro, % of revenue) through the splitting of single-tablet regimens and replacing all substance partners with generic antiretroviral drugs between 1/2017 and 2/2019 </w:t>
      </w:r>
    </w:p>
    <w:p>
      <w:pPr>
        <w:spacing w:after="240" w:line="240" w:lineRule="auto"/>
        <w:rPr>
          <w:rFonts w:ascii="Arial" w:hAnsi="Arial" w:cs="Arial"/>
          <w:sz w:val="20"/>
          <w:szCs w:val="20"/>
          <w:lang w:val="en-US"/>
        </w:rPr>
      </w:pPr>
      <w:r>
        <w:drawing>
          <wp:inline distT="0" distB="0" distL="0" distR="0">
            <wp:extent cx="9972040" cy="664845"/>
            <wp:effectExtent l="0" t="0" r="0" b="190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Table S5: Potential cost-savings (Euro, % of revenue) through replacing patented tenofovir alafenamide/emtricitabine with generic tenofovir disoproxil/emtricitabine between 1/2017 and 2/2019</w:t>
      </w:r>
    </w:p>
    <w:p>
      <w:pPr>
        <w:rPr>
          <w:lang w:val="en-US"/>
        </w:rPr>
      </w:pPr>
      <w:r>
        <w:drawing>
          <wp:inline distT="0" distB="0" distL="0" distR="0">
            <wp:extent cx="9972040" cy="55499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15F9D-8BA0-4D4E-8BCF-0B715FD7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Ebene">
    <w:name w:val="Überschrift 2. Ebene"/>
    <w:basedOn w:val="Standard"/>
    <w:link w:val="berschrift2EbeneZchn"/>
    <w:qFormat/>
    <w:pPr>
      <w:spacing w:before="120" w:after="120" w:line="240" w:lineRule="auto"/>
    </w:pPr>
    <w:rPr>
      <w:rFonts w:ascii="Arial" w:hAnsi="Arial" w:cs="Arial"/>
      <w:b/>
      <w:lang w:val="en-US"/>
    </w:rPr>
  </w:style>
  <w:style w:type="character" w:customStyle="1" w:styleId="berschrift2EbeneZchn">
    <w:name w:val="Überschrift 2. Ebene Zchn"/>
    <w:basedOn w:val="Absatz-Standardschriftart"/>
    <w:link w:val="berschrift2Ebene"/>
    <w:rPr>
      <w:rFonts w:ascii="Arial" w:hAnsi="Arial" w:cs="Arial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Lottes, Matthäus</dc:creator>
  <cp:keywords/>
  <dc:description/>
  <cp:lastModifiedBy>Lottes, Matthäus</cp:lastModifiedBy>
  <cp:revision>6</cp:revision>
  <cp:lastPrinted>2021-11-16T11:05:00Z</cp:lastPrinted>
  <dcterms:created xsi:type="dcterms:W3CDTF">2021-11-16T10:57:00Z</dcterms:created>
  <dcterms:modified xsi:type="dcterms:W3CDTF">2022-01-04T16:18:00Z</dcterms:modified>
</cp:coreProperties>
</file>