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3B40F7" w14:textId="77777777" w:rsidR="00D83550" w:rsidRPr="00D83550" w:rsidRDefault="00D83550" w:rsidP="00D83550">
      <w:pPr>
        <w:pStyle w:val="Caption"/>
        <w:keepNext/>
        <w:rPr>
          <w:lang w:val="en-GB"/>
        </w:rPr>
      </w:pPr>
      <w:r w:rsidRPr="00D83550">
        <w:rPr>
          <w:lang w:val="en-GB"/>
        </w:rPr>
        <w:t xml:space="preserve">Supplementary </w:t>
      </w:r>
      <w:r w:rsidRPr="00D83550">
        <w:rPr>
          <w:lang w:val="en-GB"/>
        </w:rPr>
        <w:t>Table 1: Associations between health anxiety and primary healthcare use, stratified by the presence of present physical illness</w:t>
      </w:r>
    </w:p>
    <w:tbl>
      <w:tblPr>
        <w:tblW w:w="15743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2"/>
        <w:gridCol w:w="1272"/>
        <w:gridCol w:w="850"/>
        <w:gridCol w:w="1128"/>
        <w:gridCol w:w="849"/>
        <w:gridCol w:w="1269"/>
        <w:gridCol w:w="770"/>
        <w:gridCol w:w="1268"/>
        <w:gridCol w:w="850"/>
        <w:gridCol w:w="1269"/>
        <w:gridCol w:w="849"/>
        <w:gridCol w:w="1269"/>
        <w:gridCol w:w="849"/>
        <w:gridCol w:w="1269"/>
      </w:tblGrid>
      <w:tr w:rsidR="00D83550" w:rsidRPr="00D83550" w14:paraId="3D8305AD" w14:textId="77777777" w:rsidTr="00D83550">
        <w:trPr>
          <w:trHeight w:val="350"/>
        </w:trPr>
        <w:tc>
          <w:tcPr>
            <w:tcW w:w="1982" w:type="dxa"/>
            <w:shd w:val="clear" w:color="auto" w:fill="auto"/>
          </w:tcPr>
          <w:p w14:paraId="6137FABA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272" w:type="dxa"/>
            <w:shd w:val="clear" w:color="auto" w:fill="auto"/>
          </w:tcPr>
          <w:p w14:paraId="3B9A97D9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096" w:type="dxa"/>
            <w:gridSpan w:val="4"/>
            <w:shd w:val="clear" w:color="auto" w:fill="auto"/>
          </w:tcPr>
          <w:p w14:paraId="34C03759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b/>
                <w:bCs/>
                <w:sz w:val="20"/>
                <w:szCs w:val="20"/>
                <w:lang w:val="en-GB"/>
              </w:rPr>
              <w:t>If physical illness: None</w:t>
            </w:r>
          </w:p>
        </w:tc>
        <w:tc>
          <w:tcPr>
            <w:tcW w:w="4157" w:type="dxa"/>
            <w:gridSpan w:val="4"/>
            <w:shd w:val="clear" w:color="auto" w:fill="auto"/>
          </w:tcPr>
          <w:p w14:paraId="4D18312A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b/>
                <w:bCs/>
                <w:sz w:val="20"/>
                <w:szCs w:val="20"/>
                <w:lang w:val="en-GB"/>
              </w:rPr>
              <w:t>If physical illness: One</w:t>
            </w:r>
          </w:p>
        </w:tc>
        <w:tc>
          <w:tcPr>
            <w:tcW w:w="4236" w:type="dxa"/>
            <w:gridSpan w:val="4"/>
            <w:shd w:val="clear" w:color="auto" w:fill="auto"/>
          </w:tcPr>
          <w:p w14:paraId="3422FE50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b/>
                <w:bCs/>
                <w:sz w:val="20"/>
                <w:szCs w:val="20"/>
                <w:lang w:val="en-GB"/>
              </w:rPr>
              <w:t>If physical illness: Two or more</w:t>
            </w:r>
          </w:p>
        </w:tc>
      </w:tr>
      <w:tr w:rsidR="00D83550" w:rsidRPr="00D83550" w14:paraId="0F1C83FC" w14:textId="77777777" w:rsidTr="00D83550">
        <w:trPr>
          <w:trHeight w:val="350"/>
        </w:trPr>
        <w:tc>
          <w:tcPr>
            <w:tcW w:w="1982" w:type="dxa"/>
            <w:shd w:val="clear" w:color="auto" w:fill="auto"/>
          </w:tcPr>
          <w:p w14:paraId="667D83AE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272" w:type="dxa"/>
            <w:shd w:val="clear" w:color="auto" w:fill="auto"/>
          </w:tcPr>
          <w:p w14:paraId="78318F23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978" w:type="dxa"/>
            <w:gridSpan w:val="2"/>
            <w:shd w:val="clear" w:color="auto" w:fill="auto"/>
          </w:tcPr>
          <w:p w14:paraId="204D2542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b/>
                <w:bCs/>
                <w:sz w:val="20"/>
                <w:szCs w:val="20"/>
                <w:lang w:val="en-GB"/>
              </w:rPr>
              <w:t>Unadjusted</w:t>
            </w:r>
          </w:p>
        </w:tc>
        <w:tc>
          <w:tcPr>
            <w:tcW w:w="2118" w:type="dxa"/>
            <w:gridSpan w:val="2"/>
            <w:shd w:val="clear" w:color="auto" w:fill="auto"/>
          </w:tcPr>
          <w:p w14:paraId="4A9B0C0C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vertAlign w:val="superscript"/>
                <w:lang w:val="en-GB"/>
              </w:rPr>
            </w:pPr>
            <w:r w:rsidRPr="00D83550"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Fully adjusted </w:t>
            </w:r>
            <w:proofErr w:type="spellStart"/>
            <w:r w:rsidRPr="00D83550">
              <w:rPr>
                <w:rFonts w:cstheme="minorHAnsi"/>
                <w:b/>
                <w:bCs/>
                <w:sz w:val="20"/>
                <w:szCs w:val="20"/>
                <w:lang w:val="en-GB"/>
              </w:rPr>
              <w:t>model</w:t>
            </w:r>
            <w:r w:rsidRPr="00D83550">
              <w:rPr>
                <w:rFonts w:cstheme="minorHAnsi"/>
                <w:b/>
                <w:bCs/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2038" w:type="dxa"/>
            <w:gridSpan w:val="2"/>
            <w:shd w:val="clear" w:color="auto" w:fill="auto"/>
          </w:tcPr>
          <w:p w14:paraId="392A159B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b/>
                <w:bCs/>
                <w:sz w:val="20"/>
                <w:szCs w:val="20"/>
                <w:lang w:val="en-GB"/>
              </w:rPr>
              <w:t>Unadjusted</w:t>
            </w:r>
          </w:p>
        </w:tc>
        <w:tc>
          <w:tcPr>
            <w:tcW w:w="2119" w:type="dxa"/>
            <w:gridSpan w:val="2"/>
            <w:shd w:val="clear" w:color="auto" w:fill="auto"/>
          </w:tcPr>
          <w:p w14:paraId="1E8BAEB5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vertAlign w:val="superscript"/>
                <w:lang w:val="en-GB"/>
              </w:rPr>
            </w:pPr>
            <w:r w:rsidRPr="00D83550"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Fully adjusted </w:t>
            </w:r>
            <w:proofErr w:type="spellStart"/>
            <w:r w:rsidRPr="00D83550">
              <w:rPr>
                <w:rFonts w:cstheme="minorHAnsi"/>
                <w:b/>
                <w:bCs/>
                <w:sz w:val="20"/>
                <w:szCs w:val="20"/>
                <w:lang w:val="en-GB"/>
              </w:rPr>
              <w:t>model</w:t>
            </w:r>
            <w:r w:rsidRPr="00D83550">
              <w:rPr>
                <w:rFonts w:cstheme="minorHAnsi"/>
                <w:b/>
                <w:bCs/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2118" w:type="dxa"/>
            <w:gridSpan w:val="2"/>
            <w:shd w:val="clear" w:color="auto" w:fill="auto"/>
          </w:tcPr>
          <w:p w14:paraId="6FBA0F99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b/>
                <w:bCs/>
                <w:sz w:val="20"/>
                <w:szCs w:val="20"/>
                <w:lang w:val="en-GB"/>
              </w:rPr>
              <w:t>Unadjusted</w:t>
            </w:r>
          </w:p>
        </w:tc>
        <w:tc>
          <w:tcPr>
            <w:tcW w:w="2118" w:type="dxa"/>
            <w:gridSpan w:val="2"/>
            <w:shd w:val="clear" w:color="auto" w:fill="auto"/>
          </w:tcPr>
          <w:p w14:paraId="4FF5431D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vertAlign w:val="superscript"/>
                <w:lang w:val="en-GB"/>
              </w:rPr>
            </w:pPr>
            <w:r w:rsidRPr="00D83550"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Fully adj. model </w:t>
            </w:r>
            <w:r w:rsidRPr="00D83550">
              <w:rPr>
                <w:rFonts w:cstheme="minorHAnsi"/>
                <w:b/>
                <w:bCs/>
                <w:sz w:val="20"/>
                <w:szCs w:val="20"/>
                <w:vertAlign w:val="superscript"/>
                <w:lang w:val="en-GB"/>
              </w:rPr>
              <w:t>b</w:t>
            </w:r>
          </w:p>
        </w:tc>
      </w:tr>
      <w:tr w:rsidR="00D83550" w:rsidRPr="00D83550" w14:paraId="6BB01EAA" w14:textId="77777777" w:rsidTr="00D83550">
        <w:trPr>
          <w:trHeight w:val="530"/>
        </w:trPr>
        <w:tc>
          <w:tcPr>
            <w:tcW w:w="1982" w:type="dxa"/>
            <w:shd w:val="clear" w:color="auto" w:fill="auto"/>
          </w:tcPr>
          <w:p w14:paraId="540002DB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b/>
                <w:bCs/>
                <w:sz w:val="20"/>
                <w:szCs w:val="20"/>
                <w:lang w:val="en-GB"/>
              </w:rPr>
              <w:t>Outcome variable</w:t>
            </w:r>
          </w:p>
        </w:tc>
        <w:tc>
          <w:tcPr>
            <w:tcW w:w="1272" w:type="dxa"/>
            <w:shd w:val="clear" w:color="auto" w:fill="auto"/>
          </w:tcPr>
          <w:p w14:paraId="1F7A8120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auto"/>
          </w:tcPr>
          <w:p w14:paraId="39B85BE0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OR</w:t>
            </w:r>
          </w:p>
        </w:tc>
        <w:tc>
          <w:tcPr>
            <w:tcW w:w="1128" w:type="dxa"/>
            <w:shd w:val="clear" w:color="auto" w:fill="auto"/>
          </w:tcPr>
          <w:p w14:paraId="70A98381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†95 % CI</w:t>
            </w:r>
          </w:p>
        </w:tc>
        <w:tc>
          <w:tcPr>
            <w:tcW w:w="849" w:type="dxa"/>
            <w:shd w:val="clear" w:color="auto" w:fill="auto"/>
          </w:tcPr>
          <w:p w14:paraId="3226D19E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269" w:type="dxa"/>
            <w:shd w:val="clear" w:color="auto" w:fill="auto"/>
          </w:tcPr>
          <w:p w14:paraId="164467A7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70" w:type="dxa"/>
            <w:shd w:val="clear" w:color="auto" w:fill="auto"/>
          </w:tcPr>
          <w:p w14:paraId="59492F8F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OR</w:t>
            </w:r>
          </w:p>
        </w:tc>
        <w:tc>
          <w:tcPr>
            <w:tcW w:w="1268" w:type="dxa"/>
            <w:shd w:val="clear" w:color="auto" w:fill="auto"/>
          </w:tcPr>
          <w:p w14:paraId="67B25C23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†95 % CI</w:t>
            </w:r>
          </w:p>
        </w:tc>
        <w:tc>
          <w:tcPr>
            <w:tcW w:w="850" w:type="dxa"/>
            <w:shd w:val="clear" w:color="auto" w:fill="auto"/>
          </w:tcPr>
          <w:p w14:paraId="408586BA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69" w:type="dxa"/>
            <w:shd w:val="clear" w:color="auto" w:fill="auto"/>
          </w:tcPr>
          <w:p w14:paraId="5D8E6981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49" w:type="dxa"/>
            <w:shd w:val="clear" w:color="auto" w:fill="auto"/>
          </w:tcPr>
          <w:p w14:paraId="3B727532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69" w:type="dxa"/>
            <w:shd w:val="clear" w:color="auto" w:fill="auto"/>
          </w:tcPr>
          <w:p w14:paraId="3106D841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49" w:type="dxa"/>
            <w:shd w:val="clear" w:color="auto" w:fill="auto"/>
          </w:tcPr>
          <w:p w14:paraId="6EA30E53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OR</w:t>
            </w:r>
          </w:p>
        </w:tc>
        <w:tc>
          <w:tcPr>
            <w:tcW w:w="1269" w:type="dxa"/>
            <w:shd w:val="clear" w:color="auto" w:fill="auto"/>
          </w:tcPr>
          <w:p w14:paraId="006988C2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†95 % CI</w:t>
            </w:r>
          </w:p>
        </w:tc>
      </w:tr>
      <w:tr w:rsidR="00D83550" w:rsidRPr="00D83550" w14:paraId="760274B9" w14:textId="77777777" w:rsidTr="00D83550">
        <w:tc>
          <w:tcPr>
            <w:tcW w:w="1982" w:type="dxa"/>
            <w:shd w:val="clear" w:color="auto" w:fill="auto"/>
          </w:tcPr>
          <w:p w14:paraId="5E9555B2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 xml:space="preserve">Primary healthcare </w:t>
            </w:r>
          </w:p>
        </w:tc>
        <w:tc>
          <w:tcPr>
            <w:tcW w:w="1272" w:type="dxa"/>
            <w:shd w:val="clear" w:color="auto" w:fill="auto"/>
          </w:tcPr>
          <w:p w14:paraId="22057225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Non-use</w:t>
            </w:r>
          </w:p>
        </w:tc>
        <w:tc>
          <w:tcPr>
            <w:tcW w:w="850" w:type="dxa"/>
            <w:shd w:val="clear" w:color="auto" w:fill="auto"/>
          </w:tcPr>
          <w:p w14:paraId="45F8BF2C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-</w:t>
            </w:r>
          </w:p>
        </w:tc>
        <w:tc>
          <w:tcPr>
            <w:tcW w:w="1128" w:type="dxa"/>
            <w:shd w:val="clear" w:color="auto" w:fill="auto"/>
          </w:tcPr>
          <w:p w14:paraId="72CACAA1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49" w:type="dxa"/>
            <w:shd w:val="clear" w:color="auto" w:fill="auto"/>
          </w:tcPr>
          <w:p w14:paraId="68CC85E9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14:paraId="093A2C91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770" w:type="dxa"/>
            <w:shd w:val="clear" w:color="auto" w:fill="auto"/>
          </w:tcPr>
          <w:p w14:paraId="17CC5FE4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-</w:t>
            </w:r>
          </w:p>
        </w:tc>
        <w:tc>
          <w:tcPr>
            <w:tcW w:w="1268" w:type="dxa"/>
            <w:shd w:val="clear" w:color="auto" w:fill="auto"/>
          </w:tcPr>
          <w:p w14:paraId="16875D8F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shd w:val="clear" w:color="auto" w:fill="auto"/>
          </w:tcPr>
          <w:p w14:paraId="621D0579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14:paraId="0E67DA96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49" w:type="dxa"/>
            <w:shd w:val="clear" w:color="auto" w:fill="auto"/>
          </w:tcPr>
          <w:p w14:paraId="413967FC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14:paraId="525710ED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49" w:type="dxa"/>
            <w:shd w:val="clear" w:color="auto" w:fill="auto"/>
          </w:tcPr>
          <w:p w14:paraId="713140E4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-</w:t>
            </w:r>
          </w:p>
        </w:tc>
        <w:tc>
          <w:tcPr>
            <w:tcW w:w="1269" w:type="dxa"/>
            <w:shd w:val="clear" w:color="auto" w:fill="auto"/>
          </w:tcPr>
          <w:p w14:paraId="09936125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D83550" w:rsidRPr="00D83550" w14:paraId="70CAC236" w14:textId="77777777" w:rsidTr="00D83550">
        <w:tc>
          <w:tcPr>
            <w:tcW w:w="1982" w:type="dxa"/>
            <w:shd w:val="clear" w:color="auto" w:fill="auto"/>
          </w:tcPr>
          <w:p w14:paraId="5744C475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72" w:type="dxa"/>
            <w:shd w:val="clear" w:color="auto" w:fill="auto"/>
          </w:tcPr>
          <w:p w14:paraId="0431A209" w14:textId="77777777" w:rsidR="00D83550" w:rsidRPr="00D83550" w:rsidRDefault="00D83550" w:rsidP="006050FD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</w:t>
            </w:r>
            <w:r w:rsidRPr="00D83550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st</w:t>
            </w:r>
            <w:r w:rsidRPr="00D83550">
              <w:rPr>
                <w:rFonts w:cstheme="minorHAnsi"/>
                <w:sz w:val="20"/>
                <w:szCs w:val="20"/>
                <w:lang w:val="en-GB"/>
              </w:rPr>
              <w:t xml:space="preserve"> level of use</w:t>
            </w:r>
          </w:p>
        </w:tc>
        <w:tc>
          <w:tcPr>
            <w:tcW w:w="850" w:type="dxa"/>
            <w:shd w:val="clear" w:color="auto" w:fill="auto"/>
          </w:tcPr>
          <w:p w14:paraId="7F21EB76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1.07**</w:t>
            </w:r>
          </w:p>
        </w:tc>
        <w:tc>
          <w:tcPr>
            <w:tcW w:w="1128" w:type="dxa"/>
            <w:shd w:val="clear" w:color="auto" w:fill="auto"/>
          </w:tcPr>
          <w:p w14:paraId="535316E9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1.05 - 1.09</w:t>
            </w:r>
          </w:p>
        </w:tc>
        <w:tc>
          <w:tcPr>
            <w:tcW w:w="849" w:type="dxa"/>
            <w:shd w:val="clear" w:color="auto" w:fill="auto"/>
          </w:tcPr>
          <w:p w14:paraId="35A2CB07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1.07**</w:t>
            </w:r>
          </w:p>
        </w:tc>
        <w:tc>
          <w:tcPr>
            <w:tcW w:w="1269" w:type="dxa"/>
            <w:shd w:val="clear" w:color="auto" w:fill="auto"/>
          </w:tcPr>
          <w:p w14:paraId="415391FA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1.04 - 1.10</w:t>
            </w:r>
          </w:p>
        </w:tc>
        <w:tc>
          <w:tcPr>
            <w:tcW w:w="770" w:type="dxa"/>
            <w:shd w:val="clear" w:color="auto" w:fill="auto"/>
          </w:tcPr>
          <w:p w14:paraId="3E13F3C5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1.04*</w:t>
            </w:r>
          </w:p>
        </w:tc>
        <w:tc>
          <w:tcPr>
            <w:tcW w:w="1268" w:type="dxa"/>
            <w:shd w:val="clear" w:color="auto" w:fill="auto"/>
          </w:tcPr>
          <w:p w14:paraId="1E7B9F24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1.00 – 1.08</w:t>
            </w:r>
          </w:p>
        </w:tc>
        <w:tc>
          <w:tcPr>
            <w:tcW w:w="850" w:type="dxa"/>
            <w:shd w:val="clear" w:color="auto" w:fill="auto"/>
          </w:tcPr>
          <w:p w14:paraId="0794E200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1.05**</w:t>
            </w:r>
          </w:p>
        </w:tc>
        <w:tc>
          <w:tcPr>
            <w:tcW w:w="1269" w:type="dxa"/>
            <w:shd w:val="clear" w:color="auto" w:fill="auto"/>
          </w:tcPr>
          <w:p w14:paraId="75AEDD22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1.02 - 1.10</w:t>
            </w:r>
          </w:p>
        </w:tc>
        <w:tc>
          <w:tcPr>
            <w:tcW w:w="849" w:type="dxa"/>
            <w:shd w:val="clear" w:color="auto" w:fill="auto"/>
          </w:tcPr>
          <w:p w14:paraId="506657F6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1.02</w:t>
            </w:r>
          </w:p>
        </w:tc>
        <w:tc>
          <w:tcPr>
            <w:tcW w:w="1269" w:type="dxa"/>
            <w:shd w:val="clear" w:color="auto" w:fill="auto"/>
          </w:tcPr>
          <w:p w14:paraId="014966E4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0.96 - 1.08</w:t>
            </w:r>
          </w:p>
        </w:tc>
        <w:tc>
          <w:tcPr>
            <w:tcW w:w="849" w:type="dxa"/>
            <w:shd w:val="clear" w:color="auto" w:fill="auto"/>
          </w:tcPr>
          <w:p w14:paraId="77FCE93B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1.04</w:t>
            </w:r>
          </w:p>
        </w:tc>
        <w:tc>
          <w:tcPr>
            <w:tcW w:w="1269" w:type="dxa"/>
            <w:shd w:val="clear" w:color="auto" w:fill="auto"/>
          </w:tcPr>
          <w:p w14:paraId="3C8C6350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0.97 - 1.10</w:t>
            </w:r>
          </w:p>
        </w:tc>
      </w:tr>
      <w:tr w:rsidR="00D83550" w:rsidRPr="00D83550" w14:paraId="5B933AA7" w14:textId="77777777" w:rsidTr="00D83550">
        <w:tc>
          <w:tcPr>
            <w:tcW w:w="1982" w:type="dxa"/>
            <w:shd w:val="clear" w:color="auto" w:fill="auto"/>
          </w:tcPr>
          <w:p w14:paraId="2D897CC4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72" w:type="dxa"/>
            <w:shd w:val="clear" w:color="auto" w:fill="auto"/>
          </w:tcPr>
          <w:p w14:paraId="0E843B74" w14:textId="77777777" w:rsidR="00D83550" w:rsidRPr="00D83550" w:rsidRDefault="00D83550" w:rsidP="006050FD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2</w:t>
            </w:r>
            <w:r w:rsidRPr="00D83550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nd</w:t>
            </w:r>
            <w:r w:rsidRPr="00D83550">
              <w:rPr>
                <w:rFonts w:cstheme="minorHAnsi"/>
                <w:sz w:val="20"/>
                <w:szCs w:val="20"/>
                <w:lang w:val="en-GB"/>
              </w:rPr>
              <w:t xml:space="preserve"> level of use</w:t>
            </w:r>
          </w:p>
        </w:tc>
        <w:tc>
          <w:tcPr>
            <w:tcW w:w="850" w:type="dxa"/>
            <w:shd w:val="clear" w:color="auto" w:fill="auto"/>
          </w:tcPr>
          <w:p w14:paraId="01E9993A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1.10**</w:t>
            </w:r>
          </w:p>
        </w:tc>
        <w:tc>
          <w:tcPr>
            <w:tcW w:w="1128" w:type="dxa"/>
            <w:shd w:val="clear" w:color="auto" w:fill="auto"/>
          </w:tcPr>
          <w:p w14:paraId="79A7EF81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1.08 - 1.12</w:t>
            </w:r>
          </w:p>
        </w:tc>
        <w:tc>
          <w:tcPr>
            <w:tcW w:w="849" w:type="dxa"/>
            <w:shd w:val="clear" w:color="auto" w:fill="auto"/>
          </w:tcPr>
          <w:p w14:paraId="3A9C12DD" w14:textId="77777777" w:rsidR="00D83550" w:rsidRPr="00D83550" w:rsidRDefault="00D83550" w:rsidP="006050FD">
            <w:pPr>
              <w:spacing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1.11**</w:t>
            </w:r>
          </w:p>
        </w:tc>
        <w:tc>
          <w:tcPr>
            <w:tcW w:w="1269" w:type="dxa"/>
            <w:shd w:val="clear" w:color="auto" w:fill="auto"/>
          </w:tcPr>
          <w:p w14:paraId="108C8187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1.08 - 1.13</w:t>
            </w:r>
          </w:p>
        </w:tc>
        <w:tc>
          <w:tcPr>
            <w:tcW w:w="770" w:type="dxa"/>
            <w:shd w:val="clear" w:color="auto" w:fill="auto"/>
          </w:tcPr>
          <w:p w14:paraId="7951D854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1.07**</w:t>
            </w:r>
          </w:p>
        </w:tc>
        <w:tc>
          <w:tcPr>
            <w:tcW w:w="1268" w:type="dxa"/>
            <w:shd w:val="clear" w:color="auto" w:fill="auto"/>
          </w:tcPr>
          <w:p w14:paraId="53E508DF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1.05 – 1.10</w:t>
            </w:r>
          </w:p>
        </w:tc>
        <w:tc>
          <w:tcPr>
            <w:tcW w:w="850" w:type="dxa"/>
            <w:shd w:val="clear" w:color="auto" w:fill="auto"/>
          </w:tcPr>
          <w:p w14:paraId="149244AE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1.08**</w:t>
            </w:r>
          </w:p>
        </w:tc>
        <w:tc>
          <w:tcPr>
            <w:tcW w:w="1269" w:type="dxa"/>
            <w:shd w:val="clear" w:color="auto" w:fill="auto"/>
          </w:tcPr>
          <w:p w14:paraId="4A618FBE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1.04 - 1.11</w:t>
            </w:r>
          </w:p>
        </w:tc>
        <w:tc>
          <w:tcPr>
            <w:tcW w:w="849" w:type="dxa"/>
            <w:shd w:val="clear" w:color="auto" w:fill="auto"/>
          </w:tcPr>
          <w:p w14:paraId="1BD43F45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1.02</w:t>
            </w:r>
          </w:p>
        </w:tc>
        <w:tc>
          <w:tcPr>
            <w:tcW w:w="1269" w:type="dxa"/>
            <w:shd w:val="clear" w:color="auto" w:fill="auto"/>
          </w:tcPr>
          <w:p w14:paraId="388C0C57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0.98 - 1.05</w:t>
            </w:r>
          </w:p>
        </w:tc>
        <w:tc>
          <w:tcPr>
            <w:tcW w:w="849" w:type="dxa"/>
            <w:shd w:val="clear" w:color="auto" w:fill="auto"/>
          </w:tcPr>
          <w:p w14:paraId="6FC22A03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1.03</w:t>
            </w:r>
          </w:p>
        </w:tc>
        <w:tc>
          <w:tcPr>
            <w:tcW w:w="1269" w:type="dxa"/>
            <w:shd w:val="clear" w:color="auto" w:fill="auto"/>
          </w:tcPr>
          <w:p w14:paraId="06D2AF14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0.98 - 1.07</w:t>
            </w:r>
          </w:p>
        </w:tc>
      </w:tr>
      <w:tr w:rsidR="00D83550" w:rsidRPr="00D83550" w14:paraId="4FE33DA6" w14:textId="77777777" w:rsidTr="00D83550">
        <w:tc>
          <w:tcPr>
            <w:tcW w:w="1982" w:type="dxa"/>
            <w:shd w:val="clear" w:color="auto" w:fill="auto"/>
          </w:tcPr>
          <w:p w14:paraId="3A3DEED6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72" w:type="dxa"/>
            <w:shd w:val="clear" w:color="auto" w:fill="auto"/>
          </w:tcPr>
          <w:p w14:paraId="75005D3C" w14:textId="77777777" w:rsidR="00D83550" w:rsidRPr="00D83550" w:rsidRDefault="00D83550" w:rsidP="006050FD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3</w:t>
            </w:r>
            <w:r w:rsidRPr="00D83550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rd</w:t>
            </w:r>
            <w:r w:rsidRPr="00D83550">
              <w:rPr>
                <w:rFonts w:cstheme="minorHAnsi"/>
                <w:sz w:val="20"/>
                <w:szCs w:val="20"/>
                <w:lang w:val="en-GB"/>
              </w:rPr>
              <w:t xml:space="preserve"> level of use</w:t>
            </w:r>
          </w:p>
        </w:tc>
        <w:tc>
          <w:tcPr>
            <w:tcW w:w="850" w:type="dxa"/>
            <w:shd w:val="clear" w:color="auto" w:fill="auto"/>
          </w:tcPr>
          <w:p w14:paraId="2A05AA4E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1.15**</w:t>
            </w:r>
          </w:p>
        </w:tc>
        <w:tc>
          <w:tcPr>
            <w:tcW w:w="1128" w:type="dxa"/>
            <w:shd w:val="clear" w:color="auto" w:fill="auto"/>
          </w:tcPr>
          <w:p w14:paraId="36632E34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1.13 - 1.16</w:t>
            </w:r>
          </w:p>
        </w:tc>
        <w:tc>
          <w:tcPr>
            <w:tcW w:w="849" w:type="dxa"/>
            <w:shd w:val="clear" w:color="auto" w:fill="auto"/>
          </w:tcPr>
          <w:p w14:paraId="15F05FC1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1.14**</w:t>
            </w:r>
          </w:p>
        </w:tc>
        <w:tc>
          <w:tcPr>
            <w:tcW w:w="1269" w:type="dxa"/>
            <w:shd w:val="clear" w:color="auto" w:fill="auto"/>
          </w:tcPr>
          <w:p w14:paraId="419620F1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1.12 - 1.17</w:t>
            </w:r>
          </w:p>
        </w:tc>
        <w:tc>
          <w:tcPr>
            <w:tcW w:w="770" w:type="dxa"/>
            <w:shd w:val="clear" w:color="auto" w:fill="auto"/>
          </w:tcPr>
          <w:p w14:paraId="377A8F60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1.09**</w:t>
            </w:r>
          </w:p>
        </w:tc>
        <w:tc>
          <w:tcPr>
            <w:tcW w:w="1268" w:type="dxa"/>
            <w:shd w:val="clear" w:color="auto" w:fill="auto"/>
          </w:tcPr>
          <w:p w14:paraId="73DB16D6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1.07 – 1.12</w:t>
            </w:r>
          </w:p>
        </w:tc>
        <w:tc>
          <w:tcPr>
            <w:tcW w:w="850" w:type="dxa"/>
            <w:shd w:val="clear" w:color="auto" w:fill="auto"/>
          </w:tcPr>
          <w:p w14:paraId="3707FC17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1.10**</w:t>
            </w:r>
          </w:p>
        </w:tc>
        <w:tc>
          <w:tcPr>
            <w:tcW w:w="1269" w:type="dxa"/>
            <w:shd w:val="clear" w:color="auto" w:fill="auto"/>
          </w:tcPr>
          <w:p w14:paraId="485ECB02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1.07 - 1.13</w:t>
            </w:r>
          </w:p>
        </w:tc>
        <w:tc>
          <w:tcPr>
            <w:tcW w:w="849" w:type="dxa"/>
            <w:shd w:val="clear" w:color="auto" w:fill="auto"/>
          </w:tcPr>
          <w:p w14:paraId="779EDE98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1.09**</w:t>
            </w:r>
          </w:p>
        </w:tc>
        <w:tc>
          <w:tcPr>
            <w:tcW w:w="1269" w:type="dxa"/>
            <w:shd w:val="clear" w:color="auto" w:fill="auto"/>
          </w:tcPr>
          <w:p w14:paraId="24CE6960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1.06 - 1.12</w:t>
            </w:r>
          </w:p>
        </w:tc>
        <w:tc>
          <w:tcPr>
            <w:tcW w:w="849" w:type="dxa"/>
            <w:shd w:val="clear" w:color="auto" w:fill="auto"/>
          </w:tcPr>
          <w:p w14:paraId="1DAD60F8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1.09**</w:t>
            </w:r>
          </w:p>
        </w:tc>
        <w:tc>
          <w:tcPr>
            <w:tcW w:w="1269" w:type="dxa"/>
            <w:shd w:val="clear" w:color="auto" w:fill="auto"/>
          </w:tcPr>
          <w:p w14:paraId="1F6DBC73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1.05 - 1.12</w:t>
            </w:r>
          </w:p>
        </w:tc>
      </w:tr>
      <w:tr w:rsidR="00D83550" w:rsidRPr="00D83550" w14:paraId="7CD379B1" w14:textId="77777777" w:rsidTr="00D83550">
        <w:tc>
          <w:tcPr>
            <w:tcW w:w="1982" w:type="dxa"/>
            <w:shd w:val="clear" w:color="auto" w:fill="auto"/>
          </w:tcPr>
          <w:p w14:paraId="5BC0FA25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72" w:type="dxa"/>
            <w:shd w:val="clear" w:color="auto" w:fill="auto"/>
          </w:tcPr>
          <w:p w14:paraId="15494C6A" w14:textId="77777777" w:rsidR="00D83550" w:rsidRPr="00D83550" w:rsidRDefault="00D83550" w:rsidP="006050FD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4</w:t>
            </w:r>
            <w:r w:rsidRPr="00D83550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th</w:t>
            </w:r>
            <w:r w:rsidRPr="00D83550">
              <w:rPr>
                <w:rFonts w:cstheme="minorHAnsi"/>
                <w:sz w:val="20"/>
                <w:szCs w:val="20"/>
                <w:lang w:val="en-GB"/>
              </w:rPr>
              <w:t xml:space="preserve"> level of use</w:t>
            </w:r>
          </w:p>
        </w:tc>
        <w:tc>
          <w:tcPr>
            <w:tcW w:w="850" w:type="dxa"/>
            <w:shd w:val="clear" w:color="auto" w:fill="auto"/>
          </w:tcPr>
          <w:p w14:paraId="3805325C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1.22**</w:t>
            </w:r>
          </w:p>
        </w:tc>
        <w:tc>
          <w:tcPr>
            <w:tcW w:w="1128" w:type="dxa"/>
            <w:shd w:val="clear" w:color="auto" w:fill="auto"/>
          </w:tcPr>
          <w:p w14:paraId="3A69C193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1.20 – 1.24</w:t>
            </w:r>
          </w:p>
        </w:tc>
        <w:tc>
          <w:tcPr>
            <w:tcW w:w="849" w:type="dxa"/>
            <w:shd w:val="clear" w:color="auto" w:fill="auto"/>
          </w:tcPr>
          <w:p w14:paraId="0633E931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1.20**</w:t>
            </w:r>
          </w:p>
        </w:tc>
        <w:tc>
          <w:tcPr>
            <w:tcW w:w="1269" w:type="dxa"/>
            <w:shd w:val="clear" w:color="auto" w:fill="auto"/>
          </w:tcPr>
          <w:p w14:paraId="1085A68A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1.17 - 1.23</w:t>
            </w:r>
          </w:p>
        </w:tc>
        <w:tc>
          <w:tcPr>
            <w:tcW w:w="770" w:type="dxa"/>
            <w:shd w:val="clear" w:color="auto" w:fill="auto"/>
          </w:tcPr>
          <w:p w14:paraId="7252B646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1.16**</w:t>
            </w:r>
          </w:p>
        </w:tc>
        <w:tc>
          <w:tcPr>
            <w:tcW w:w="1268" w:type="dxa"/>
            <w:shd w:val="clear" w:color="auto" w:fill="auto"/>
          </w:tcPr>
          <w:p w14:paraId="6A2799D5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1.14 – 1.18</w:t>
            </w:r>
          </w:p>
        </w:tc>
        <w:tc>
          <w:tcPr>
            <w:tcW w:w="850" w:type="dxa"/>
            <w:shd w:val="clear" w:color="auto" w:fill="auto"/>
          </w:tcPr>
          <w:p w14:paraId="0C456AB5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1.15**</w:t>
            </w:r>
          </w:p>
        </w:tc>
        <w:tc>
          <w:tcPr>
            <w:tcW w:w="1269" w:type="dxa"/>
            <w:shd w:val="clear" w:color="auto" w:fill="auto"/>
          </w:tcPr>
          <w:p w14:paraId="5E1B4B90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1.13 - 1.18</w:t>
            </w:r>
          </w:p>
        </w:tc>
        <w:tc>
          <w:tcPr>
            <w:tcW w:w="849" w:type="dxa"/>
            <w:shd w:val="clear" w:color="auto" w:fill="auto"/>
          </w:tcPr>
          <w:p w14:paraId="582EBACA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1.11**</w:t>
            </w:r>
          </w:p>
        </w:tc>
        <w:tc>
          <w:tcPr>
            <w:tcW w:w="1269" w:type="dxa"/>
            <w:shd w:val="clear" w:color="auto" w:fill="auto"/>
          </w:tcPr>
          <w:p w14:paraId="13C0AB4E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1.08 - 1.14</w:t>
            </w:r>
          </w:p>
        </w:tc>
        <w:tc>
          <w:tcPr>
            <w:tcW w:w="849" w:type="dxa"/>
            <w:shd w:val="clear" w:color="auto" w:fill="auto"/>
          </w:tcPr>
          <w:p w14:paraId="61789398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1.10**</w:t>
            </w:r>
          </w:p>
        </w:tc>
        <w:tc>
          <w:tcPr>
            <w:tcW w:w="1269" w:type="dxa"/>
            <w:shd w:val="clear" w:color="auto" w:fill="auto"/>
          </w:tcPr>
          <w:p w14:paraId="69C31A43" w14:textId="77777777" w:rsidR="00D83550" w:rsidRPr="00D83550" w:rsidRDefault="00D83550" w:rsidP="006050FD">
            <w:pPr>
              <w:spacing w:after="0"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D83550">
              <w:rPr>
                <w:rFonts w:cstheme="minorHAnsi"/>
                <w:sz w:val="20"/>
                <w:szCs w:val="20"/>
                <w:lang w:val="en-GB"/>
              </w:rPr>
              <w:t>1.07 - 1.13</w:t>
            </w:r>
          </w:p>
        </w:tc>
      </w:tr>
    </w:tbl>
    <w:p w14:paraId="57F07715" w14:textId="77777777" w:rsidR="00D83550" w:rsidRPr="00D83550" w:rsidRDefault="00D83550" w:rsidP="00D83550">
      <w:pPr>
        <w:spacing w:line="240" w:lineRule="auto"/>
        <w:rPr>
          <w:rFonts w:cstheme="minorHAnsi"/>
          <w:sz w:val="20"/>
          <w:szCs w:val="20"/>
          <w:lang w:val="en-GB"/>
        </w:rPr>
      </w:pPr>
      <w:r w:rsidRPr="00D83550">
        <w:rPr>
          <w:rFonts w:cstheme="minorHAnsi"/>
          <w:sz w:val="20"/>
          <w:szCs w:val="20"/>
          <w:lang w:val="en-GB"/>
        </w:rPr>
        <w:t>* Significant below 0.05 level</w:t>
      </w:r>
      <w:r w:rsidRPr="00D83550">
        <w:rPr>
          <w:rFonts w:cstheme="minorHAnsi"/>
          <w:sz w:val="20"/>
          <w:szCs w:val="20"/>
          <w:lang w:val="en-GB"/>
        </w:rPr>
        <w:br/>
        <w:t>** Significant below 0.01 level</w:t>
      </w:r>
      <w:r w:rsidRPr="00D83550">
        <w:rPr>
          <w:lang w:val="en-GB"/>
        </w:rPr>
        <w:br/>
      </w:r>
      <w:r w:rsidRPr="00D83550">
        <w:rPr>
          <w:rFonts w:cstheme="minorHAnsi"/>
          <w:sz w:val="20"/>
          <w:szCs w:val="20"/>
          <w:vertAlign w:val="superscript"/>
          <w:lang w:val="en-GB"/>
        </w:rPr>
        <w:t>b</w:t>
      </w:r>
      <w:r w:rsidRPr="00D83550">
        <w:rPr>
          <w:rFonts w:cstheme="minorHAnsi"/>
          <w:sz w:val="20"/>
          <w:szCs w:val="20"/>
          <w:lang w:val="en-GB"/>
        </w:rPr>
        <w:t xml:space="preserve"> </w:t>
      </w:r>
      <w:proofErr w:type="gramStart"/>
      <w:r w:rsidRPr="00D83550">
        <w:rPr>
          <w:rFonts w:cstheme="minorHAnsi"/>
          <w:sz w:val="20"/>
          <w:szCs w:val="20"/>
          <w:lang w:val="en-GB"/>
        </w:rPr>
        <w:t>Included</w:t>
      </w:r>
      <w:proofErr w:type="gramEnd"/>
      <w:r w:rsidRPr="00D83550">
        <w:rPr>
          <w:rFonts w:cstheme="minorHAnsi"/>
          <w:sz w:val="20"/>
          <w:szCs w:val="20"/>
          <w:lang w:val="en-GB"/>
        </w:rPr>
        <w:t xml:space="preserve"> adjustment variables: Age, gender, education, household income, physical and mental morbidity, living with a spouse/partner, quality of friendship and participation in organised activity</w:t>
      </w:r>
    </w:p>
    <w:p w14:paraId="3F153D2A" w14:textId="77777777" w:rsidR="00C55DC2" w:rsidRPr="00D83550" w:rsidRDefault="00D83550">
      <w:pPr>
        <w:rPr>
          <w:lang w:val="en-US"/>
        </w:rPr>
      </w:pPr>
      <w:bookmarkStart w:id="0" w:name="_GoBack"/>
      <w:bookmarkEnd w:id="0"/>
    </w:p>
    <w:sectPr w:rsidR="00C55DC2" w:rsidRPr="00D83550" w:rsidSect="00D8355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301E95" w14:textId="77777777" w:rsidR="00D83550" w:rsidRDefault="00D83550" w:rsidP="00D83550">
      <w:pPr>
        <w:spacing w:after="0" w:line="240" w:lineRule="auto"/>
      </w:pPr>
      <w:r>
        <w:separator/>
      </w:r>
    </w:p>
  </w:endnote>
  <w:endnote w:type="continuationSeparator" w:id="0">
    <w:p w14:paraId="6A03CD39" w14:textId="77777777" w:rsidR="00D83550" w:rsidRDefault="00D83550" w:rsidP="00D83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104A3C" w14:textId="77777777" w:rsidR="00D83550" w:rsidRDefault="00D83550" w:rsidP="00D83550">
      <w:pPr>
        <w:spacing w:after="0" w:line="240" w:lineRule="auto"/>
      </w:pPr>
      <w:r>
        <w:separator/>
      </w:r>
    </w:p>
  </w:footnote>
  <w:footnote w:type="continuationSeparator" w:id="0">
    <w:p w14:paraId="01ECFEA4" w14:textId="77777777" w:rsidR="00D83550" w:rsidRDefault="00D83550" w:rsidP="00D835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550"/>
    <w:rsid w:val="00846290"/>
    <w:rsid w:val="00BB3257"/>
    <w:rsid w:val="00D83550"/>
    <w:rsid w:val="00E6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46D08"/>
  <w15:chartTrackingRefBased/>
  <w15:docId w15:val="{507C95CD-7C84-4212-98ED-72684F1EB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5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83550"/>
    <w:pPr>
      <w:spacing w:after="200" w:line="240" w:lineRule="auto"/>
    </w:pPr>
    <w:rPr>
      <w:rFonts w:ascii="Times New Roman" w:eastAsiaTheme="minorEastAsia" w:hAnsi="Times New Roman"/>
      <w:i/>
      <w:iCs/>
      <w:color w:val="44546A" w:themeColor="text2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5299DD8728D448A03F53BB1C124C02" ma:contentTypeVersion="13" ma:contentTypeDescription="Create a new document." ma:contentTypeScope="" ma:versionID="c48db104aed1320515b252235c529c1d">
  <xsd:schema xmlns:xsd="http://www.w3.org/2001/XMLSchema" xmlns:xs="http://www.w3.org/2001/XMLSchema" xmlns:p="http://schemas.microsoft.com/office/2006/metadata/properties" xmlns:ns3="91c171ab-c988-4c5a-b10d-7fefd63be20b" xmlns:ns4="236c2b5d-75fb-4d8c-84e4-140c0b41b245" targetNamespace="http://schemas.microsoft.com/office/2006/metadata/properties" ma:root="true" ma:fieldsID="8ea46401c83006686ba19e977fdd47d8" ns3:_="" ns4:_="">
    <xsd:import namespace="91c171ab-c988-4c5a-b10d-7fefd63be20b"/>
    <xsd:import namespace="236c2b5d-75fb-4d8c-84e4-140c0b41b2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171ab-c988-4c5a-b10d-7fefd63be2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c2b5d-75fb-4d8c-84e4-140c0b41b2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F5FD76-2D65-470F-B232-5B3125E3DB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c171ab-c988-4c5a-b10d-7fefd63be20b"/>
    <ds:schemaRef ds:uri="236c2b5d-75fb-4d8c-84e4-140c0b41b2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DF5A7B-DADA-456F-9B3B-75194810F6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07BEB2-E12B-45D0-970E-7737FB02104D}">
  <ds:schemaRefs>
    <ds:schemaRef ds:uri="http://purl.org/dc/terms/"/>
    <ds:schemaRef ds:uri="236c2b5d-75fb-4d8c-84e4-140c0b41b24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91c171ab-c988-4c5a-b10d-7fefd63be2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UiT Norges arktiske universitet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M. Davis Norbye</dc:creator>
  <cp:keywords/>
  <dc:description/>
  <cp:lastModifiedBy>Anja M. Davis Norbye</cp:lastModifiedBy>
  <cp:revision>1</cp:revision>
  <dcterms:created xsi:type="dcterms:W3CDTF">2021-03-15T12:30:00Z</dcterms:created>
  <dcterms:modified xsi:type="dcterms:W3CDTF">2021-03-15T12:34:00Z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0x010100925299DD8728D448A03F53BB1C124C02</vt:lpwstr>
  </property>
</Properties>
</file>