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94C" w:rsidRPr="00F65EE5" w:rsidRDefault="0007094C" w:rsidP="0007094C">
      <w:pPr>
        <w:rPr>
          <w:b/>
          <w:sz w:val="40"/>
          <w:szCs w:val="40"/>
          <w:lang w:val="en-US"/>
        </w:rPr>
      </w:pPr>
      <w:r w:rsidRPr="00F65EE5">
        <w:rPr>
          <w:b/>
          <w:sz w:val="40"/>
          <w:szCs w:val="40"/>
          <w:lang w:val="en-US"/>
        </w:rPr>
        <w:t>Supplementary tables</w:t>
      </w: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Default="0007094C" w:rsidP="0007094C">
      <w:pPr>
        <w:pStyle w:val="NoSpacing"/>
        <w:rPr>
          <w:rFonts w:ascii="Cambria" w:hAnsi="Cambria"/>
          <w:b/>
          <w:sz w:val="24"/>
          <w:szCs w:val="24"/>
          <w:lang w:val="en-GB"/>
        </w:rPr>
      </w:pPr>
      <w:r w:rsidRPr="00F65EE5">
        <w:rPr>
          <w:b/>
          <w:lang w:val="en-US"/>
        </w:rPr>
        <w:t>Supplementary table 1</w:t>
      </w:r>
      <w:r w:rsidRPr="008B5765">
        <w:rPr>
          <w:rFonts w:ascii="Cambria" w:hAnsi="Cambria"/>
          <w:b/>
          <w:sz w:val="24"/>
          <w:szCs w:val="24"/>
          <w:lang w:val="en-GB"/>
        </w:rPr>
        <w:t xml:space="preserve">. </w:t>
      </w:r>
      <w:r>
        <w:rPr>
          <w:rFonts w:ascii="Cambria" w:hAnsi="Cambria"/>
          <w:b/>
          <w:sz w:val="24"/>
          <w:szCs w:val="24"/>
          <w:lang w:val="en-GB"/>
        </w:rPr>
        <w:t xml:space="preserve"> N</w:t>
      </w:r>
      <w:r w:rsidRPr="008B5765">
        <w:rPr>
          <w:rFonts w:ascii="Cambria" w:hAnsi="Cambria"/>
          <w:b/>
          <w:sz w:val="24"/>
          <w:szCs w:val="24"/>
          <w:lang w:val="en-GB"/>
        </w:rPr>
        <w:t xml:space="preserve">umber of cytology examinations per week (expected in 2020 or observed in 2019). </w:t>
      </w:r>
      <w:r>
        <w:rPr>
          <w:rFonts w:ascii="Cambria" w:hAnsi="Cambria"/>
          <w:b/>
          <w:sz w:val="24"/>
          <w:szCs w:val="24"/>
          <w:lang w:val="en-GB"/>
        </w:rPr>
        <w:t>All specimens</w:t>
      </w:r>
      <w:r w:rsidRPr="008B5765">
        <w:rPr>
          <w:rFonts w:ascii="Cambria" w:hAnsi="Cambria"/>
          <w:b/>
          <w:sz w:val="24"/>
          <w:szCs w:val="24"/>
          <w:lang w:val="en-GB"/>
        </w:rPr>
        <w:t>, benign and malignant diagnoses</w:t>
      </w:r>
    </w:p>
    <w:p w:rsidR="0007094C" w:rsidRPr="00F174C3" w:rsidRDefault="0007094C" w:rsidP="0007094C">
      <w:pPr>
        <w:pStyle w:val="NoSpacing"/>
      </w:pPr>
      <w:r w:rsidRPr="008B5765">
        <w:rPr>
          <w:b/>
          <w:lang w:val="en-GB"/>
        </w:rPr>
        <w:tab/>
      </w:r>
    </w:p>
    <w:tbl>
      <w:tblPr>
        <w:tblW w:w="5320" w:type="dxa"/>
        <w:tblLook w:val="04A0" w:firstRow="1" w:lastRow="0" w:firstColumn="1" w:lastColumn="0" w:noHBand="0" w:noVBand="1"/>
      </w:tblPr>
      <w:tblGrid>
        <w:gridCol w:w="2340"/>
        <w:gridCol w:w="836"/>
        <w:gridCol w:w="1076"/>
        <w:gridCol w:w="1068"/>
      </w:tblGrid>
      <w:tr w:rsidR="0007094C" w:rsidRPr="00506A2C" w:rsidTr="0072511B">
        <w:trPr>
          <w:trHeight w:val="315"/>
        </w:trPr>
        <w:tc>
          <w:tcPr>
            <w:tcW w:w="234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5A5A5" w:fill="A5A5A5"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Tissue type</w:t>
            </w:r>
          </w:p>
        </w:tc>
        <w:tc>
          <w:tcPr>
            <w:tcW w:w="83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All</w:t>
            </w:r>
            <w:proofErr w:type="spellEnd"/>
          </w:p>
        </w:tc>
        <w:tc>
          <w:tcPr>
            <w:tcW w:w="107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5A5A5" w:fill="A5A5A5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506A2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Benign</w:t>
            </w:r>
            <w:proofErr w:type="spellEnd"/>
          </w:p>
        </w:tc>
        <w:tc>
          <w:tcPr>
            <w:tcW w:w="1068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5A5A5" w:fill="A5A5A5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proofErr w:type="spellStart"/>
            <w:r w:rsidRPr="00506A2C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Malignant</w:t>
            </w:r>
            <w:proofErr w:type="spellEnd"/>
          </w:p>
        </w:tc>
      </w:tr>
      <w:tr w:rsidR="0007094C" w:rsidRPr="00506A2C" w:rsidTr="0072511B">
        <w:trPr>
          <w:trHeight w:val="315"/>
        </w:trPr>
        <w:tc>
          <w:tcPr>
            <w:tcW w:w="234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Cervix</w:t>
            </w:r>
          </w:p>
        </w:tc>
        <w:tc>
          <w:tcPr>
            <w:tcW w:w="83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6394</w:t>
            </w:r>
          </w:p>
        </w:tc>
        <w:tc>
          <w:tcPr>
            <w:tcW w:w="107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4994</w:t>
            </w:r>
          </w:p>
        </w:tc>
        <w:tc>
          <w:tcPr>
            <w:tcW w:w="1068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278</w:t>
            </w:r>
          </w:p>
        </w:tc>
      </w:tr>
      <w:tr w:rsidR="0007094C" w:rsidRPr="00506A2C" w:rsidTr="0072511B">
        <w:trPr>
          <w:trHeight w:val="315"/>
        </w:trPr>
        <w:tc>
          <w:tcPr>
            <w:tcW w:w="234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Urine</w:t>
            </w:r>
          </w:p>
        </w:tc>
        <w:tc>
          <w:tcPr>
            <w:tcW w:w="83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945</w:t>
            </w:r>
          </w:p>
        </w:tc>
        <w:tc>
          <w:tcPr>
            <w:tcW w:w="107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843</w:t>
            </w:r>
          </w:p>
        </w:tc>
        <w:tc>
          <w:tcPr>
            <w:tcW w:w="1068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</w:t>
            </w:r>
          </w:p>
        </w:tc>
      </w:tr>
      <w:tr w:rsidR="0007094C" w:rsidRPr="00506A2C" w:rsidTr="0072511B">
        <w:trPr>
          <w:trHeight w:val="315"/>
        </w:trPr>
        <w:tc>
          <w:tcPr>
            <w:tcW w:w="234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Lymph</w:t>
            </w:r>
            <w:proofErr w:type="spellEnd"/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node</w:t>
            </w:r>
          </w:p>
        </w:tc>
        <w:tc>
          <w:tcPr>
            <w:tcW w:w="83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107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317</w:t>
            </w:r>
          </w:p>
        </w:tc>
        <w:tc>
          <w:tcPr>
            <w:tcW w:w="1068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206</w:t>
            </w:r>
          </w:p>
        </w:tc>
      </w:tr>
      <w:tr w:rsidR="0007094C" w:rsidRPr="00506A2C" w:rsidTr="0072511B">
        <w:trPr>
          <w:trHeight w:val="315"/>
        </w:trPr>
        <w:tc>
          <w:tcPr>
            <w:tcW w:w="234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Effusion</w:t>
            </w:r>
            <w:proofErr w:type="spellEnd"/>
          </w:p>
        </w:tc>
        <w:tc>
          <w:tcPr>
            <w:tcW w:w="83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447</w:t>
            </w:r>
          </w:p>
        </w:tc>
        <w:tc>
          <w:tcPr>
            <w:tcW w:w="107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1068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</w:t>
            </w:r>
          </w:p>
        </w:tc>
      </w:tr>
      <w:tr w:rsidR="0007094C" w:rsidRPr="00506A2C" w:rsidTr="0072511B">
        <w:trPr>
          <w:trHeight w:val="315"/>
        </w:trPr>
        <w:tc>
          <w:tcPr>
            <w:tcW w:w="234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Lung</w:t>
            </w:r>
            <w:proofErr w:type="spellEnd"/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/Bronchus (</w:t>
            </w:r>
            <w:proofErr w:type="spellStart"/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exfoliative</w:t>
            </w:r>
            <w:proofErr w:type="spellEnd"/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83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107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1068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</w:t>
            </w:r>
          </w:p>
        </w:tc>
      </w:tr>
      <w:tr w:rsidR="0007094C" w:rsidRPr="00506A2C" w:rsidTr="0072511B">
        <w:trPr>
          <w:trHeight w:val="315"/>
        </w:trPr>
        <w:tc>
          <w:tcPr>
            <w:tcW w:w="234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Thyroid</w:t>
            </w:r>
            <w:proofErr w:type="spellEnd"/>
          </w:p>
        </w:tc>
        <w:tc>
          <w:tcPr>
            <w:tcW w:w="83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107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068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</w:t>
            </w:r>
          </w:p>
        </w:tc>
      </w:tr>
      <w:tr w:rsidR="0007094C" w:rsidRPr="00506A2C" w:rsidTr="0072511B">
        <w:trPr>
          <w:trHeight w:val="315"/>
        </w:trPr>
        <w:tc>
          <w:tcPr>
            <w:tcW w:w="234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Breast</w:t>
            </w:r>
            <w:proofErr w:type="spellEnd"/>
          </w:p>
        </w:tc>
        <w:tc>
          <w:tcPr>
            <w:tcW w:w="83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107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068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</w:t>
            </w:r>
          </w:p>
        </w:tc>
      </w:tr>
      <w:tr w:rsidR="0007094C" w:rsidRPr="00506A2C" w:rsidTr="0072511B">
        <w:trPr>
          <w:trHeight w:val="315"/>
        </w:trPr>
        <w:tc>
          <w:tcPr>
            <w:tcW w:w="234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CNS/Liquor</w:t>
            </w:r>
          </w:p>
        </w:tc>
        <w:tc>
          <w:tcPr>
            <w:tcW w:w="83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07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068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</w:tr>
      <w:tr w:rsidR="0007094C" w:rsidRPr="00506A2C" w:rsidTr="0072511B">
        <w:trPr>
          <w:trHeight w:val="315"/>
        </w:trPr>
        <w:tc>
          <w:tcPr>
            <w:tcW w:w="234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Pancreas</w:t>
            </w:r>
          </w:p>
        </w:tc>
        <w:tc>
          <w:tcPr>
            <w:tcW w:w="83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07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68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</w:t>
            </w:r>
          </w:p>
        </w:tc>
      </w:tr>
      <w:tr w:rsidR="0007094C" w:rsidRPr="00506A2C" w:rsidTr="0072511B">
        <w:trPr>
          <w:trHeight w:val="315"/>
        </w:trPr>
        <w:tc>
          <w:tcPr>
            <w:tcW w:w="234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Salivary</w:t>
            </w:r>
            <w:proofErr w:type="spellEnd"/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gland</w:t>
            </w:r>
            <w:proofErr w:type="spellEnd"/>
          </w:p>
        </w:tc>
        <w:tc>
          <w:tcPr>
            <w:tcW w:w="83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07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68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auto" w:fill="auto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</w:t>
            </w:r>
          </w:p>
        </w:tc>
      </w:tr>
      <w:tr w:rsidR="0007094C" w:rsidRPr="00506A2C" w:rsidTr="0072511B">
        <w:trPr>
          <w:trHeight w:val="315"/>
        </w:trPr>
        <w:tc>
          <w:tcPr>
            <w:tcW w:w="2340" w:type="dxa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Lung</w:t>
            </w:r>
            <w:proofErr w:type="spellEnd"/>
          </w:p>
        </w:tc>
        <w:tc>
          <w:tcPr>
            <w:tcW w:w="83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76" w:type="dxa"/>
            <w:tcBorders>
              <w:top w:val="single" w:sz="4" w:space="0" w:color="C9C9C9"/>
              <w:left w:val="nil"/>
              <w:bottom w:val="single" w:sz="4" w:space="0" w:color="C9C9C9"/>
              <w:right w:val="nil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68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shd w:val="clear" w:color="EDEDED" w:fill="EDEDED"/>
            <w:noWrap/>
            <w:vAlign w:val="bottom"/>
            <w:hideMark/>
          </w:tcPr>
          <w:p w:rsidR="0007094C" w:rsidRPr="00506A2C" w:rsidRDefault="0007094C" w:rsidP="007251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06A2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</w:t>
            </w:r>
          </w:p>
        </w:tc>
      </w:tr>
    </w:tbl>
    <w:p w:rsidR="0007094C" w:rsidRDefault="0007094C" w:rsidP="0007094C">
      <w:pPr>
        <w:rPr>
          <w:rFonts w:cstheme="minorHAnsi"/>
          <w:sz w:val="20"/>
          <w:szCs w:val="20"/>
          <w:lang w:val="en-GB"/>
        </w:rPr>
      </w:pPr>
    </w:p>
    <w:p w:rsidR="0007094C" w:rsidRPr="0007094C" w:rsidRDefault="0007094C" w:rsidP="0007094C">
      <w:pPr>
        <w:rPr>
          <w:rFonts w:cstheme="minorHAnsi"/>
          <w:sz w:val="20"/>
          <w:szCs w:val="20"/>
          <w:lang w:val="en-GB"/>
        </w:rPr>
      </w:pPr>
      <w:r w:rsidRPr="00506A2C">
        <w:rPr>
          <w:rFonts w:cstheme="minorHAnsi"/>
          <w:sz w:val="20"/>
          <w:szCs w:val="20"/>
          <w:lang w:val="en-GB"/>
        </w:rPr>
        <w:t xml:space="preserve">Legend to </w:t>
      </w:r>
      <w:r>
        <w:rPr>
          <w:rFonts w:cstheme="minorHAnsi"/>
          <w:sz w:val="20"/>
          <w:szCs w:val="20"/>
          <w:lang w:val="en-GB"/>
        </w:rPr>
        <w:t xml:space="preserve">supplementary </w:t>
      </w:r>
      <w:r w:rsidRPr="00506A2C">
        <w:rPr>
          <w:rFonts w:cstheme="minorHAnsi"/>
          <w:sz w:val="20"/>
          <w:szCs w:val="20"/>
          <w:lang w:val="en-GB"/>
        </w:rPr>
        <w:t xml:space="preserve">table </w:t>
      </w:r>
      <w:r>
        <w:rPr>
          <w:rFonts w:cstheme="minorHAnsi"/>
          <w:sz w:val="20"/>
          <w:szCs w:val="20"/>
          <w:lang w:val="en-GB"/>
        </w:rPr>
        <w:t>1</w:t>
      </w:r>
      <w:r w:rsidRPr="00506A2C">
        <w:rPr>
          <w:rFonts w:cstheme="minorHAnsi"/>
          <w:sz w:val="20"/>
          <w:szCs w:val="20"/>
          <w:lang w:val="en-GB"/>
        </w:rPr>
        <w:t xml:space="preserve">: </w:t>
      </w:r>
      <w:r>
        <w:rPr>
          <w:rFonts w:cstheme="minorHAnsi"/>
          <w:sz w:val="20"/>
          <w:szCs w:val="20"/>
          <w:lang w:val="en-GB"/>
        </w:rPr>
        <w:t>For all specimen numbers the expected numbers for 2020 are given. For benign and malignant numbers the observed numbers of 2019.</w:t>
      </w:r>
      <w:r>
        <w:rPr>
          <w:rFonts w:ascii="Cambria" w:hAnsi="Cambria"/>
          <w:sz w:val="24"/>
          <w:szCs w:val="24"/>
          <w:lang w:val="en-GB"/>
        </w:rPr>
        <w:t xml:space="preserve"> </w:t>
      </w:r>
      <w:r w:rsidRPr="0007094C">
        <w:rPr>
          <w:rFonts w:cstheme="minorHAnsi"/>
          <w:sz w:val="20"/>
          <w:szCs w:val="20"/>
          <w:lang w:val="en-GB"/>
        </w:rPr>
        <w:t xml:space="preserve">Cervix cytology accounts for 66% of total numbers, 70% of benign numbers, but for only 33% of malignant diagnoses. </w:t>
      </w:r>
    </w:p>
    <w:p w:rsidR="0007094C" w:rsidRPr="0048775C" w:rsidRDefault="0007094C" w:rsidP="0007094C">
      <w:pPr>
        <w:pStyle w:val="NoSpacing"/>
        <w:rPr>
          <w:lang w:val="en-GB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  <w:r w:rsidRPr="00F65EE5">
        <w:rPr>
          <w:lang w:val="en-US"/>
        </w:rPr>
        <w:br w:type="page"/>
      </w:r>
    </w:p>
    <w:p w:rsidR="0007094C" w:rsidRDefault="0007094C" w:rsidP="0007094C">
      <w:pPr>
        <w:pStyle w:val="NoSpacing"/>
        <w:rPr>
          <w:rFonts w:ascii="Cambria" w:hAnsi="Cambria"/>
          <w:b/>
          <w:sz w:val="24"/>
          <w:szCs w:val="24"/>
          <w:lang w:val="en-GB"/>
        </w:rPr>
      </w:pPr>
    </w:p>
    <w:p w:rsidR="0007094C" w:rsidRDefault="0007094C" w:rsidP="0007094C">
      <w:pPr>
        <w:pStyle w:val="NoSpacing"/>
        <w:rPr>
          <w:rFonts w:ascii="Cambria" w:hAnsi="Cambria"/>
          <w:b/>
          <w:sz w:val="24"/>
          <w:szCs w:val="24"/>
          <w:lang w:val="en-GB"/>
        </w:rPr>
      </w:pPr>
    </w:p>
    <w:p w:rsidR="0007094C" w:rsidRDefault="0007094C" w:rsidP="0007094C">
      <w:pPr>
        <w:pStyle w:val="NoSpacing"/>
        <w:rPr>
          <w:rFonts w:ascii="Cambria" w:hAnsi="Cambria"/>
          <w:b/>
          <w:sz w:val="24"/>
          <w:szCs w:val="24"/>
          <w:lang w:val="en-GB"/>
        </w:rPr>
      </w:pPr>
      <w:r>
        <w:rPr>
          <w:rFonts w:ascii="Cambria" w:hAnsi="Cambria"/>
          <w:b/>
          <w:sz w:val="24"/>
          <w:szCs w:val="24"/>
          <w:lang w:val="en-GB"/>
        </w:rPr>
        <w:t>Supplementary Table 2</w:t>
      </w:r>
      <w:r w:rsidRPr="008B5765">
        <w:rPr>
          <w:rFonts w:ascii="Cambria" w:hAnsi="Cambria"/>
          <w:b/>
          <w:sz w:val="24"/>
          <w:szCs w:val="24"/>
          <w:lang w:val="en-GB"/>
        </w:rPr>
        <w:t xml:space="preserve">. Mean number of histology examinations per week (expected in 2020 </w:t>
      </w:r>
      <w:r>
        <w:rPr>
          <w:rFonts w:ascii="Cambria" w:hAnsi="Cambria"/>
          <w:b/>
          <w:sz w:val="24"/>
          <w:szCs w:val="24"/>
          <w:lang w:val="en-GB"/>
        </w:rPr>
        <w:t>and</w:t>
      </w:r>
      <w:r w:rsidRPr="008B5765">
        <w:rPr>
          <w:rFonts w:ascii="Cambria" w:hAnsi="Cambria"/>
          <w:b/>
          <w:sz w:val="24"/>
          <w:szCs w:val="24"/>
          <w:lang w:val="en-GB"/>
        </w:rPr>
        <w:t xml:space="preserve"> observed in 2019). Total numbers, biopsies, resections, benign and malignant diagnoses</w:t>
      </w:r>
    </w:p>
    <w:p w:rsidR="0007094C" w:rsidRDefault="0007094C" w:rsidP="0007094C">
      <w:pPr>
        <w:pStyle w:val="NoSpacing"/>
        <w:rPr>
          <w:rFonts w:ascii="Cambria" w:hAnsi="Cambria"/>
          <w:b/>
          <w:sz w:val="24"/>
          <w:szCs w:val="24"/>
          <w:lang w:val="en-GB"/>
        </w:rPr>
      </w:pPr>
      <w:r w:rsidRPr="002C6E39">
        <w:rPr>
          <w:noProof/>
          <w:lang w:val="en-US"/>
        </w:rPr>
        <w:drawing>
          <wp:inline distT="0" distB="0" distL="0" distR="0" wp14:anchorId="3BAFE120" wp14:editId="655C6DC7">
            <wp:extent cx="5760720" cy="379489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94C" w:rsidRDefault="0007094C" w:rsidP="0007094C">
      <w:pPr>
        <w:rPr>
          <w:rFonts w:cstheme="minorHAnsi"/>
          <w:sz w:val="20"/>
          <w:szCs w:val="20"/>
          <w:lang w:val="en-GB"/>
        </w:rPr>
      </w:pPr>
      <w:r w:rsidRPr="00506A2C">
        <w:rPr>
          <w:rFonts w:cstheme="minorHAnsi"/>
          <w:sz w:val="20"/>
          <w:szCs w:val="20"/>
          <w:lang w:val="en-GB"/>
        </w:rPr>
        <w:t xml:space="preserve">Legend to </w:t>
      </w:r>
      <w:r>
        <w:rPr>
          <w:rFonts w:cstheme="minorHAnsi"/>
          <w:sz w:val="20"/>
          <w:szCs w:val="20"/>
          <w:lang w:val="en-GB"/>
        </w:rPr>
        <w:t xml:space="preserve">supplementary </w:t>
      </w:r>
      <w:r w:rsidRPr="00506A2C">
        <w:rPr>
          <w:rFonts w:cstheme="minorHAnsi"/>
          <w:sz w:val="20"/>
          <w:szCs w:val="20"/>
          <w:lang w:val="en-GB"/>
        </w:rPr>
        <w:t xml:space="preserve">table </w:t>
      </w:r>
      <w:r>
        <w:rPr>
          <w:rFonts w:cstheme="minorHAnsi"/>
          <w:sz w:val="20"/>
          <w:szCs w:val="20"/>
          <w:lang w:val="en-GB"/>
        </w:rPr>
        <w:t>2</w:t>
      </w:r>
      <w:r w:rsidRPr="00506A2C">
        <w:rPr>
          <w:rFonts w:cstheme="minorHAnsi"/>
          <w:sz w:val="20"/>
          <w:szCs w:val="20"/>
          <w:lang w:val="en-GB"/>
        </w:rPr>
        <w:t xml:space="preserve">: </w:t>
      </w:r>
      <w:r>
        <w:rPr>
          <w:rFonts w:cstheme="minorHAnsi"/>
          <w:sz w:val="20"/>
          <w:szCs w:val="20"/>
          <w:lang w:val="en-GB"/>
        </w:rPr>
        <w:t>For total numbers the expected numbers for 2020 are given. For biopsies, resections, benign, malignant numbers and combinations, the observed numbers of 2019. Dark-</w:t>
      </w:r>
      <w:proofErr w:type="spellStart"/>
      <w:r>
        <w:rPr>
          <w:rFonts w:cstheme="minorHAnsi"/>
          <w:sz w:val="20"/>
          <w:szCs w:val="20"/>
          <w:lang w:val="en-GB"/>
        </w:rPr>
        <w:t>gray</w:t>
      </w:r>
      <w:proofErr w:type="spellEnd"/>
      <w:r>
        <w:rPr>
          <w:rFonts w:cstheme="minorHAnsi"/>
          <w:sz w:val="20"/>
          <w:szCs w:val="20"/>
          <w:lang w:val="en-GB"/>
        </w:rPr>
        <w:t xml:space="preserve"> boxes are those with less than 20 cases per week and therefore not included in further analyses.</w:t>
      </w:r>
    </w:p>
    <w:p w:rsidR="0007094C" w:rsidRPr="0066193F" w:rsidRDefault="0007094C" w:rsidP="0007094C">
      <w:pPr>
        <w:pStyle w:val="NoSpacing"/>
        <w:rPr>
          <w:b/>
          <w:lang w:val="en-GB"/>
        </w:rPr>
      </w:pPr>
    </w:p>
    <w:p w:rsidR="0007094C" w:rsidRPr="00F65EE5" w:rsidRDefault="0007094C" w:rsidP="0007094C">
      <w:pPr>
        <w:pStyle w:val="NoSpacing"/>
        <w:rPr>
          <w:b/>
          <w:lang w:val="en-US"/>
        </w:rPr>
      </w:pPr>
    </w:p>
    <w:p w:rsidR="0007094C" w:rsidRPr="00F65EE5" w:rsidRDefault="0007094C" w:rsidP="0007094C">
      <w:pPr>
        <w:pStyle w:val="NoSpacing"/>
        <w:rPr>
          <w:b/>
          <w:lang w:val="en-US"/>
        </w:rPr>
      </w:pPr>
    </w:p>
    <w:p w:rsidR="0007094C" w:rsidRPr="00F65EE5" w:rsidRDefault="0007094C" w:rsidP="0007094C">
      <w:pPr>
        <w:pStyle w:val="NoSpacing"/>
        <w:rPr>
          <w:b/>
          <w:lang w:val="en-US"/>
        </w:rPr>
      </w:pPr>
    </w:p>
    <w:p w:rsidR="0007094C" w:rsidRPr="00F65EE5" w:rsidRDefault="0007094C" w:rsidP="0007094C">
      <w:pPr>
        <w:pStyle w:val="NoSpacing"/>
        <w:rPr>
          <w:b/>
          <w:lang w:val="en-US"/>
        </w:rPr>
      </w:pPr>
    </w:p>
    <w:p w:rsidR="0007094C" w:rsidRPr="00F65EE5" w:rsidRDefault="0007094C" w:rsidP="0007094C">
      <w:pPr>
        <w:pStyle w:val="NoSpacing"/>
        <w:rPr>
          <w:b/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b/>
          <w:lang w:val="en-US"/>
        </w:rPr>
      </w:pPr>
    </w:p>
    <w:p w:rsidR="0007094C" w:rsidRPr="00F65EE5" w:rsidRDefault="0007094C" w:rsidP="0007094C">
      <w:pPr>
        <w:pStyle w:val="NoSpacing"/>
        <w:rPr>
          <w:b/>
          <w:lang w:val="en-US"/>
        </w:rPr>
      </w:pPr>
    </w:p>
    <w:p w:rsidR="0007094C" w:rsidRPr="00F65EE5" w:rsidRDefault="0007094C" w:rsidP="0007094C">
      <w:pPr>
        <w:pStyle w:val="NoSpacing"/>
        <w:rPr>
          <w:b/>
          <w:lang w:val="en-US"/>
        </w:rPr>
      </w:pPr>
    </w:p>
    <w:p w:rsidR="0007094C" w:rsidRPr="00F65EE5" w:rsidRDefault="0007094C" w:rsidP="0007094C">
      <w:pPr>
        <w:pStyle w:val="NoSpacing"/>
        <w:rPr>
          <w:b/>
          <w:lang w:val="en-US"/>
        </w:rPr>
      </w:pPr>
    </w:p>
    <w:p w:rsidR="0007094C" w:rsidRPr="00F65EE5" w:rsidRDefault="0007094C" w:rsidP="0007094C">
      <w:pPr>
        <w:pStyle w:val="NoSpacing"/>
        <w:rPr>
          <w:b/>
          <w:lang w:val="en-US"/>
        </w:rPr>
      </w:pPr>
    </w:p>
    <w:p w:rsidR="0007094C" w:rsidRPr="00F65EE5" w:rsidRDefault="0007094C" w:rsidP="0007094C">
      <w:pPr>
        <w:pStyle w:val="NoSpacing"/>
        <w:rPr>
          <w:b/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Default="0007094C" w:rsidP="0007094C">
      <w:pPr>
        <w:pStyle w:val="NoSpacing"/>
        <w:rPr>
          <w:rFonts w:ascii="Cambria" w:hAnsi="Cambria"/>
          <w:b/>
          <w:sz w:val="24"/>
          <w:szCs w:val="24"/>
          <w:lang w:val="en-GB"/>
        </w:rPr>
      </w:pPr>
      <w:r w:rsidRPr="00F65EE5">
        <w:rPr>
          <w:rFonts w:ascii="Cambria" w:hAnsi="Cambria"/>
          <w:b/>
          <w:sz w:val="24"/>
          <w:szCs w:val="24"/>
          <w:lang w:val="en-US"/>
        </w:rPr>
        <w:lastRenderedPageBreak/>
        <w:t>Supplementary table 3</w:t>
      </w:r>
      <w:r w:rsidRPr="00506A2C">
        <w:rPr>
          <w:rFonts w:ascii="Cambria" w:hAnsi="Cambria"/>
          <w:b/>
          <w:sz w:val="24"/>
          <w:szCs w:val="24"/>
          <w:lang w:val="en-GB"/>
        </w:rPr>
        <w:t xml:space="preserve">. </w:t>
      </w:r>
      <w:r>
        <w:rPr>
          <w:rFonts w:ascii="Cambria" w:hAnsi="Cambria"/>
          <w:b/>
          <w:sz w:val="24"/>
          <w:szCs w:val="24"/>
          <w:lang w:val="en-GB"/>
        </w:rPr>
        <w:t xml:space="preserve">Ratio of observed average numbers per week in 2020 </w:t>
      </w:r>
      <w:r w:rsidRPr="00506A2C">
        <w:rPr>
          <w:rFonts w:ascii="Cambria" w:hAnsi="Cambria"/>
          <w:b/>
          <w:sz w:val="24"/>
          <w:szCs w:val="24"/>
          <w:lang w:val="en-GB"/>
        </w:rPr>
        <w:t>versus</w:t>
      </w:r>
      <w:r>
        <w:rPr>
          <w:rFonts w:ascii="Cambria" w:hAnsi="Cambria"/>
          <w:b/>
          <w:sz w:val="24"/>
          <w:szCs w:val="24"/>
          <w:lang w:val="en-GB"/>
        </w:rPr>
        <w:t xml:space="preserve"> 2019 for biopsies, resections, benign and malignant specimens </w:t>
      </w:r>
      <w:r w:rsidRPr="00506A2C">
        <w:rPr>
          <w:rFonts w:ascii="Cambria" w:hAnsi="Cambria"/>
          <w:b/>
          <w:sz w:val="24"/>
          <w:szCs w:val="24"/>
          <w:lang w:val="en-GB"/>
        </w:rPr>
        <w:t>acco</w:t>
      </w:r>
      <w:r>
        <w:rPr>
          <w:rFonts w:ascii="Cambria" w:hAnsi="Cambria"/>
          <w:b/>
          <w:sz w:val="24"/>
          <w:szCs w:val="24"/>
          <w:lang w:val="en-GB"/>
        </w:rPr>
        <w:t>rding to tissue type in week 23 – week 26, after first lockdown</w:t>
      </w:r>
      <w:r w:rsidRPr="00506A2C">
        <w:rPr>
          <w:rFonts w:ascii="Cambria" w:hAnsi="Cambria"/>
          <w:b/>
          <w:sz w:val="24"/>
          <w:szCs w:val="24"/>
          <w:lang w:val="en-GB"/>
        </w:rPr>
        <w:t>.</w:t>
      </w:r>
    </w:p>
    <w:p w:rsidR="0007094C" w:rsidRDefault="0007094C" w:rsidP="0007094C">
      <w:pPr>
        <w:pStyle w:val="NoSpacing"/>
        <w:rPr>
          <w:rFonts w:ascii="Cambria" w:hAnsi="Cambria"/>
          <w:b/>
          <w:sz w:val="24"/>
          <w:szCs w:val="24"/>
          <w:lang w:val="en-GB"/>
        </w:rPr>
      </w:pPr>
    </w:p>
    <w:p w:rsidR="0007094C" w:rsidRDefault="0007094C" w:rsidP="0007094C">
      <w:pPr>
        <w:pStyle w:val="NoSpacing"/>
        <w:rPr>
          <w:b/>
        </w:rPr>
      </w:pPr>
      <w:r w:rsidRPr="00425EF7">
        <w:rPr>
          <w:noProof/>
          <w:lang w:val="en-US"/>
        </w:rPr>
        <w:drawing>
          <wp:inline distT="0" distB="0" distL="0" distR="0" wp14:anchorId="25EC4D60" wp14:editId="75612CCB">
            <wp:extent cx="5943600" cy="37062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94C" w:rsidRDefault="0007094C" w:rsidP="0007094C">
      <w:pPr>
        <w:rPr>
          <w:rFonts w:cstheme="minorHAnsi"/>
          <w:sz w:val="20"/>
          <w:szCs w:val="20"/>
          <w:lang w:val="en-GB"/>
        </w:rPr>
      </w:pPr>
    </w:p>
    <w:p w:rsidR="0007094C" w:rsidRPr="00F65EE5" w:rsidRDefault="0007094C" w:rsidP="0007094C">
      <w:pPr>
        <w:rPr>
          <w:rFonts w:cstheme="minorHAnsi"/>
          <w:sz w:val="20"/>
          <w:szCs w:val="20"/>
          <w:lang w:val="en-US"/>
        </w:rPr>
      </w:pPr>
      <w:r w:rsidRPr="00506A2C">
        <w:rPr>
          <w:rFonts w:cstheme="minorHAnsi"/>
          <w:sz w:val="20"/>
          <w:szCs w:val="20"/>
          <w:lang w:val="en-GB"/>
        </w:rPr>
        <w:t xml:space="preserve">Legend to </w:t>
      </w:r>
      <w:r>
        <w:rPr>
          <w:rFonts w:cstheme="minorHAnsi"/>
          <w:sz w:val="20"/>
          <w:szCs w:val="20"/>
          <w:lang w:val="en-GB"/>
        </w:rPr>
        <w:t xml:space="preserve">supplementary </w:t>
      </w:r>
      <w:r w:rsidRPr="00506A2C">
        <w:rPr>
          <w:rFonts w:cstheme="minorHAnsi"/>
          <w:sz w:val="20"/>
          <w:szCs w:val="20"/>
          <w:lang w:val="en-GB"/>
        </w:rPr>
        <w:t>table</w:t>
      </w:r>
      <w:r>
        <w:rPr>
          <w:rFonts w:cstheme="minorHAnsi"/>
          <w:sz w:val="20"/>
          <w:szCs w:val="20"/>
          <w:lang w:val="en-GB"/>
        </w:rPr>
        <w:t xml:space="preserve"> 3</w:t>
      </w:r>
      <w:r w:rsidRPr="00506A2C">
        <w:rPr>
          <w:rFonts w:cstheme="minorHAnsi"/>
          <w:sz w:val="20"/>
          <w:szCs w:val="20"/>
          <w:lang w:val="en-GB"/>
        </w:rPr>
        <w:t xml:space="preserve">: </w:t>
      </w:r>
      <w:r>
        <w:rPr>
          <w:sz w:val="20"/>
          <w:szCs w:val="20"/>
          <w:vertAlign w:val="superscript"/>
          <w:lang w:val="en-GB"/>
        </w:rPr>
        <w:t>*</w:t>
      </w:r>
      <w:r w:rsidRPr="001F6F6E">
        <w:rPr>
          <w:rFonts w:cstheme="minorHAnsi"/>
          <w:sz w:val="20"/>
          <w:szCs w:val="20"/>
          <w:lang w:val="en-GB"/>
        </w:rPr>
        <w:t>Ratio of the numbers observed in 2020 and  the numbers observed in 2019 with, in brackets, the CI  of this ratio</w:t>
      </w:r>
      <w:r>
        <w:rPr>
          <w:rFonts w:cstheme="minorHAnsi"/>
          <w:sz w:val="20"/>
          <w:szCs w:val="20"/>
          <w:lang w:val="en-GB"/>
        </w:rPr>
        <w:t>,</w:t>
      </w:r>
      <w:r w:rsidRPr="001F6F6E">
        <w:rPr>
          <w:rFonts w:cstheme="minorHAnsi"/>
          <w:sz w:val="20"/>
          <w:szCs w:val="20"/>
          <w:lang w:val="en-GB"/>
        </w:rPr>
        <w:t xml:space="preserve"> calculated using the standard error of a ratio of two independent Poisson distributed count variables</w:t>
      </w:r>
      <w:r>
        <w:rPr>
          <w:rFonts w:cstheme="minorHAnsi"/>
          <w:sz w:val="20"/>
          <w:szCs w:val="20"/>
          <w:lang w:val="en-GB"/>
        </w:rPr>
        <w:t xml:space="preserve">. </w:t>
      </w:r>
      <w:r w:rsidRPr="00F65EE5">
        <w:rPr>
          <w:rFonts w:cstheme="minorHAnsi"/>
          <w:sz w:val="20"/>
          <w:szCs w:val="20"/>
          <w:lang w:val="en-US"/>
        </w:rPr>
        <w:t>Red boxes show situations where the confidence interval of the ratio of measured and expected does not contain 100% and is considered statistically significantly different. Red and green numbers show a ratio of less than 85% or more than 115%, which might be clinically significant.</w:t>
      </w:r>
      <w:r w:rsidRPr="0020122F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/>
        </w:rPr>
        <w:t>na</w:t>
      </w:r>
      <w:proofErr w:type="spellEnd"/>
      <w:r>
        <w:rPr>
          <w:rFonts w:cstheme="minorHAnsi"/>
          <w:sz w:val="20"/>
          <w:szCs w:val="20"/>
          <w:lang w:val="en-GB"/>
        </w:rPr>
        <w:t xml:space="preserve"> = not available (less than 20 specimens per week).</w:t>
      </w:r>
    </w:p>
    <w:p w:rsidR="0007094C" w:rsidRPr="00F65EE5" w:rsidRDefault="0007094C" w:rsidP="0007094C">
      <w:pPr>
        <w:rPr>
          <w:rFonts w:cstheme="minorHAnsi"/>
          <w:sz w:val="20"/>
          <w:szCs w:val="20"/>
          <w:lang w:val="en-US"/>
        </w:rPr>
      </w:pPr>
    </w:p>
    <w:p w:rsidR="0007094C" w:rsidRPr="00F65EE5" w:rsidRDefault="0007094C" w:rsidP="0007094C">
      <w:pPr>
        <w:pStyle w:val="NoSpacing"/>
        <w:rPr>
          <w:b/>
          <w:lang w:val="en-US"/>
        </w:rPr>
      </w:pPr>
    </w:p>
    <w:p w:rsidR="0007094C" w:rsidRPr="00F65EE5" w:rsidRDefault="0007094C" w:rsidP="0007094C">
      <w:pPr>
        <w:pStyle w:val="NoSpacing"/>
        <w:rPr>
          <w:b/>
          <w:lang w:val="en-US"/>
        </w:rPr>
      </w:pPr>
      <w:r w:rsidRPr="00F65EE5">
        <w:rPr>
          <w:b/>
          <w:lang w:val="en-US"/>
        </w:rPr>
        <w:br w:type="page"/>
      </w: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E72A88" w:rsidRDefault="0007094C" w:rsidP="0007094C">
      <w:pPr>
        <w:pStyle w:val="NoSpacing"/>
        <w:rPr>
          <w:lang w:val="en-GB"/>
        </w:rPr>
      </w:pPr>
      <w:r w:rsidRPr="00F65EE5">
        <w:rPr>
          <w:rFonts w:ascii="Cambria" w:hAnsi="Cambria"/>
          <w:b/>
          <w:sz w:val="24"/>
          <w:szCs w:val="24"/>
          <w:lang w:val="en-US"/>
        </w:rPr>
        <w:t>Supplementary table 4</w:t>
      </w:r>
      <w:r w:rsidRPr="00506A2C">
        <w:rPr>
          <w:rFonts w:ascii="Cambria" w:hAnsi="Cambria"/>
          <w:b/>
          <w:sz w:val="24"/>
          <w:szCs w:val="24"/>
          <w:lang w:val="en-GB"/>
        </w:rPr>
        <w:t xml:space="preserve">. </w:t>
      </w:r>
      <w:r>
        <w:rPr>
          <w:rFonts w:ascii="Cambria" w:hAnsi="Cambria"/>
          <w:b/>
          <w:sz w:val="24"/>
          <w:szCs w:val="24"/>
          <w:lang w:val="en-GB"/>
        </w:rPr>
        <w:t xml:space="preserve">Ratio of observed average numbers per week in 2020 </w:t>
      </w:r>
      <w:r w:rsidRPr="00506A2C">
        <w:rPr>
          <w:rFonts w:ascii="Cambria" w:hAnsi="Cambria"/>
          <w:b/>
          <w:sz w:val="24"/>
          <w:szCs w:val="24"/>
          <w:lang w:val="en-GB"/>
        </w:rPr>
        <w:t>versus</w:t>
      </w:r>
      <w:r>
        <w:rPr>
          <w:rFonts w:ascii="Cambria" w:hAnsi="Cambria"/>
          <w:b/>
          <w:sz w:val="24"/>
          <w:szCs w:val="24"/>
          <w:lang w:val="en-GB"/>
        </w:rPr>
        <w:t xml:space="preserve"> 2019 for biopsies, resections, benign and malignant specimens </w:t>
      </w:r>
      <w:r w:rsidRPr="00506A2C">
        <w:rPr>
          <w:rFonts w:ascii="Cambria" w:hAnsi="Cambria"/>
          <w:b/>
          <w:sz w:val="24"/>
          <w:szCs w:val="24"/>
          <w:lang w:val="en-GB"/>
        </w:rPr>
        <w:t>acco</w:t>
      </w:r>
      <w:r>
        <w:rPr>
          <w:rFonts w:ascii="Cambria" w:hAnsi="Cambria"/>
          <w:b/>
          <w:sz w:val="24"/>
          <w:szCs w:val="24"/>
          <w:lang w:val="en-GB"/>
        </w:rPr>
        <w:t>rding to tissue type in week 33 – week 36, between both  lockdowns</w:t>
      </w:r>
      <w:r w:rsidRPr="00506A2C">
        <w:rPr>
          <w:rFonts w:ascii="Cambria" w:hAnsi="Cambria"/>
          <w:b/>
          <w:sz w:val="24"/>
          <w:szCs w:val="24"/>
          <w:lang w:val="en-GB"/>
        </w:rPr>
        <w:t>.</w:t>
      </w: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Default="0007094C" w:rsidP="0007094C">
      <w:pPr>
        <w:pStyle w:val="NoSpacing"/>
        <w:rPr>
          <w:b/>
        </w:rPr>
      </w:pPr>
      <w:r w:rsidRPr="00425EF7">
        <w:rPr>
          <w:noProof/>
          <w:lang w:val="en-US"/>
        </w:rPr>
        <w:drawing>
          <wp:inline distT="0" distB="0" distL="0" distR="0" wp14:anchorId="2C006E8B" wp14:editId="279D9BA5">
            <wp:extent cx="5943600" cy="370621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94C" w:rsidRDefault="0007094C" w:rsidP="0007094C">
      <w:pPr>
        <w:pStyle w:val="NoSpacing"/>
        <w:rPr>
          <w:b/>
        </w:rPr>
      </w:pPr>
    </w:p>
    <w:p w:rsidR="0007094C" w:rsidRPr="00F65EE5" w:rsidRDefault="0007094C" w:rsidP="0007094C">
      <w:pPr>
        <w:rPr>
          <w:rFonts w:cstheme="minorHAnsi"/>
          <w:sz w:val="20"/>
          <w:szCs w:val="20"/>
          <w:lang w:val="en-US"/>
        </w:rPr>
      </w:pPr>
      <w:r w:rsidRPr="00506A2C">
        <w:rPr>
          <w:rFonts w:cstheme="minorHAnsi"/>
          <w:sz w:val="20"/>
          <w:szCs w:val="20"/>
          <w:lang w:val="en-GB"/>
        </w:rPr>
        <w:t xml:space="preserve">Legend to </w:t>
      </w:r>
      <w:r>
        <w:rPr>
          <w:rFonts w:cstheme="minorHAnsi"/>
          <w:sz w:val="20"/>
          <w:szCs w:val="20"/>
          <w:lang w:val="en-GB"/>
        </w:rPr>
        <w:t xml:space="preserve">supplementary </w:t>
      </w:r>
      <w:r w:rsidRPr="00506A2C">
        <w:rPr>
          <w:rFonts w:cstheme="minorHAnsi"/>
          <w:sz w:val="20"/>
          <w:szCs w:val="20"/>
          <w:lang w:val="en-GB"/>
        </w:rPr>
        <w:t>table</w:t>
      </w:r>
      <w:r>
        <w:rPr>
          <w:rFonts w:cstheme="minorHAnsi"/>
          <w:sz w:val="20"/>
          <w:szCs w:val="20"/>
          <w:lang w:val="en-GB"/>
        </w:rPr>
        <w:t xml:space="preserve"> 4</w:t>
      </w:r>
      <w:r w:rsidRPr="00506A2C">
        <w:rPr>
          <w:rFonts w:cstheme="minorHAnsi"/>
          <w:sz w:val="20"/>
          <w:szCs w:val="20"/>
          <w:lang w:val="en-GB"/>
        </w:rPr>
        <w:t xml:space="preserve">: </w:t>
      </w:r>
      <w:r>
        <w:rPr>
          <w:sz w:val="20"/>
          <w:szCs w:val="20"/>
          <w:vertAlign w:val="superscript"/>
          <w:lang w:val="en-GB"/>
        </w:rPr>
        <w:t>*</w:t>
      </w:r>
      <w:r w:rsidRPr="001F6F6E">
        <w:rPr>
          <w:rFonts w:cstheme="minorHAnsi"/>
          <w:sz w:val="20"/>
          <w:szCs w:val="20"/>
          <w:lang w:val="en-GB"/>
        </w:rPr>
        <w:t>Ratio of the numbers observed in 2020 and  the numbers observed in 2019 with, in brackets, the CI  of this ratio</w:t>
      </w:r>
      <w:r>
        <w:rPr>
          <w:rFonts w:cstheme="minorHAnsi"/>
          <w:sz w:val="20"/>
          <w:szCs w:val="20"/>
          <w:lang w:val="en-GB"/>
        </w:rPr>
        <w:t>,</w:t>
      </w:r>
      <w:r w:rsidRPr="001F6F6E">
        <w:rPr>
          <w:rFonts w:cstheme="minorHAnsi"/>
          <w:sz w:val="20"/>
          <w:szCs w:val="20"/>
          <w:lang w:val="en-GB"/>
        </w:rPr>
        <w:t xml:space="preserve"> calculated using the standard error of a ratio of two independent Poisson distributed count variables</w:t>
      </w:r>
      <w:r>
        <w:rPr>
          <w:rFonts w:cstheme="minorHAnsi"/>
          <w:sz w:val="20"/>
          <w:szCs w:val="20"/>
          <w:lang w:val="en-GB"/>
        </w:rPr>
        <w:t xml:space="preserve">. </w:t>
      </w:r>
      <w:r w:rsidRPr="00F65EE5">
        <w:rPr>
          <w:rFonts w:cstheme="minorHAnsi"/>
          <w:sz w:val="20"/>
          <w:szCs w:val="20"/>
          <w:lang w:val="en-US"/>
        </w:rPr>
        <w:t xml:space="preserve">Red and green boxes show situations where the confidence interval of the ratio of measured and expected does not contain 100% and is considered statistically significantly different. Red and green numbers show a ratio of less than 85% or more than 115%, which might be clinically significant. </w:t>
      </w:r>
      <w:proofErr w:type="spellStart"/>
      <w:r>
        <w:rPr>
          <w:rFonts w:cstheme="minorHAnsi"/>
          <w:sz w:val="20"/>
          <w:szCs w:val="20"/>
          <w:lang w:val="en-GB"/>
        </w:rPr>
        <w:t>na</w:t>
      </w:r>
      <w:proofErr w:type="spellEnd"/>
      <w:r>
        <w:rPr>
          <w:rFonts w:cstheme="minorHAnsi"/>
          <w:sz w:val="20"/>
          <w:szCs w:val="20"/>
          <w:lang w:val="en-GB"/>
        </w:rPr>
        <w:t xml:space="preserve"> = not available (less than 20 specimens per week).</w:t>
      </w:r>
    </w:p>
    <w:p w:rsidR="0007094C" w:rsidRPr="00F65EE5" w:rsidRDefault="0007094C" w:rsidP="0007094C">
      <w:pPr>
        <w:pStyle w:val="NoSpacing"/>
        <w:rPr>
          <w:b/>
          <w:lang w:val="en-US"/>
        </w:rPr>
      </w:pPr>
      <w:r w:rsidRPr="00F65EE5">
        <w:rPr>
          <w:b/>
          <w:lang w:val="en-US"/>
        </w:rPr>
        <w:br w:type="page"/>
      </w: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Default="0007094C" w:rsidP="0007094C">
      <w:pPr>
        <w:pStyle w:val="NoSpacing"/>
        <w:rPr>
          <w:rFonts w:ascii="Cambria" w:hAnsi="Cambria"/>
          <w:b/>
          <w:sz w:val="24"/>
          <w:szCs w:val="24"/>
          <w:lang w:val="en-GB"/>
        </w:rPr>
      </w:pPr>
      <w:r w:rsidRPr="00F65EE5">
        <w:rPr>
          <w:rFonts w:ascii="Cambria" w:hAnsi="Cambria"/>
          <w:b/>
          <w:sz w:val="24"/>
          <w:szCs w:val="24"/>
          <w:lang w:val="en-US"/>
        </w:rPr>
        <w:t>Supplementary table 5</w:t>
      </w:r>
      <w:r w:rsidRPr="00506A2C">
        <w:rPr>
          <w:rFonts w:ascii="Cambria" w:hAnsi="Cambria"/>
          <w:b/>
          <w:sz w:val="24"/>
          <w:szCs w:val="24"/>
          <w:lang w:val="en-GB"/>
        </w:rPr>
        <w:t xml:space="preserve">. </w:t>
      </w:r>
      <w:r>
        <w:rPr>
          <w:rFonts w:ascii="Cambria" w:hAnsi="Cambria"/>
          <w:b/>
          <w:sz w:val="24"/>
          <w:szCs w:val="24"/>
          <w:lang w:val="en-GB"/>
        </w:rPr>
        <w:t xml:space="preserve">Ratio of observed average numbers per week in 2020 </w:t>
      </w:r>
      <w:r w:rsidRPr="00506A2C">
        <w:rPr>
          <w:rFonts w:ascii="Cambria" w:hAnsi="Cambria"/>
          <w:b/>
          <w:sz w:val="24"/>
          <w:szCs w:val="24"/>
          <w:lang w:val="en-GB"/>
        </w:rPr>
        <w:t>versus</w:t>
      </w:r>
      <w:r>
        <w:rPr>
          <w:rFonts w:ascii="Cambria" w:hAnsi="Cambria"/>
          <w:b/>
          <w:sz w:val="24"/>
          <w:szCs w:val="24"/>
          <w:lang w:val="en-GB"/>
        </w:rPr>
        <w:t xml:space="preserve"> 2019 for biopsies, resections, benign and malignant specimens </w:t>
      </w:r>
      <w:r w:rsidRPr="00506A2C">
        <w:rPr>
          <w:rFonts w:ascii="Cambria" w:hAnsi="Cambria"/>
          <w:b/>
          <w:sz w:val="24"/>
          <w:szCs w:val="24"/>
          <w:lang w:val="en-GB"/>
        </w:rPr>
        <w:t>acco</w:t>
      </w:r>
      <w:r>
        <w:rPr>
          <w:rFonts w:ascii="Cambria" w:hAnsi="Cambria"/>
          <w:b/>
          <w:sz w:val="24"/>
          <w:szCs w:val="24"/>
          <w:lang w:val="en-GB"/>
        </w:rPr>
        <w:t>rding to tissue type in week 43 – week 46, during second lockdown</w:t>
      </w:r>
      <w:r w:rsidRPr="00506A2C">
        <w:rPr>
          <w:rFonts w:ascii="Cambria" w:hAnsi="Cambria"/>
          <w:b/>
          <w:sz w:val="24"/>
          <w:szCs w:val="24"/>
          <w:lang w:val="en-GB"/>
        </w:rPr>
        <w:t>.</w:t>
      </w: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Default="0007094C" w:rsidP="0007094C">
      <w:pPr>
        <w:pStyle w:val="NoSpacing"/>
        <w:rPr>
          <w:b/>
        </w:rPr>
      </w:pPr>
      <w:r w:rsidRPr="00425EF7">
        <w:rPr>
          <w:noProof/>
          <w:lang w:val="en-US"/>
        </w:rPr>
        <w:drawing>
          <wp:inline distT="0" distB="0" distL="0" distR="0" wp14:anchorId="6468D7EA" wp14:editId="25301715">
            <wp:extent cx="5943600" cy="37062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94C" w:rsidRDefault="0007094C" w:rsidP="0007094C">
      <w:pPr>
        <w:pStyle w:val="NoSpacing"/>
        <w:rPr>
          <w:b/>
        </w:rPr>
      </w:pPr>
    </w:p>
    <w:p w:rsidR="0007094C" w:rsidRPr="00F65EE5" w:rsidRDefault="0007094C" w:rsidP="0007094C">
      <w:pPr>
        <w:rPr>
          <w:rFonts w:cstheme="minorHAnsi"/>
          <w:sz w:val="20"/>
          <w:szCs w:val="20"/>
          <w:lang w:val="en-US"/>
        </w:rPr>
      </w:pPr>
      <w:r w:rsidRPr="00506A2C">
        <w:rPr>
          <w:rFonts w:cstheme="minorHAnsi"/>
          <w:sz w:val="20"/>
          <w:szCs w:val="20"/>
          <w:lang w:val="en-GB"/>
        </w:rPr>
        <w:t xml:space="preserve">Legend to </w:t>
      </w:r>
      <w:r>
        <w:rPr>
          <w:rFonts w:cstheme="minorHAnsi"/>
          <w:sz w:val="20"/>
          <w:szCs w:val="20"/>
          <w:lang w:val="en-GB"/>
        </w:rPr>
        <w:t xml:space="preserve">supplementary </w:t>
      </w:r>
      <w:r w:rsidRPr="00506A2C">
        <w:rPr>
          <w:rFonts w:cstheme="minorHAnsi"/>
          <w:sz w:val="20"/>
          <w:szCs w:val="20"/>
          <w:lang w:val="en-GB"/>
        </w:rPr>
        <w:t>table</w:t>
      </w:r>
      <w:r>
        <w:rPr>
          <w:rFonts w:cstheme="minorHAnsi"/>
          <w:sz w:val="20"/>
          <w:szCs w:val="20"/>
          <w:lang w:val="en-GB"/>
        </w:rPr>
        <w:t xml:space="preserve"> 5</w:t>
      </w:r>
      <w:r w:rsidRPr="00506A2C">
        <w:rPr>
          <w:rFonts w:cstheme="minorHAnsi"/>
          <w:sz w:val="20"/>
          <w:szCs w:val="20"/>
          <w:lang w:val="en-GB"/>
        </w:rPr>
        <w:t xml:space="preserve">: </w:t>
      </w:r>
      <w:r>
        <w:rPr>
          <w:sz w:val="20"/>
          <w:szCs w:val="20"/>
          <w:vertAlign w:val="superscript"/>
          <w:lang w:val="en-GB"/>
        </w:rPr>
        <w:t>*</w:t>
      </w:r>
      <w:r w:rsidRPr="001F6F6E">
        <w:rPr>
          <w:rFonts w:cstheme="minorHAnsi"/>
          <w:sz w:val="20"/>
          <w:szCs w:val="20"/>
          <w:lang w:val="en-GB"/>
        </w:rPr>
        <w:t>Ratio of the numbers observed in 2020 and  the numbers observed in 2019 with, in brackets, the CI  of this ratio</w:t>
      </w:r>
      <w:r>
        <w:rPr>
          <w:rFonts w:cstheme="minorHAnsi"/>
          <w:sz w:val="20"/>
          <w:szCs w:val="20"/>
          <w:lang w:val="en-GB"/>
        </w:rPr>
        <w:t>,</w:t>
      </w:r>
      <w:r w:rsidRPr="001F6F6E">
        <w:rPr>
          <w:rFonts w:cstheme="minorHAnsi"/>
          <w:sz w:val="20"/>
          <w:szCs w:val="20"/>
          <w:lang w:val="en-GB"/>
        </w:rPr>
        <w:t xml:space="preserve"> calculated using the standard error of a ratio of two independent Poisson distributed count variables</w:t>
      </w:r>
      <w:r>
        <w:rPr>
          <w:rFonts w:cstheme="minorHAnsi"/>
          <w:sz w:val="20"/>
          <w:szCs w:val="20"/>
          <w:lang w:val="en-GB"/>
        </w:rPr>
        <w:t xml:space="preserve">. </w:t>
      </w:r>
      <w:r w:rsidRPr="00F65EE5">
        <w:rPr>
          <w:rFonts w:cstheme="minorHAnsi"/>
          <w:sz w:val="20"/>
          <w:szCs w:val="20"/>
          <w:lang w:val="en-US"/>
        </w:rPr>
        <w:t>Red boxes show situations where the confidence interval of the ratio of measured and expected does not contain 100% and is considered statistically significantly different. Red and green numbers show a ratio of less than 85% or more than 115%, which might be clinically significant.</w:t>
      </w:r>
      <w:r w:rsidRPr="0020122F">
        <w:rPr>
          <w:rFonts w:cstheme="minorHAnsi"/>
          <w:sz w:val="20"/>
          <w:szCs w:val="20"/>
          <w:lang w:val="en-GB"/>
        </w:rPr>
        <w:t xml:space="preserve"> </w:t>
      </w:r>
      <w:proofErr w:type="spellStart"/>
      <w:r>
        <w:rPr>
          <w:rFonts w:cstheme="minorHAnsi"/>
          <w:sz w:val="20"/>
          <w:szCs w:val="20"/>
          <w:lang w:val="en-GB"/>
        </w:rPr>
        <w:t>na</w:t>
      </w:r>
      <w:proofErr w:type="spellEnd"/>
      <w:r>
        <w:rPr>
          <w:rFonts w:cstheme="minorHAnsi"/>
          <w:sz w:val="20"/>
          <w:szCs w:val="20"/>
          <w:lang w:val="en-GB"/>
        </w:rPr>
        <w:t xml:space="preserve"> = not available (less than 20 specimens per week).</w:t>
      </w:r>
    </w:p>
    <w:p w:rsidR="0007094C" w:rsidRPr="00F65EE5" w:rsidRDefault="0007094C" w:rsidP="0007094C">
      <w:pPr>
        <w:pStyle w:val="NoSpacing"/>
        <w:rPr>
          <w:b/>
          <w:lang w:val="en-US"/>
        </w:rPr>
      </w:pPr>
      <w:r w:rsidRPr="00F65EE5">
        <w:rPr>
          <w:b/>
          <w:lang w:val="en-US"/>
        </w:rPr>
        <w:br w:type="page"/>
      </w: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Default="0007094C" w:rsidP="0007094C">
      <w:pPr>
        <w:pStyle w:val="NoSpacing"/>
        <w:rPr>
          <w:rFonts w:ascii="Cambria" w:hAnsi="Cambria"/>
          <w:b/>
          <w:sz w:val="24"/>
          <w:szCs w:val="24"/>
          <w:lang w:val="en-GB"/>
        </w:rPr>
      </w:pPr>
      <w:r w:rsidRPr="00F65EE5">
        <w:rPr>
          <w:rFonts w:ascii="Cambria" w:hAnsi="Cambria"/>
          <w:b/>
          <w:sz w:val="24"/>
          <w:szCs w:val="24"/>
          <w:lang w:val="en-US"/>
        </w:rPr>
        <w:t>Supplementary table 6</w:t>
      </w:r>
      <w:r w:rsidRPr="00506A2C">
        <w:rPr>
          <w:rFonts w:ascii="Cambria" w:hAnsi="Cambria"/>
          <w:b/>
          <w:sz w:val="24"/>
          <w:szCs w:val="24"/>
          <w:lang w:val="en-GB"/>
        </w:rPr>
        <w:t xml:space="preserve">. </w:t>
      </w:r>
      <w:r>
        <w:rPr>
          <w:rFonts w:ascii="Cambria" w:hAnsi="Cambria"/>
          <w:b/>
          <w:sz w:val="24"/>
          <w:szCs w:val="24"/>
          <w:lang w:val="en-GB"/>
        </w:rPr>
        <w:t xml:space="preserve">Ratio of observed average numbers per week in 2020 </w:t>
      </w:r>
      <w:r w:rsidRPr="00506A2C">
        <w:rPr>
          <w:rFonts w:ascii="Cambria" w:hAnsi="Cambria"/>
          <w:b/>
          <w:sz w:val="24"/>
          <w:szCs w:val="24"/>
          <w:lang w:val="en-GB"/>
        </w:rPr>
        <w:t>versus</w:t>
      </w:r>
      <w:r>
        <w:rPr>
          <w:rFonts w:ascii="Cambria" w:hAnsi="Cambria"/>
          <w:b/>
          <w:sz w:val="24"/>
          <w:szCs w:val="24"/>
          <w:lang w:val="en-GB"/>
        </w:rPr>
        <w:t xml:space="preserve"> 2019 for biopsies, resections, benign and malignant specimens </w:t>
      </w:r>
      <w:r w:rsidRPr="00506A2C">
        <w:rPr>
          <w:rFonts w:ascii="Cambria" w:hAnsi="Cambria"/>
          <w:b/>
          <w:sz w:val="24"/>
          <w:szCs w:val="24"/>
          <w:lang w:val="en-GB"/>
        </w:rPr>
        <w:t>acco</w:t>
      </w:r>
      <w:r>
        <w:rPr>
          <w:rFonts w:ascii="Cambria" w:hAnsi="Cambria"/>
          <w:b/>
          <w:sz w:val="24"/>
          <w:szCs w:val="24"/>
          <w:lang w:val="en-GB"/>
        </w:rPr>
        <w:t>rding to tissue type in week 47 – week 51, during second lockdown</w:t>
      </w:r>
      <w:r w:rsidRPr="00506A2C">
        <w:rPr>
          <w:rFonts w:ascii="Cambria" w:hAnsi="Cambria"/>
          <w:b/>
          <w:sz w:val="24"/>
          <w:szCs w:val="24"/>
          <w:lang w:val="en-GB"/>
        </w:rPr>
        <w:t>.</w:t>
      </w:r>
    </w:p>
    <w:p w:rsidR="0007094C" w:rsidRDefault="0007094C" w:rsidP="0007094C">
      <w:pPr>
        <w:pStyle w:val="NoSpacing"/>
        <w:rPr>
          <w:rFonts w:ascii="Cambria" w:hAnsi="Cambria"/>
          <w:b/>
          <w:sz w:val="24"/>
          <w:szCs w:val="24"/>
          <w:lang w:val="en-GB"/>
        </w:rPr>
      </w:pPr>
    </w:p>
    <w:p w:rsidR="0007094C" w:rsidRDefault="0007094C" w:rsidP="0007094C">
      <w:pPr>
        <w:pStyle w:val="NoSpacing"/>
        <w:rPr>
          <w:b/>
        </w:rPr>
      </w:pPr>
      <w:r w:rsidRPr="00425EF7">
        <w:rPr>
          <w:noProof/>
          <w:lang w:val="en-US"/>
        </w:rPr>
        <w:drawing>
          <wp:inline distT="0" distB="0" distL="0" distR="0" wp14:anchorId="40F249C2" wp14:editId="2A047C1B">
            <wp:extent cx="5943600" cy="3706210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94C" w:rsidRDefault="0007094C" w:rsidP="0007094C">
      <w:pPr>
        <w:pStyle w:val="NoSpacing"/>
        <w:rPr>
          <w:b/>
        </w:rPr>
      </w:pPr>
    </w:p>
    <w:p w:rsidR="0007094C" w:rsidRPr="00F65EE5" w:rsidRDefault="0007094C" w:rsidP="0007094C">
      <w:pPr>
        <w:rPr>
          <w:lang w:val="en-US"/>
        </w:rPr>
      </w:pPr>
      <w:r w:rsidRPr="00506A2C">
        <w:rPr>
          <w:rFonts w:cstheme="minorHAnsi"/>
          <w:sz w:val="20"/>
          <w:szCs w:val="20"/>
          <w:lang w:val="en-GB"/>
        </w:rPr>
        <w:t xml:space="preserve">Legend to </w:t>
      </w:r>
      <w:r>
        <w:rPr>
          <w:rFonts w:cstheme="minorHAnsi"/>
          <w:sz w:val="20"/>
          <w:szCs w:val="20"/>
          <w:lang w:val="en-GB"/>
        </w:rPr>
        <w:t xml:space="preserve">supplementary </w:t>
      </w:r>
      <w:r w:rsidRPr="00506A2C">
        <w:rPr>
          <w:rFonts w:cstheme="minorHAnsi"/>
          <w:sz w:val="20"/>
          <w:szCs w:val="20"/>
          <w:lang w:val="en-GB"/>
        </w:rPr>
        <w:t>table</w:t>
      </w:r>
      <w:r>
        <w:rPr>
          <w:rFonts w:cstheme="minorHAnsi"/>
          <w:sz w:val="20"/>
          <w:szCs w:val="20"/>
          <w:lang w:val="en-GB"/>
        </w:rPr>
        <w:t xml:space="preserve"> 6</w:t>
      </w:r>
      <w:r w:rsidRPr="00506A2C">
        <w:rPr>
          <w:rFonts w:cstheme="minorHAnsi"/>
          <w:sz w:val="20"/>
          <w:szCs w:val="20"/>
          <w:lang w:val="en-GB"/>
        </w:rPr>
        <w:t xml:space="preserve">: </w:t>
      </w:r>
      <w:r>
        <w:rPr>
          <w:sz w:val="20"/>
          <w:szCs w:val="20"/>
          <w:vertAlign w:val="superscript"/>
          <w:lang w:val="en-GB"/>
        </w:rPr>
        <w:t>*</w:t>
      </w:r>
      <w:r w:rsidRPr="001F6F6E">
        <w:rPr>
          <w:rFonts w:cstheme="minorHAnsi"/>
          <w:sz w:val="20"/>
          <w:szCs w:val="20"/>
          <w:lang w:val="en-GB"/>
        </w:rPr>
        <w:t>Ratio of the numbers observed in 2020 and  the numbers observed in 2019 with, in brackets, the CI  of this ratio</w:t>
      </w:r>
      <w:r>
        <w:rPr>
          <w:rFonts w:cstheme="minorHAnsi"/>
          <w:sz w:val="20"/>
          <w:szCs w:val="20"/>
          <w:lang w:val="en-GB"/>
        </w:rPr>
        <w:t>,</w:t>
      </w:r>
      <w:r w:rsidRPr="001F6F6E">
        <w:rPr>
          <w:rFonts w:cstheme="minorHAnsi"/>
          <w:sz w:val="20"/>
          <w:szCs w:val="20"/>
          <w:lang w:val="en-GB"/>
        </w:rPr>
        <w:t xml:space="preserve"> calculated using the standard error of a ratio of two independent Poisson distributed count variables</w:t>
      </w:r>
      <w:r>
        <w:rPr>
          <w:rFonts w:cstheme="minorHAnsi"/>
          <w:sz w:val="20"/>
          <w:szCs w:val="20"/>
          <w:lang w:val="en-GB"/>
        </w:rPr>
        <w:t xml:space="preserve">. </w:t>
      </w:r>
      <w:r w:rsidRPr="00F65EE5">
        <w:rPr>
          <w:rFonts w:cstheme="minorHAnsi"/>
          <w:sz w:val="20"/>
          <w:szCs w:val="20"/>
          <w:lang w:val="en-US"/>
        </w:rPr>
        <w:t xml:space="preserve">Red and green boxes show situations where the confidence interval of the ratio of measured and expected does not contain 100% and is considered statistically significantly different. Red and green numbers show a ratio of less than 85% or more than 115%, which might be clinically significant. </w:t>
      </w:r>
      <w:proofErr w:type="spellStart"/>
      <w:r>
        <w:rPr>
          <w:rFonts w:cstheme="minorHAnsi"/>
          <w:sz w:val="20"/>
          <w:szCs w:val="20"/>
          <w:lang w:val="en-GB"/>
        </w:rPr>
        <w:t>na</w:t>
      </w:r>
      <w:proofErr w:type="spellEnd"/>
      <w:r>
        <w:rPr>
          <w:rFonts w:cstheme="minorHAnsi"/>
          <w:sz w:val="20"/>
          <w:szCs w:val="20"/>
          <w:lang w:val="en-GB"/>
        </w:rPr>
        <w:t xml:space="preserve"> = not available (less than 20 specimens per week).</w:t>
      </w:r>
    </w:p>
    <w:p w:rsidR="0007094C" w:rsidRPr="00F65EE5" w:rsidRDefault="0007094C" w:rsidP="0007094C">
      <w:pPr>
        <w:pStyle w:val="NoSpacing"/>
        <w:rPr>
          <w:noProof/>
          <w:lang w:val="en-US"/>
        </w:rPr>
      </w:pPr>
    </w:p>
    <w:p w:rsidR="0007094C" w:rsidRPr="00F65EE5" w:rsidRDefault="0007094C" w:rsidP="0007094C">
      <w:pPr>
        <w:pStyle w:val="NoSpacing"/>
        <w:rPr>
          <w:noProof/>
          <w:lang w:val="en-US"/>
        </w:rPr>
      </w:pPr>
    </w:p>
    <w:p w:rsidR="0007094C" w:rsidRPr="00F65EE5" w:rsidRDefault="0007094C" w:rsidP="0007094C">
      <w:pPr>
        <w:pStyle w:val="NoSpacing"/>
        <w:rPr>
          <w:noProof/>
          <w:lang w:val="en-US"/>
        </w:rPr>
      </w:pPr>
    </w:p>
    <w:p w:rsidR="0007094C" w:rsidRPr="00F65EE5" w:rsidRDefault="0007094C" w:rsidP="0007094C">
      <w:pPr>
        <w:pStyle w:val="NoSpacing"/>
        <w:rPr>
          <w:noProof/>
          <w:lang w:val="en-US"/>
        </w:rPr>
      </w:pPr>
    </w:p>
    <w:p w:rsidR="0007094C" w:rsidRPr="00F65EE5" w:rsidRDefault="0007094C" w:rsidP="0007094C">
      <w:pPr>
        <w:pStyle w:val="NoSpacing"/>
        <w:rPr>
          <w:noProof/>
          <w:lang w:val="en-US"/>
        </w:rPr>
      </w:pPr>
    </w:p>
    <w:p w:rsidR="0007094C" w:rsidRPr="00F65EE5" w:rsidRDefault="0007094C" w:rsidP="0007094C">
      <w:pPr>
        <w:pStyle w:val="NoSpacing"/>
        <w:rPr>
          <w:noProof/>
          <w:lang w:val="en-US"/>
        </w:rPr>
      </w:pPr>
    </w:p>
    <w:p w:rsidR="0007094C" w:rsidRPr="00F65EE5" w:rsidRDefault="0007094C" w:rsidP="0007094C">
      <w:pPr>
        <w:pStyle w:val="NoSpacing"/>
        <w:rPr>
          <w:noProof/>
          <w:lang w:val="en-US"/>
        </w:rPr>
      </w:pPr>
    </w:p>
    <w:p w:rsidR="0007094C" w:rsidRPr="00F65EE5" w:rsidRDefault="0007094C" w:rsidP="0007094C">
      <w:pPr>
        <w:pStyle w:val="NoSpacing"/>
        <w:rPr>
          <w:noProof/>
          <w:lang w:val="en-US"/>
        </w:rPr>
      </w:pPr>
      <w:r w:rsidRPr="00F65EE5">
        <w:rPr>
          <w:noProof/>
          <w:lang w:val="en-US"/>
        </w:rPr>
        <w:br w:type="page"/>
      </w:r>
    </w:p>
    <w:p w:rsidR="0007094C" w:rsidRPr="00F65EE5" w:rsidRDefault="0007094C" w:rsidP="0007094C">
      <w:pPr>
        <w:pStyle w:val="NoSpacing"/>
        <w:rPr>
          <w:rFonts w:ascii="Cambria" w:hAnsi="Cambria"/>
          <w:b/>
          <w:sz w:val="24"/>
          <w:szCs w:val="24"/>
          <w:lang w:val="en-US"/>
        </w:rPr>
      </w:pPr>
      <w:r w:rsidRPr="00F65EE5">
        <w:rPr>
          <w:rFonts w:ascii="Cambria" w:hAnsi="Cambria"/>
          <w:b/>
          <w:sz w:val="24"/>
          <w:szCs w:val="24"/>
          <w:lang w:val="en-US"/>
        </w:rPr>
        <w:lastRenderedPageBreak/>
        <w:t>Supplementary table 7. Summary of table 5 and supplementary tables 3-6. Periods with statistical significant decrease in numbers in 2020 as compared with 2019 specified for tissue type, procedure and dignity of diagnosis</w:t>
      </w:r>
    </w:p>
    <w:p w:rsidR="0007094C" w:rsidRPr="00F65EE5" w:rsidRDefault="0007094C" w:rsidP="0007094C">
      <w:pPr>
        <w:pStyle w:val="NoSpacing"/>
        <w:rPr>
          <w:lang w:val="en-US"/>
        </w:rPr>
      </w:pPr>
    </w:p>
    <w:p w:rsidR="0007094C" w:rsidRDefault="0007094C" w:rsidP="0007094C">
      <w:pPr>
        <w:pStyle w:val="NoSpacing"/>
      </w:pPr>
      <w:r w:rsidRPr="00314554">
        <w:rPr>
          <w:noProof/>
          <w:lang w:val="en-US"/>
        </w:rPr>
        <w:drawing>
          <wp:inline distT="0" distB="0" distL="0" distR="0" wp14:anchorId="0919EF7A" wp14:editId="4304E2BA">
            <wp:extent cx="5095875" cy="42957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94C" w:rsidRDefault="0007094C" w:rsidP="0007094C">
      <w:pPr>
        <w:pStyle w:val="NoSpacing"/>
        <w:rPr>
          <w:noProof/>
        </w:rPr>
      </w:pPr>
    </w:p>
    <w:p w:rsidR="0007094C" w:rsidRPr="00DC3672" w:rsidRDefault="0007094C" w:rsidP="0007094C">
      <w:pPr>
        <w:pStyle w:val="NoSpacing"/>
        <w:rPr>
          <w:rFonts w:cstheme="minorHAnsi"/>
          <w:sz w:val="20"/>
          <w:szCs w:val="20"/>
          <w:lang w:val="en-US"/>
        </w:rPr>
      </w:pPr>
      <w:r w:rsidRPr="00506A2C">
        <w:rPr>
          <w:rFonts w:cstheme="minorHAnsi"/>
          <w:sz w:val="20"/>
          <w:szCs w:val="20"/>
          <w:lang w:val="en-GB"/>
        </w:rPr>
        <w:t xml:space="preserve">Legend to </w:t>
      </w:r>
      <w:r>
        <w:rPr>
          <w:rFonts w:cstheme="minorHAnsi"/>
          <w:sz w:val="20"/>
          <w:szCs w:val="20"/>
          <w:lang w:val="en-GB"/>
        </w:rPr>
        <w:t xml:space="preserve">supplementary </w:t>
      </w:r>
      <w:r w:rsidRPr="00506A2C">
        <w:rPr>
          <w:rFonts w:cstheme="minorHAnsi"/>
          <w:sz w:val="20"/>
          <w:szCs w:val="20"/>
          <w:lang w:val="en-GB"/>
        </w:rPr>
        <w:t xml:space="preserve">table </w:t>
      </w:r>
      <w:r>
        <w:rPr>
          <w:rFonts w:cstheme="minorHAnsi"/>
          <w:sz w:val="20"/>
          <w:szCs w:val="20"/>
          <w:lang w:val="en-GB"/>
        </w:rPr>
        <w:t>7</w:t>
      </w:r>
      <w:r w:rsidRPr="00506A2C">
        <w:rPr>
          <w:rFonts w:cstheme="minorHAnsi"/>
          <w:sz w:val="20"/>
          <w:szCs w:val="20"/>
          <w:lang w:val="en-GB"/>
        </w:rPr>
        <w:t xml:space="preserve">: </w:t>
      </w:r>
      <w:r w:rsidRPr="00F65EE5">
        <w:rPr>
          <w:rFonts w:cstheme="minorHAnsi"/>
          <w:sz w:val="20"/>
          <w:szCs w:val="20"/>
          <w:lang w:val="en-US"/>
        </w:rPr>
        <w:t xml:space="preserve">Red boxes show situations where all periods show a statistical significant decrease of numbers. Dark brown boxes show situations where 3-4 periods are affected. Light brown boxes show situations 2 periods are affected. Pink boxes show situations where one period is affected. Green boxes (n) show situations where none of the periods seem to be affected. </w:t>
      </w:r>
      <w:r w:rsidRPr="00DC3672">
        <w:rPr>
          <w:rFonts w:cstheme="minorHAnsi"/>
          <w:sz w:val="20"/>
          <w:szCs w:val="20"/>
          <w:lang w:val="en-US"/>
        </w:rPr>
        <w:t xml:space="preserve">Na= no data available. P = period. </w:t>
      </w:r>
    </w:p>
    <w:p w:rsidR="0007094C" w:rsidRPr="00DC3672" w:rsidRDefault="0007094C" w:rsidP="0007094C">
      <w:pPr>
        <w:pStyle w:val="NoSpacing"/>
        <w:rPr>
          <w:lang w:val="en-US"/>
        </w:rPr>
      </w:pPr>
    </w:p>
    <w:p w:rsidR="0007094C" w:rsidRPr="00DC3672" w:rsidRDefault="0007094C" w:rsidP="0007094C">
      <w:pPr>
        <w:pStyle w:val="NoSpacing"/>
        <w:rPr>
          <w:lang w:val="en-US"/>
        </w:rPr>
      </w:pPr>
    </w:p>
    <w:p w:rsidR="0007094C" w:rsidRPr="00DC3672" w:rsidRDefault="0007094C" w:rsidP="0007094C">
      <w:pPr>
        <w:rPr>
          <w:lang w:val="en-US"/>
        </w:rPr>
      </w:pPr>
      <w:r w:rsidRPr="00DC3672">
        <w:rPr>
          <w:lang w:val="en-US"/>
        </w:rPr>
        <w:br w:type="page"/>
      </w:r>
    </w:p>
    <w:p w:rsidR="0007094C" w:rsidRPr="00DC3672" w:rsidRDefault="0007094C" w:rsidP="0007094C">
      <w:pPr>
        <w:pStyle w:val="NoSpacing"/>
        <w:rPr>
          <w:lang w:val="en-US"/>
        </w:rPr>
      </w:pPr>
    </w:p>
    <w:p w:rsidR="0007094C" w:rsidRPr="00DC3672" w:rsidRDefault="0007094C" w:rsidP="0007094C">
      <w:pPr>
        <w:pStyle w:val="NoSpacing"/>
        <w:rPr>
          <w:lang w:val="en-US"/>
        </w:rPr>
      </w:pPr>
    </w:p>
    <w:p w:rsidR="0007094C" w:rsidRDefault="0007094C" w:rsidP="005B1F0B">
      <w:pPr>
        <w:pStyle w:val="EndNoteBibliography"/>
      </w:pPr>
      <w:bookmarkStart w:id="0" w:name="_GoBack"/>
      <w:bookmarkEnd w:id="0"/>
    </w:p>
    <w:p w:rsidR="0007094C" w:rsidRDefault="0007094C" w:rsidP="0007094C">
      <w:pPr>
        <w:pStyle w:val="EndNoteBibliography"/>
        <w:ind w:left="720" w:hanging="720"/>
      </w:pPr>
    </w:p>
    <w:p w:rsidR="0007094C" w:rsidRDefault="0007094C" w:rsidP="0007094C">
      <w:pPr>
        <w:pStyle w:val="EndNoteBibliography"/>
        <w:ind w:left="720" w:hanging="720"/>
      </w:pPr>
    </w:p>
    <w:p w:rsidR="0007094C" w:rsidRDefault="0007094C" w:rsidP="0007094C">
      <w:pPr>
        <w:pStyle w:val="EndNoteBibliography"/>
        <w:ind w:left="720" w:hanging="720"/>
      </w:pPr>
    </w:p>
    <w:p w:rsidR="0007094C" w:rsidRDefault="0007094C" w:rsidP="0007094C">
      <w:pPr>
        <w:pStyle w:val="EndNoteBibliography"/>
        <w:ind w:left="720" w:hanging="720"/>
      </w:pPr>
    </w:p>
    <w:p w:rsidR="0007094C" w:rsidRDefault="0007094C" w:rsidP="0007094C">
      <w:pPr>
        <w:pStyle w:val="EndNoteBibliography"/>
        <w:ind w:left="720" w:hanging="720"/>
      </w:pPr>
    </w:p>
    <w:p w:rsidR="0007094C" w:rsidRDefault="0007094C" w:rsidP="0007094C">
      <w:pPr>
        <w:pStyle w:val="EndNoteBibliography"/>
        <w:ind w:left="720" w:hanging="720"/>
      </w:pPr>
    </w:p>
    <w:p w:rsidR="0007094C" w:rsidRDefault="0007094C" w:rsidP="0007094C">
      <w:pPr>
        <w:pStyle w:val="EndNoteBibliography"/>
        <w:ind w:left="720" w:hanging="720"/>
      </w:pPr>
    </w:p>
    <w:p w:rsidR="0007094C" w:rsidRDefault="0007094C" w:rsidP="0007094C">
      <w:pPr>
        <w:pStyle w:val="EndNoteBibliography"/>
        <w:ind w:left="720" w:hanging="720"/>
      </w:pPr>
    </w:p>
    <w:p w:rsidR="0007094C" w:rsidRDefault="0007094C" w:rsidP="0007094C">
      <w:pPr>
        <w:pStyle w:val="EndNoteBibliography"/>
        <w:ind w:left="720" w:hanging="720"/>
      </w:pPr>
    </w:p>
    <w:p w:rsidR="0007094C" w:rsidRDefault="0007094C" w:rsidP="0007094C">
      <w:pPr>
        <w:pStyle w:val="EndNoteBibliography"/>
        <w:ind w:left="720" w:hanging="720"/>
      </w:pPr>
    </w:p>
    <w:p w:rsidR="0007094C" w:rsidRDefault="0007094C" w:rsidP="0007094C">
      <w:pPr>
        <w:pStyle w:val="EndNoteBibliography"/>
        <w:ind w:left="720" w:hanging="720"/>
      </w:pPr>
    </w:p>
    <w:p w:rsidR="0007094C" w:rsidRDefault="0007094C" w:rsidP="0007094C">
      <w:pPr>
        <w:pStyle w:val="EndNoteBibliography"/>
        <w:ind w:left="720" w:hanging="720"/>
      </w:pPr>
    </w:p>
    <w:p w:rsidR="0007094C" w:rsidRDefault="0007094C" w:rsidP="0007094C">
      <w:pPr>
        <w:pStyle w:val="EndNoteBibliography"/>
        <w:ind w:left="720" w:hanging="720"/>
      </w:pPr>
    </w:p>
    <w:p w:rsidR="0007094C" w:rsidRDefault="0007094C" w:rsidP="0007094C">
      <w:pPr>
        <w:pStyle w:val="EndNoteBibliography"/>
        <w:ind w:left="720" w:hanging="720"/>
      </w:pPr>
    </w:p>
    <w:p w:rsidR="0007094C" w:rsidRDefault="0007094C" w:rsidP="0007094C">
      <w:pPr>
        <w:pStyle w:val="EndNoteBibliography"/>
        <w:ind w:left="720" w:hanging="720"/>
      </w:pPr>
    </w:p>
    <w:p w:rsidR="0007094C" w:rsidRDefault="0007094C" w:rsidP="0007094C">
      <w:pPr>
        <w:pStyle w:val="EndNoteBibliography"/>
        <w:ind w:left="720" w:hanging="720"/>
      </w:pPr>
    </w:p>
    <w:p w:rsidR="00C2111F" w:rsidRPr="0007094C" w:rsidRDefault="00C2111F" w:rsidP="0007094C">
      <w:pPr>
        <w:pStyle w:val="NoSpacing"/>
        <w:rPr>
          <w:lang w:val="en-US"/>
        </w:rPr>
      </w:pPr>
    </w:p>
    <w:sectPr w:rsidR="00C2111F" w:rsidRPr="000709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94C"/>
    <w:rsid w:val="0007094C"/>
    <w:rsid w:val="005B1F0B"/>
    <w:rsid w:val="00C2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B69F8"/>
  <w15:chartTrackingRefBased/>
  <w15:docId w15:val="{12E38007-634D-464E-85A4-0B338CCAE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94C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094C"/>
    <w:pPr>
      <w:spacing w:after="0" w:line="240" w:lineRule="auto"/>
    </w:pPr>
  </w:style>
  <w:style w:type="paragraph" w:customStyle="1" w:styleId="EndNoteBibliography">
    <w:name w:val="EndNote Bibliography"/>
    <w:basedOn w:val="Normal"/>
    <w:link w:val="EndNoteBibliographyChar"/>
    <w:rsid w:val="0007094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7094C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65016\AppData\Local\Temp\Templafy\WordVsto\zoysdt4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isBaseTemplate":false,"templateName":"blankdocument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CD0BFF8B-C29C-4A2A-97A3-738A635A3284}">
  <ds:schemaRefs/>
</ds:datastoreItem>
</file>

<file path=customXml/itemProps2.xml><?xml version="1.0" encoding="utf-8"?>
<ds:datastoreItem xmlns:ds="http://schemas.openxmlformats.org/officeDocument/2006/customXml" ds:itemID="{57971C6D-3F3B-44A4-A545-8AEBE2C733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zoysdt4k.dotx</Template>
  <TotalTime>2</TotalTime>
  <Pages>8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M.F. van Velthuysen</dc:creator>
  <cp:keywords/>
  <dc:description/>
  <cp:lastModifiedBy>Marie-Louise van Velthuysen</cp:lastModifiedBy>
  <cp:revision>3</cp:revision>
  <dcterms:created xsi:type="dcterms:W3CDTF">2022-01-22T15:54:00Z</dcterms:created>
  <dcterms:modified xsi:type="dcterms:W3CDTF">2022-01-22T16:00:00Z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637558934950724457</vt:lpwstr>
  </property>
  <property fmtid="{D5CDD505-2E9C-101B-9397-08002B2CF9AE}" pid="4" name="TemplafyUserProfileId">
    <vt:lpwstr>637738028422688300</vt:lpwstr>
  </property>
  <property fmtid="{D5CDD505-2E9C-101B-9397-08002B2CF9AE}" pid="5" name="TemplafyFromBlank">
    <vt:bool>true</vt:bool>
  </property>
</Properties>
</file>