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97D5A" w14:textId="6D07B15A" w:rsidR="0018733A" w:rsidRPr="000F023C" w:rsidRDefault="0018733A" w:rsidP="0018733A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Appendix</w:t>
      </w:r>
      <w:r w:rsidR="0001344E">
        <w:rPr>
          <w:rFonts w:ascii="Times New Roman" w:hAnsi="Times New Roman" w:cs="Times New Roman"/>
          <w:b/>
        </w:rPr>
        <w:t xml:space="preserve"> </w:t>
      </w:r>
      <w:r w:rsidR="00DF05B7">
        <w:rPr>
          <w:rFonts w:ascii="Times New Roman" w:hAnsi="Times New Roman" w:cs="Times New Roman"/>
          <w:b/>
        </w:rPr>
        <w:t>1</w:t>
      </w:r>
      <w:r w:rsidR="0001344E">
        <w:rPr>
          <w:rFonts w:ascii="Times New Roman" w:hAnsi="Times New Roman" w:cs="Times New Roman"/>
          <w:b/>
        </w:rPr>
        <w:t xml:space="preserve"> </w:t>
      </w:r>
      <w:r w:rsidRPr="000F023C">
        <w:rPr>
          <w:rFonts w:ascii="Times New Roman" w:hAnsi="Times New Roman" w:cs="Times New Roman"/>
          <w:b/>
        </w:rPr>
        <w:t xml:space="preserve"> The </w:t>
      </w:r>
      <w:r w:rsidRPr="000F023C">
        <w:rPr>
          <w:rFonts w:ascii="Times New Roman" w:hAnsi="Times New Roman" w:cs="Times New Roman" w:hint="eastAsia"/>
          <w:b/>
        </w:rPr>
        <w:t>comparison of reimbursement policies in and out</w:t>
      </w:r>
      <w:r>
        <w:rPr>
          <w:rFonts w:ascii="Times New Roman" w:hAnsi="Times New Roman" w:cs="Times New Roman"/>
          <w:b/>
        </w:rPr>
        <w:t xml:space="preserve"> of</w:t>
      </w:r>
      <w:r w:rsidRPr="000F023C">
        <w:rPr>
          <w:rFonts w:ascii="Times New Roman" w:hAnsi="Times New Roman" w:cs="Times New Roman" w:hint="eastAsia"/>
          <w:b/>
        </w:rPr>
        <w:t xml:space="preserve"> Guangdong </w:t>
      </w:r>
      <w:r>
        <w:rPr>
          <w:rFonts w:ascii="Times New Roman" w:hAnsi="Times New Roman" w:cs="Times New Roman"/>
          <w:b/>
        </w:rPr>
        <w:t>P</w:t>
      </w:r>
      <w:r w:rsidRPr="000F023C">
        <w:rPr>
          <w:rFonts w:ascii="Times New Roman" w:hAnsi="Times New Roman" w:cs="Times New Roman" w:hint="eastAsia"/>
          <w:b/>
        </w:rPr>
        <w:t>rovince from 2009 to 2020.</w:t>
      </w:r>
    </w:p>
    <w:p w14:paraId="3F0AB08D" w14:textId="77777777" w:rsidR="0018733A" w:rsidRPr="000C47E4" w:rsidRDefault="0018733A" w:rsidP="0018733A">
      <w:pPr>
        <w:jc w:val="center"/>
        <w:outlineLvl w:val="0"/>
        <w:rPr>
          <w:rFonts w:ascii="Times New Roman" w:hAnsi="Times New Roman" w:cs="Times New Roman"/>
        </w:rPr>
      </w:pPr>
    </w:p>
    <w:tbl>
      <w:tblPr>
        <w:tblStyle w:val="TableGrid"/>
        <w:tblW w:w="15871" w:type="dxa"/>
        <w:tblBorders>
          <w:left w:val="single" w:sz="12" w:space="0" w:color="auto"/>
        </w:tblBorders>
        <w:tblLook w:val="04A0" w:firstRow="1" w:lastRow="0" w:firstColumn="1" w:lastColumn="0" w:noHBand="0" w:noVBand="1"/>
      </w:tblPr>
      <w:tblGrid>
        <w:gridCol w:w="1379"/>
        <w:gridCol w:w="3294"/>
        <w:gridCol w:w="2836"/>
        <w:gridCol w:w="2733"/>
        <w:gridCol w:w="2619"/>
        <w:gridCol w:w="3010"/>
      </w:tblGrid>
      <w:tr w:rsidR="0018733A" w:rsidRPr="000C47E4" w14:paraId="4B228ABF" w14:textId="77777777" w:rsidTr="00C65599">
        <w:trPr>
          <w:trHeight w:val="431"/>
        </w:trPr>
        <w:tc>
          <w:tcPr>
            <w:tcW w:w="0" w:type="auto"/>
            <w:vAlign w:val="center"/>
          </w:tcPr>
          <w:p w14:paraId="1823D64F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863" w:type="dxa"/>
            <w:gridSpan w:val="3"/>
            <w:vAlign w:val="center"/>
          </w:tcPr>
          <w:p w14:paraId="31E15A4F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Reimbursement Policies in</w:t>
            </w:r>
            <w:r w:rsidRPr="000C47E4">
              <w:rPr>
                <w:rFonts w:ascii="Times New Roman" w:hAnsi="Times New Roman" w:cs="Times New Roman"/>
                <w:b/>
              </w:rPr>
              <w:t xml:space="preserve"> GD Province </w:t>
            </w:r>
            <w:r w:rsidRPr="000C47E4">
              <w:rPr>
                <w:rStyle w:val="FootnoteReference"/>
                <w:rFonts w:ascii="Times New Roman" w:hAnsi="Times New Roman" w:cs="Times New Roman"/>
                <w:b/>
              </w:rPr>
              <w:footnoteReference w:id="1"/>
            </w:r>
          </w:p>
        </w:tc>
        <w:tc>
          <w:tcPr>
            <w:tcW w:w="5629" w:type="dxa"/>
            <w:gridSpan w:val="2"/>
            <w:vAlign w:val="center"/>
          </w:tcPr>
          <w:p w14:paraId="2D5258B9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Reimbursement Policies</w:t>
            </w:r>
            <w:r w:rsidRPr="000C47E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0C47E4">
              <w:rPr>
                <w:rFonts w:ascii="Times New Roman" w:hAnsi="Times New Roman" w:cs="Times New Roman"/>
                <w:b/>
              </w:rPr>
              <w:t>ut</w:t>
            </w:r>
            <w:r>
              <w:rPr>
                <w:rFonts w:ascii="Times New Roman" w:hAnsi="Times New Roman" w:cs="Times New Roman"/>
                <w:b/>
              </w:rPr>
              <w:t xml:space="preserve"> of</w:t>
            </w:r>
            <w:r w:rsidRPr="000C47E4">
              <w:rPr>
                <w:rFonts w:ascii="Times New Roman" w:hAnsi="Times New Roman" w:cs="Times New Roman"/>
                <w:b/>
              </w:rPr>
              <w:t xml:space="preserve"> GD Province</w:t>
            </w:r>
          </w:p>
        </w:tc>
      </w:tr>
      <w:tr w:rsidR="0018733A" w:rsidRPr="000C47E4" w14:paraId="726F95B2" w14:textId="77777777" w:rsidTr="00C65599">
        <w:trPr>
          <w:trHeight w:val="376"/>
        </w:trPr>
        <w:tc>
          <w:tcPr>
            <w:tcW w:w="0" w:type="auto"/>
            <w:vAlign w:val="center"/>
          </w:tcPr>
          <w:p w14:paraId="07319D8D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1"/>
              </w:rPr>
              <w:t>Insurance Subtype</w:t>
            </w:r>
          </w:p>
        </w:tc>
        <w:tc>
          <w:tcPr>
            <w:tcW w:w="3294" w:type="dxa"/>
            <w:vAlign w:val="center"/>
          </w:tcPr>
          <w:p w14:paraId="1575EDBC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13F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GZ-RBMI</w:t>
            </w:r>
            <w:r w:rsidRPr="00C13F2B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</w:tc>
        <w:tc>
          <w:tcPr>
            <w:tcW w:w="2836" w:type="dxa"/>
            <w:vAlign w:val="center"/>
          </w:tcPr>
          <w:p w14:paraId="682E1205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13F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GD-contracted </w:t>
            </w:r>
          </w:p>
        </w:tc>
        <w:tc>
          <w:tcPr>
            <w:tcW w:w="2733" w:type="dxa"/>
            <w:vAlign w:val="center"/>
          </w:tcPr>
          <w:p w14:paraId="4A764A05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13F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GD-uncontracted </w:t>
            </w:r>
          </w:p>
        </w:tc>
        <w:tc>
          <w:tcPr>
            <w:tcW w:w="2619" w:type="dxa"/>
            <w:vAlign w:val="center"/>
          </w:tcPr>
          <w:p w14:paraId="3702737D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13F2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Other-contracted</w:t>
            </w:r>
          </w:p>
        </w:tc>
        <w:tc>
          <w:tcPr>
            <w:tcW w:w="3010" w:type="dxa"/>
            <w:vAlign w:val="center"/>
          </w:tcPr>
          <w:p w14:paraId="74155BCC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Other-uncontracted</w:t>
            </w:r>
          </w:p>
        </w:tc>
      </w:tr>
      <w:tr w:rsidR="0018733A" w:rsidRPr="000C47E4" w14:paraId="6C0F12AF" w14:textId="77777777" w:rsidTr="00C65599">
        <w:trPr>
          <w:trHeight w:val="86"/>
        </w:trPr>
        <w:tc>
          <w:tcPr>
            <w:tcW w:w="0" w:type="auto"/>
            <w:vAlign w:val="center"/>
          </w:tcPr>
          <w:p w14:paraId="3DCEBFC8" w14:textId="77777777" w:rsidR="0018733A" w:rsidRPr="000C47E4" w:rsidDel="00371A4B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1"/>
              </w:rPr>
              <w:t xml:space="preserve">Location of Insurance </w:t>
            </w:r>
          </w:p>
        </w:tc>
        <w:tc>
          <w:tcPr>
            <w:tcW w:w="3294" w:type="dxa"/>
            <w:vAlign w:val="center"/>
          </w:tcPr>
          <w:p w14:paraId="3FA027B5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C13F2B">
              <w:rPr>
                <w:rFonts w:ascii="Times New Roman" w:hAnsi="Times New Roman" w:cs="Times New Roman"/>
                <w:bCs/>
                <w:sz w:val="20"/>
              </w:rPr>
              <w:t xml:space="preserve">Guangzhou City </w:t>
            </w:r>
          </w:p>
        </w:tc>
        <w:tc>
          <w:tcPr>
            <w:tcW w:w="2836" w:type="dxa"/>
            <w:vAlign w:val="center"/>
          </w:tcPr>
          <w:p w14:paraId="7E20329A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 xml:space="preserve">Cities in </w:t>
            </w:r>
            <w:r w:rsidRPr="00C13F2B">
              <w:rPr>
                <w:rFonts w:ascii="Times New Roman" w:hAnsi="Times New Roman" w:cs="Times New Roman"/>
                <w:bCs/>
                <w:sz w:val="20"/>
              </w:rPr>
              <w:t>Pear</w:t>
            </w:r>
            <w:r>
              <w:rPr>
                <w:rFonts w:ascii="Times New Roman" w:hAnsi="Times New Roman" w:cs="Times New Roman"/>
                <w:bCs/>
                <w:sz w:val="20"/>
              </w:rPr>
              <w:t>-</w:t>
            </w:r>
            <w:r w:rsidRPr="00C13F2B">
              <w:rPr>
                <w:rFonts w:ascii="Times New Roman" w:hAnsi="Times New Roman" w:cs="Times New Roman"/>
                <w:bCs/>
                <w:sz w:val="20"/>
              </w:rPr>
              <w:t xml:space="preserve">River Delta </w:t>
            </w:r>
          </w:p>
        </w:tc>
        <w:tc>
          <w:tcPr>
            <w:tcW w:w="2733" w:type="dxa"/>
            <w:vAlign w:val="center"/>
          </w:tcPr>
          <w:p w14:paraId="344234B5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 xml:space="preserve">Cities in the </w:t>
            </w:r>
            <w:r w:rsidRPr="00C13F2B">
              <w:rPr>
                <w:rFonts w:ascii="Times New Roman" w:hAnsi="Times New Roman" w:cs="Times New Roman"/>
                <w:bCs/>
                <w:sz w:val="20"/>
              </w:rPr>
              <w:t>East, West and North</w:t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 Wings</w:t>
            </w:r>
            <w:r w:rsidRPr="00C13F2B">
              <w:rPr>
                <w:rFonts w:ascii="Times New Roman" w:hAnsi="Times New Roman" w:cs="Times New Roman"/>
                <w:bCs/>
                <w:sz w:val="20"/>
              </w:rPr>
              <w:t xml:space="preserve"> of GD</w:t>
            </w:r>
          </w:p>
        </w:tc>
        <w:tc>
          <w:tcPr>
            <w:tcW w:w="2619" w:type="dxa"/>
            <w:vAlign w:val="center"/>
          </w:tcPr>
          <w:p w14:paraId="6AECD9D8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C13F2B">
              <w:rPr>
                <w:rFonts w:ascii="Times New Roman" w:hAnsi="Times New Roman" w:cs="Times New Roman"/>
                <w:bCs/>
                <w:sz w:val="20"/>
              </w:rPr>
              <w:t>Outside Guangdong Province</w:t>
            </w:r>
            <w:r w:rsidRPr="00C13F2B">
              <w:rPr>
                <w:rFonts w:ascii="Times New Roman" w:hAnsi="Times New Roman" w:cs="Times New Roman"/>
                <w:bCs/>
                <w:sz w:val="20"/>
                <w:vertAlign w:val="superscript"/>
              </w:rPr>
              <w:t>#1</w:t>
            </w:r>
          </w:p>
        </w:tc>
        <w:tc>
          <w:tcPr>
            <w:tcW w:w="3010" w:type="dxa"/>
            <w:vAlign w:val="center"/>
          </w:tcPr>
          <w:p w14:paraId="1B6E285C" w14:textId="77777777" w:rsidR="0018733A" w:rsidRPr="00C13F2B" w:rsidRDefault="0018733A" w:rsidP="00C65599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765F21">
              <w:rPr>
                <w:rFonts w:ascii="Times New Roman" w:hAnsi="Times New Roman" w:cs="Times New Roman"/>
                <w:bCs/>
                <w:sz w:val="20"/>
              </w:rPr>
              <w:t>Outside Guangdong Province</w:t>
            </w:r>
            <w:r w:rsidRPr="00C13F2B">
              <w:rPr>
                <w:rFonts w:ascii="Times New Roman" w:hAnsi="Times New Roman" w:cs="Times New Roman"/>
                <w:bCs/>
                <w:sz w:val="20"/>
                <w:vertAlign w:val="superscript"/>
              </w:rPr>
              <w:t>#</w:t>
            </w:r>
            <w:r>
              <w:rPr>
                <w:rFonts w:ascii="Times New Roman" w:hAnsi="Times New Roman" w:cs="Times New Roman"/>
                <w:bCs/>
                <w:sz w:val="20"/>
                <w:vertAlign w:val="superscript"/>
              </w:rPr>
              <w:t>2</w:t>
            </w:r>
            <w:r w:rsidRPr="00765F21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</w:p>
        </w:tc>
      </w:tr>
      <w:tr w:rsidR="0018733A" w:rsidRPr="000C47E4" w14:paraId="26BF5DF0" w14:textId="77777777" w:rsidTr="00C65599">
        <w:trPr>
          <w:trHeight w:val="1339"/>
        </w:trPr>
        <w:tc>
          <w:tcPr>
            <w:tcW w:w="0" w:type="auto"/>
            <w:vAlign w:val="center"/>
          </w:tcPr>
          <w:p w14:paraId="194CA56F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b/>
                <w:sz w:val="21"/>
              </w:rPr>
              <w:t>P</w:t>
            </w:r>
            <w:r>
              <w:rPr>
                <w:rFonts w:ascii="Times New Roman" w:hAnsi="Times New Roman" w:cs="Times New Roman"/>
                <w:b/>
                <w:sz w:val="21"/>
              </w:rPr>
              <w:t>ayer-p</w:t>
            </w:r>
            <w:r w:rsidRPr="000C47E4">
              <w:rPr>
                <w:rFonts w:ascii="Times New Roman" w:hAnsi="Times New Roman" w:cs="Times New Roman" w:hint="eastAsia"/>
                <w:b/>
                <w:sz w:val="21"/>
              </w:rPr>
              <w:t xml:space="preserve">rovider </w:t>
            </w:r>
            <w:r>
              <w:rPr>
                <w:rFonts w:ascii="Times New Roman" w:hAnsi="Times New Roman" w:cs="Times New Roman"/>
                <w:b/>
                <w:sz w:val="21"/>
              </w:rPr>
              <w:t>C</w:t>
            </w:r>
            <w:r w:rsidRPr="000C47E4">
              <w:rPr>
                <w:rFonts w:ascii="Times New Roman" w:hAnsi="Times New Roman" w:cs="Times New Roman" w:hint="eastAsia"/>
                <w:b/>
                <w:sz w:val="21"/>
              </w:rPr>
              <w:t>ontract</w:t>
            </w:r>
          </w:p>
        </w:tc>
        <w:tc>
          <w:tcPr>
            <w:tcW w:w="3294" w:type="dxa"/>
            <w:vAlign w:val="center"/>
          </w:tcPr>
          <w:p w14:paraId="2C734F7E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GZ-RBMI </w:t>
            </w:r>
            <w:r>
              <w:rPr>
                <w:rFonts w:ascii="Times New Roman" w:hAnsi="Times New Roman" w:cs="Times New Roman"/>
                <w:sz w:val="20"/>
              </w:rPr>
              <w:t>offer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 instant reimbursement </w:t>
            </w:r>
            <w:r>
              <w:rPr>
                <w:rFonts w:ascii="Times New Roman" w:hAnsi="Times New Roman" w:cs="Times New Roman"/>
                <w:sz w:val="20"/>
              </w:rPr>
              <w:t>and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highest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 RR </w:t>
            </w:r>
            <w:r>
              <w:rPr>
                <w:rFonts w:ascii="Times New Roman" w:hAnsi="Times New Roman" w:cs="Times New Roman"/>
                <w:sz w:val="20"/>
              </w:rPr>
              <w:t>for the insured Guangzhou patients.</w:t>
            </w:r>
          </w:p>
        </w:tc>
        <w:tc>
          <w:tcPr>
            <w:tcW w:w="2836" w:type="dxa"/>
            <w:vAlign w:val="center"/>
          </w:tcPr>
          <w:p w14:paraId="5EBD6924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>refectures contract</w:t>
            </w:r>
            <w:r>
              <w:rPr>
                <w:rFonts w:ascii="Times New Roman" w:hAnsi="Times New Roman" w:cs="Times New Roman" w:hint="eastAsia"/>
                <w:sz w:val="20"/>
              </w:rPr>
              <w:t>ed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 with </w:t>
            </w:r>
            <w:r>
              <w:rPr>
                <w:rFonts w:ascii="Times New Roman" w:hAnsi="Times New Roman" w:cs="Times New Roman"/>
                <w:sz w:val="20"/>
              </w:rPr>
              <w:t xml:space="preserve">the 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2 </w:t>
            </w:r>
            <w:r w:rsidRPr="000C47E4">
              <w:rPr>
                <w:rFonts w:ascii="Times New Roman" w:hAnsi="Times New Roman" w:cs="Times New Roman"/>
                <w:sz w:val="20"/>
              </w:rPr>
              <w:t>hospitals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; patients enjoy similar RR &amp; list compared to </w:t>
            </w:r>
            <w:r w:rsidRPr="000C47E4">
              <w:rPr>
                <w:rFonts w:ascii="Times New Roman" w:hAnsi="Times New Roman" w:cs="Times New Roman"/>
                <w:sz w:val="20"/>
              </w:rPr>
              <w:t>patient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>s treated in home city.</w:t>
            </w:r>
          </w:p>
        </w:tc>
        <w:tc>
          <w:tcPr>
            <w:tcW w:w="2733" w:type="dxa"/>
            <w:vAlign w:val="center"/>
          </w:tcPr>
          <w:p w14:paraId="23777826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Some prefectures signed contract with 2 </w:t>
            </w:r>
            <w:r w:rsidRPr="000C47E4">
              <w:rPr>
                <w:rFonts w:ascii="Times New Roman" w:hAnsi="Times New Roman" w:cs="Times New Roman"/>
                <w:sz w:val="20"/>
              </w:rPr>
              <w:t>hospitals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 xml:space="preserve">; patients enjoy lower RR &amp; limited list compared to </w:t>
            </w:r>
            <w:r w:rsidRPr="000C47E4">
              <w:rPr>
                <w:rFonts w:ascii="Times New Roman" w:hAnsi="Times New Roman" w:cs="Times New Roman"/>
                <w:sz w:val="20"/>
              </w:rPr>
              <w:t>patient</w:t>
            </w:r>
            <w:r w:rsidRPr="000C47E4">
              <w:rPr>
                <w:rFonts w:ascii="Times New Roman" w:hAnsi="Times New Roman" w:cs="Times New Roman" w:hint="eastAsia"/>
                <w:sz w:val="20"/>
              </w:rPr>
              <w:t>s treated in home city.</w:t>
            </w:r>
          </w:p>
        </w:tc>
        <w:tc>
          <w:tcPr>
            <w:tcW w:w="2619" w:type="dxa"/>
            <w:vAlign w:val="center"/>
          </w:tcPr>
          <w:p w14:paraId="39491D20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7E4">
              <w:rPr>
                <w:rFonts w:ascii="Times New Roman" w:hAnsi="Times New Roman" w:cs="Times New Roman" w:hint="eastAsia"/>
                <w:sz w:val="20"/>
              </w:rPr>
              <w:t>Not contracted with 2 hospitals.</w:t>
            </w:r>
          </w:p>
        </w:tc>
        <w:tc>
          <w:tcPr>
            <w:tcW w:w="3010" w:type="dxa"/>
            <w:vAlign w:val="center"/>
          </w:tcPr>
          <w:p w14:paraId="44EF2DDD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7E4">
              <w:rPr>
                <w:rFonts w:ascii="Times New Roman" w:hAnsi="Times New Roman" w:cs="Times New Roman" w:hint="eastAsia"/>
                <w:sz w:val="20"/>
              </w:rPr>
              <w:t>Not contracted with 2 hospitals.</w:t>
            </w:r>
          </w:p>
        </w:tc>
      </w:tr>
      <w:tr w:rsidR="0018733A" w:rsidRPr="000C47E4" w14:paraId="5C1C40A1" w14:textId="77777777" w:rsidTr="00C65599">
        <w:trPr>
          <w:trHeight w:val="1317"/>
        </w:trPr>
        <w:tc>
          <w:tcPr>
            <w:tcW w:w="0" w:type="auto"/>
            <w:vAlign w:val="center"/>
          </w:tcPr>
          <w:p w14:paraId="1683942F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C47E4">
              <w:rPr>
                <w:rFonts w:ascii="Times New Roman" w:hAnsi="Times New Roman" w:cs="Times New Roman"/>
                <w:b/>
                <w:sz w:val="21"/>
              </w:rPr>
              <w:t>2009-2011</w:t>
            </w:r>
          </w:p>
        </w:tc>
        <w:tc>
          <w:tcPr>
            <w:tcW w:w="8863" w:type="dxa"/>
            <w:gridSpan w:val="3"/>
            <w:vAlign w:val="center"/>
          </w:tcPr>
          <w:p w14:paraId="50D89A4D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/>
                <w:sz w:val="21"/>
              </w:rPr>
              <w:t xml:space="preserve">Cover only inpatient costs. Treated as common diseases with no additional subsidies. Reimbursed 80% from primary care, 70% from secondary and 60% from tertiary hospital. Annual ceiling at </w:t>
            </w:r>
            <w:r>
              <w:rPr>
                <w:rFonts w:ascii="Times New Roman" w:hAnsi="Times New Roman" w:cs="Times New Roman"/>
                <w:sz w:val="21"/>
              </w:rPr>
              <w:t>CNY</w:t>
            </w:r>
            <w:r w:rsidRPr="000C47E4">
              <w:rPr>
                <w:rFonts w:ascii="Times New Roman" w:hAnsi="Times New Roman" w:cs="Times New Roman"/>
                <w:sz w:val="21"/>
              </w:rPr>
              <w:t>100,000.</w:t>
            </w:r>
          </w:p>
        </w:tc>
        <w:tc>
          <w:tcPr>
            <w:tcW w:w="2619" w:type="dxa"/>
            <w:vAlign w:val="center"/>
          </w:tcPr>
          <w:p w14:paraId="20A463E7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/>
                <w:sz w:val="21"/>
              </w:rPr>
              <w:t xml:space="preserve">Similar policy with higher annual ceiling at </w:t>
            </w:r>
            <w:r>
              <w:rPr>
                <w:rFonts w:ascii="Times New Roman" w:hAnsi="Times New Roman" w:cs="Times New Roman"/>
                <w:sz w:val="21"/>
              </w:rPr>
              <w:t>CNY</w:t>
            </w:r>
            <w:r w:rsidRPr="000C47E4">
              <w:rPr>
                <w:rFonts w:ascii="Times New Roman" w:hAnsi="Times New Roman" w:cs="Times New Roman"/>
                <w:sz w:val="21"/>
              </w:rPr>
              <w:t xml:space="preserve"> 150</w:t>
            </w:r>
            <w:r>
              <w:rPr>
                <w:rFonts w:ascii="Times New Roman" w:hAnsi="Times New Roman" w:cs="Times New Roman"/>
                <w:sz w:val="21"/>
              </w:rPr>
              <w:t>k</w:t>
            </w:r>
            <w:r w:rsidRPr="000C47E4">
              <w:rPr>
                <w:rFonts w:ascii="Times New Roman" w:hAnsi="Times New Roman" w:cs="Times New Roman"/>
                <w:sz w:val="21"/>
              </w:rPr>
              <w:t>-200</w:t>
            </w:r>
            <w:r>
              <w:rPr>
                <w:rFonts w:ascii="Times New Roman" w:hAnsi="Times New Roman" w:cs="Times New Roman"/>
                <w:sz w:val="21"/>
              </w:rPr>
              <w:t>k</w:t>
            </w:r>
            <w:r w:rsidRPr="000C47E4">
              <w:rPr>
                <w:rFonts w:ascii="Times New Roman" w:hAnsi="Times New Roman" w:cs="Times New Roman"/>
                <w:sz w:val="21"/>
              </w:rPr>
              <w:t>.</w:t>
            </w:r>
          </w:p>
        </w:tc>
        <w:tc>
          <w:tcPr>
            <w:tcW w:w="3010" w:type="dxa"/>
            <w:vAlign w:val="center"/>
          </w:tcPr>
          <w:p w14:paraId="5D9945EB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/>
                <w:sz w:val="21"/>
              </w:rPr>
              <w:t>Similar policy but lower reimbursement rate.</w:t>
            </w:r>
          </w:p>
        </w:tc>
      </w:tr>
      <w:tr w:rsidR="0018733A" w:rsidRPr="000C47E4" w14:paraId="15696504" w14:textId="77777777" w:rsidTr="00C65599">
        <w:trPr>
          <w:trHeight w:val="1010"/>
        </w:trPr>
        <w:tc>
          <w:tcPr>
            <w:tcW w:w="0" w:type="auto"/>
            <w:vAlign w:val="center"/>
          </w:tcPr>
          <w:p w14:paraId="42E84EC8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C47E4">
              <w:rPr>
                <w:rFonts w:ascii="Times New Roman" w:hAnsi="Times New Roman" w:cs="Times New Roman"/>
                <w:b/>
                <w:sz w:val="21"/>
              </w:rPr>
              <w:t>2012-2014</w:t>
            </w:r>
          </w:p>
        </w:tc>
        <w:tc>
          <w:tcPr>
            <w:tcW w:w="8863" w:type="dxa"/>
            <w:gridSpan w:val="3"/>
            <w:vAlign w:val="center"/>
          </w:tcPr>
          <w:p w14:paraId="652336E1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/>
                <w:sz w:val="21"/>
              </w:rPr>
              <w:t xml:space="preserve">Pediatric leukemia was entitled secondary reimbursement from RBMI nationally. Reimbursement increased 5 percent point and annual ceiling improved to </w:t>
            </w:r>
            <w:r>
              <w:rPr>
                <w:rFonts w:ascii="Times New Roman" w:hAnsi="Times New Roman" w:cs="Times New Roman"/>
                <w:sz w:val="21"/>
              </w:rPr>
              <w:t>CNY</w:t>
            </w:r>
            <w:r w:rsidRPr="000C47E4">
              <w:rPr>
                <w:rFonts w:ascii="Times New Roman" w:hAnsi="Times New Roman" w:cs="Times New Roman" w:hint="eastAsia"/>
                <w:sz w:val="21"/>
              </w:rPr>
              <w:t xml:space="preserve">100-150k </w:t>
            </w:r>
            <w:r w:rsidRPr="000C47E4">
              <w:rPr>
                <w:rFonts w:ascii="Times New Roman" w:hAnsi="Times New Roman" w:cs="Times New Roman"/>
                <w:sz w:val="21"/>
              </w:rPr>
              <w:t>average.</w:t>
            </w:r>
          </w:p>
        </w:tc>
        <w:tc>
          <w:tcPr>
            <w:tcW w:w="2619" w:type="dxa"/>
            <w:vAlign w:val="center"/>
          </w:tcPr>
          <w:p w14:paraId="12FD48FB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/>
                <w:sz w:val="21"/>
              </w:rPr>
              <w:t>Similar to Guangdong.</w:t>
            </w:r>
          </w:p>
        </w:tc>
        <w:tc>
          <w:tcPr>
            <w:tcW w:w="3010" w:type="dxa"/>
            <w:vAlign w:val="center"/>
          </w:tcPr>
          <w:p w14:paraId="19E58699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/>
                <w:sz w:val="21"/>
              </w:rPr>
              <w:t>Lower annual ceiling, and Cooperative medical scheme increased ceiling to 8 times average annual family income of peasants.</w:t>
            </w:r>
          </w:p>
        </w:tc>
      </w:tr>
      <w:tr w:rsidR="0018733A" w:rsidRPr="000C47E4" w14:paraId="122BACE6" w14:textId="77777777" w:rsidTr="00C65599">
        <w:tc>
          <w:tcPr>
            <w:tcW w:w="0" w:type="auto"/>
            <w:vAlign w:val="center"/>
          </w:tcPr>
          <w:p w14:paraId="0754FE3B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C47E4">
              <w:rPr>
                <w:rFonts w:ascii="Times New Roman" w:hAnsi="Times New Roman" w:cs="Times New Roman"/>
                <w:b/>
                <w:sz w:val="21"/>
              </w:rPr>
              <w:t>2015-2016</w:t>
            </w:r>
          </w:p>
        </w:tc>
        <w:tc>
          <w:tcPr>
            <w:tcW w:w="3294" w:type="dxa"/>
            <w:vAlign w:val="center"/>
          </w:tcPr>
          <w:p w14:paraId="62A9E49D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18k enter plan B</w:t>
            </w:r>
          </w:p>
          <w:p w14:paraId="2AB44A4E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 xml:space="preserve">annual </w:t>
            </w:r>
            <w:r w:rsidRPr="000C47E4">
              <w:rPr>
                <w:rFonts w:ascii="Times New Roman" w:hAnsi="Times New Roman" w:cs="Times New Roman"/>
                <w:sz w:val="21"/>
              </w:rPr>
              <w:t>ceiling</w:t>
            </w:r>
            <w:r w:rsidRPr="000C47E4">
              <w:rPr>
                <w:rFonts w:ascii="Times New Roman" w:hAnsi="Times New Roman" w:cs="Times New Roman" w:hint="eastAsia"/>
                <w:sz w:val="21"/>
              </w:rPr>
              <w:t xml:space="preserve"> 120k</w:t>
            </w:r>
          </w:p>
          <w:p w14:paraId="6193620F" w14:textId="77777777" w:rsidR="0018733A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average RR 70%</w:t>
            </w:r>
          </w:p>
          <w:p w14:paraId="6E25BD7A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(CNY)</w:t>
            </w:r>
          </w:p>
        </w:tc>
        <w:tc>
          <w:tcPr>
            <w:tcW w:w="2836" w:type="dxa"/>
            <w:vAlign w:val="center"/>
          </w:tcPr>
          <w:p w14:paraId="38E2DDF8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--</w:t>
            </w:r>
          </w:p>
        </w:tc>
        <w:tc>
          <w:tcPr>
            <w:tcW w:w="2733" w:type="dxa"/>
            <w:vAlign w:val="center"/>
          </w:tcPr>
          <w:p w14:paraId="726A3541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--</w:t>
            </w:r>
          </w:p>
        </w:tc>
        <w:tc>
          <w:tcPr>
            <w:tcW w:w="2619" w:type="dxa"/>
            <w:vAlign w:val="center"/>
          </w:tcPr>
          <w:p w14:paraId="6F89E75C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Deductible line to 50k: 50% reimbursed; 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o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ver 50k:60%;</w:t>
            </w:r>
          </w:p>
          <w:p w14:paraId="187DB23B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Annual ceiling 300k.</w:t>
            </w:r>
          </w:p>
          <w:p w14:paraId="292B3403" w14:textId="77777777" w:rsidR="0018733A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deductible line: 20k</w:t>
            </w:r>
          </w:p>
          <w:p w14:paraId="797721DD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CNY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010" w:type="dxa"/>
            <w:vAlign w:val="center"/>
          </w:tcPr>
          <w:p w14:paraId="6A5B2620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/>
                <w:sz w:val="21"/>
                <w:szCs w:val="21"/>
              </w:rPr>
              <w:t>Deducible</w:t>
            </w: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 xml:space="preserve"> line for Plan B 15k,</w:t>
            </w:r>
          </w:p>
          <w:p w14:paraId="45D289CB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annual ceiling 300k.</w:t>
            </w:r>
          </w:p>
          <w:p w14:paraId="38FD075D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/>
                <w:sz w:val="21"/>
                <w:szCs w:val="21"/>
              </w:rPr>
              <w:t>Reimbursement.</w:t>
            </w:r>
          </w:p>
          <w:p w14:paraId="5E1053B9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15-50k, 50%</w:t>
            </w:r>
          </w:p>
          <w:p w14:paraId="3368D15A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50-100k:55%</w:t>
            </w:r>
            <w:r w:rsidRPr="000C47E4">
              <w:rPr>
                <w:rFonts w:ascii="Microsoft YaHei" w:eastAsia="Microsoft YaHei" w:hAnsi="Microsoft YaHei" w:cs="Microsoft YaHei" w:hint="eastAsia"/>
                <w:sz w:val="21"/>
                <w:szCs w:val="21"/>
              </w:rPr>
              <w:t>；</w:t>
            </w:r>
          </w:p>
          <w:p w14:paraId="573427CF" w14:textId="77777777" w:rsidR="0018733A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over 100k 65%.</w:t>
            </w:r>
          </w:p>
          <w:p w14:paraId="06E8204C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</w:rPr>
              <w:t>CNY</w:t>
            </w:r>
            <w:r>
              <w:rPr>
                <w:rFonts w:ascii="Times New Roman" w:eastAsiaTheme="minorHAnsi" w:hAnsi="Times New Roman" w:cs="Times New Roman"/>
                <w:sz w:val="21"/>
                <w:szCs w:val="21"/>
              </w:rPr>
              <w:t>)</w:t>
            </w:r>
          </w:p>
        </w:tc>
      </w:tr>
      <w:tr w:rsidR="0018733A" w:rsidRPr="000C47E4" w14:paraId="0F1BC3D2" w14:textId="77777777" w:rsidTr="00C65599">
        <w:trPr>
          <w:trHeight w:val="1668"/>
        </w:trPr>
        <w:tc>
          <w:tcPr>
            <w:tcW w:w="0" w:type="auto"/>
            <w:vAlign w:val="center"/>
          </w:tcPr>
          <w:p w14:paraId="3094AA41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 w:rsidRPr="000C47E4">
              <w:rPr>
                <w:rFonts w:ascii="Times New Roman" w:hAnsi="Times New Roman" w:cs="Times New Roman"/>
                <w:b/>
                <w:sz w:val="21"/>
              </w:rPr>
              <w:t>2017-2018</w:t>
            </w:r>
          </w:p>
        </w:tc>
        <w:tc>
          <w:tcPr>
            <w:tcW w:w="3294" w:type="dxa"/>
            <w:vAlign w:val="center"/>
          </w:tcPr>
          <w:p w14:paraId="52544A04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2017</w:t>
            </w:r>
          </w:p>
          <w:p w14:paraId="06A86375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20k: enter plan b</w:t>
            </w:r>
          </w:p>
          <w:p w14:paraId="04FC377B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20-50k, 50%,</w:t>
            </w:r>
          </w:p>
          <w:p w14:paraId="5AE91118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50-100k, 60%,</w:t>
            </w:r>
          </w:p>
          <w:p w14:paraId="3A41B463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&gt;100k, 70%,</w:t>
            </w:r>
          </w:p>
          <w:p w14:paraId="05B21EAC" w14:textId="77777777" w:rsidR="0018733A" w:rsidRPr="000C47E4" w:rsidRDefault="0018733A" w:rsidP="00C65599">
            <w:pPr>
              <w:jc w:val="center"/>
              <w:rPr>
                <w:rFonts w:ascii="SimSun" w:eastAsia="SimSun" w:hAnsi="SimSun"/>
              </w:rPr>
            </w:pPr>
            <w:r w:rsidRPr="000C47E4">
              <w:rPr>
                <w:rFonts w:ascii="Times New Roman" w:hAnsi="Times New Roman" w:cs="Times New Roman" w:hint="eastAsia"/>
                <w:sz w:val="21"/>
              </w:rPr>
              <w:t>annual ceiling 300k</w:t>
            </w:r>
          </w:p>
          <w:p w14:paraId="1D4F64C2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 (CNY)</w:t>
            </w:r>
          </w:p>
        </w:tc>
        <w:tc>
          <w:tcPr>
            <w:tcW w:w="2836" w:type="dxa"/>
            <w:vAlign w:val="center"/>
          </w:tcPr>
          <w:p w14:paraId="09D929C4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deductible 20k.</w:t>
            </w:r>
          </w:p>
          <w:p w14:paraId="6B23FC06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CNY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20-50k, </w:t>
            </w:r>
            <w:r w:rsidRPr="000C47E4">
              <w:rPr>
                <w:rFonts w:ascii="Times New Roman" w:hAnsi="Times New Roman" w:cs="Times New Roman"/>
                <w:bCs/>
                <w:sz w:val="21"/>
                <w:szCs w:val="21"/>
              </w:rPr>
              <w:t>60%,</w:t>
            </w:r>
          </w:p>
          <w:p w14:paraId="5E885861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CNY</w:t>
            </w:r>
            <w:r w:rsidRPr="000C47E4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50-100k, </w:t>
            </w:r>
            <w:r w:rsidRPr="000C47E4">
              <w:rPr>
                <w:rFonts w:ascii="Times New Roman" w:hAnsi="Times New Roman" w:cs="Times New Roman"/>
                <w:bCs/>
                <w:sz w:val="21"/>
                <w:szCs w:val="21"/>
              </w:rPr>
              <w:t>70%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FB37827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CNY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Ov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 xml:space="preserve">er 100k, </w:t>
            </w:r>
            <w:r w:rsidRPr="000C47E4">
              <w:rPr>
                <w:rFonts w:ascii="Times New Roman" w:hAnsi="Times New Roman" w:cs="Times New Roman"/>
                <w:bCs/>
                <w:sz w:val="21"/>
                <w:szCs w:val="21"/>
              </w:rPr>
              <w:t>80%</w:t>
            </w:r>
          </w:p>
          <w:p w14:paraId="13152DC3" w14:textId="77777777" w:rsidR="0018733A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nnual ceiling 300k 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special drugs on list exempted).</w:t>
            </w:r>
          </w:p>
          <w:p w14:paraId="2E895128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(CNY)</w:t>
            </w:r>
          </w:p>
        </w:tc>
        <w:tc>
          <w:tcPr>
            <w:tcW w:w="2733" w:type="dxa"/>
            <w:vAlign w:val="center"/>
          </w:tcPr>
          <w:p w14:paraId="64FB31AA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2017: deductible 10k. 10-30k, </w:t>
            </w:r>
            <w:r w:rsidRPr="000C47E4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55</w:t>
            </w:r>
            <w:r w:rsidRPr="000C47E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%, </w:t>
            </w:r>
            <w:r w:rsidRPr="000C47E4"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&gt;30k, </w:t>
            </w:r>
            <w:r w:rsidRPr="000C47E4">
              <w:rPr>
                <w:rFonts w:ascii="Times New Roman" w:hAnsi="Times New Roman" w:cs="Times New Roman"/>
                <w:bCs/>
                <w:sz w:val="21"/>
                <w:szCs w:val="21"/>
              </w:rPr>
              <w:t>70%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;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nnual ceiling 300k</w:t>
            </w:r>
          </w:p>
          <w:p w14:paraId="13AD2133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(CNY)</w:t>
            </w:r>
          </w:p>
        </w:tc>
        <w:tc>
          <w:tcPr>
            <w:tcW w:w="2619" w:type="dxa"/>
            <w:vAlign w:val="center"/>
          </w:tcPr>
          <w:p w14:paraId="73DF5E37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Deductible line to 50k: 60% reimbursed; 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o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ver 50k:70%;</w:t>
            </w:r>
          </w:p>
          <w:p w14:paraId="5B2E6920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Annual ceiling 300k.</w:t>
            </w:r>
          </w:p>
          <w:p w14:paraId="1E83E84A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deductible line: 20k</w:t>
            </w:r>
          </w:p>
          <w:p w14:paraId="4573156E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(CNY)</w:t>
            </w:r>
          </w:p>
        </w:tc>
        <w:tc>
          <w:tcPr>
            <w:tcW w:w="3010" w:type="dxa"/>
            <w:vAlign w:val="center"/>
          </w:tcPr>
          <w:p w14:paraId="6B09FFCA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/>
                <w:sz w:val="21"/>
                <w:szCs w:val="21"/>
              </w:rPr>
              <w:t>Deducible</w:t>
            </w: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 xml:space="preserve"> line for Plan B 15k, with annual ceiling 400k.</w:t>
            </w:r>
          </w:p>
          <w:p w14:paraId="79A6D89F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/>
                <w:sz w:val="21"/>
                <w:szCs w:val="21"/>
              </w:rPr>
              <w:t>Reimbursement.</w:t>
            </w:r>
          </w:p>
          <w:p w14:paraId="10D14FDD" w14:textId="77777777" w:rsidR="0018733A" w:rsidRPr="000C47E4" w:rsidRDefault="0018733A" w:rsidP="00C65599">
            <w:pPr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15-50k, 50%.</w:t>
            </w:r>
          </w:p>
          <w:p w14:paraId="48F18DC1" w14:textId="77777777" w:rsidR="0018733A" w:rsidRPr="000C47E4" w:rsidRDefault="0018733A" w:rsidP="00C65599">
            <w:pPr>
              <w:widowControl/>
              <w:shd w:val="clear" w:color="auto" w:fill="FFFFFF"/>
              <w:wordWrap w:val="0"/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50-100k 60%</w:t>
            </w:r>
            <w:r w:rsidRPr="000C47E4">
              <w:rPr>
                <w:rFonts w:ascii="Microsoft YaHei" w:eastAsia="Microsoft YaHei" w:hAnsi="Microsoft YaHei" w:cs="Microsoft YaHei" w:hint="eastAsia"/>
                <w:sz w:val="21"/>
                <w:szCs w:val="21"/>
              </w:rPr>
              <w:t>；</w:t>
            </w:r>
          </w:p>
          <w:p w14:paraId="75D7EEFD" w14:textId="77777777" w:rsidR="0018733A" w:rsidRDefault="0018733A" w:rsidP="00C65599">
            <w:pPr>
              <w:widowControl/>
              <w:shd w:val="clear" w:color="auto" w:fill="FFFFFF"/>
              <w:wordWrap w:val="0"/>
              <w:jc w:val="center"/>
              <w:rPr>
                <w:rFonts w:ascii="Times New Roman" w:eastAsiaTheme="minorHAnsi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eastAsiaTheme="minorHAnsi" w:hAnsi="Times New Roman" w:cs="Times New Roman" w:hint="eastAsia"/>
                <w:sz w:val="21"/>
                <w:szCs w:val="21"/>
              </w:rPr>
              <w:t>over 100k: 70%.</w:t>
            </w:r>
          </w:p>
          <w:p w14:paraId="77F863DB" w14:textId="77777777" w:rsidR="0018733A" w:rsidRPr="000C47E4" w:rsidRDefault="0018733A" w:rsidP="00C65599">
            <w:pPr>
              <w:widowControl/>
              <w:shd w:val="clear" w:color="auto" w:fill="FFFFFF"/>
              <w:wordWrap w:val="0"/>
              <w:jc w:val="center"/>
              <w:rPr>
                <w:rFonts w:ascii="Times New Roman" w:eastAsiaTheme="minorHAnsi" w:hAnsi="Times New Roman" w:cs="Times New Roman"/>
                <w:color w:val="444444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(CNY)</w:t>
            </w:r>
          </w:p>
        </w:tc>
      </w:tr>
      <w:tr w:rsidR="0018733A" w:rsidRPr="000C47E4" w14:paraId="56ADB133" w14:textId="77777777" w:rsidTr="00C65599">
        <w:tc>
          <w:tcPr>
            <w:tcW w:w="0" w:type="auto"/>
            <w:vAlign w:val="center"/>
          </w:tcPr>
          <w:p w14:paraId="3733FB1F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/>
                <w:b/>
                <w:sz w:val="21"/>
              </w:rPr>
              <w:t>2019-20</w:t>
            </w:r>
            <w:r w:rsidRPr="000C47E4">
              <w:rPr>
                <w:rFonts w:ascii="Times New Roman" w:hAnsi="Times New Roman" w:cs="Times New Roman" w:hint="eastAsia"/>
                <w:b/>
                <w:sz w:val="21"/>
              </w:rPr>
              <w:t>20</w:t>
            </w:r>
          </w:p>
        </w:tc>
        <w:tc>
          <w:tcPr>
            <w:tcW w:w="3294" w:type="dxa"/>
            <w:vAlign w:val="center"/>
          </w:tcPr>
          <w:p w14:paraId="6035B811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Reimbursement:</w:t>
            </w:r>
          </w:p>
          <w:p w14:paraId="07E33BEC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lastRenderedPageBreak/>
              <w:t xml:space="preserve">18k to 50k, 60%, 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&gt;50k, 90%;</w:t>
            </w:r>
          </w:p>
          <w:p w14:paraId="337E74BF" w14:textId="77777777" w:rsidR="0018733A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ceiling for insured for 1 year, 400k; ceiling for insured for 2 years in a row: 450k</w:t>
            </w:r>
          </w:p>
          <w:p w14:paraId="15519D14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(CNY)</w:t>
            </w:r>
          </w:p>
        </w:tc>
        <w:tc>
          <w:tcPr>
            <w:tcW w:w="2836" w:type="dxa"/>
            <w:vAlign w:val="center"/>
          </w:tcPr>
          <w:p w14:paraId="7703CBFF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lastRenderedPageBreak/>
              <w:t>Same with previous policy</w:t>
            </w:r>
          </w:p>
        </w:tc>
        <w:tc>
          <w:tcPr>
            <w:tcW w:w="2733" w:type="dxa"/>
            <w:vAlign w:val="center"/>
          </w:tcPr>
          <w:p w14:paraId="67B5FDA1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Same with 2018 policy.</w:t>
            </w:r>
          </w:p>
        </w:tc>
        <w:tc>
          <w:tcPr>
            <w:tcW w:w="2619" w:type="dxa"/>
            <w:vAlign w:val="center"/>
          </w:tcPr>
          <w:p w14:paraId="4BCFFD67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2019: deductible line 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30404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</w:p>
          <w:p w14:paraId="05393230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lastRenderedPageBreak/>
              <w:t xml:space="preserve">Deductible line to 50k: 60% reimbursed; </w:t>
            </w:r>
            <w:r w:rsidRPr="000C47E4">
              <w:rPr>
                <w:rFonts w:ascii="Times New Roman" w:hAnsi="Times New Roman" w:cs="Times New Roman"/>
                <w:sz w:val="21"/>
                <w:szCs w:val="21"/>
              </w:rPr>
              <w:t>o</w:t>
            </w: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ver 50k:70%;</w:t>
            </w:r>
          </w:p>
          <w:p w14:paraId="7E46FFC6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Annual ceiling 300k.</w:t>
            </w:r>
          </w:p>
          <w:p w14:paraId="04CF52CF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t>Annual ceiling cancelled.</w:t>
            </w:r>
          </w:p>
          <w:p w14:paraId="20A876B0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</w:rPr>
              <w:t>(CNY)</w:t>
            </w:r>
          </w:p>
        </w:tc>
        <w:tc>
          <w:tcPr>
            <w:tcW w:w="3010" w:type="dxa"/>
            <w:vAlign w:val="center"/>
          </w:tcPr>
          <w:p w14:paraId="79DE0D35" w14:textId="77777777" w:rsidR="0018733A" w:rsidRPr="000C47E4" w:rsidRDefault="0018733A" w:rsidP="00C6559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C47E4">
              <w:rPr>
                <w:rFonts w:ascii="Times New Roman" w:hAnsi="Times New Roman" w:cs="Times New Roman" w:hint="eastAsia"/>
                <w:sz w:val="21"/>
                <w:szCs w:val="21"/>
              </w:rPr>
              <w:lastRenderedPageBreak/>
              <w:t>Same with 2018 policy</w:t>
            </w:r>
          </w:p>
        </w:tc>
      </w:tr>
    </w:tbl>
    <w:p w14:paraId="6073D09C" w14:textId="77777777" w:rsidR="0018733A" w:rsidRPr="000C47E4" w:rsidRDefault="0018733A" w:rsidP="0018733A"/>
    <w:p w14:paraId="5616DDC4" w14:textId="77777777" w:rsidR="0018733A" w:rsidRPr="000C47E4" w:rsidRDefault="0018733A" w:rsidP="001873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Note: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C13F2B">
        <w:rPr>
          <w:rFonts w:ascii="Times New Roman" w:hAnsi="Times New Roman" w:cs="Times New Roman"/>
          <w:bCs/>
          <w:sz w:val="20"/>
          <w:vertAlign w:val="superscript"/>
        </w:rPr>
        <w:t>#1</w:t>
      </w:r>
      <w:r>
        <w:rPr>
          <w:rFonts w:ascii="Times New Roman" w:hAnsi="Times New Roman" w:cs="Times New Roman"/>
          <w:bCs/>
          <w:sz w:val="20"/>
        </w:rPr>
        <w:t xml:space="preserve">, use Beijing City as example. </w:t>
      </w:r>
      <w:r w:rsidRPr="00C13F2B">
        <w:rPr>
          <w:rFonts w:ascii="Times New Roman" w:hAnsi="Times New Roman" w:cs="Times New Roman"/>
          <w:bCs/>
          <w:sz w:val="20"/>
          <w:vertAlign w:val="superscript"/>
        </w:rPr>
        <w:t>#2</w:t>
      </w:r>
      <w:r>
        <w:rPr>
          <w:rFonts w:ascii="Times New Roman" w:hAnsi="Times New Roman" w:cs="Times New Roman"/>
          <w:bCs/>
          <w:sz w:val="20"/>
        </w:rPr>
        <w:t xml:space="preserve">, use Henan Province as an example.  RR, reimbursement rate. </w:t>
      </w:r>
      <w:r>
        <w:rPr>
          <w:rFonts w:ascii="Times New Roman" w:hAnsi="Times New Roman" w:cs="Times New Roman"/>
          <w:sz w:val="21"/>
        </w:rPr>
        <w:t>CNY, Chinese Yuan.</w:t>
      </w:r>
    </w:p>
    <w:p w14:paraId="46469406" w14:textId="77777777" w:rsidR="0018733A" w:rsidRPr="00C13F2B" w:rsidRDefault="0018733A" w:rsidP="0018733A">
      <w:pPr>
        <w:rPr>
          <w:rFonts w:ascii="Times New Roman" w:hAnsi="Times New Roman" w:cs="Times New Roman"/>
          <w:b/>
        </w:rPr>
      </w:pPr>
    </w:p>
    <w:p w14:paraId="1CA992A2" w14:textId="77777777" w:rsidR="0018733A" w:rsidRPr="000C47E4" w:rsidRDefault="0018733A" w:rsidP="0018733A">
      <w:pPr>
        <w:rPr>
          <w:rFonts w:ascii="Times New Roman" w:hAnsi="Times New Roman" w:cs="Times New Roman"/>
          <w:b/>
        </w:rPr>
      </w:pPr>
    </w:p>
    <w:p w14:paraId="306B0C45" w14:textId="77777777" w:rsidR="0018733A" w:rsidRDefault="0018733A" w:rsidP="0018733A"/>
    <w:p w14:paraId="4D64DC1A" w14:textId="77777777" w:rsidR="004E315B" w:rsidRDefault="004E315B"/>
    <w:sectPr w:rsidR="004E315B" w:rsidSect="00AC3EB7">
      <w:pgSz w:w="16840" w:h="11900" w:orient="landscape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FC5FDA" w14:textId="77777777" w:rsidR="00B84A51" w:rsidRDefault="00B84A51" w:rsidP="0018733A">
      <w:r>
        <w:separator/>
      </w:r>
    </w:p>
  </w:endnote>
  <w:endnote w:type="continuationSeparator" w:id="0">
    <w:p w14:paraId="05285EC6" w14:textId="77777777" w:rsidR="00B84A51" w:rsidRDefault="00B84A51" w:rsidP="0018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76EB5" w14:textId="77777777" w:rsidR="00B84A51" w:rsidRDefault="00B84A51" w:rsidP="0018733A">
      <w:r>
        <w:separator/>
      </w:r>
    </w:p>
  </w:footnote>
  <w:footnote w:type="continuationSeparator" w:id="0">
    <w:p w14:paraId="63B387E1" w14:textId="77777777" w:rsidR="00B84A51" w:rsidRDefault="00B84A51" w:rsidP="0018733A">
      <w:r>
        <w:continuationSeparator/>
      </w:r>
    </w:p>
  </w:footnote>
  <w:footnote w:id="1">
    <w:p w14:paraId="15C28E7B" w14:textId="77777777" w:rsidR="0018733A" w:rsidRDefault="0018733A" w:rsidP="0018733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 xml:space="preserve">GZ represents </w:t>
      </w:r>
      <w:r>
        <w:t>Guangdong</w:t>
      </w:r>
      <w:r>
        <w:rPr>
          <w:rFonts w:hint="eastAsia"/>
        </w:rPr>
        <w:t xml:space="preserve"> province. The east, west and north region of GD is less </w:t>
      </w:r>
      <w:r>
        <w:t>developed</w:t>
      </w:r>
      <w:r>
        <w:rPr>
          <w:rFonts w:hint="eastAsia"/>
        </w:rPr>
        <w:t xml:space="preserve"> compared to Pearl River Delta Region.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47658"/>
    <w:multiLevelType w:val="multilevel"/>
    <w:tmpl w:val="F9AA85F2"/>
    <w:lvl w:ilvl="0">
      <w:start w:val="1"/>
      <w:numFmt w:val="chineseCountingThousand"/>
      <w:pStyle w:val="Heading1"/>
      <w:lvlText w:val="%1、"/>
      <w:lvlJc w:val="left"/>
      <w:pPr>
        <w:ind w:left="1100" w:hanging="420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32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chineseCountingThousand"/>
      <w:pStyle w:val="Heading2"/>
      <w:suff w:val="nothing"/>
      <w:lvlText w:val="第%2节"/>
      <w:lvlJc w:val="left"/>
      <w:pPr>
        <w:ind w:left="392" w:firstLine="482"/>
      </w:pPr>
      <w:rPr>
        <w:rFonts w:ascii="SimSun" w:eastAsia="SimSun" w:hAnsi="SimSun" w:hint="eastAsia"/>
        <w:b/>
        <w:i w:val="0"/>
        <w:sz w:val="30"/>
      </w:rPr>
    </w:lvl>
    <w:lvl w:ilvl="2">
      <w:start w:val="1"/>
      <w:numFmt w:val="chineseCountingThousand"/>
      <w:suff w:val="nothing"/>
      <w:lvlText w:val="（%3）"/>
      <w:lvlJc w:val="left"/>
      <w:pPr>
        <w:ind w:left="392" w:firstLine="482"/>
      </w:pPr>
      <w:rPr>
        <w:rFonts w:ascii="SimSun" w:eastAsia="SimSun" w:hAnsi="SimSu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3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suff w:val="nothing"/>
      <w:lvlText w:val=""/>
      <w:lvlJc w:val="left"/>
      <w:pPr>
        <w:ind w:left="392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392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92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92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92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92" w:firstLine="0"/>
      </w:pPr>
      <w:rPr>
        <w:rFonts w:hint="eastAsia"/>
      </w:rPr>
    </w:lvl>
  </w:abstractNum>
  <w:abstractNum w:abstractNumId="1" w15:restartNumberingAfterBreak="0">
    <w:nsid w:val="1CF10779"/>
    <w:multiLevelType w:val="multilevel"/>
    <w:tmpl w:val="9D600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8C9631B"/>
    <w:multiLevelType w:val="multilevel"/>
    <w:tmpl w:val="2BB8844A"/>
    <w:lvl w:ilvl="0">
      <w:start w:val="1"/>
      <w:numFmt w:val="chineseCountingThousand"/>
      <w:lvlText w:val="第%1章 "/>
      <w:lvlJc w:val="left"/>
      <w:pPr>
        <w:ind w:left="960" w:hanging="48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chineseCountingThousand"/>
      <w:lvlText w:val="第%2节 "/>
      <w:lvlJc w:val="left"/>
      <w:pPr>
        <w:ind w:left="1440" w:hanging="480"/>
      </w:pPr>
      <w:rPr>
        <w:rFonts w:ascii="SimSun" w:eastAsia="SimSun" w:hAnsi="SimSun" w:hint="eastAsia"/>
        <w:b/>
        <w:i w:val="0"/>
        <w:sz w:val="32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880" w:hanging="48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4320" w:hanging="48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default"/>
      </w:rPr>
    </w:lvl>
  </w:abstractNum>
  <w:abstractNum w:abstractNumId="3" w15:restartNumberingAfterBreak="0">
    <w:nsid w:val="2A6A5828"/>
    <w:multiLevelType w:val="hybridMultilevel"/>
    <w:tmpl w:val="227A1DFA"/>
    <w:lvl w:ilvl="0" w:tplc="57642962">
      <w:start w:val="1"/>
      <w:numFmt w:val="chineseCountingThousand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2921" w:hanging="420"/>
      </w:pPr>
    </w:lvl>
    <w:lvl w:ilvl="2" w:tplc="0409001B" w:tentative="1">
      <w:start w:val="1"/>
      <w:numFmt w:val="lowerRoman"/>
      <w:lvlText w:val="%3."/>
      <w:lvlJc w:val="right"/>
      <w:pPr>
        <w:ind w:left="3341" w:hanging="420"/>
      </w:pPr>
    </w:lvl>
    <w:lvl w:ilvl="3" w:tplc="0409000F" w:tentative="1">
      <w:start w:val="1"/>
      <w:numFmt w:val="decimal"/>
      <w:lvlText w:val="%4."/>
      <w:lvlJc w:val="left"/>
      <w:pPr>
        <w:ind w:left="3761" w:hanging="420"/>
      </w:pPr>
    </w:lvl>
    <w:lvl w:ilvl="4" w:tplc="04090019" w:tentative="1">
      <w:start w:val="1"/>
      <w:numFmt w:val="lowerLetter"/>
      <w:lvlText w:val="%5)"/>
      <w:lvlJc w:val="left"/>
      <w:pPr>
        <w:ind w:left="4181" w:hanging="420"/>
      </w:pPr>
    </w:lvl>
    <w:lvl w:ilvl="5" w:tplc="0409001B" w:tentative="1">
      <w:start w:val="1"/>
      <w:numFmt w:val="lowerRoman"/>
      <w:lvlText w:val="%6."/>
      <w:lvlJc w:val="right"/>
      <w:pPr>
        <w:ind w:left="4601" w:hanging="420"/>
      </w:pPr>
    </w:lvl>
    <w:lvl w:ilvl="6" w:tplc="0409000F" w:tentative="1">
      <w:start w:val="1"/>
      <w:numFmt w:val="decimal"/>
      <w:lvlText w:val="%7."/>
      <w:lvlJc w:val="left"/>
      <w:pPr>
        <w:ind w:left="5021" w:hanging="420"/>
      </w:pPr>
    </w:lvl>
    <w:lvl w:ilvl="7" w:tplc="04090019" w:tentative="1">
      <w:start w:val="1"/>
      <w:numFmt w:val="lowerLetter"/>
      <w:lvlText w:val="%8)"/>
      <w:lvlJc w:val="left"/>
      <w:pPr>
        <w:ind w:left="5441" w:hanging="420"/>
      </w:pPr>
    </w:lvl>
    <w:lvl w:ilvl="8" w:tplc="0409001B" w:tentative="1">
      <w:start w:val="1"/>
      <w:numFmt w:val="lowerRoman"/>
      <w:lvlText w:val="%9."/>
      <w:lvlJc w:val="right"/>
      <w:pPr>
        <w:ind w:left="5861" w:hanging="420"/>
      </w:pPr>
    </w:lvl>
  </w:abstractNum>
  <w:abstractNum w:abstractNumId="4" w15:restartNumberingAfterBreak="0">
    <w:nsid w:val="32B05A7E"/>
    <w:multiLevelType w:val="multilevel"/>
    <w:tmpl w:val="293C6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142091C"/>
    <w:multiLevelType w:val="multilevel"/>
    <w:tmpl w:val="EAFEA2F2"/>
    <w:lvl w:ilvl="0">
      <w:start w:val="1"/>
      <w:numFmt w:val="decimal"/>
      <w:lvlText w:val="%1"/>
      <w:lvlJc w:val="left"/>
      <w:pPr>
        <w:ind w:left="1655" w:hanging="425"/>
      </w:pPr>
    </w:lvl>
    <w:lvl w:ilvl="1">
      <w:start w:val="1"/>
      <w:numFmt w:val="decimal"/>
      <w:lvlText w:val="%1.%2"/>
      <w:lvlJc w:val="left"/>
      <w:pPr>
        <w:ind w:left="2222" w:hanging="567"/>
      </w:pPr>
    </w:lvl>
    <w:lvl w:ilvl="2">
      <w:start w:val="1"/>
      <w:numFmt w:val="decimal"/>
      <w:lvlText w:val="%1.%2.%3"/>
      <w:lvlJc w:val="left"/>
      <w:pPr>
        <w:ind w:left="2648" w:hanging="567"/>
      </w:pPr>
    </w:lvl>
    <w:lvl w:ilvl="3">
      <w:start w:val="1"/>
      <w:numFmt w:val="decimal"/>
      <w:lvlText w:val="%1.%2.%3.%4"/>
      <w:lvlJc w:val="left"/>
      <w:pPr>
        <w:ind w:left="3214" w:hanging="708"/>
      </w:pPr>
    </w:lvl>
    <w:lvl w:ilvl="4">
      <w:start w:val="1"/>
      <w:numFmt w:val="decimal"/>
      <w:lvlText w:val="%1.%2.%3.%4.%5"/>
      <w:lvlJc w:val="left"/>
      <w:pPr>
        <w:ind w:left="3781" w:hanging="850"/>
      </w:pPr>
    </w:lvl>
    <w:lvl w:ilvl="5">
      <w:start w:val="1"/>
      <w:numFmt w:val="decimal"/>
      <w:lvlText w:val="%1.%2.%3.%4.%5.%6"/>
      <w:lvlJc w:val="left"/>
      <w:pPr>
        <w:ind w:left="4490" w:hanging="1134"/>
      </w:pPr>
    </w:lvl>
    <w:lvl w:ilvl="6">
      <w:start w:val="1"/>
      <w:numFmt w:val="decimal"/>
      <w:lvlText w:val="%1.%2.%3.%4.%5.%6.%7"/>
      <w:lvlJc w:val="left"/>
      <w:pPr>
        <w:ind w:left="5057" w:hanging="1276"/>
      </w:pPr>
    </w:lvl>
    <w:lvl w:ilvl="7">
      <w:start w:val="1"/>
      <w:numFmt w:val="decimal"/>
      <w:lvlText w:val="%1.%2.%3.%4.%5.%6.%7.%8"/>
      <w:lvlJc w:val="left"/>
      <w:pPr>
        <w:ind w:left="5624" w:hanging="1418"/>
      </w:pPr>
    </w:lvl>
    <w:lvl w:ilvl="8">
      <w:start w:val="1"/>
      <w:numFmt w:val="decimal"/>
      <w:lvlText w:val="%1.%2.%3.%4.%5.%6.%7.%8.%9"/>
      <w:lvlJc w:val="left"/>
      <w:pPr>
        <w:ind w:left="6332" w:hanging="170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0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A9"/>
    <w:rsid w:val="0001344E"/>
    <w:rsid w:val="0018733A"/>
    <w:rsid w:val="002114A9"/>
    <w:rsid w:val="004E315B"/>
    <w:rsid w:val="00585C62"/>
    <w:rsid w:val="008971FD"/>
    <w:rsid w:val="00B84A51"/>
    <w:rsid w:val="00C0569D"/>
    <w:rsid w:val="00DF05B7"/>
    <w:rsid w:val="00F5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D5EDAA"/>
  <w15:chartTrackingRefBased/>
  <w15:docId w15:val="{F91AFA71-2FBE-404F-9C93-A3137380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33A"/>
    <w:pPr>
      <w:widowControl w:val="0"/>
      <w:jc w:val="both"/>
    </w:pPr>
    <w:rPr>
      <w:kern w:val="2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0569D"/>
    <w:pPr>
      <w:keepNext/>
      <w:keepLines/>
      <w:numPr>
        <w:numId w:val="9"/>
      </w:numPr>
      <w:spacing w:before="340" w:after="330" w:line="578" w:lineRule="auto"/>
      <w:jc w:val="left"/>
      <w:outlineLvl w:val="0"/>
    </w:pPr>
    <w:rPr>
      <w:rFonts w:eastAsia="SimSun"/>
      <w:b/>
      <w:bCs/>
      <w:kern w:val="44"/>
      <w:sz w:val="32"/>
      <w:szCs w:val="30"/>
      <w:lang w:val="en-C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0569D"/>
    <w:pPr>
      <w:numPr>
        <w:ilvl w:val="1"/>
        <w:numId w:val="11"/>
      </w:numPr>
      <w:spacing w:beforeLines="50" w:before="50" w:afterLines="50" w:after="50" w:line="360" w:lineRule="auto"/>
      <w:outlineLvl w:val="1"/>
    </w:pPr>
    <w:rPr>
      <w:rFonts w:ascii="SimSun" w:eastAsia="SimSun" w:hAnsi="SimSun"/>
      <w:b/>
      <w:sz w:val="30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C0569D"/>
    <w:pPr>
      <w:autoSpaceDE w:val="0"/>
      <w:autoSpaceDN w:val="0"/>
      <w:adjustRightInd w:val="0"/>
      <w:ind w:leftChars="100" w:left="210" w:rightChars="100" w:right="210"/>
      <w:jc w:val="left"/>
      <w:outlineLvl w:val="2"/>
    </w:pPr>
    <w:rPr>
      <w:rFonts w:ascii="Times New Roman" w:hAnsi="Times New Roman" w:cs="Times New Roman"/>
      <w:color w:val="000000"/>
      <w:kern w:val="24"/>
      <w:sz w:val="40"/>
      <w:szCs w:val="40"/>
      <w:lang w:val="en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F51EEC"/>
    <w:rPr>
      <w:rFonts w:ascii="SimSun" w:eastAsia="SimSun" w:hAnsi="SimSun"/>
      <w:b/>
      <w:kern w:val="2"/>
      <w:sz w:val="3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C0569D"/>
    <w:rPr>
      <w:rFonts w:eastAsia="SimSun"/>
      <w:b/>
      <w:bCs/>
      <w:kern w:val="44"/>
      <w:sz w:val="32"/>
      <w:szCs w:val="30"/>
    </w:rPr>
  </w:style>
  <w:style w:type="character" w:customStyle="1" w:styleId="Heading3Char">
    <w:name w:val="Heading 3 Char"/>
    <w:basedOn w:val="DefaultParagraphFont"/>
    <w:link w:val="Heading3"/>
    <w:uiPriority w:val="99"/>
    <w:rsid w:val="00C0569D"/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unhideWhenUsed/>
    <w:rsid w:val="0018733A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8733A"/>
    <w:rPr>
      <w:kern w:val="2"/>
      <w:sz w:val="18"/>
      <w:szCs w:val="18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18733A"/>
    <w:rPr>
      <w:vertAlign w:val="superscript"/>
    </w:rPr>
  </w:style>
  <w:style w:type="table" w:styleId="TableGrid">
    <w:name w:val="Table Grid"/>
    <w:basedOn w:val="TableNormal"/>
    <w:uiPriority w:val="39"/>
    <w:rsid w:val="0018733A"/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张露文</dc:creator>
  <cp:keywords/>
  <dc:description/>
  <cp:lastModifiedBy>张露文</cp:lastModifiedBy>
  <cp:revision>4</cp:revision>
  <dcterms:created xsi:type="dcterms:W3CDTF">2022-01-21T16:10:00Z</dcterms:created>
  <dcterms:modified xsi:type="dcterms:W3CDTF">2022-01-21T16:12:00Z</dcterms:modified>
</cp:coreProperties>
</file>