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AA968" w14:textId="77777777" w:rsidR="00AB3399" w:rsidRDefault="00AB3399" w:rsidP="00AB33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541D3DE" w14:textId="77777777" w:rsidR="00AB3399" w:rsidRDefault="00AB3399" w:rsidP="00AB33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69EAB9" w14:textId="77777777" w:rsidR="00AB3399" w:rsidRDefault="00AB3399" w:rsidP="00AB33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5EBDCE" w14:textId="77777777" w:rsidR="00AB3399" w:rsidRDefault="00AB3399" w:rsidP="00AB33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A478C1" w14:textId="77777777" w:rsidR="00AB3399" w:rsidRDefault="00AB3399" w:rsidP="00AB33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953C3" w14:textId="77777777" w:rsidR="00AB3399" w:rsidRPr="00BB1409" w:rsidRDefault="00AB3399" w:rsidP="00AB33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1409">
        <w:rPr>
          <w:rFonts w:ascii="Times New Roman" w:hAnsi="Times New Roman" w:cs="Times New Roman"/>
          <w:b/>
          <w:sz w:val="24"/>
          <w:szCs w:val="24"/>
        </w:rPr>
        <w:t>SUPPLEMENTARY</w:t>
      </w:r>
    </w:p>
    <w:p w14:paraId="40CF3CE7" w14:textId="77777777" w:rsidR="00AB3399" w:rsidRPr="00BB1409" w:rsidRDefault="00AB3399" w:rsidP="00AB3399">
      <w:pPr>
        <w:rPr>
          <w:rFonts w:ascii="Times New Roman" w:hAnsi="Times New Roman" w:cs="Times New Roman"/>
          <w:b/>
          <w:sz w:val="24"/>
          <w:szCs w:val="24"/>
        </w:rPr>
      </w:pPr>
      <w:r w:rsidRPr="00BB1409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9603452" w14:textId="77777777" w:rsidR="00AB3399" w:rsidRPr="00BB1409" w:rsidRDefault="00B8207E" w:rsidP="00AB339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66E011" wp14:editId="70AEDBE4">
            <wp:extent cx="4381266" cy="4626427"/>
            <wp:effectExtent l="0" t="0" r="63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92210" cy="463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415CB" w14:textId="54043298" w:rsidR="00AB3399" w:rsidRPr="00496381" w:rsidRDefault="00AB3399" w:rsidP="00AB3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381">
        <w:rPr>
          <w:rFonts w:ascii="Times New Roman" w:hAnsi="Times New Roman" w:cs="Times New Roman"/>
          <w:b/>
          <w:sz w:val="24"/>
          <w:szCs w:val="24"/>
        </w:rPr>
        <w:t xml:space="preserve">Figure S1 </w:t>
      </w:r>
      <w:r w:rsidRPr="00496381">
        <w:rPr>
          <w:rFonts w:ascii="Times New Roman" w:hAnsi="Times New Roman" w:cs="Times New Roman"/>
          <w:sz w:val="24"/>
          <w:szCs w:val="24"/>
        </w:rPr>
        <w:t xml:space="preserve">Selection of study </w:t>
      </w:r>
      <w:r w:rsidR="00AF4AD9">
        <w:rPr>
          <w:rFonts w:ascii="Times New Roman" w:hAnsi="Times New Roman" w:cs="Times New Roman"/>
          <w:sz w:val="24"/>
          <w:szCs w:val="24"/>
        </w:rPr>
        <w:t xml:space="preserve">sample </w:t>
      </w:r>
    </w:p>
    <w:p w14:paraId="3F84C4B8" w14:textId="54C6FAE7" w:rsidR="00AB3399" w:rsidRPr="00496381" w:rsidRDefault="00AB3399" w:rsidP="00AB3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381">
        <w:rPr>
          <w:rFonts w:ascii="Times New Roman" w:hAnsi="Times New Roman" w:cs="Times New Roman"/>
          <w:b/>
          <w:sz w:val="24"/>
          <w:szCs w:val="24"/>
        </w:rPr>
        <w:t>*</w:t>
      </w:r>
      <w:r w:rsidRPr="00496381">
        <w:rPr>
          <w:rFonts w:ascii="Times New Roman" w:hAnsi="Times New Roman" w:cs="Times New Roman"/>
          <w:sz w:val="24"/>
          <w:szCs w:val="24"/>
        </w:rPr>
        <w:t xml:space="preserve">Center for Medicare and Medicaid Services </w:t>
      </w:r>
      <w:r w:rsidR="003E7F24">
        <w:rPr>
          <w:rFonts w:ascii="Times New Roman" w:hAnsi="Times New Roman" w:cs="Times New Roman"/>
          <w:sz w:val="24"/>
          <w:szCs w:val="24"/>
        </w:rPr>
        <w:t xml:space="preserve">(CMS) </w:t>
      </w:r>
      <w:r w:rsidRPr="00496381">
        <w:rPr>
          <w:rFonts w:ascii="Times New Roman" w:hAnsi="Times New Roman" w:cs="Times New Roman"/>
          <w:sz w:val="24"/>
          <w:szCs w:val="24"/>
        </w:rPr>
        <w:t>predictors: Alzheimer’s disease, depression and somatic conditions were identified as missing if the beneficiary had not been enrolled for a sufficient amount of time in the Medicare fee-for-service program to identify the conditions based on the Center for Medicare and Medicaid Services’ Chronic Condition Data Warehouse (CCW) algorithms</w:t>
      </w:r>
    </w:p>
    <w:p w14:paraId="637B949E" w14:textId="77777777" w:rsidR="00B8207E" w:rsidRDefault="00AB3399" w:rsidP="00AB3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6381">
        <w:rPr>
          <w:rFonts w:ascii="Times New Roman" w:hAnsi="Times New Roman" w:cs="Times New Roman"/>
          <w:b/>
          <w:sz w:val="24"/>
          <w:szCs w:val="24"/>
        </w:rPr>
        <w:t>**</w:t>
      </w:r>
      <w:r w:rsidRPr="00496381">
        <w:rPr>
          <w:rFonts w:ascii="Times New Roman" w:hAnsi="Times New Roman" w:cs="Times New Roman"/>
          <w:sz w:val="24"/>
          <w:szCs w:val="24"/>
        </w:rPr>
        <w:t>The Health and Retirement study predictors: sex, race/ethnicity, geographical region, educa</w:t>
      </w:r>
      <w:r>
        <w:rPr>
          <w:rFonts w:ascii="Times New Roman" w:hAnsi="Times New Roman" w:cs="Times New Roman"/>
          <w:sz w:val="24"/>
          <w:szCs w:val="24"/>
        </w:rPr>
        <w:t>tion, wealth.</w:t>
      </w:r>
    </w:p>
    <w:p w14:paraId="17016012" w14:textId="77777777" w:rsidR="00AB3399" w:rsidRDefault="00D13E16" w:rsidP="00AB3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07E">
        <w:rPr>
          <w:rFonts w:ascii="Times New Roman" w:hAnsi="Times New Roman" w:cs="Times New Roman"/>
        </w:rPr>
        <w:t xml:space="preserve">¥ </w:t>
      </w:r>
      <w:r w:rsidRPr="009739FD">
        <w:rPr>
          <w:rFonts w:ascii="Times New Roman" w:hAnsi="Times New Roman" w:cs="Times New Roman"/>
        </w:rPr>
        <w:t>CMS is the abbreviation of Centers for Medicare and Medicaid Services</w:t>
      </w:r>
      <w:r w:rsidRPr="00BB1409">
        <w:rPr>
          <w:rFonts w:ascii="Times New Roman" w:hAnsi="Times New Roman" w:cs="Times New Roman"/>
          <w:sz w:val="24"/>
          <w:szCs w:val="24"/>
        </w:rPr>
        <w:t xml:space="preserve"> </w:t>
      </w:r>
      <w:r w:rsidR="00AB3399" w:rsidRPr="00BB1409">
        <w:rPr>
          <w:rFonts w:ascii="Times New Roman" w:hAnsi="Times New Roman" w:cs="Times New Roman"/>
          <w:sz w:val="24"/>
          <w:szCs w:val="24"/>
        </w:rPr>
        <w:br w:type="page"/>
      </w:r>
    </w:p>
    <w:p w14:paraId="2ACF50E2" w14:textId="77777777" w:rsidR="00B8207E" w:rsidRPr="00BB1409" w:rsidRDefault="00B8207E" w:rsidP="00AB33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EA65F" w14:textId="77777777" w:rsidR="00AB3399" w:rsidRDefault="00AB3399" w:rsidP="00AB3399">
      <w:pPr>
        <w:rPr>
          <w:rFonts w:ascii="Times New Roman" w:hAnsi="Times New Roman" w:cs="Times New Roman"/>
          <w:b/>
          <w:sz w:val="24"/>
          <w:szCs w:val="24"/>
        </w:rPr>
        <w:sectPr w:rsidR="00AB3399" w:rsidSect="00850607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35"/>
        <w:gridCol w:w="3415"/>
      </w:tblGrid>
      <w:tr w:rsidR="00AB3399" w:rsidRPr="00BB1409" w14:paraId="5E72273A" w14:textId="77777777" w:rsidTr="00B53DDF">
        <w:tc>
          <w:tcPr>
            <w:tcW w:w="9350" w:type="dxa"/>
            <w:gridSpan w:val="2"/>
            <w:tcBorders>
              <w:top w:val="nil"/>
              <w:left w:val="nil"/>
              <w:right w:val="nil"/>
            </w:tcBorders>
          </w:tcPr>
          <w:p w14:paraId="40217429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Table S1</w:t>
            </w: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 xml:space="preserve"> ICD-9 codes for potential avoidable hospitalizations </w:t>
            </w:r>
          </w:p>
        </w:tc>
      </w:tr>
      <w:tr w:rsidR="00AB3399" w:rsidRPr="00BB1409" w14:paraId="10619571" w14:textId="77777777" w:rsidTr="00B53DDF">
        <w:tc>
          <w:tcPr>
            <w:tcW w:w="5935" w:type="dxa"/>
          </w:tcPr>
          <w:p w14:paraId="5C57D035" w14:textId="77777777" w:rsidR="00AB3399" w:rsidRPr="00BB1409" w:rsidRDefault="00AB3399" w:rsidP="00B53D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Disease categories </w:t>
            </w:r>
          </w:p>
        </w:tc>
        <w:tc>
          <w:tcPr>
            <w:tcW w:w="3415" w:type="dxa"/>
          </w:tcPr>
          <w:p w14:paraId="2FDB6FED" w14:textId="77777777" w:rsidR="00AB3399" w:rsidRPr="00BB1409" w:rsidRDefault="00AB3399" w:rsidP="00B53D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ICD-9 codes </w:t>
            </w:r>
          </w:p>
        </w:tc>
      </w:tr>
      <w:tr w:rsidR="00AB3399" w:rsidRPr="00BB1409" w14:paraId="55BA35DF" w14:textId="77777777" w:rsidTr="00B53DDF">
        <w:trPr>
          <w:trHeight w:val="782"/>
        </w:trPr>
        <w:tc>
          <w:tcPr>
            <w:tcW w:w="5935" w:type="dxa"/>
          </w:tcPr>
          <w:p w14:paraId="0AAEC853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Chronic obstructive pulmonary disease, chronic bronchitis and asthma</w:t>
            </w:r>
          </w:p>
        </w:tc>
        <w:tc>
          <w:tcPr>
            <w:tcW w:w="3415" w:type="dxa"/>
          </w:tcPr>
          <w:p w14:paraId="6E47DB6F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466–466.99, 490–490.99, 491.0, 491.1, 491.2, 491.20, 491.21, 491.8, 491.9, 492.0, 492.8, 493.00, 493.01, 493.02, 493.10, 493.11, 493.12, 493.20, 493.21, 493.22, 493.81, 493.82, 493.90, 493.91, 493.92, 494–494.99, 496–496.99</w:t>
            </w:r>
          </w:p>
        </w:tc>
      </w:tr>
      <w:tr w:rsidR="00AB3399" w:rsidRPr="00BB1409" w14:paraId="4D5740E3" w14:textId="77777777" w:rsidTr="00B53DDF">
        <w:tc>
          <w:tcPr>
            <w:tcW w:w="5935" w:type="dxa"/>
          </w:tcPr>
          <w:p w14:paraId="63B19249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Congestive heart failure</w:t>
            </w:r>
          </w:p>
        </w:tc>
        <w:tc>
          <w:tcPr>
            <w:tcW w:w="3415" w:type="dxa"/>
          </w:tcPr>
          <w:p w14:paraId="2E45F867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98.91, 402.11, 402.91, 404.11, 404.13, 404.91, 404.93, 428.0, 428.1, 428.20, 428.21, 428.22, 428.23, 428.30, 428.31, 428.32, 428.33, 428.40, 428.41, 428.42, 428.43, 428.9, 518.4</w:t>
            </w:r>
          </w:p>
        </w:tc>
      </w:tr>
      <w:tr w:rsidR="00AB3399" w:rsidRPr="00BB1409" w14:paraId="4D7C5A4B" w14:textId="77777777" w:rsidTr="00B53DDF">
        <w:tc>
          <w:tcPr>
            <w:tcW w:w="5935" w:type="dxa"/>
          </w:tcPr>
          <w:p w14:paraId="27612A85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Constipation, fecal impaction, and obstipation</w:t>
            </w:r>
          </w:p>
        </w:tc>
        <w:tc>
          <w:tcPr>
            <w:tcW w:w="3415" w:type="dxa"/>
          </w:tcPr>
          <w:p w14:paraId="55A8F2ED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564.0, 564.00, 564.01, 564.09, 560.39</w:t>
            </w:r>
          </w:p>
        </w:tc>
      </w:tr>
      <w:tr w:rsidR="00AB3399" w:rsidRPr="00BB1409" w14:paraId="24A6E4F8" w14:textId="77777777" w:rsidTr="00B53DDF">
        <w:tc>
          <w:tcPr>
            <w:tcW w:w="5935" w:type="dxa"/>
          </w:tcPr>
          <w:p w14:paraId="36A0D42D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Dehydration, volume depletion including acute renal failure and hyponatremia,</w:t>
            </w:r>
          </w:p>
        </w:tc>
        <w:tc>
          <w:tcPr>
            <w:tcW w:w="3415" w:type="dxa"/>
          </w:tcPr>
          <w:p w14:paraId="52F88F86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276.1, 276.5, 276.8, 584.0–584.99, 588.8, 588.81, 588.89, 588.9</w:t>
            </w:r>
          </w:p>
        </w:tc>
      </w:tr>
      <w:tr w:rsidR="00AB3399" w:rsidRPr="00BB1409" w14:paraId="21F4F487" w14:textId="77777777" w:rsidTr="00B53DDF">
        <w:tc>
          <w:tcPr>
            <w:tcW w:w="5935" w:type="dxa"/>
          </w:tcPr>
          <w:p w14:paraId="31AAB70A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Hypertension and hypotension</w:t>
            </w:r>
          </w:p>
        </w:tc>
        <w:tc>
          <w:tcPr>
            <w:tcW w:w="3415" w:type="dxa"/>
          </w:tcPr>
          <w:p w14:paraId="7D3CD644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401.9, 402.10, 402.90, 403.10, 403.90, 404.10, 404.90, 458.0, 458.1, 458.2, 458.21, 458.29, 458.8, 458.9</w:t>
            </w:r>
          </w:p>
        </w:tc>
      </w:tr>
      <w:tr w:rsidR="00AB3399" w:rsidRPr="00BB1409" w14:paraId="77BB791E" w14:textId="77777777" w:rsidTr="00B53DDF">
        <w:tc>
          <w:tcPr>
            <w:tcW w:w="5935" w:type="dxa"/>
          </w:tcPr>
          <w:p w14:paraId="4D55A267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Poor glycemic control</w:t>
            </w:r>
          </w:p>
        </w:tc>
        <w:tc>
          <w:tcPr>
            <w:tcW w:w="3415" w:type="dxa"/>
          </w:tcPr>
          <w:p w14:paraId="69442E92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251.2, 250.2–250.29, 250.3–250.39, 250.1–250.19, 251.0, 250.02, 250.03, 790.29</w:t>
            </w:r>
          </w:p>
        </w:tc>
      </w:tr>
      <w:tr w:rsidR="00AB3399" w:rsidRPr="00BB1409" w14:paraId="1D43AE60" w14:textId="77777777" w:rsidTr="00B53DDF">
        <w:tc>
          <w:tcPr>
            <w:tcW w:w="5935" w:type="dxa"/>
          </w:tcPr>
          <w:p w14:paraId="6E226B2F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Seizures</w:t>
            </w:r>
          </w:p>
        </w:tc>
        <w:tc>
          <w:tcPr>
            <w:tcW w:w="3415" w:type="dxa"/>
          </w:tcPr>
          <w:p w14:paraId="3976CA82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345–345.99, 436–436.99, 780.3– 780.39</w:t>
            </w:r>
          </w:p>
        </w:tc>
      </w:tr>
      <w:tr w:rsidR="00AB3399" w:rsidRPr="00BB1409" w14:paraId="7FF3BF68" w14:textId="77777777" w:rsidTr="00B53DDF">
        <w:tc>
          <w:tcPr>
            <w:tcW w:w="5935" w:type="dxa"/>
          </w:tcPr>
          <w:p w14:paraId="488567D9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Urinary tract infection</w:t>
            </w:r>
          </w:p>
        </w:tc>
        <w:tc>
          <w:tcPr>
            <w:tcW w:w="3415" w:type="dxa"/>
          </w:tcPr>
          <w:p w14:paraId="40EDDAE8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590.10, 590.11, 590.81, 590.9, 595.0, 595.1, 595.2, 595.4, 590.80, 595.89, 595.9, 597.0, 598.0–598.09, 599.0, 601–601.99</w:t>
            </w:r>
          </w:p>
        </w:tc>
      </w:tr>
      <w:tr w:rsidR="00AB3399" w:rsidRPr="00BB1409" w14:paraId="6E9E86DB" w14:textId="77777777" w:rsidTr="00B53DDF">
        <w:tc>
          <w:tcPr>
            <w:tcW w:w="5935" w:type="dxa"/>
          </w:tcPr>
          <w:p w14:paraId="450303C6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Weight loss (failure to thrive) and nutritional deficiencies</w:t>
            </w:r>
          </w:p>
        </w:tc>
        <w:tc>
          <w:tcPr>
            <w:tcW w:w="3415" w:type="dxa"/>
          </w:tcPr>
          <w:p w14:paraId="1FB49AAC" w14:textId="77777777" w:rsidR="00AB3399" w:rsidRPr="00BB1409" w:rsidRDefault="00AB3399" w:rsidP="00B53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409">
              <w:rPr>
                <w:rFonts w:ascii="Times New Roman" w:hAnsi="Times New Roman" w:cs="Times New Roman"/>
                <w:sz w:val="24"/>
                <w:szCs w:val="24"/>
              </w:rPr>
              <w:t>260–260.99, 261–261.99, 262– 262.99, 263–263.99, 268.0, 268.1, 783.21, 783.22, 783.3, 783.7</w:t>
            </w:r>
          </w:p>
        </w:tc>
      </w:tr>
    </w:tbl>
    <w:p w14:paraId="52A87F9C" w14:textId="77777777" w:rsidR="00AB3399" w:rsidRPr="00BB1409" w:rsidRDefault="00AB3399" w:rsidP="00AB3399">
      <w:pPr>
        <w:rPr>
          <w:rFonts w:ascii="Times New Roman" w:hAnsi="Times New Roman" w:cs="Times New Roman"/>
          <w:sz w:val="24"/>
          <w:szCs w:val="24"/>
        </w:rPr>
      </w:pPr>
    </w:p>
    <w:p w14:paraId="25346DD9" w14:textId="1B3C6211" w:rsidR="00AF4AD9" w:rsidRDefault="00AF4AD9">
      <w:r>
        <w:br w:type="page"/>
      </w:r>
    </w:p>
    <w:p w14:paraId="5F75CA54" w14:textId="77777777" w:rsidR="00AF4AD9" w:rsidRDefault="00AF4AD9" w:rsidP="00AF4AD9">
      <w:pPr>
        <w:autoSpaceDE w:val="0"/>
        <w:autoSpaceDN w:val="0"/>
        <w:adjustRightInd w:val="0"/>
        <w:rPr>
          <w:rFonts w:cstheme="minorHAnsi"/>
          <w:b/>
          <w:iCs/>
        </w:rPr>
        <w:sectPr w:rsidR="00AF4AD9" w:rsidSect="00C830E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DAE12F" w14:textId="6AB8B20E" w:rsidR="00AF4AD9" w:rsidRPr="00833431" w:rsidRDefault="00AF4AD9" w:rsidP="00AF4AD9">
      <w:pPr>
        <w:autoSpaceDE w:val="0"/>
        <w:autoSpaceDN w:val="0"/>
        <w:adjustRightInd w:val="0"/>
        <w:rPr>
          <w:rFonts w:cstheme="minorHAnsi"/>
          <w:b/>
        </w:rPr>
      </w:pPr>
      <w:r>
        <w:rPr>
          <w:rFonts w:cstheme="minorHAnsi"/>
          <w:b/>
          <w:iCs/>
        </w:rPr>
        <w:lastRenderedPageBreak/>
        <w:t xml:space="preserve">Table S2 </w:t>
      </w:r>
      <w:r w:rsidRPr="00833431">
        <w:rPr>
          <w:rFonts w:cstheme="minorHAnsi"/>
          <w:b/>
          <w:iCs/>
        </w:rPr>
        <w:t>Sociodemographic characteristics of excluded respondents without 2014 CMS data</w:t>
      </w:r>
      <w:r w:rsidRPr="00CE23A3">
        <w:rPr>
          <w:rFonts w:cstheme="minorHAnsi"/>
          <w:iCs/>
        </w:rPr>
        <w:t>*</w:t>
      </w:r>
    </w:p>
    <w:tbl>
      <w:tblPr>
        <w:tblW w:w="13968" w:type="dxa"/>
        <w:tblInd w:w="-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2160"/>
        <w:gridCol w:w="2160"/>
        <w:gridCol w:w="2160"/>
        <w:gridCol w:w="2160"/>
        <w:gridCol w:w="2160"/>
      </w:tblGrid>
      <w:tr w:rsidR="00AF4AD9" w:rsidRPr="00833431" w14:paraId="2D9EE5F0" w14:textId="77777777" w:rsidTr="00F04A97">
        <w:tc>
          <w:tcPr>
            <w:tcW w:w="3168" w:type="dxa"/>
            <w:tcBorders>
              <w:top w:val="single" w:sz="12" w:space="0" w:color="auto"/>
              <w:bottom w:val="single" w:sz="8" w:space="0" w:color="000000"/>
            </w:tcBorders>
            <w:tcMar>
              <w:top w:w="67" w:type="nil"/>
              <w:left w:w="67" w:type="nil"/>
              <w:bottom w:w="67" w:type="nil"/>
              <w:right w:w="202" w:type="nil"/>
            </w:tcMar>
            <w:vAlign w:val="bottom"/>
          </w:tcPr>
          <w:p w14:paraId="0FFD9DB8" w14:textId="77777777" w:rsidR="00AF4AD9" w:rsidRPr="00833431" w:rsidRDefault="00AF4AD9" w:rsidP="00F04A97">
            <w:pPr>
              <w:autoSpaceDE w:val="0"/>
              <w:autoSpaceDN w:val="0"/>
              <w:adjustRightInd w:val="0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Characteristics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8" w:space="0" w:color="000000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bottom"/>
          </w:tcPr>
          <w:p w14:paraId="0F9866ED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Hispanic</w:t>
            </w:r>
          </w:p>
          <w:p w14:paraId="64B145B9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(n=651)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8" w:space="0" w:color="000000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bottom"/>
          </w:tcPr>
          <w:p w14:paraId="7FCCA9D0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Non-Hispanic</w:t>
            </w:r>
          </w:p>
          <w:p w14:paraId="699B8812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White</w:t>
            </w:r>
          </w:p>
          <w:p w14:paraId="0EC00FF4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(n=7</w:t>
            </w:r>
            <w:r>
              <w:rPr>
                <w:rFonts w:cstheme="minorHAnsi"/>
                <w:bCs/>
                <w:color w:val="262626"/>
              </w:rPr>
              <w:t>,</w:t>
            </w:r>
            <w:r w:rsidRPr="00833431">
              <w:rPr>
                <w:rFonts w:cstheme="minorHAnsi"/>
                <w:bCs/>
                <w:color w:val="262626"/>
              </w:rPr>
              <w:t>403)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8" w:space="0" w:color="000000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bottom"/>
          </w:tcPr>
          <w:p w14:paraId="7930CF51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Non-Hispanic</w:t>
            </w:r>
          </w:p>
          <w:p w14:paraId="608E41CC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Black</w:t>
            </w:r>
          </w:p>
          <w:p w14:paraId="4C7F1430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(n=1</w:t>
            </w:r>
            <w:r>
              <w:rPr>
                <w:rFonts w:cstheme="minorHAnsi"/>
                <w:bCs/>
                <w:color w:val="262626"/>
              </w:rPr>
              <w:t>,</w:t>
            </w:r>
            <w:r w:rsidRPr="00833431">
              <w:rPr>
                <w:rFonts w:cstheme="minorHAnsi"/>
                <w:bCs/>
                <w:color w:val="262626"/>
              </w:rPr>
              <w:t>470)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8" w:space="0" w:color="000000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bottom"/>
          </w:tcPr>
          <w:p w14:paraId="4236508D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Other/Missing</w:t>
            </w:r>
          </w:p>
          <w:p w14:paraId="38BD0644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(n=163)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8" w:space="0" w:color="000000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bottom"/>
          </w:tcPr>
          <w:p w14:paraId="46A63EC3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Overall</w:t>
            </w:r>
          </w:p>
          <w:p w14:paraId="72C2936E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color w:val="262626"/>
              </w:rPr>
            </w:pPr>
            <w:r w:rsidRPr="00833431">
              <w:rPr>
                <w:rFonts w:cstheme="minorHAnsi"/>
                <w:bCs/>
                <w:color w:val="262626"/>
              </w:rPr>
              <w:t>(n=9</w:t>
            </w:r>
            <w:r>
              <w:rPr>
                <w:rFonts w:cstheme="minorHAnsi"/>
                <w:bCs/>
                <w:color w:val="262626"/>
              </w:rPr>
              <w:t>,</w:t>
            </w:r>
            <w:r w:rsidRPr="00833431">
              <w:rPr>
                <w:rFonts w:cstheme="minorHAnsi"/>
                <w:bCs/>
                <w:color w:val="262626"/>
              </w:rPr>
              <w:t>687)</w:t>
            </w:r>
          </w:p>
        </w:tc>
      </w:tr>
      <w:tr w:rsidR="00AF4AD9" w:rsidRPr="00833431" w14:paraId="4856C401" w14:textId="77777777" w:rsidTr="00F04A97">
        <w:tblPrEx>
          <w:tblBorders>
            <w:top w:val="none" w:sz="0" w:space="0" w:color="auto"/>
          </w:tblBorders>
        </w:tblPrEx>
        <w:tc>
          <w:tcPr>
            <w:tcW w:w="3168" w:type="dxa"/>
            <w:tcMar>
              <w:top w:w="337" w:type="nil"/>
              <w:left w:w="67" w:type="nil"/>
              <w:bottom w:w="67" w:type="nil"/>
              <w:right w:w="202" w:type="nil"/>
            </w:tcMar>
          </w:tcPr>
          <w:p w14:paraId="43E7EF25" w14:textId="77777777" w:rsidR="00AF4AD9" w:rsidRPr="00B86D7E" w:rsidRDefault="00AF4AD9" w:rsidP="00F04A97">
            <w:pPr>
              <w:rPr>
                <w:rFonts w:cstheme="minorHAnsi"/>
              </w:rPr>
            </w:pPr>
            <w:r w:rsidRPr="00B86D7E">
              <w:rPr>
                <w:rFonts w:cstheme="minorHAnsi"/>
              </w:rPr>
              <w:t>Age (years), mean (SD)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33CE38CE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77.8</w:t>
            </w:r>
            <w:r w:rsidRPr="00833431">
              <w:rPr>
                <w:rFonts w:cstheme="minorHAnsi"/>
                <w:color w:val="262626"/>
              </w:rPr>
              <w:t xml:space="preserve"> (9.7)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096612ED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79.4</w:t>
            </w:r>
            <w:r w:rsidRPr="00833431">
              <w:rPr>
                <w:rFonts w:cstheme="minorHAnsi"/>
                <w:color w:val="262626"/>
              </w:rPr>
              <w:t xml:space="preserve"> (9.0)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2BF0CAA4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76.7</w:t>
            </w:r>
            <w:r w:rsidRPr="00833431">
              <w:rPr>
                <w:rFonts w:cstheme="minorHAnsi"/>
                <w:color w:val="262626"/>
              </w:rPr>
              <w:t xml:space="preserve"> (10.2)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4F9AC66D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76.4</w:t>
            </w:r>
            <w:r w:rsidRPr="00833431">
              <w:rPr>
                <w:rFonts w:cstheme="minorHAnsi"/>
                <w:color w:val="262626"/>
              </w:rPr>
              <w:t xml:space="preserve"> (9.2)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7FBB1D0F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78.9</w:t>
            </w:r>
            <w:r w:rsidRPr="00833431">
              <w:rPr>
                <w:rFonts w:cstheme="minorHAnsi"/>
                <w:color w:val="262626"/>
              </w:rPr>
              <w:t xml:space="preserve"> (9.3)</w:t>
            </w:r>
          </w:p>
        </w:tc>
      </w:tr>
      <w:tr w:rsidR="00AF4AD9" w:rsidRPr="00833431" w14:paraId="740F5B3A" w14:textId="77777777" w:rsidTr="00F04A97">
        <w:tblPrEx>
          <w:tblBorders>
            <w:top w:val="none" w:sz="0" w:space="0" w:color="auto"/>
          </w:tblBorders>
        </w:tblPrEx>
        <w:tc>
          <w:tcPr>
            <w:tcW w:w="3168" w:type="dxa"/>
            <w:tcMar>
              <w:top w:w="337" w:type="nil"/>
              <w:left w:w="67" w:type="nil"/>
              <w:bottom w:w="67" w:type="nil"/>
              <w:right w:w="202" w:type="nil"/>
            </w:tcMar>
            <w:vAlign w:val="center"/>
          </w:tcPr>
          <w:p w14:paraId="43AA486F" w14:textId="77777777" w:rsidR="00AF4AD9" w:rsidRPr="00833431" w:rsidRDefault="00AF4AD9" w:rsidP="00F04A97">
            <w:pPr>
              <w:autoSpaceDE w:val="0"/>
              <w:autoSpaceDN w:val="0"/>
              <w:adjustRightInd w:val="0"/>
              <w:rPr>
                <w:rFonts w:cstheme="minorHAnsi"/>
                <w:color w:val="262626"/>
              </w:rPr>
            </w:pPr>
            <w:r w:rsidRPr="00B86D7E">
              <w:rPr>
                <w:rFonts w:cstheme="minorHAnsi"/>
              </w:rPr>
              <w:t>Female, n (%)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76A99DA4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335 (51.5</w:t>
            </w:r>
            <w:r w:rsidRPr="00833431">
              <w:rPr>
                <w:rFonts w:cstheme="minorHAnsi"/>
                <w:color w:val="262626"/>
              </w:rPr>
              <w:t>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64119C2E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3936 (53.2</w:t>
            </w:r>
            <w:r w:rsidRPr="00833431">
              <w:rPr>
                <w:rFonts w:cstheme="minorHAnsi"/>
                <w:color w:val="262626"/>
              </w:rPr>
              <w:t>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12A17771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838 (57.0</w:t>
            </w:r>
            <w:r w:rsidRPr="00833431">
              <w:rPr>
                <w:rFonts w:cstheme="minorHAnsi"/>
                <w:color w:val="262626"/>
              </w:rPr>
              <w:t>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576FDEA6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74 (45.4</w:t>
            </w:r>
            <w:r w:rsidRPr="00833431">
              <w:rPr>
                <w:rFonts w:cstheme="minorHAnsi"/>
                <w:color w:val="262626"/>
              </w:rPr>
              <w:t>)</w:t>
            </w:r>
          </w:p>
        </w:tc>
        <w:tc>
          <w:tcPr>
            <w:tcW w:w="2160" w:type="dxa"/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79BD73C6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5183 (53.5</w:t>
            </w:r>
            <w:r w:rsidRPr="00833431">
              <w:rPr>
                <w:rFonts w:cstheme="minorHAnsi"/>
                <w:color w:val="262626"/>
              </w:rPr>
              <w:t>)</w:t>
            </w:r>
          </w:p>
        </w:tc>
      </w:tr>
      <w:tr w:rsidR="00AF4AD9" w:rsidRPr="00833431" w14:paraId="6699E5A1" w14:textId="77777777" w:rsidTr="00F04A97">
        <w:tblPrEx>
          <w:tblBorders>
            <w:top w:val="none" w:sz="0" w:space="0" w:color="auto"/>
          </w:tblBorders>
        </w:tblPrEx>
        <w:tc>
          <w:tcPr>
            <w:tcW w:w="3168" w:type="dxa"/>
            <w:tcBorders>
              <w:bottom w:val="nil"/>
            </w:tcBorders>
            <w:tcMar>
              <w:top w:w="337" w:type="nil"/>
              <w:left w:w="67" w:type="nil"/>
              <w:bottom w:w="67" w:type="nil"/>
              <w:right w:w="202" w:type="nil"/>
            </w:tcMar>
          </w:tcPr>
          <w:p w14:paraId="0C2BBA48" w14:textId="77777777" w:rsidR="00AF4AD9" w:rsidRPr="00B86D7E" w:rsidRDefault="00AF4AD9" w:rsidP="00F04A97">
            <w:pPr>
              <w:rPr>
                <w:rFonts w:cstheme="minorHAnsi"/>
              </w:rPr>
            </w:pPr>
            <w:r w:rsidRPr="00B86D7E">
              <w:rPr>
                <w:rFonts w:cstheme="minorHAnsi"/>
              </w:rPr>
              <w:t>Wealth (USD), median (</w:t>
            </w:r>
            <w:r>
              <w:rPr>
                <w:rFonts w:cstheme="minorHAnsi"/>
              </w:rPr>
              <w:t>IQR</w:t>
            </w:r>
            <w:r w:rsidRPr="00B86D7E">
              <w:rPr>
                <w:rFonts w:cstheme="minorHAnsi"/>
              </w:rPr>
              <w:t>)</w:t>
            </w:r>
          </w:p>
        </w:tc>
        <w:tc>
          <w:tcPr>
            <w:tcW w:w="2160" w:type="dxa"/>
            <w:tcBorders>
              <w:bottom w:val="nil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04961987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2.5</w:t>
            </w:r>
            <w:r w:rsidRPr="00833431">
              <w:rPr>
                <w:rFonts w:cstheme="minorHAnsi"/>
                <w:color w:val="262626"/>
              </w:rPr>
              <w:t xml:space="preserve"> (0.0, 8.7)</w:t>
            </w:r>
          </w:p>
        </w:tc>
        <w:tc>
          <w:tcPr>
            <w:tcW w:w="2160" w:type="dxa"/>
            <w:tcBorders>
              <w:bottom w:val="nil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0D5DFA75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 xml:space="preserve">13.4 </w:t>
            </w:r>
            <w:r w:rsidRPr="00833431">
              <w:rPr>
                <w:rFonts w:cstheme="minorHAnsi"/>
                <w:color w:val="262626"/>
              </w:rPr>
              <w:t>(3.2, 35.5)</w:t>
            </w:r>
          </w:p>
        </w:tc>
        <w:tc>
          <w:tcPr>
            <w:tcW w:w="2160" w:type="dxa"/>
            <w:tcBorders>
              <w:bottom w:val="nil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695E06A2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2.5</w:t>
            </w:r>
            <w:r w:rsidRPr="00833431">
              <w:rPr>
                <w:rFonts w:cstheme="minorHAnsi"/>
                <w:color w:val="262626"/>
              </w:rPr>
              <w:t xml:space="preserve"> (0.0, 7.8)</w:t>
            </w:r>
          </w:p>
        </w:tc>
        <w:tc>
          <w:tcPr>
            <w:tcW w:w="2160" w:type="dxa"/>
            <w:tcBorders>
              <w:bottom w:val="nil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57317487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2.8</w:t>
            </w:r>
            <w:r w:rsidRPr="00833431">
              <w:rPr>
                <w:rFonts w:cstheme="minorHAnsi"/>
                <w:color w:val="262626"/>
              </w:rPr>
              <w:t xml:space="preserve"> (0.0, 13.0)</w:t>
            </w:r>
          </w:p>
        </w:tc>
        <w:tc>
          <w:tcPr>
            <w:tcW w:w="2160" w:type="dxa"/>
            <w:tcBorders>
              <w:bottom w:val="nil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1F504CAA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9.2</w:t>
            </w:r>
            <w:r w:rsidRPr="00833431">
              <w:rPr>
                <w:rFonts w:cstheme="minorHAnsi"/>
                <w:color w:val="262626"/>
              </w:rPr>
              <w:t xml:space="preserve"> (1.5, 28.4)</w:t>
            </w:r>
          </w:p>
        </w:tc>
      </w:tr>
      <w:tr w:rsidR="00AF4AD9" w:rsidRPr="00833431" w14:paraId="3AE49EF3" w14:textId="77777777" w:rsidTr="00F04A97">
        <w:tblPrEx>
          <w:tblBorders>
            <w:top w:val="none" w:sz="0" w:space="0" w:color="auto"/>
          </w:tblBorders>
        </w:tblPrEx>
        <w:tc>
          <w:tcPr>
            <w:tcW w:w="3168" w:type="dxa"/>
            <w:tcBorders>
              <w:bottom w:val="single" w:sz="12" w:space="0" w:color="auto"/>
            </w:tcBorders>
            <w:tcMar>
              <w:top w:w="337" w:type="nil"/>
              <w:left w:w="67" w:type="nil"/>
              <w:bottom w:w="67" w:type="nil"/>
              <w:right w:w="202" w:type="nil"/>
            </w:tcMar>
          </w:tcPr>
          <w:p w14:paraId="390B4374" w14:textId="77777777" w:rsidR="00AF4AD9" w:rsidRPr="00B86D7E" w:rsidRDefault="00AF4AD9" w:rsidP="00F04A97">
            <w:pPr>
              <w:rPr>
                <w:rFonts w:cstheme="minorHAnsi"/>
              </w:rPr>
            </w:pPr>
            <w:r w:rsidRPr="00B86D7E">
              <w:rPr>
                <w:rFonts w:cstheme="minorHAnsi"/>
              </w:rPr>
              <w:t>Education (years), median (</w:t>
            </w:r>
            <w:r>
              <w:rPr>
                <w:rFonts w:cstheme="minorHAnsi"/>
              </w:rPr>
              <w:t>IQR</w:t>
            </w:r>
            <w:r w:rsidRPr="00B86D7E">
              <w:rPr>
                <w:rFonts w:cstheme="minorHAnsi"/>
              </w:rPr>
              <w:t>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00279D8C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7.</w:t>
            </w:r>
            <w:r w:rsidRPr="00833431">
              <w:rPr>
                <w:rFonts w:cstheme="minorHAnsi"/>
                <w:color w:val="262626"/>
              </w:rPr>
              <w:t>0 (3.0, 12.0)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0AD3C6A0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12.</w:t>
            </w:r>
            <w:r w:rsidRPr="00833431">
              <w:rPr>
                <w:rFonts w:cstheme="minorHAnsi"/>
                <w:color w:val="262626"/>
              </w:rPr>
              <w:t>0 (10.0, 14.0)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79779588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10.</w:t>
            </w:r>
            <w:r w:rsidRPr="00833431">
              <w:rPr>
                <w:rFonts w:cstheme="minorHAnsi"/>
                <w:color w:val="262626"/>
              </w:rPr>
              <w:t>0 (7.0, 12.0)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7BB06D77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12.0</w:t>
            </w:r>
            <w:r w:rsidRPr="00833431">
              <w:rPr>
                <w:rFonts w:cstheme="minorHAnsi"/>
                <w:color w:val="262626"/>
              </w:rPr>
              <w:t xml:space="preserve"> (7.0, 14.0)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tcMar>
              <w:top w:w="202" w:type="nil"/>
              <w:left w:w="67" w:type="nil"/>
              <w:bottom w:w="67" w:type="nil"/>
              <w:right w:w="202" w:type="nil"/>
            </w:tcMar>
            <w:vAlign w:val="center"/>
          </w:tcPr>
          <w:p w14:paraId="3A6474E1" w14:textId="77777777" w:rsidR="00AF4AD9" w:rsidRPr="00833431" w:rsidRDefault="00AF4AD9" w:rsidP="00F04A97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262626"/>
              </w:rPr>
            </w:pPr>
            <w:r>
              <w:rPr>
                <w:rFonts w:cstheme="minorHAnsi"/>
                <w:color w:val="262626"/>
              </w:rPr>
              <w:t>12.</w:t>
            </w:r>
            <w:r w:rsidRPr="00833431">
              <w:rPr>
                <w:rFonts w:cstheme="minorHAnsi"/>
                <w:color w:val="262626"/>
              </w:rPr>
              <w:t>0 (9.0, 13.0)</w:t>
            </w:r>
          </w:p>
        </w:tc>
      </w:tr>
    </w:tbl>
    <w:p w14:paraId="6FB2A77E" w14:textId="77777777" w:rsidR="00AF4AD9" w:rsidRPr="00833431" w:rsidRDefault="00AF4AD9" w:rsidP="00AF4AD9">
      <w:pPr>
        <w:autoSpaceDE w:val="0"/>
        <w:autoSpaceDN w:val="0"/>
        <w:adjustRightInd w:val="0"/>
        <w:rPr>
          <w:rFonts w:cstheme="minorHAnsi"/>
          <w:color w:val="262626"/>
        </w:rPr>
      </w:pPr>
      <w:r>
        <w:rPr>
          <w:rFonts w:cstheme="minorHAnsi"/>
          <w:color w:val="262626"/>
        </w:rPr>
        <w:t xml:space="preserve">*Based on last HRS interview with a positive survey weight. </w:t>
      </w:r>
    </w:p>
    <w:p w14:paraId="768AE0B1" w14:textId="77777777" w:rsidR="00E04207" w:rsidRDefault="00E04207"/>
    <w:sectPr w:rsidR="00E04207" w:rsidSect="00CF52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399"/>
    <w:rsid w:val="003E7F24"/>
    <w:rsid w:val="00566DBC"/>
    <w:rsid w:val="00AB3399"/>
    <w:rsid w:val="00AF4AD9"/>
    <w:rsid w:val="00B8207E"/>
    <w:rsid w:val="00CF52F6"/>
    <w:rsid w:val="00D13E16"/>
    <w:rsid w:val="00E04207"/>
    <w:rsid w:val="00F4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B34B9"/>
  <w15:chartTrackingRefBased/>
  <w15:docId w15:val="{A7F2FD88-E72C-41A8-B910-9DE5DC2B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3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E7F2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373</Words>
  <Characters>2332</Characters>
  <Application>Microsoft Office Word</Application>
  <DocSecurity>0</DocSecurity>
  <Lines>111</Lines>
  <Paragraphs>75</Paragraphs>
  <ScaleCrop>false</ScaleCrop>
  <Company>SUND - KU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Terese Sara Høj Jørgensen</dc:creator>
  <cp:keywords/>
  <dc:description/>
  <cp:lastModifiedBy>Terese Sara Høj Jørgensen</cp:lastModifiedBy>
  <cp:revision>4</cp:revision>
  <dcterms:created xsi:type="dcterms:W3CDTF">2022-01-24T23:40:00Z</dcterms:created>
  <dcterms:modified xsi:type="dcterms:W3CDTF">2022-02-16T08:20:00Z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