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985FC" w14:textId="77777777" w:rsidR="00A13E80" w:rsidRPr="00D97FFD" w:rsidRDefault="00A13E80" w:rsidP="00A13E80">
      <w:pPr>
        <w:pStyle w:val="Caption"/>
        <w:spacing w:after="60" w:line="280" w:lineRule="exact"/>
        <w:rPr>
          <w:rFonts w:cs="Arial"/>
          <w:i w:val="0"/>
          <w:sz w:val="22"/>
          <w:szCs w:val="22"/>
          <w:lang w:val="en-US"/>
        </w:rPr>
      </w:pPr>
      <w:r w:rsidRPr="00D97FFD">
        <w:rPr>
          <w:rFonts w:cs="Arial"/>
          <w:i w:val="0"/>
          <w:sz w:val="22"/>
          <w:szCs w:val="22"/>
          <w:lang w:val="en-US"/>
        </w:rPr>
        <w:t xml:space="preserve">Appendix table </w:t>
      </w:r>
      <w:r>
        <w:rPr>
          <w:rFonts w:cs="Arial"/>
          <w:i w:val="0"/>
          <w:sz w:val="22"/>
          <w:szCs w:val="22"/>
          <w:lang w:val="en-US"/>
        </w:rPr>
        <w:t>1</w:t>
      </w:r>
      <w:r w:rsidRPr="00D97FFD">
        <w:rPr>
          <w:rFonts w:cs="Arial"/>
          <w:i w:val="0"/>
          <w:sz w:val="22"/>
          <w:szCs w:val="22"/>
          <w:lang w:val="en-US"/>
        </w:rPr>
        <w:t>.</w:t>
      </w:r>
      <w:r w:rsidRPr="00D97FFD">
        <w:rPr>
          <w:rFonts w:cs="Arial"/>
          <w:i w:val="0"/>
          <w:sz w:val="22"/>
          <w:szCs w:val="22"/>
          <w:lang w:val="en-US"/>
        </w:rPr>
        <w:tab/>
        <w:t>Description of VA/VF-based health states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948"/>
        <w:gridCol w:w="591"/>
        <w:gridCol w:w="2787"/>
      </w:tblGrid>
      <w:tr w:rsidR="00A13E80" w:rsidRPr="00D97FFD" w14:paraId="6E151FD8" w14:textId="77777777" w:rsidTr="007C1863">
        <w:tc>
          <w:tcPr>
            <w:tcW w:w="2693" w:type="dxa"/>
            <w:vMerge w:val="restart"/>
            <w:noWrap/>
            <w:hideMark/>
          </w:tcPr>
          <w:p w14:paraId="3705FD4C" w14:textId="77777777" w:rsidR="00A13E80" w:rsidRPr="00D97FFD" w:rsidRDefault="00A13E80" w:rsidP="007C1863">
            <w:pPr>
              <w:rPr>
                <w:rFonts w:cs="Arial"/>
                <w:b/>
                <w:szCs w:val="22"/>
                <w:lang w:val="en-US"/>
              </w:rPr>
            </w:pPr>
            <w:r w:rsidRPr="00D97FFD">
              <w:rPr>
                <w:rFonts w:cs="Arial"/>
                <w:b/>
                <w:szCs w:val="22"/>
              </w:rPr>
              <w:t> </w:t>
            </w:r>
          </w:p>
        </w:tc>
        <w:tc>
          <w:tcPr>
            <w:tcW w:w="6326" w:type="dxa"/>
            <w:gridSpan w:val="3"/>
            <w:noWrap/>
            <w:hideMark/>
          </w:tcPr>
          <w:p w14:paraId="7BD323E6" w14:textId="77777777" w:rsidR="00A13E80" w:rsidRPr="00D97FFD" w:rsidRDefault="00A13E80" w:rsidP="007C1863">
            <w:pPr>
              <w:rPr>
                <w:rFonts w:cs="Arial"/>
                <w:b/>
                <w:szCs w:val="22"/>
              </w:rPr>
            </w:pPr>
            <w:r w:rsidRPr="005C7A02">
              <w:rPr>
                <w:rFonts w:cs="Arial"/>
                <w:b/>
                <w:szCs w:val="22"/>
              </w:rPr>
              <w:t xml:space="preserve">Based on the </w:t>
            </w:r>
            <w:r>
              <w:rPr>
                <w:rFonts w:cs="Arial"/>
                <w:b/>
                <w:szCs w:val="22"/>
              </w:rPr>
              <w:t>average score of both eyes, the w</w:t>
            </w:r>
            <w:r w:rsidRPr="00D97FFD">
              <w:rPr>
                <w:rFonts w:cs="Arial"/>
                <w:b/>
                <w:szCs w:val="22"/>
              </w:rPr>
              <w:t>orst of:</w:t>
            </w:r>
          </w:p>
        </w:tc>
      </w:tr>
      <w:tr w:rsidR="00A13E80" w:rsidRPr="00D97FFD" w14:paraId="1AF9046E" w14:textId="77777777" w:rsidTr="007C1863">
        <w:tc>
          <w:tcPr>
            <w:tcW w:w="2693" w:type="dxa"/>
            <w:vMerge/>
            <w:hideMark/>
          </w:tcPr>
          <w:p w14:paraId="3B7393E3" w14:textId="77777777" w:rsidR="00A13E80" w:rsidRPr="00D97FFD" w:rsidRDefault="00A13E80" w:rsidP="007C1863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2948" w:type="dxa"/>
            <w:hideMark/>
          </w:tcPr>
          <w:p w14:paraId="5BFD2D07" w14:textId="77777777" w:rsidR="00A13E80" w:rsidRPr="00D97FFD" w:rsidRDefault="00A13E80" w:rsidP="007C1863">
            <w:pPr>
              <w:rPr>
                <w:rFonts w:cs="Arial"/>
                <w:b/>
                <w:szCs w:val="22"/>
              </w:rPr>
            </w:pPr>
            <w:r w:rsidRPr="00D97FFD">
              <w:rPr>
                <w:rFonts w:cs="Arial"/>
                <w:b/>
                <w:szCs w:val="22"/>
              </w:rPr>
              <w:t>Visual Acuity (VA) (</w:t>
            </w:r>
            <w:proofErr w:type="spellStart"/>
            <w:r w:rsidRPr="00D97FFD">
              <w:rPr>
                <w:rFonts w:cs="Arial"/>
                <w:b/>
                <w:szCs w:val="22"/>
              </w:rPr>
              <w:t>LogMAR</w:t>
            </w:r>
            <w:proofErr w:type="spellEnd"/>
            <w:r w:rsidRPr="00D97FFD">
              <w:rPr>
                <w:rFonts w:cs="Arial"/>
                <w:b/>
                <w:szCs w:val="22"/>
              </w:rPr>
              <w:t>)</w:t>
            </w:r>
          </w:p>
        </w:tc>
        <w:tc>
          <w:tcPr>
            <w:tcW w:w="591" w:type="dxa"/>
            <w:noWrap/>
            <w:hideMark/>
          </w:tcPr>
          <w:p w14:paraId="1AB53CE9" w14:textId="77777777" w:rsidR="00A13E80" w:rsidRPr="00D97FFD" w:rsidRDefault="00A13E80" w:rsidP="007C1863">
            <w:pPr>
              <w:rPr>
                <w:rFonts w:cs="Arial"/>
                <w:b/>
                <w:szCs w:val="22"/>
              </w:rPr>
            </w:pPr>
            <w:r w:rsidRPr="00D97FFD">
              <w:rPr>
                <w:rFonts w:cs="Arial"/>
                <w:b/>
                <w:szCs w:val="22"/>
              </w:rPr>
              <w:t> </w:t>
            </w:r>
          </w:p>
        </w:tc>
        <w:tc>
          <w:tcPr>
            <w:tcW w:w="2787" w:type="dxa"/>
            <w:hideMark/>
          </w:tcPr>
          <w:p w14:paraId="35EE888B" w14:textId="77777777" w:rsidR="00A13E80" w:rsidRPr="00D97FFD" w:rsidRDefault="00A13E80" w:rsidP="007C1863">
            <w:pPr>
              <w:rPr>
                <w:rFonts w:cs="Arial"/>
                <w:b/>
                <w:szCs w:val="22"/>
              </w:rPr>
            </w:pPr>
            <w:r w:rsidRPr="00D97FFD">
              <w:rPr>
                <w:rFonts w:cs="Arial"/>
                <w:b/>
                <w:szCs w:val="22"/>
              </w:rPr>
              <w:t>Visual Field (VF) (sum total degrees)</w:t>
            </w:r>
          </w:p>
        </w:tc>
      </w:tr>
      <w:tr w:rsidR="00A13E80" w:rsidRPr="00D97FFD" w14:paraId="2F5853FC" w14:textId="77777777" w:rsidTr="007C1863">
        <w:tc>
          <w:tcPr>
            <w:tcW w:w="2693" w:type="dxa"/>
            <w:noWrap/>
            <w:hideMark/>
          </w:tcPr>
          <w:p w14:paraId="5E2BB1D2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HS1: Moderate VI</w:t>
            </w:r>
          </w:p>
        </w:tc>
        <w:tc>
          <w:tcPr>
            <w:tcW w:w="2948" w:type="dxa"/>
            <w:noWrap/>
            <w:hideMark/>
          </w:tcPr>
          <w:p w14:paraId="4D51B887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VA&lt;1</w:t>
            </w:r>
          </w:p>
        </w:tc>
        <w:tc>
          <w:tcPr>
            <w:tcW w:w="591" w:type="dxa"/>
            <w:noWrap/>
            <w:hideMark/>
          </w:tcPr>
          <w:p w14:paraId="5320FAD1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Or</w:t>
            </w:r>
          </w:p>
        </w:tc>
        <w:tc>
          <w:tcPr>
            <w:tcW w:w="2787" w:type="dxa"/>
            <w:noWrap/>
            <w:hideMark/>
          </w:tcPr>
          <w:p w14:paraId="334313B8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VF&gt;240</w:t>
            </w:r>
          </w:p>
        </w:tc>
      </w:tr>
      <w:tr w:rsidR="00A13E80" w:rsidRPr="00D97FFD" w14:paraId="0120FDB9" w14:textId="77777777" w:rsidTr="007C1863">
        <w:tc>
          <w:tcPr>
            <w:tcW w:w="2693" w:type="dxa"/>
            <w:noWrap/>
            <w:hideMark/>
          </w:tcPr>
          <w:p w14:paraId="6A9AB1BA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HS2: Severe VI  </w:t>
            </w:r>
          </w:p>
        </w:tc>
        <w:tc>
          <w:tcPr>
            <w:tcW w:w="2948" w:type="dxa"/>
            <w:noWrap/>
            <w:hideMark/>
          </w:tcPr>
          <w:p w14:paraId="4BA11BD7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VA≥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1 and VA&lt;1.4</w:t>
            </w:r>
          </w:p>
        </w:tc>
        <w:tc>
          <w:tcPr>
            <w:tcW w:w="591" w:type="dxa"/>
            <w:noWrap/>
            <w:hideMark/>
          </w:tcPr>
          <w:p w14:paraId="7EB5D6D3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Or</w:t>
            </w:r>
          </w:p>
        </w:tc>
        <w:tc>
          <w:tcPr>
            <w:tcW w:w="2787" w:type="dxa"/>
            <w:noWrap/>
            <w:hideMark/>
          </w:tcPr>
          <w:p w14:paraId="20FF670C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VF≤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240 and VF&gt;144</w:t>
            </w:r>
          </w:p>
        </w:tc>
      </w:tr>
      <w:tr w:rsidR="00A13E80" w:rsidRPr="00D97FFD" w14:paraId="35808AB0" w14:textId="77777777" w:rsidTr="007C1863">
        <w:tc>
          <w:tcPr>
            <w:tcW w:w="2693" w:type="dxa"/>
            <w:noWrap/>
            <w:hideMark/>
          </w:tcPr>
          <w:p w14:paraId="69B244D2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HS3: Profound VI</w:t>
            </w:r>
          </w:p>
        </w:tc>
        <w:tc>
          <w:tcPr>
            <w:tcW w:w="2948" w:type="dxa"/>
            <w:noWrap/>
            <w:hideMark/>
          </w:tcPr>
          <w:p w14:paraId="77072958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VA≥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1.4 and VA&lt;1.8</w:t>
            </w:r>
          </w:p>
        </w:tc>
        <w:tc>
          <w:tcPr>
            <w:tcW w:w="591" w:type="dxa"/>
            <w:noWrap/>
            <w:hideMark/>
          </w:tcPr>
          <w:p w14:paraId="68CA0057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Or</w:t>
            </w:r>
          </w:p>
        </w:tc>
        <w:tc>
          <w:tcPr>
            <w:tcW w:w="2787" w:type="dxa"/>
            <w:noWrap/>
            <w:hideMark/>
          </w:tcPr>
          <w:p w14:paraId="287BEEAF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VF≤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144 and VF&gt;48</w:t>
            </w:r>
          </w:p>
        </w:tc>
      </w:tr>
      <w:tr w:rsidR="00A13E80" w:rsidRPr="00D97FFD" w14:paraId="691B758B" w14:textId="77777777" w:rsidTr="007C1863">
        <w:tc>
          <w:tcPr>
            <w:tcW w:w="2693" w:type="dxa"/>
            <w:noWrap/>
            <w:hideMark/>
          </w:tcPr>
          <w:p w14:paraId="1F5556FC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HS4: Count Fingers</w:t>
            </w:r>
          </w:p>
        </w:tc>
        <w:tc>
          <w:tcPr>
            <w:tcW w:w="2948" w:type="dxa"/>
            <w:noWrap/>
            <w:hideMark/>
          </w:tcPr>
          <w:p w14:paraId="27F6BB3E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VA≥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1.8 and VA&lt;3</w:t>
            </w:r>
          </w:p>
        </w:tc>
        <w:tc>
          <w:tcPr>
            <w:tcW w:w="591" w:type="dxa"/>
            <w:noWrap/>
            <w:hideMark/>
          </w:tcPr>
          <w:p w14:paraId="3F7A0E1E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Or</w:t>
            </w:r>
          </w:p>
        </w:tc>
        <w:tc>
          <w:tcPr>
            <w:tcW w:w="2787" w:type="dxa"/>
            <w:noWrap/>
            <w:hideMark/>
          </w:tcPr>
          <w:p w14:paraId="487C7182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VF≤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48</w:t>
            </w:r>
          </w:p>
        </w:tc>
      </w:tr>
      <w:tr w:rsidR="00A13E80" w:rsidRPr="00D97FFD" w14:paraId="48242E6B" w14:textId="77777777" w:rsidTr="007C1863">
        <w:tc>
          <w:tcPr>
            <w:tcW w:w="2693" w:type="dxa"/>
            <w:hideMark/>
          </w:tcPr>
          <w:p w14:paraId="5D795639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HS5: Hand Motion to No Light Perception</w:t>
            </w:r>
          </w:p>
        </w:tc>
        <w:tc>
          <w:tcPr>
            <w:tcW w:w="2948" w:type="dxa"/>
            <w:hideMark/>
          </w:tcPr>
          <w:p w14:paraId="12EDA4CC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VA≥</w:t>
            </w:r>
            <w:r>
              <w:rPr>
                <w:rFonts w:cs="Arial"/>
                <w:szCs w:val="22"/>
              </w:rPr>
              <w:t xml:space="preserve"> </w:t>
            </w:r>
            <w:r w:rsidRPr="00D97FFD">
              <w:rPr>
                <w:rFonts w:cs="Arial"/>
                <w:szCs w:val="22"/>
              </w:rPr>
              <w:t>3</w:t>
            </w:r>
            <w:r>
              <w:rPr>
                <w:rFonts w:cs="Arial"/>
                <w:szCs w:val="22"/>
              </w:rPr>
              <w:t>,</w:t>
            </w:r>
            <w:r w:rsidRPr="00D97FFD">
              <w:rPr>
                <w:rFonts w:cs="Arial"/>
                <w:szCs w:val="22"/>
              </w:rPr>
              <w:t xml:space="preserve"> or indications of HM, LP, NLP</w:t>
            </w:r>
            <w:r>
              <w:rPr>
                <w:rFonts w:cs="Arial"/>
                <w:szCs w:val="22"/>
              </w:rPr>
              <w:t xml:space="preserve"> across both eyes</w:t>
            </w:r>
          </w:p>
        </w:tc>
        <w:tc>
          <w:tcPr>
            <w:tcW w:w="591" w:type="dxa"/>
            <w:noWrap/>
            <w:hideMark/>
          </w:tcPr>
          <w:p w14:paraId="41D7E2A7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 </w:t>
            </w:r>
          </w:p>
        </w:tc>
        <w:tc>
          <w:tcPr>
            <w:tcW w:w="2787" w:type="dxa"/>
            <w:noWrap/>
            <w:hideMark/>
          </w:tcPr>
          <w:p w14:paraId="121EF185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-</w:t>
            </w:r>
          </w:p>
        </w:tc>
      </w:tr>
      <w:tr w:rsidR="00A13E80" w:rsidRPr="00D97FFD" w14:paraId="28330C68" w14:textId="77777777" w:rsidTr="007C1863">
        <w:tc>
          <w:tcPr>
            <w:tcW w:w="2693" w:type="dxa"/>
          </w:tcPr>
          <w:p w14:paraId="2F159411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Death</w:t>
            </w:r>
          </w:p>
        </w:tc>
        <w:tc>
          <w:tcPr>
            <w:tcW w:w="2948" w:type="dxa"/>
          </w:tcPr>
          <w:p w14:paraId="69DE17CE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-</w:t>
            </w:r>
          </w:p>
        </w:tc>
        <w:tc>
          <w:tcPr>
            <w:tcW w:w="591" w:type="dxa"/>
            <w:noWrap/>
          </w:tcPr>
          <w:p w14:paraId="08442C8E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</w:p>
        </w:tc>
        <w:tc>
          <w:tcPr>
            <w:tcW w:w="2787" w:type="dxa"/>
            <w:noWrap/>
          </w:tcPr>
          <w:p w14:paraId="3A6DFA95" w14:textId="77777777" w:rsidR="00A13E80" w:rsidRPr="00D97FFD" w:rsidRDefault="00A13E80" w:rsidP="007C1863">
            <w:pPr>
              <w:rPr>
                <w:rFonts w:cs="Arial"/>
                <w:szCs w:val="22"/>
              </w:rPr>
            </w:pPr>
            <w:r w:rsidRPr="00D97FFD">
              <w:rPr>
                <w:rFonts w:cs="Arial"/>
                <w:szCs w:val="22"/>
              </w:rPr>
              <w:t>-</w:t>
            </w:r>
          </w:p>
        </w:tc>
      </w:tr>
    </w:tbl>
    <w:p w14:paraId="496FC94C" w14:textId="77777777" w:rsidR="00A13E80" w:rsidRPr="00D97FFD" w:rsidRDefault="00A13E80" w:rsidP="00A13E80">
      <w:pPr>
        <w:pStyle w:val="ReportTableFootnote"/>
        <w:spacing w:after="120" w:line="240" w:lineRule="auto"/>
        <w:jc w:val="left"/>
        <w:rPr>
          <w:rFonts w:ascii="Arial" w:hAnsi="Arial" w:cs="Arial"/>
          <w:sz w:val="22"/>
        </w:rPr>
      </w:pPr>
      <w:r w:rsidRPr="00D97FFD">
        <w:rPr>
          <w:rFonts w:ascii="Arial" w:hAnsi="Arial" w:cs="Arial"/>
          <w:sz w:val="22"/>
        </w:rPr>
        <w:t>HM, hand motion; HS, health state; LP, light perception; NLP, no light perception; VA, visual acuity; VF, visual field; VI, visual impairment.</w:t>
      </w:r>
    </w:p>
    <w:p w14:paraId="608A4871" w14:textId="77777777" w:rsidR="00A13E80" w:rsidRPr="00D97FFD" w:rsidRDefault="00A13E80" w:rsidP="00A13E80">
      <w:pPr>
        <w:rPr>
          <w:rFonts w:cs="Arial"/>
          <w:szCs w:val="22"/>
        </w:rPr>
      </w:pPr>
    </w:p>
    <w:p w14:paraId="3409FD1B" w14:textId="77777777" w:rsidR="00A13E80" w:rsidRPr="00D97FFD" w:rsidRDefault="00A13E80" w:rsidP="00A13E80">
      <w:pPr>
        <w:rPr>
          <w:rFonts w:cs="Arial"/>
          <w:szCs w:val="22"/>
        </w:rPr>
      </w:pPr>
      <w:r w:rsidRPr="00D97FFD">
        <w:rPr>
          <w:rFonts w:cs="Arial"/>
          <w:szCs w:val="22"/>
        </w:rPr>
        <w:t xml:space="preserve">Appendix </w:t>
      </w:r>
      <w:r>
        <w:rPr>
          <w:rFonts w:cs="Arial"/>
          <w:szCs w:val="22"/>
        </w:rPr>
        <w:t>t</w:t>
      </w:r>
      <w:r w:rsidRPr="00D97FFD">
        <w:rPr>
          <w:rFonts w:cs="Arial"/>
          <w:szCs w:val="22"/>
        </w:rPr>
        <w:t xml:space="preserve">able </w:t>
      </w:r>
      <w:r>
        <w:rPr>
          <w:rFonts w:cs="Arial"/>
          <w:szCs w:val="22"/>
        </w:rPr>
        <w:t>2</w:t>
      </w:r>
      <w:r w:rsidRPr="00D97FFD">
        <w:rPr>
          <w:rFonts w:cs="Arial"/>
          <w:szCs w:val="22"/>
        </w:rPr>
        <w:t xml:space="preserve">. </w:t>
      </w:r>
      <w:r w:rsidRPr="00BB2AF6">
        <w:rPr>
          <w:rFonts w:cs="Arial"/>
          <w:szCs w:val="22"/>
        </w:rPr>
        <w:t xml:space="preserve">Multistate model parameters based on different distributions, used to calculate transition probabilities between health states (HSs) for </w:t>
      </w:r>
      <w:r>
        <w:rPr>
          <w:rFonts w:cs="Arial"/>
          <w:szCs w:val="22"/>
        </w:rPr>
        <w:t xml:space="preserve">the </w:t>
      </w:r>
      <w:r w:rsidRPr="00BB2AF6">
        <w:rPr>
          <w:rFonts w:cs="Arial"/>
          <w:szCs w:val="22"/>
        </w:rPr>
        <w:t>long-term phase</w:t>
      </w:r>
    </w:p>
    <w:tbl>
      <w:tblPr>
        <w:tblW w:w="9065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417"/>
        <w:gridCol w:w="1417"/>
        <w:gridCol w:w="1417"/>
        <w:gridCol w:w="1417"/>
      </w:tblGrid>
      <w:tr w:rsidR="00A13E80" w:rsidRPr="00D97FFD" w14:paraId="63C9945F" w14:textId="77777777" w:rsidTr="007C1863">
        <w:trPr>
          <w:trHeight w:val="104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B76B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Parameter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7011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>
              <w:rPr>
                <w:rFonts w:cs="Arial"/>
                <w:color w:val="000000"/>
                <w:szCs w:val="22"/>
                <w:lang w:eastAsia="en-GB"/>
              </w:rPr>
              <w:t>Weibull (base-case)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4211A" w14:textId="77777777" w:rsidR="00A13E80" w:rsidRDefault="00A13E80" w:rsidP="007C1863">
            <w:pPr>
              <w:spacing w:line="240" w:lineRule="auto"/>
              <w:contextualSpacing w:val="0"/>
              <w:jc w:val="center"/>
            </w:pPr>
          </w:p>
          <w:p w14:paraId="4346D60F" w14:textId="77777777" w:rsidR="00A13E80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proofErr w:type="spellStart"/>
            <w:r w:rsidRPr="00162391">
              <w:t>Gompertz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EE1C8" w14:textId="77777777" w:rsidR="00A13E80" w:rsidRDefault="00A13E80" w:rsidP="007C1863">
            <w:pPr>
              <w:spacing w:line="240" w:lineRule="auto"/>
              <w:contextualSpacing w:val="0"/>
              <w:jc w:val="center"/>
            </w:pPr>
          </w:p>
          <w:p w14:paraId="77787172" w14:textId="77777777" w:rsidR="00A13E80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162391">
              <w:t>Log-logistic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520AB" w14:textId="77777777" w:rsidR="00A13E80" w:rsidRDefault="00A13E80" w:rsidP="007C1863">
            <w:pPr>
              <w:spacing w:line="240" w:lineRule="auto"/>
              <w:contextualSpacing w:val="0"/>
              <w:jc w:val="center"/>
            </w:pPr>
          </w:p>
          <w:p w14:paraId="73E31C81" w14:textId="77777777" w:rsidR="00A13E80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162391">
              <w:t>Log-normal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97FA4" w14:textId="77777777" w:rsidR="00A13E80" w:rsidRDefault="00A13E80" w:rsidP="007C1863">
            <w:pPr>
              <w:spacing w:line="240" w:lineRule="auto"/>
              <w:contextualSpacing w:val="0"/>
              <w:jc w:val="center"/>
            </w:pPr>
          </w:p>
          <w:p w14:paraId="4F329D4E" w14:textId="77777777" w:rsidR="00A13E80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162391">
              <w:t>Exponential</w:t>
            </w:r>
          </w:p>
        </w:tc>
      </w:tr>
      <w:tr w:rsidR="00A13E80" w:rsidRPr="00D97FFD" w14:paraId="3A5EF1DE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DF4F3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HS1 to HS3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F276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-2.48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446B9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-2.48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A0757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1.41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8702B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3FA1D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-2.48</w:t>
            </w:r>
          </w:p>
        </w:tc>
      </w:tr>
      <w:tr w:rsidR="00A13E80" w:rsidRPr="00D97FFD" w14:paraId="19F55147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1A87D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HS1 to HS4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B142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-2.48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1EF65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-2.48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9B4E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EF3F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30F79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-2.48</w:t>
            </w:r>
          </w:p>
        </w:tc>
      </w:tr>
      <w:tr w:rsidR="00A13E80" w:rsidRPr="00D97FFD" w14:paraId="4AC3EBCE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BCCBC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HS1 to HS5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2E20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-18.30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855C4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-17.25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F3FBB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8.48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CC89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5.38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92D83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-17.31</w:t>
            </w:r>
          </w:p>
        </w:tc>
      </w:tr>
      <w:tr w:rsidR="00A13E80" w:rsidRPr="00D97FFD" w14:paraId="3AA94C83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A2948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HS2 to HS3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9B21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-0.60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21104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-0.51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379A2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0.51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DF1A6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0.53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C572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-0.34</w:t>
            </w:r>
          </w:p>
        </w:tc>
      </w:tr>
      <w:tr w:rsidR="00A13E80" w:rsidRPr="00D97FFD" w14:paraId="3195EA3E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91E67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HS2 to HS4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FC9C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-3.00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AA012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-2.91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BC39B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BEEE4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89C03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-2.74</w:t>
            </w:r>
          </w:p>
        </w:tc>
      </w:tr>
      <w:tr w:rsidR="00A13E80" w:rsidRPr="00D97FFD" w14:paraId="500EA600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82D7B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HS2 to HS5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A32B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-18.32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1A082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-17.28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766A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8.56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AF7A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5.44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C9937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-17.31</w:t>
            </w:r>
          </w:p>
        </w:tc>
      </w:tr>
      <w:tr w:rsidR="00A13E80" w:rsidRPr="00D97FFD" w14:paraId="4EE6B0A1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331BA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HS3 to HS4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A3B4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-1.37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0293F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-1.40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B5591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0.94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E62EF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0.96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63AB3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-0.80</w:t>
            </w:r>
          </w:p>
        </w:tc>
      </w:tr>
      <w:tr w:rsidR="00A13E80" w:rsidRPr="00D97FFD" w14:paraId="266F1086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2F4E5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HS3 to HS5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B7F5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-18.36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2DF69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-17.37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1B2D4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8.77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624BD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5.75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C4991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-17.31</w:t>
            </w:r>
          </w:p>
        </w:tc>
      </w:tr>
      <w:tr w:rsidR="00A13E80" w:rsidRPr="00D97FFD" w14:paraId="0099B248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9BE26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HS4 to HS5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66A2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-1.55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E42DA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-1.56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74B2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C276F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1.08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1B3C0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-1.01</w:t>
            </w:r>
          </w:p>
        </w:tc>
      </w:tr>
      <w:tr w:rsidR="00A13E80" w:rsidRPr="00D97FFD" w14:paraId="46637F26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92C6E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Constant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3B40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-14.95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FC993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-9.21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4DAE4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7.99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E2DC1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8.02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DFF2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CE526C">
              <w:t>-8.59</w:t>
            </w:r>
          </w:p>
        </w:tc>
      </w:tr>
      <w:tr w:rsidR="00A13E80" w:rsidRPr="00D97FFD" w14:paraId="7B4CB0A4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19CF5" w14:textId="77777777" w:rsidR="00A13E80" w:rsidRPr="00D97FFD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Ancillary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F6023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 w:rsidRPr="00D97FFD">
              <w:rPr>
                <w:rFonts w:cs="Arial"/>
                <w:color w:val="000000"/>
                <w:szCs w:val="22"/>
                <w:lang w:eastAsia="en-GB"/>
              </w:rPr>
              <w:t>0.59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7DF61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 w:rsidRPr="00CE526C"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A15CB7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 w:rsidRPr="00CE526C">
              <w:t>-0.79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E8F1B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 w:rsidRPr="00CE526C">
              <w:t>-0.14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4C23E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 w:rsidRPr="00CE526C">
              <w:t>-</w:t>
            </w:r>
          </w:p>
        </w:tc>
      </w:tr>
      <w:tr w:rsidR="00A13E80" w:rsidRPr="00D97FFD" w14:paraId="4B553516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187E7" w14:textId="77777777" w:rsidR="00A13E80" w:rsidRPr="00A40AB4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i/>
                <w:iCs/>
                <w:color w:val="000000"/>
                <w:szCs w:val="22"/>
                <w:lang w:eastAsia="en-GB"/>
              </w:rPr>
            </w:pPr>
            <w:r w:rsidRPr="00A40AB4">
              <w:rPr>
                <w:rFonts w:cs="Arial"/>
                <w:i/>
                <w:iCs/>
                <w:color w:val="000000"/>
                <w:szCs w:val="22"/>
                <w:lang w:eastAsia="en-GB"/>
              </w:rPr>
              <w:t>AIC (model diagnostic)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77A5D" w14:textId="77777777" w:rsidR="00A13E80" w:rsidRPr="00D97FFD" w:rsidRDefault="00A13E80" w:rsidP="007C1863">
            <w:pPr>
              <w:spacing w:line="240" w:lineRule="auto"/>
              <w:contextualSpacing w:val="0"/>
              <w:rPr>
                <w:rFonts w:cs="Arial"/>
                <w:color w:val="000000"/>
                <w:szCs w:val="22"/>
                <w:lang w:eastAsia="en-GB"/>
              </w:rPr>
            </w:pPr>
            <w:r>
              <w:rPr>
                <w:rFonts w:cs="Arial"/>
                <w:color w:val="000000"/>
                <w:szCs w:val="22"/>
                <w:lang w:eastAsia="en-GB"/>
              </w:rPr>
              <w:t xml:space="preserve"> </w:t>
            </w:r>
            <w:r w:rsidRPr="00A40AB4">
              <w:rPr>
                <w:rFonts w:cs="Arial"/>
                <w:color w:val="000000"/>
                <w:szCs w:val="22"/>
                <w:lang w:eastAsia="en-GB"/>
              </w:rPr>
              <w:t>166.3636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E2CA3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>
              <w:t>169.6609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31D70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>
              <w:t>166.6239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D42AF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>
              <w:t>169.9392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3E3C1" w14:textId="77777777" w:rsidR="00A13E80" w:rsidRPr="00CE526C" w:rsidRDefault="00A13E80" w:rsidP="007C1863">
            <w:pPr>
              <w:spacing w:line="240" w:lineRule="auto"/>
              <w:contextualSpacing w:val="0"/>
              <w:jc w:val="center"/>
            </w:pPr>
            <w:r>
              <w:t>180.9312</w:t>
            </w:r>
          </w:p>
        </w:tc>
      </w:tr>
      <w:tr w:rsidR="00A13E80" w:rsidRPr="00D97FFD" w14:paraId="1D9BDCB3" w14:textId="77777777" w:rsidTr="007C1863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25BE5" w14:textId="77777777" w:rsidR="00A13E80" w:rsidRPr="00A40AB4" w:rsidRDefault="00A13E80" w:rsidP="007C1863">
            <w:pPr>
              <w:spacing w:line="240" w:lineRule="auto"/>
              <w:contextualSpacing w:val="0"/>
              <w:jc w:val="left"/>
              <w:rPr>
                <w:rFonts w:cs="Arial"/>
                <w:i/>
                <w:iCs/>
                <w:color w:val="000000"/>
                <w:szCs w:val="22"/>
                <w:lang w:eastAsia="en-GB"/>
              </w:rPr>
            </w:pPr>
            <w:r w:rsidRPr="00A40AB4">
              <w:rPr>
                <w:rFonts w:cs="Arial"/>
                <w:i/>
                <w:iCs/>
                <w:color w:val="000000"/>
                <w:szCs w:val="22"/>
                <w:lang w:eastAsia="en-GB"/>
              </w:rPr>
              <w:t>BIC (model diagnostic)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1DEE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>
              <w:t>206.4635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52713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>
              <w:t>209.7608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8E83C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>
              <w:t>206.7238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20196" w14:textId="77777777" w:rsidR="00A13E80" w:rsidRPr="00D97FFD" w:rsidRDefault="00A13E80" w:rsidP="007C1863">
            <w:pPr>
              <w:spacing w:line="240" w:lineRule="auto"/>
              <w:contextualSpacing w:val="0"/>
              <w:jc w:val="center"/>
              <w:rPr>
                <w:rFonts w:cs="Arial"/>
                <w:color w:val="000000"/>
                <w:szCs w:val="22"/>
                <w:lang w:eastAsia="en-GB"/>
              </w:rPr>
            </w:pPr>
            <w:r>
              <w:t>210.0391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3D5BF" w14:textId="77777777" w:rsidR="00A13E80" w:rsidRPr="00D97FFD" w:rsidRDefault="00A13E80" w:rsidP="007C1863">
            <w:pPr>
              <w:spacing w:line="240" w:lineRule="auto"/>
              <w:contextualSpacing w:val="0"/>
              <w:rPr>
                <w:rFonts w:cs="Arial"/>
                <w:color w:val="000000"/>
                <w:szCs w:val="22"/>
                <w:lang w:eastAsia="en-GB"/>
              </w:rPr>
            </w:pPr>
            <w:r>
              <w:t>217.3856</w:t>
            </w:r>
          </w:p>
        </w:tc>
      </w:tr>
    </w:tbl>
    <w:p w14:paraId="7F6E9079" w14:textId="77777777" w:rsidR="00A13E80" w:rsidRPr="00E817C9" w:rsidRDefault="00A13E80" w:rsidP="00A13E80">
      <w:r w:rsidRPr="00D97FFD">
        <w:rPr>
          <w:rFonts w:cs="Arial"/>
          <w:szCs w:val="22"/>
        </w:rPr>
        <w:t>HS, health state</w:t>
      </w:r>
      <w:r>
        <w:rPr>
          <w:rFonts w:cs="Arial"/>
          <w:szCs w:val="22"/>
        </w:rPr>
        <w:t>. *</w:t>
      </w:r>
      <w:r w:rsidRPr="006A50BF">
        <w:rPr>
          <w:rFonts w:cs="Arial"/>
          <w:szCs w:val="22"/>
        </w:rPr>
        <w:t>Hazard ratios can be obtained by exponentiating the coefficients for HS1 to HS3, HS1 to HS4 et</w:t>
      </w:r>
      <w:r>
        <w:rPr>
          <w:rFonts w:cs="Arial"/>
          <w:szCs w:val="22"/>
        </w:rPr>
        <w:t xml:space="preserve">c.. </w:t>
      </w:r>
      <w:r w:rsidRPr="007C772D">
        <w:rPr>
          <w:rFonts w:cs="Arial"/>
          <w:szCs w:val="22"/>
        </w:rPr>
        <w:t>The AIC</w:t>
      </w:r>
      <w:r>
        <w:rPr>
          <w:rFonts w:cs="Arial"/>
          <w:szCs w:val="22"/>
        </w:rPr>
        <w:t xml:space="preserve"> (</w:t>
      </w:r>
      <w:r w:rsidRPr="004718CB">
        <w:rPr>
          <w:rFonts w:cs="Arial"/>
          <w:szCs w:val="22"/>
        </w:rPr>
        <w:t>Akaike information criterion</w:t>
      </w:r>
      <w:r>
        <w:rPr>
          <w:rFonts w:cs="Arial"/>
          <w:szCs w:val="22"/>
        </w:rPr>
        <w:t>)</w:t>
      </w:r>
      <w:r w:rsidRPr="007C772D">
        <w:rPr>
          <w:rFonts w:cs="Arial"/>
          <w:szCs w:val="22"/>
        </w:rPr>
        <w:t xml:space="preserve"> and BIC</w:t>
      </w:r>
      <w:r>
        <w:rPr>
          <w:rFonts w:cs="Arial"/>
          <w:szCs w:val="22"/>
        </w:rPr>
        <w:t xml:space="preserve"> (</w:t>
      </w:r>
      <w:r w:rsidRPr="004718CB">
        <w:rPr>
          <w:rFonts w:cs="Arial"/>
          <w:szCs w:val="22"/>
        </w:rPr>
        <w:t>Bayesian information criterion</w:t>
      </w:r>
      <w:r>
        <w:rPr>
          <w:rFonts w:cs="Arial"/>
          <w:szCs w:val="22"/>
        </w:rPr>
        <w:t>)</w:t>
      </w:r>
      <w:r w:rsidRPr="007C772D">
        <w:rPr>
          <w:rFonts w:cs="Arial"/>
          <w:szCs w:val="22"/>
        </w:rPr>
        <w:t xml:space="preserve"> are for the full statistical model</w:t>
      </w:r>
      <w:r>
        <w:rPr>
          <w:rFonts w:cs="Arial"/>
          <w:szCs w:val="22"/>
        </w:rPr>
        <w:t>.</w:t>
      </w:r>
    </w:p>
    <w:p w14:paraId="4CE51F36" w14:textId="77777777" w:rsidR="000A0F64" w:rsidRDefault="000A0F64"/>
    <w:sectPr w:rsidR="000A0F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80"/>
    <w:rsid w:val="000A0F64"/>
    <w:rsid w:val="00A1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4EBB"/>
  <w15:chartTrackingRefBased/>
  <w15:docId w15:val="{2D50C003-A5E5-4D6A-BD46-8F951A50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E80"/>
    <w:pPr>
      <w:spacing w:after="0" w:line="300" w:lineRule="auto"/>
      <w:contextualSpacing/>
      <w:jc w:val="both"/>
    </w:pPr>
    <w:rPr>
      <w:rFonts w:ascii="Arial" w:eastAsia="Times New Roman" w:hAnsi="Arial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Source Caption,Caption PHMR,Caption for Figures and Tables,TabFig title/caption,- H17,Caption - H17,Bayer Caption,IB Caption,Medical Caption,! Q,B Caption,Caption Char2,Caption Char1 Char,Caption Char Char Char,Caption Char1 Char Char Char"/>
    <w:basedOn w:val="Normal"/>
    <w:next w:val="Normal"/>
    <w:link w:val="CaptionChar"/>
    <w:uiPriority w:val="35"/>
    <w:unhideWhenUsed/>
    <w:qFormat/>
    <w:rsid w:val="00A13E80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Source Caption Char,Caption PHMR Char,Caption for Figures and Tables Char,TabFig title/caption Char,- H17 Char,Caption - H17 Char,Bayer Caption Char,IB Caption Char,Medical Caption Char,! Q Char,B Caption Char,Caption Char2 Char"/>
    <w:link w:val="Caption"/>
    <w:uiPriority w:val="35"/>
    <w:locked/>
    <w:rsid w:val="00A13E80"/>
    <w:rPr>
      <w:rFonts w:ascii="Arial" w:eastAsia="Times New Roman" w:hAnsi="Arial" w:cs="Times New Roman"/>
      <w:i/>
      <w:iCs/>
      <w:color w:val="44546A" w:themeColor="text2"/>
      <w:sz w:val="18"/>
      <w:szCs w:val="18"/>
      <w:lang w:val="en-GB"/>
    </w:rPr>
  </w:style>
  <w:style w:type="paragraph" w:customStyle="1" w:styleId="ReportTableFootnote">
    <w:name w:val="Report Table Footnote"/>
    <w:basedOn w:val="Normal"/>
    <w:next w:val="Normal"/>
    <w:link w:val="ReportTableFootnoteChar"/>
    <w:uiPriority w:val="3"/>
    <w:qFormat/>
    <w:rsid w:val="00A13E80"/>
    <w:pPr>
      <w:spacing w:after="240"/>
    </w:pPr>
    <w:rPr>
      <w:rFonts w:ascii="Calibri" w:eastAsiaTheme="minorHAnsi" w:hAnsi="Calibri" w:cs="Calibri"/>
      <w:sz w:val="18"/>
      <w:szCs w:val="22"/>
    </w:rPr>
  </w:style>
  <w:style w:type="character" w:customStyle="1" w:styleId="ReportTableFootnoteChar">
    <w:name w:val="Report Table Footnote Char"/>
    <w:basedOn w:val="DefaultParagraphFont"/>
    <w:link w:val="ReportTableFootnote"/>
    <w:uiPriority w:val="3"/>
    <w:rsid w:val="00A13E80"/>
    <w:rPr>
      <w:rFonts w:ascii="Calibri" w:hAnsi="Calibri" w:cs="Calibri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Bhadhuri</dc:creator>
  <cp:keywords/>
  <dc:description/>
  <cp:lastModifiedBy>Arjun Bhadhuri</cp:lastModifiedBy>
  <cp:revision>1</cp:revision>
  <dcterms:created xsi:type="dcterms:W3CDTF">2022-06-08T09:16:00Z</dcterms:created>
  <dcterms:modified xsi:type="dcterms:W3CDTF">2022-06-08T09:17:00Z</dcterms:modified>
</cp:coreProperties>
</file>