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E7B7" w14:textId="71CC14DA" w:rsidR="00B473D6" w:rsidRPr="00435B19" w:rsidRDefault="00F6150E" w:rsidP="00B473D6">
      <w:pPr>
        <w:rPr>
          <w:rFonts w:cstheme="minorHAnsi"/>
          <w:b/>
          <w:bCs/>
        </w:rPr>
      </w:pPr>
      <w:r w:rsidRPr="00435B19">
        <w:rPr>
          <w:rFonts w:cstheme="minorHAnsi"/>
          <w:b/>
          <w:bCs/>
        </w:rPr>
        <w:t>Additional File</w:t>
      </w:r>
      <w:r w:rsidR="00B473D6" w:rsidRPr="00435B19">
        <w:rPr>
          <w:rFonts w:cstheme="minorHAnsi"/>
          <w:b/>
          <w:bCs/>
        </w:rPr>
        <w:t xml:space="preserve"> 1: Supplemental Figures</w:t>
      </w:r>
    </w:p>
    <w:p w14:paraId="1E3E2EE0" w14:textId="77777777" w:rsidR="00B473D6" w:rsidRPr="00435B19" w:rsidRDefault="00B473D6" w:rsidP="00B473D6">
      <w:pPr>
        <w:rPr>
          <w:rFonts w:cstheme="minorHAnsi"/>
          <w:b/>
          <w:bCs/>
        </w:rPr>
      </w:pPr>
    </w:p>
    <w:p w14:paraId="7A292C42" w14:textId="20083239" w:rsidR="00B473D6" w:rsidRPr="00435B19" w:rsidRDefault="00B473D6" w:rsidP="00B473D6">
      <w:pPr>
        <w:rPr>
          <w:rFonts w:cstheme="minorHAnsi"/>
          <w:b/>
          <w:bCs/>
        </w:rPr>
      </w:pPr>
      <w:r w:rsidRPr="00435B19">
        <w:rPr>
          <w:rFonts w:cstheme="minorHAnsi"/>
          <w:b/>
          <w:bCs/>
        </w:rPr>
        <w:t>Supplemental Figure 1. Overview of study aims and sub-aims</w:t>
      </w:r>
    </w:p>
    <w:p w14:paraId="1893D0E5" w14:textId="77777777" w:rsidR="00B473D6" w:rsidRPr="00435B19" w:rsidRDefault="00B473D6" w:rsidP="00435B19">
      <w:pPr>
        <w:rPr>
          <w:rFonts w:cstheme="minorHAnsi"/>
          <w:b/>
          <w:bCs/>
        </w:rPr>
      </w:pPr>
      <w:r w:rsidRPr="00435B19">
        <w:rPr>
          <w:rFonts w:cstheme="minorHAnsi"/>
          <w:b/>
          <w:bCs/>
          <w:noProof/>
        </w:rPr>
        <w:drawing>
          <wp:inline distT="0" distB="0" distL="0" distR="0" wp14:anchorId="16AA052B" wp14:editId="0C6DC408">
            <wp:extent cx="8222740" cy="23923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2164" b="26113"/>
                    <a:stretch/>
                  </pic:blipFill>
                  <pic:spPr bwMode="auto">
                    <a:xfrm>
                      <a:off x="0" y="0"/>
                      <a:ext cx="8280315" cy="240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BF3B4F" w14:textId="5D7A4839" w:rsidR="00E57A52" w:rsidRPr="00435B19" w:rsidRDefault="00E57A52">
      <w:pPr>
        <w:rPr>
          <w:rFonts w:cstheme="minorHAnsi"/>
        </w:rPr>
      </w:pPr>
    </w:p>
    <w:p w14:paraId="5F5B1BA4" w14:textId="77777777" w:rsidR="00435B19" w:rsidRDefault="00435B19">
      <w:pPr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br w:type="page"/>
      </w:r>
    </w:p>
    <w:p w14:paraId="056D8B91" w14:textId="1D4E4934" w:rsidR="009D37D6" w:rsidRPr="00435B19" w:rsidRDefault="009D37D6" w:rsidP="009D37D6">
      <w:pPr>
        <w:rPr>
          <w:rFonts w:cstheme="minorHAnsi"/>
          <w:bCs/>
          <w:color w:val="000000" w:themeColor="text1"/>
        </w:rPr>
      </w:pPr>
      <w:r w:rsidRPr="00435B19">
        <w:rPr>
          <w:rFonts w:cstheme="minorHAnsi"/>
          <w:b/>
          <w:color w:val="000000" w:themeColor="text1"/>
        </w:rPr>
        <w:lastRenderedPageBreak/>
        <w:t>Supplemental Figure 2. Examples of types of problems coalitions may prioritize</w:t>
      </w:r>
    </w:p>
    <w:tbl>
      <w:tblPr>
        <w:tblStyle w:val="GridTable6Colorful"/>
        <w:tblW w:w="12786" w:type="dxa"/>
        <w:tblLook w:val="0620" w:firstRow="1" w:lastRow="0" w:firstColumn="0" w:lastColumn="0" w:noHBand="1" w:noVBand="1"/>
      </w:tblPr>
      <w:tblGrid>
        <w:gridCol w:w="645"/>
        <w:gridCol w:w="2263"/>
        <w:gridCol w:w="3659"/>
        <w:gridCol w:w="2870"/>
        <w:gridCol w:w="3349"/>
      </w:tblGrid>
      <w:tr w:rsidR="009D37D6" w:rsidRPr="00435B19" w14:paraId="0B1737AB" w14:textId="77777777" w:rsidTr="00435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</w:trPr>
        <w:tc>
          <w:tcPr>
            <w:tcW w:w="645" w:type="dxa"/>
            <w:vAlign w:val="center"/>
            <w:hideMark/>
          </w:tcPr>
          <w:p w14:paraId="568FEA4E" w14:textId="77777777" w:rsidR="009D37D6" w:rsidRPr="00435B19" w:rsidRDefault="009D37D6" w:rsidP="00511CF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  <w:hideMark/>
          </w:tcPr>
          <w:p w14:paraId="6A1C87C0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Clinical outcome prioritized by the site</w:t>
            </w:r>
          </w:p>
        </w:tc>
        <w:tc>
          <w:tcPr>
            <w:tcW w:w="3659" w:type="dxa"/>
            <w:vAlign w:val="center"/>
            <w:hideMark/>
          </w:tcPr>
          <w:p w14:paraId="6390D3A6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Problem (signal of systemic racism in sepsis care at that site)</w:t>
            </w:r>
          </w:p>
        </w:tc>
        <w:tc>
          <w:tcPr>
            <w:tcW w:w="2870" w:type="dxa"/>
            <w:vAlign w:val="center"/>
            <w:hideMark/>
          </w:tcPr>
          <w:p w14:paraId="46146DA8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Focal root cause (based on review of site-specific data)</w:t>
            </w:r>
          </w:p>
        </w:tc>
        <w:tc>
          <w:tcPr>
            <w:tcW w:w="3348" w:type="dxa"/>
            <w:vAlign w:val="center"/>
            <w:hideMark/>
          </w:tcPr>
          <w:p w14:paraId="18BFA485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Strategy (reflecting national best practice and local innovation)</w:t>
            </w:r>
          </w:p>
        </w:tc>
      </w:tr>
      <w:tr w:rsidR="009D37D6" w:rsidRPr="00435B19" w14:paraId="5849FCEE" w14:textId="77777777" w:rsidTr="00435B19">
        <w:trPr>
          <w:trHeight w:val="196"/>
        </w:trPr>
        <w:tc>
          <w:tcPr>
            <w:tcW w:w="645" w:type="dxa"/>
            <w:vAlign w:val="center"/>
            <w:hideMark/>
          </w:tcPr>
          <w:p w14:paraId="14BF5B30" w14:textId="77777777" w:rsidR="009D37D6" w:rsidRPr="00435B19" w:rsidRDefault="009D37D6" w:rsidP="00511CF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3" w:type="dxa"/>
            <w:vAlign w:val="center"/>
            <w:hideMark/>
          </w:tcPr>
          <w:p w14:paraId="0C19FF88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Inequities in time to antibiotics</w:t>
            </w:r>
          </w:p>
        </w:tc>
        <w:tc>
          <w:tcPr>
            <w:tcW w:w="3659" w:type="dxa"/>
            <w:vAlign w:val="center"/>
            <w:hideMark/>
          </w:tcPr>
          <w:p w14:paraId="5C6CB5A2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 xml:space="preserve">Internal data on inequities in time to antibiotics are not considered valid or valued by thought leaders </w:t>
            </w:r>
          </w:p>
        </w:tc>
        <w:tc>
          <w:tcPr>
            <w:tcW w:w="2870" w:type="dxa"/>
            <w:vAlign w:val="center"/>
            <w:hideMark/>
          </w:tcPr>
          <w:p w14:paraId="5180EEA7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EHR does not accurately capture socially assigned race</w:t>
            </w:r>
          </w:p>
        </w:tc>
        <w:tc>
          <w:tcPr>
            <w:tcW w:w="3348" w:type="dxa"/>
            <w:vAlign w:val="center"/>
            <w:hideMark/>
          </w:tcPr>
          <w:p w14:paraId="5A505E99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 xml:space="preserve">Strengthen internal processes for reliability and validity of data capture for socially assigned race </w:t>
            </w:r>
          </w:p>
        </w:tc>
      </w:tr>
      <w:tr w:rsidR="009D37D6" w:rsidRPr="00435B19" w14:paraId="4AD657C4" w14:textId="77777777" w:rsidTr="00435B19">
        <w:trPr>
          <w:trHeight w:val="213"/>
        </w:trPr>
        <w:tc>
          <w:tcPr>
            <w:tcW w:w="645" w:type="dxa"/>
            <w:vAlign w:val="center"/>
            <w:hideMark/>
          </w:tcPr>
          <w:p w14:paraId="29791F23" w14:textId="77777777" w:rsidR="009D37D6" w:rsidRPr="00435B19" w:rsidRDefault="009D37D6" w:rsidP="00511CF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3" w:type="dxa"/>
            <w:vAlign w:val="center"/>
            <w:hideMark/>
          </w:tcPr>
          <w:p w14:paraId="26AC520A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Inequities in time to antibiotics</w:t>
            </w:r>
          </w:p>
        </w:tc>
        <w:tc>
          <w:tcPr>
            <w:tcW w:w="3659" w:type="dxa"/>
            <w:vAlign w:val="center"/>
            <w:hideMark/>
          </w:tcPr>
          <w:p w14:paraId="3BD418AF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35B19">
              <w:rPr>
                <w:rFonts w:cstheme="minorHAnsi"/>
                <w:color w:val="000000"/>
                <w:sz w:val="24"/>
                <w:szCs w:val="24"/>
              </w:rPr>
              <w:t>LatinX</w:t>
            </w:r>
            <w:proofErr w:type="spellEnd"/>
            <w:r w:rsidRPr="00435B19">
              <w:rPr>
                <w:rFonts w:cstheme="minorHAnsi"/>
                <w:color w:val="000000"/>
                <w:sz w:val="24"/>
                <w:szCs w:val="24"/>
              </w:rPr>
              <w:t xml:space="preserve"> patients with sepsis experience longer time to triage than their NHW counterparts</w:t>
            </w:r>
          </w:p>
        </w:tc>
        <w:tc>
          <w:tcPr>
            <w:tcW w:w="2870" w:type="dxa"/>
            <w:vAlign w:val="center"/>
            <w:hideMark/>
          </w:tcPr>
          <w:p w14:paraId="52C3BD40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Implicit bias among providers results in errors in early identification of sepsis</w:t>
            </w:r>
          </w:p>
        </w:tc>
        <w:tc>
          <w:tcPr>
            <w:tcW w:w="3348" w:type="dxa"/>
            <w:vAlign w:val="center"/>
            <w:hideMark/>
          </w:tcPr>
          <w:p w14:paraId="3A402B9F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Introduction of an electronic alert in the EHR </w:t>
            </w:r>
          </w:p>
        </w:tc>
      </w:tr>
      <w:tr w:rsidR="009D37D6" w:rsidRPr="00435B19" w14:paraId="40137A4D" w14:textId="77777777" w:rsidTr="00435B19">
        <w:trPr>
          <w:trHeight w:val="266"/>
        </w:trPr>
        <w:tc>
          <w:tcPr>
            <w:tcW w:w="645" w:type="dxa"/>
            <w:vAlign w:val="center"/>
            <w:hideMark/>
          </w:tcPr>
          <w:p w14:paraId="1BF1CE5A" w14:textId="77777777" w:rsidR="009D37D6" w:rsidRPr="00435B19" w:rsidRDefault="009D37D6" w:rsidP="00511CF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3" w:type="dxa"/>
            <w:vAlign w:val="center"/>
            <w:hideMark/>
          </w:tcPr>
          <w:p w14:paraId="26860580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Inequities in readmission rates</w:t>
            </w:r>
          </w:p>
        </w:tc>
        <w:tc>
          <w:tcPr>
            <w:tcW w:w="3659" w:type="dxa"/>
            <w:vAlign w:val="center"/>
            <w:hideMark/>
          </w:tcPr>
          <w:p w14:paraId="7E8DB8D1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AA/B patients receive less intensive follow-up services compared to their NHW counterparts</w:t>
            </w:r>
          </w:p>
        </w:tc>
        <w:tc>
          <w:tcPr>
            <w:tcW w:w="2870" w:type="dxa"/>
            <w:vAlign w:val="center"/>
            <w:hideMark/>
          </w:tcPr>
          <w:p w14:paraId="1DF82868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 xml:space="preserve">AA/B patients are more likely to receive multidisciplinary discharge huddle </w:t>
            </w:r>
          </w:p>
        </w:tc>
        <w:tc>
          <w:tcPr>
            <w:tcW w:w="3348" w:type="dxa"/>
            <w:vAlign w:val="center"/>
            <w:hideMark/>
          </w:tcPr>
          <w:p w14:paraId="5432E8A2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Comprehensive dx plans provide linkage to supports for referral to home health services, nutrition, or supportive housing</w:t>
            </w:r>
          </w:p>
        </w:tc>
      </w:tr>
      <w:tr w:rsidR="009D37D6" w:rsidRPr="00435B19" w14:paraId="1EC975D5" w14:textId="77777777" w:rsidTr="00435B19">
        <w:trPr>
          <w:trHeight w:val="196"/>
        </w:trPr>
        <w:tc>
          <w:tcPr>
            <w:tcW w:w="645" w:type="dxa"/>
            <w:vAlign w:val="center"/>
            <w:hideMark/>
          </w:tcPr>
          <w:p w14:paraId="4647A195" w14:textId="77777777" w:rsidR="009D37D6" w:rsidRPr="00435B19" w:rsidRDefault="009D37D6" w:rsidP="00511CF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3" w:type="dxa"/>
            <w:vAlign w:val="center"/>
            <w:hideMark/>
          </w:tcPr>
          <w:p w14:paraId="450EA127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Inequities in sepsis in-hospital mortality</w:t>
            </w:r>
          </w:p>
        </w:tc>
        <w:tc>
          <w:tcPr>
            <w:tcW w:w="3659" w:type="dxa"/>
            <w:vAlign w:val="center"/>
            <w:hideMark/>
          </w:tcPr>
          <w:p w14:paraId="5D492EB5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AA/B patients are less likely to receive pneumococcal vaccination, controlling for insurance status</w:t>
            </w:r>
          </w:p>
        </w:tc>
        <w:tc>
          <w:tcPr>
            <w:tcW w:w="2870" w:type="dxa"/>
            <w:vAlign w:val="center"/>
            <w:hideMark/>
          </w:tcPr>
          <w:p w14:paraId="5B91B1EA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AA/B patients are less likely to have access to primary care</w:t>
            </w:r>
          </w:p>
        </w:tc>
        <w:tc>
          <w:tcPr>
            <w:tcW w:w="3348" w:type="dxa"/>
            <w:vAlign w:val="center"/>
            <w:hideMark/>
          </w:tcPr>
          <w:p w14:paraId="7F6347E1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>Cross-sectoral engagement campaign to increase primary care linkages in AA/B communities </w:t>
            </w:r>
          </w:p>
        </w:tc>
      </w:tr>
      <w:tr w:rsidR="009D37D6" w:rsidRPr="00435B19" w14:paraId="4C64E63B" w14:textId="77777777" w:rsidTr="00435B19">
        <w:trPr>
          <w:trHeight w:val="196"/>
        </w:trPr>
        <w:tc>
          <w:tcPr>
            <w:tcW w:w="12786" w:type="dxa"/>
            <w:gridSpan w:val="5"/>
          </w:tcPr>
          <w:p w14:paraId="31BA1FDB" w14:textId="77777777" w:rsidR="009D37D6" w:rsidRPr="00435B19" w:rsidRDefault="009D37D6" w:rsidP="00511CF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435B19">
              <w:rPr>
                <w:rFonts w:cstheme="minorHAnsi"/>
                <w:color w:val="000000"/>
                <w:sz w:val="24"/>
                <w:szCs w:val="24"/>
              </w:rPr>
              <w:t xml:space="preserve">The capacity of coalitions to name and address structural racism through each of these diverse projects will require positive shifts in organizational culture, </w:t>
            </w:r>
            <w:proofErr w:type="gramStart"/>
            <w:r w:rsidRPr="00435B19">
              <w:rPr>
                <w:rFonts w:cstheme="minorHAnsi"/>
                <w:color w:val="000000"/>
                <w:sz w:val="24"/>
                <w:szCs w:val="24"/>
              </w:rPr>
              <w:t>including:</w:t>
            </w:r>
            <w:proofErr w:type="gramEnd"/>
            <w:r w:rsidRPr="00435B19">
              <w:rPr>
                <w:rFonts w:cstheme="minorHAnsi"/>
                <w:color w:val="000000"/>
                <w:sz w:val="24"/>
                <w:szCs w:val="24"/>
              </w:rPr>
              <w:t xml:space="preserve"> learning and problem solving, senior leadership support, structures and processes that support change, and psychological safety.</w:t>
            </w:r>
          </w:p>
        </w:tc>
      </w:tr>
    </w:tbl>
    <w:p w14:paraId="37319D55" w14:textId="68BF83AB" w:rsidR="009D37D6" w:rsidRPr="00435B19" w:rsidRDefault="009D37D6">
      <w:pPr>
        <w:rPr>
          <w:rFonts w:cstheme="minorHAnsi"/>
        </w:rPr>
      </w:pPr>
    </w:p>
    <w:p w14:paraId="50069C41" w14:textId="77777777" w:rsidR="00435B19" w:rsidRDefault="00435B1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7EA8548" w14:textId="454054EB" w:rsidR="00F6150E" w:rsidRPr="00435B19" w:rsidRDefault="00F6150E" w:rsidP="00F6150E">
      <w:pPr>
        <w:rPr>
          <w:rFonts w:cstheme="minorHAnsi"/>
          <w:b/>
          <w:bCs/>
        </w:rPr>
      </w:pPr>
      <w:r w:rsidRPr="00435B19">
        <w:rPr>
          <w:rFonts w:cstheme="minorHAnsi"/>
          <w:b/>
          <w:bCs/>
        </w:rPr>
        <w:lastRenderedPageBreak/>
        <w:t xml:space="preserve">Supplemental </w:t>
      </w:r>
      <w:r w:rsidRPr="00435B19">
        <w:rPr>
          <w:rFonts w:cstheme="minorHAnsi"/>
          <w:b/>
          <w:bCs/>
        </w:rPr>
        <w:t xml:space="preserve">Figure </w:t>
      </w:r>
      <w:r w:rsidRPr="00435B19">
        <w:rPr>
          <w:rFonts w:cstheme="minorHAnsi"/>
          <w:b/>
          <w:bCs/>
        </w:rPr>
        <w:t>3</w:t>
      </w:r>
      <w:r w:rsidRPr="00435B19">
        <w:rPr>
          <w:rFonts w:cstheme="minorHAnsi"/>
          <w:b/>
          <w:bCs/>
        </w:rPr>
        <w:t xml:space="preserve">. Summary of evaluation approach, </w:t>
      </w:r>
      <w:proofErr w:type="gramStart"/>
      <w:r w:rsidRPr="00435B19">
        <w:rPr>
          <w:rFonts w:cstheme="minorHAnsi"/>
          <w:b/>
          <w:bCs/>
        </w:rPr>
        <w:t>sampling</w:t>
      </w:r>
      <w:proofErr w:type="gramEnd"/>
      <w:r w:rsidRPr="00435B19">
        <w:rPr>
          <w:rFonts w:cstheme="minorHAnsi"/>
          <w:b/>
          <w:bCs/>
        </w:rPr>
        <w:t xml:space="preserve"> and analysis plans for each outcome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023"/>
        <w:gridCol w:w="3999"/>
        <w:gridCol w:w="1937"/>
      </w:tblGrid>
      <w:tr w:rsidR="00F6150E" w:rsidRPr="00435B19" w14:paraId="5370FB97" w14:textId="77777777" w:rsidTr="00511CF2">
        <w:tc>
          <w:tcPr>
            <w:tcW w:w="1541" w:type="pct"/>
            <w:shd w:val="clear" w:color="auto" w:fill="auto"/>
          </w:tcPr>
          <w:p w14:paraId="1B07EA95" w14:textId="77777777" w:rsidR="00F6150E" w:rsidRPr="00435B19" w:rsidRDefault="00F6150E" w:rsidP="00511CF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Outcome</w:t>
            </w:r>
          </w:p>
        </w:tc>
        <w:tc>
          <w:tcPr>
            <w:tcW w:w="1167" w:type="pct"/>
            <w:shd w:val="clear" w:color="auto" w:fill="auto"/>
          </w:tcPr>
          <w:p w14:paraId="19BF1E4A" w14:textId="77777777" w:rsidR="00F6150E" w:rsidRPr="00435B19" w:rsidRDefault="00F6150E" w:rsidP="00511CF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Design</w:t>
            </w:r>
          </w:p>
        </w:tc>
        <w:tc>
          <w:tcPr>
            <w:tcW w:w="1544" w:type="pct"/>
            <w:shd w:val="clear" w:color="auto" w:fill="auto"/>
          </w:tcPr>
          <w:p w14:paraId="53F9AD49" w14:textId="77777777" w:rsidR="00F6150E" w:rsidRPr="00435B19" w:rsidRDefault="00F6150E" w:rsidP="00511CF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Sample</w:t>
            </w:r>
          </w:p>
        </w:tc>
        <w:tc>
          <w:tcPr>
            <w:tcW w:w="748" w:type="pct"/>
            <w:shd w:val="clear" w:color="auto" w:fill="auto"/>
          </w:tcPr>
          <w:p w14:paraId="2C79B066" w14:textId="77777777" w:rsidR="00F6150E" w:rsidRPr="00435B19" w:rsidRDefault="00F6150E" w:rsidP="00511CF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Analysis</w:t>
            </w:r>
          </w:p>
        </w:tc>
      </w:tr>
      <w:tr w:rsidR="00F6150E" w:rsidRPr="00435B19" w14:paraId="2F5836FA" w14:textId="77777777" w:rsidTr="00511CF2">
        <w:tc>
          <w:tcPr>
            <w:tcW w:w="1541" w:type="pct"/>
            <w:shd w:val="clear" w:color="auto" w:fill="auto"/>
          </w:tcPr>
          <w:p w14:paraId="3070B516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Aim 2:</w:t>
            </w:r>
            <w:r w:rsidRPr="00435B19">
              <w:rPr>
                <w:rFonts w:asciiTheme="minorHAnsi" w:hAnsiTheme="minorHAnsi" w:cstheme="minorHAnsi"/>
              </w:rPr>
              <w:t xml:space="preserve"> Evaluate the impact of the intervention on the domains of organizational culture that are required to name and address structural racism to improve sepsis outcomes</w:t>
            </w:r>
          </w:p>
        </w:tc>
        <w:tc>
          <w:tcPr>
            <w:tcW w:w="1167" w:type="pct"/>
            <w:shd w:val="clear" w:color="auto" w:fill="auto"/>
          </w:tcPr>
          <w:p w14:paraId="6EDFCFAD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</w:rPr>
              <w:t>Mixed methods, convergent design (qualitative = interviews and observations, quantitative=survey, integration= merged results)</w:t>
            </w:r>
          </w:p>
        </w:tc>
        <w:tc>
          <w:tcPr>
            <w:tcW w:w="1544" w:type="pct"/>
            <w:shd w:val="clear" w:color="auto" w:fill="auto"/>
          </w:tcPr>
          <w:p w14:paraId="1B2F1304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</w:rPr>
              <w:t>For both interview and surveys, the sample is all members for Guiding Coalitions (n=10-20) in each health system (n=8), total n=80-160; 0, 18, 35 months</w:t>
            </w:r>
          </w:p>
        </w:tc>
        <w:tc>
          <w:tcPr>
            <w:tcW w:w="748" w:type="pct"/>
            <w:shd w:val="clear" w:color="auto" w:fill="auto"/>
          </w:tcPr>
          <w:p w14:paraId="77F93AF8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435B19">
              <w:rPr>
                <w:rFonts w:asciiTheme="minorHAnsi" w:hAnsiTheme="minorHAnsi" w:cstheme="minorHAnsi"/>
              </w:rPr>
              <w:t xml:space="preserve">Qualitative = constant comparative method; quantitative = descriptive, time-trend analyses </w:t>
            </w:r>
          </w:p>
        </w:tc>
      </w:tr>
      <w:tr w:rsidR="00F6150E" w:rsidRPr="00435B19" w14:paraId="3D2960B4" w14:textId="77777777" w:rsidTr="00511CF2">
        <w:tc>
          <w:tcPr>
            <w:tcW w:w="1541" w:type="pct"/>
            <w:shd w:val="clear" w:color="auto" w:fill="auto"/>
          </w:tcPr>
          <w:p w14:paraId="6641EA76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Aim 3:</w:t>
            </w:r>
            <w:r w:rsidRPr="00435B19">
              <w:rPr>
                <w:rFonts w:asciiTheme="minorHAnsi" w:hAnsiTheme="minorHAnsi" w:cstheme="minorHAnsi"/>
              </w:rPr>
              <w:t xml:space="preserve"> Evaluate the impact of the intervention on racial inequities in early identification and clinical management of sepsis </w:t>
            </w:r>
            <w:r w:rsidRPr="00435B19">
              <w:rPr>
                <w:rFonts w:asciiTheme="minorHAnsi" w:hAnsiTheme="minorHAnsi" w:cstheme="minorHAnsi"/>
                <w:i/>
                <w:iCs/>
              </w:rPr>
              <w:t>(process of care)</w:t>
            </w:r>
          </w:p>
        </w:tc>
        <w:tc>
          <w:tcPr>
            <w:tcW w:w="1167" w:type="pct"/>
            <w:shd w:val="clear" w:color="auto" w:fill="auto"/>
          </w:tcPr>
          <w:p w14:paraId="09CCA250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</w:rPr>
              <w:t>Quantitative measure: time to antibiotic</w:t>
            </w:r>
          </w:p>
        </w:tc>
        <w:tc>
          <w:tcPr>
            <w:tcW w:w="1544" w:type="pct"/>
            <w:shd w:val="clear" w:color="auto" w:fill="auto"/>
          </w:tcPr>
          <w:p w14:paraId="0A7B8AB1" w14:textId="77777777" w:rsidR="00F6150E" w:rsidRPr="00435B19" w:rsidRDefault="00F6150E" w:rsidP="00511CF2">
            <w:pPr>
              <w:pStyle w:val="CommentText"/>
              <w:rPr>
                <w:rFonts w:asciiTheme="minorHAnsi" w:hAnsiTheme="minorHAnsi" w:cstheme="minorHAnsi"/>
                <w:sz w:val="24"/>
                <w:szCs w:val="24"/>
              </w:rPr>
            </w:pPr>
            <w:r w:rsidRPr="00435B19">
              <w:rPr>
                <w:rFonts w:asciiTheme="minorHAnsi" w:hAnsiTheme="minorHAnsi" w:cstheme="minorHAnsi"/>
                <w:sz w:val="24"/>
                <w:szCs w:val="24"/>
              </w:rPr>
              <w:t>Deidentified patient-level data reflecting all sepsis admissions over a 5-year observation period</w:t>
            </w:r>
          </w:p>
          <w:p w14:paraId="4084618C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auto"/>
          </w:tcPr>
          <w:p w14:paraId="319F0902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</w:rPr>
              <w:t>Interrupted time series</w:t>
            </w:r>
          </w:p>
        </w:tc>
      </w:tr>
      <w:tr w:rsidR="00F6150E" w:rsidRPr="00435B19" w14:paraId="03DE42C1" w14:textId="77777777" w:rsidTr="00511CF2">
        <w:tc>
          <w:tcPr>
            <w:tcW w:w="1541" w:type="pct"/>
            <w:shd w:val="clear" w:color="auto" w:fill="auto"/>
          </w:tcPr>
          <w:p w14:paraId="776F9E19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Aim 3:</w:t>
            </w:r>
            <w:r w:rsidRPr="00435B19">
              <w:rPr>
                <w:rFonts w:asciiTheme="minorHAnsi" w:hAnsiTheme="minorHAnsi" w:cstheme="minorHAnsi"/>
              </w:rPr>
              <w:t xml:space="preserve"> Evaluate the impact of the intervention on racial inequities in in-hospital mortality from sepsis </w:t>
            </w:r>
            <w:r w:rsidRPr="00435B19">
              <w:rPr>
                <w:rFonts w:asciiTheme="minorHAnsi" w:hAnsiTheme="minorHAnsi" w:cstheme="minorHAnsi"/>
                <w:i/>
                <w:iCs/>
              </w:rPr>
              <w:t>(clinical outcome)</w:t>
            </w:r>
          </w:p>
        </w:tc>
        <w:tc>
          <w:tcPr>
            <w:tcW w:w="1167" w:type="pct"/>
            <w:shd w:val="clear" w:color="auto" w:fill="auto"/>
          </w:tcPr>
          <w:p w14:paraId="10111494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</w:rPr>
              <w:t>Quantitative measure: in hospital sepsis mortality rates</w:t>
            </w:r>
          </w:p>
        </w:tc>
        <w:tc>
          <w:tcPr>
            <w:tcW w:w="1544" w:type="pct"/>
            <w:shd w:val="clear" w:color="auto" w:fill="auto"/>
          </w:tcPr>
          <w:p w14:paraId="7A4F3007" w14:textId="77777777" w:rsidR="00F6150E" w:rsidRPr="00435B19" w:rsidRDefault="00F6150E" w:rsidP="00511CF2">
            <w:pPr>
              <w:pStyle w:val="CommentText"/>
              <w:rPr>
                <w:rFonts w:asciiTheme="minorHAnsi" w:hAnsiTheme="minorHAnsi" w:cstheme="minorHAnsi"/>
                <w:sz w:val="24"/>
                <w:szCs w:val="24"/>
              </w:rPr>
            </w:pPr>
            <w:r w:rsidRPr="00435B19">
              <w:rPr>
                <w:rFonts w:asciiTheme="minorHAnsi" w:hAnsiTheme="minorHAnsi" w:cstheme="minorHAnsi"/>
                <w:sz w:val="24"/>
                <w:szCs w:val="24"/>
              </w:rPr>
              <w:t>Deidentified patient-level data reflecting all sepsis admissions over a 5-year observation period</w:t>
            </w:r>
          </w:p>
          <w:p w14:paraId="4AF27A92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auto"/>
          </w:tcPr>
          <w:p w14:paraId="535520F5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</w:rPr>
              <w:t>Interrupted time series</w:t>
            </w:r>
          </w:p>
        </w:tc>
      </w:tr>
      <w:tr w:rsidR="00F6150E" w:rsidRPr="00435B19" w14:paraId="1521AFD1" w14:textId="77777777" w:rsidTr="00511CF2">
        <w:tc>
          <w:tcPr>
            <w:tcW w:w="1541" w:type="pct"/>
            <w:shd w:val="clear" w:color="auto" w:fill="auto"/>
          </w:tcPr>
          <w:p w14:paraId="00B3A13C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  <w:b/>
                <w:bCs/>
              </w:rPr>
              <w:t>Aim 3:</w:t>
            </w:r>
            <w:r w:rsidRPr="00435B19">
              <w:rPr>
                <w:rFonts w:asciiTheme="minorHAnsi" w:hAnsiTheme="minorHAnsi" w:cstheme="minorHAnsi"/>
              </w:rPr>
              <w:t xml:space="preserve"> Evaluate the impact of the intervention on racial inequities in readmission rates from sepsis </w:t>
            </w:r>
            <w:r w:rsidRPr="00435B19">
              <w:rPr>
                <w:rFonts w:asciiTheme="minorHAnsi" w:hAnsiTheme="minorHAnsi" w:cstheme="minorHAnsi"/>
                <w:i/>
                <w:iCs/>
              </w:rPr>
              <w:t>(clinical outcome)</w:t>
            </w:r>
          </w:p>
        </w:tc>
        <w:tc>
          <w:tcPr>
            <w:tcW w:w="1167" w:type="pct"/>
            <w:shd w:val="clear" w:color="auto" w:fill="auto"/>
          </w:tcPr>
          <w:p w14:paraId="063D3A57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</w:rPr>
              <w:t>Quantitative measures: 30-day all-cause readmission rates</w:t>
            </w:r>
          </w:p>
        </w:tc>
        <w:tc>
          <w:tcPr>
            <w:tcW w:w="1544" w:type="pct"/>
            <w:shd w:val="clear" w:color="auto" w:fill="auto"/>
          </w:tcPr>
          <w:p w14:paraId="75F3D047" w14:textId="77777777" w:rsidR="00F6150E" w:rsidRPr="00435B19" w:rsidRDefault="00F6150E" w:rsidP="00511CF2">
            <w:pPr>
              <w:pStyle w:val="CommentText"/>
              <w:rPr>
                <w:rFonts w:asciiTheme="minorHAnsi" w:hAnsiTheme="minorHAnsi" w:cstheme="minorHAnsi"/>
                <w:sz w:val="24"/>
                <w:szCs w:val="24"/>
              </w:rPr>
            </w:pPr>
            <w:r w:rsidRPr="00435B19">
              <w:rPr>
                <w:rFonts w:asciiTheme="minorHAnsi" w:hAnsiTheme="minorHAnsi" w:cstheme="minorHAnsi"/>
                <w:sz w:val="24"/>
                <w:szCs w:val="24"/>
              </w:rPr>
              <w:t>Deidentified patient-level data reflecting all sepsis admissions over a 5-year observation period</w:t>
            </w:r>
          </w:p>
          <w:p w14:paraId="258A33BB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auto"/>
          </w:tcPr>
          <w:p w14:paraId="41EF51CB" w14:textId="77777777" w:rsidR="00F6150E" w:rsidRPr="00435B19" w:rsidRDefault="00F6150E" w:rsidP="00511CF2">
            <w:pPr>
              <w:pStyle w:val="Default"/>
              <w:rPr>
                <w:rFonts w:asciiTheme="minorHAnsi" w:hAnsiTheme="minorHAnsi" w:cstheme="minorHAnsi"/>
              </w:rPr>
            </w:pPr>
            <w:r w:rsidRPr="00435B19">
              <w:rPr>
                <w:rFonts w:asciiTheme="minorHAnsi" w:hAnsiTheme="minorHAnsi" w:cstheme="minorHAnsi"/>
              </w:rPr>
              <w:t>Interrupted time series</w:t>
            </w:r>
          </w:p>
        </w:tc>
      </w:tr>
    </w:tbl>
    <w:p w14:paraId="162B208C" w14:textId="1915589A" w:rsidR="00F6150E" w:rsidRPr="00435B19" w:rsidRDefault="00F6150E">
      <w:pPr>
        <w:rPr>
          <w:rFonts w:cstheme="minorHAnsi"/>
        </w:rPr>
      </w:pPr>
    </w:p>
    <w:p w14:paraId="664D73FE" w14:textId="77777777" w:rsidR="00435B19" w:rsidRDefault="00435B1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1B6CB89" w14:textId="28A53E22" w:rsidR="00572C20" w:rsidRPr="00435B19" w:rsidRDefault="00572C20" w:rsidP="00572C20">
      <w:pPr>
        <w:rPr>
          <w:rFonts w:cstheme="minorHAnsi"/>
        </w:rPr>
      </w:pPr>
      <w:r w:rsidRPr="00435B19">
        <w:rPr>
          <w:rFonts w:cstheme="minorHAnsi"/>
          <w:b/>
          <w:bCs/>
        </w:rPr>
        <w:lastRenderedPageBreak/>
        <w:t xml:space="preserve">Supplemental </w:t>
      </w:r>
      <w:r w:rsidRPr="00435B19">
        <w:rPr>
          <w:rFonts w:cstheme="minorHAnsi"/>
          <w:b/>
          <w:bCs/>
        </w:rPr>
        <w:t xml:space="preserve">Figure </w:t>
      </w:r>
      <w:r w:rsidRPr="00435B19">
        <w:rPr>
          <w:rFonts w:cstheme="minorHAnsi"/>
          <w:b/>
          <w:bCs/>
        </w:rPr>
        <w:t>4</w:t>
      </w:r>
      <w:r w:rsidRPr="00435B19">
        <w:rPr>
          <w:rFonts w:cstheme="minorHAnsi"/>
          <w:b/>
          <w:bCs/>
        </w:rPr>
        <w:t>. Example of data integration to classify systems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"/>
        <w:gridCol w:w="1324"/>
        <w:gridCol w:w="1324"/>
        <w:gridCol w:w="1324"/>
        <w:gridCol w:w="1324"/>
        <w:gridCol w:w="1111"/>
        <w:gridCol w:w="987"/>
        <w:gridCol w:w="1211"/>
        <w:gridCol w:w="854"/>
        <w:gridCol w:w="1285"/>
      </w:tblGrid>
      <w:tr w:rsidR="00572C20" w:rsidRPr="00435B19" w14:paraId="34795ACE" w14:textId="77777777" w:rsidTr="00511CF2">
        <w:trPr>
          <w:trHeight w:val="83"/>
        </w:trPr>
        <w:tc>
          <w:tcPr>
            <w:tcW w:w="547" w:type="dxa"/>
            <w:vMerge w:val="restart"/>
            <w:vAlign w:val="center"/>
          </w:tcPr>
          <w:p w14:paraId="3CAB2D1F" w14:textId="77777777" w:rsidR="00572C20" w:rsidRPr="00435B19" w:rsidRDefault="00572C20" w:rsidP="00511C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35B19">
              <w:rPr>
                <w:rFonts w:cstheme="minorHAnsi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6175" w:type="dxa"/>
            <w:gridSpan w:val="5"/>
            <w:vAlign w:val="center"/>
          </w:tcPr>
          <w:p w14:paraId="0DEEDCC0" w14:textId="77777777" w:rsidR="00572C20" w:rsidRPr="00435B19" w:rsidRDefault="00572C20" w:rsidP="00511C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35B19">
              <w:rPr>
                <w:rFonts w:cstheme="minorHAnsi"/>
                <w:b/>
                <w:bCs/>
                <w:sz w:val="20"/>
                <w:szCs w:val="20"/>
              </w:rPr>
              <w:t xml:space="preserve">Quantitative data </w:t>
            </w:r>
          </w:p>
          <w:p w14:paraId="1F97671A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proofErr w:type="gramStart"/>
            <w:r w:rsidRPr="00435B19">
              <w:rPr>
                <w:rFonts w:cstheme="minorHAnsi"/>
                <w:b/>
                <w:bCs/>
                <w:sz w:val="20"/>
                <w:szCs w:val="20"/>
              </w:rPr>
              <w:t>survey</w:t>
            </w:r>
            <w:proofErr w:type="gramEnd"/>
            <w:r w:rsidRPr="00435B19">
              <w:rPr>
                <w:rFonts w:cstheme="minorHAnsi"/>
                <w:b/>
                <w:bCs/>
                <w:sz w:val="20"/>
                <w:szCs w:val="20"/>
              </w:rPr>
              <w:t xml:space="preserve"> domains)</w:t>
            </w:r>
          </w:p>
        </w:tc>
        <w:tc>
          <w:tcPr>
            <w:tcW w:w="3025" w:type="dxa"/>
            <w:gridSpan w:val="3"/>
            <w:vAlign w:val="center"/>
          </w:tcPr>
          <w:p w14:paraId="0E5B1083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b/>
                <w:bCs/>
                <w:sz w:val="20"/>
                <w:szCs w:val="20"/>
              </w:rPr>
              <w:t>Qualitative data (interviews, observations, debriefs)</w:t>
            </w:r>
          </w:p>
        </w:tc>
        <w:tc>
          <w:tcPr>
            <w:tcW w:w="1048" w:type="dxa"/>
            <w:vMerge w:val="restart"/>
            <w:vAlign w:val="center"/>
          </w:tcPr>
          <w:p w14:paraId="569530AE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b/>
                <w:bCs/>
                <w:sz w:val="20"/>
                <w:szCs w:val="20"/>
              </w:rPr>
              <w:t>Overall classification</w:t>
            </w:r>
          </w:p>
        </w:tc>
      </w:tr>
      <w:tr w:rsidR="00572C20" w:rsidRPr="00435B19" w14:paraId="6E75CF9A" w14:textId="77777777" w:rsidTr="00511CF2">
        <w:trPr>
          <w:trHeight w:val="206"/>
        </w:trPr>
        <w:tc>
          <w:tcPr>
            <w:tcW w:w="547" w:type="dxa"/>
            <w:vMerge/>
            <w:vAlign w:val="center"/>
          </w:tcPr>
          <w:p w14:paraId="2E9D5147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6443CC5C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Overall culture</w:t>
            </w:r>
          </w:p>
        </w:tc>
        <w:tc>
          <w:tcPr>
            <w:tcW w:w="1257" w:type="dxa"/>
            <w:vAlign w:val="center"/>
          </w:tcPr>
          <w:p w14:paraId="1803CEC6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 xml:space="preserve">Learning </w:t>
            </w:r>
            <w:proofErr w:type="gramStart"/>
            <w:r w:rsidRPr="00435B19">
              <w:rPr>
                <w:rFonts w:cstheme="minorHAnsi"/>
                <w:sz w:val="20"/>
                <w:szCs w:val="20"/>
              </w:rPr>
              <w:t>and  problem</w:t>
            </w:r>
            <w:proofErr w:type="gramEnd"/>
            <w:r w:rsidRPr="00435B19">
              <w:rPr>
                <w:rFonts w:cstheme="minorHAnsi"/>
                <w:sz w:val="20"/>
                <w:szCs w:val="20"/>
              </w:rPr>
              <w:t xml:space="preserve"> solving</w:t>
            </w:r>
          </w:p>
        </w:tc>
        <w:tc>
          <w:tcPr>
            <w:tcW w:w="1317" w:type="dxa"/>
            <w:vAlign w:val="center"/>
          </w:tcPr>
          <w:p w14:paraId="6520443D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Psychological safety</w:t>
            </w:r>
          </w:p>
        </w:tc>
        <w:tc>
          <w:tcPr>
            <w:tcW w:w="1257" w:type="dxa"/>
            <w:vAlign w:val="center"/>
          </w:tcPr>
          <w:p w14:paraId="21E6CED9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Senior leadership</w:t>
            </w:r>
          </w:p>
        </w:tc>
        <w:tc>
          <w:tcPr>
            <w:tcW w:w="1087" w:type="dxa"/>
            <w:vAlign w:val="center"/>
          </w:tcPr>
          <w:p w14:paraId="2E9A29E2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Supporting structures</w:t>
            </w:r>
          </w:p>
        </w:tc>
        <w:tc>
          <w:tcPr>
            <w:tcW w:w="1011" w:type="dxa"/>
            <w:vAlign w:val="center"/>
          </w:tcPr>
          <w:p w14:paraId="6B458EC7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Interview</w:t>
            </w:r>
          </w:p>
        </w:tc>
        <w:tc>
          <w:tcPr>
            <w:tcW w:w="1187" w:type="dxa"/>
            <w:vAlign w:val="center"/>
          </w:tcPr>
          <w:p w14:paraId="668353AA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Observation</w:t>
            </w:r>
          </w:p>
        </w:tc>
        <w:tc>
          <w:tcPr>
            <w:tcW w:w="827" w:type="dxa"/>
            <w:vAlign w:val="center"/>
          </w:tcPr>
          <w:p w14:paraId="572D85D6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Debrief</w:t>
            </w:r>
          </w:p>
        </w:tc>
        <w:tc>
          <w:tcPr>
            <w:tcW w:w="1048" w:type="dxa"/>
            <w:vMerge/>
            <w:vAlign w:val="center"/>
          </w:tcPr>
          <w:p w14:paraId="08743DDC" w14:textId="77777777" w:rsidR="00572C20" w:rsidRPr="00435B19" w:rsidRDefault="00572C20" w:rsidP="00511C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2C20" w:rsidRPr="00435B19" w14:paraId="6CC34DA5" w14:textId="77777777" w:rsidTr="00435B19">
        <w:trPr>
          <w:trHeight w:val="191"/>
        </w:trPr>
        <w:tc>
          <w:tcPr>
            <w:tcW w:w="547" w:type="dxa"/>
            <w:vAlign w:val="center"/>
          </w:tcPr>
          <w:p w14:paraId="38AA2701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257" w:type="dxa"/>
            <w:vAlign w:val="center"/>
          </w:tcPr>
          <w:p w14:paraId="72A7261B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significant improvement</w:t>
            </w:r>
          </w:p>
        </w:tc>
        <w:tc>
          <w:tcPr>
            <w:tcW w:w="1257" w:type="dxa"/>
            <w:vAlign w:val="center"/>
          </w:tcPr>
          <w:p w14:paraId="116DC45C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</w:t>
            </w:r>
          </w:p>
          <w:p w14:paraId="3B12BC4A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1317" w:type="dxa"/>
            <w:vAlign w:val="center"/>
          </w:tcPr>
          <w:p w14:paraId="58CE2591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significant improvement</w:t>
            </w:r>
          </w:p>
        </w:tc>
        <w:tc>
          <w:tcPr>
            <w:tcW w:w="1257" w:type="dxa"/>
            <w:vAlign w:val="center"/>
          </w:tcPr>
          <w:p w14:paraId="77841ED6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trend improvement</w:t>
            </w:r>
          </w:p>
        </w:tc>
        <w:tc>
          <w:tcPr>
            <w:tcW w:w="1087" w:type="dxa"/>
            <w:vAlign w:val="center"/>
          </w:tcPr>
          <w:p w14:paraId="229FFEEA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</w:t>
            </w:r>
          </w:p>
          <w:p w14:paraId="6F03248E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1011" w:type="dxa"/>
            <w:vAlign w:val="center"/>
          </w:tcPr>
          <w:p w14:paraId="669E5BB6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positive change</w:t>
            </w:r>
          </w:p>
        </w:tc>
        <w:tc>
          <w:tcPr>
            <w:tcW w:w="1187" w:type="dxa"/>
            <w:vAlign w:val="center"/>
          </w:tcPr>
          <w:p w14:paraId="64314655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positive change</w:t>
            </w:r>
          </w:p>
        </w:tc>
        <w:tc>
          <w:tcPr>
            <w:tcW w:w="827" w:type="dxa"/>
            <w:vAlign w:val="center"/>
          </w:tcPr>
          <w:p w14:paraId="51641653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positive change</w:t>
            </w:r>
          </w:p>
        </w:tc>
        <w:tc>
          <w:tcPr>
            <w:tcW w:w="1048" w:type="dxa"/>
            <w:vAlign w:val="center"/>
          </w:tcPr>
          <w:p w14:paraId="07B95A21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positive change</w:t>
            </w:r>
          </w:p>
        </w:tc>
      </w:tr>
      <w:tr w:rsidR="00572C20" w:rsidRPr="00435B19" w14:paraId="18A4D659" w14:textId="77777777" w:rsidTr="00435B19">
        <w:trPr>
          <w:trHeight w:val="206"/>
        </w:trPr>
        <w:tc>
          <w:tcPr>
            <w:tcW w:w="547" w:type="dxa"/>
            <w:vAlign w:val="center"/>
          </w:tcPr>
          <w:p w14:paraId="1B86B2D9" w14:textId="77D732A9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257" w:type="dxa"/>
            <w:vAlign w:val="center"/>
          </w:tcPr>
          <w:p w14:paraId="1987E4B5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</w:t>
            </w:r>
          </w:p>
          <w:p w14:paraId="0D5DBE3C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1257" w:type="dxa"/>
            <w:vAlign w:val="center"/>
          </w:tcPr>
          <w:p w14:paraId="6057CC67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trend improvement</w:t>
            </w:r>
          </w:p>
        </w:tc>
        <w:tc>
          <w:tcPr>
            <w:tcW w:w="1317" w:type="dxa"/>
            <w:vAlign w:val="center"/>
          </w:tcPr>
          <w:p w14:paraId="234965A2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</w:t>
            </w:r>
          </w:p>
          <w:p w14:paraId="51CCC600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1257" w:type="dxa"/>
            <w:vAlign w:val="center"/>
          </w:tcPr>
          <w:p w14:paraId="37D4D926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trend improvement</w:t>
            </w:r>
          </w:p>
        </w:tc>
        <w:tc>
          <w:tcPr>
            <w:tcW w:w="1087" w:type="dxa"/>
            <w:vAlign w:val="center"/>
          </w:tcPr>
          <w:p w14:paraId="7B9B56E6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</w:t>
            </w:r>
          </w:p>
          <w:p w14:paraId="1161BC6E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1011" w:type="dxa"/>
            <w:vAlign w:val="center"/>
          </w:tcPr>
          <w:p w14:paraId="6D8679A3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 change</w:t>
            </w:r>
          </w:p>
        </w:tc>
        <w:tc>
          <w:tcPr>
            <w:tcW w:w="1187" w:type="dxa"/>
            <w:vAlign w:val="center"/>
          </w:tcPr>
          <w:p w14:paraId="5AF54C76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  <w:tc>
          <w:tcPr>
            <w:tcW w:w="827" w:type="dxa"/>
            <w:vAlign w:val="center"/>
          </w:tcPr>
          <w:p w14:paraId="0F833A97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 change</w:t>
            </w:r>
          </w:p>
        </w:tc>
        <w:tc>
          <w:tcPr>
            <w:tcW w:w="1048" w:type="dxa"/>
            <w:vAlign w:val="center"/>
          </w:tcPr>
          <w:p w14:paraId="386B5FAA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no</w:t>
            </w:r>
          </w:p>
          <w:p w14:paraId="0A41C810" w14:textId="77777777" w:rsidR="00572C20" w:rsidRPr="00435B19" w:rsidRDefault="00572C20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5B19">
              <w:rPr>
                <w:rFonts w:cstheme="minorHAnsi"/>
                <w:sz w:val="20"/>
                <w:szCs w:val="20"/>
              </w:rPr>
              <w:t>change</w:t>
            </w:r>
          </w:p>
        </w:tc>
      </w:tr>
      <w:tr w:rsidR="00435B19" w:rsidRPr="00435B19" w14:paraId="50632767" w14:textId="77777777" w:rsidTr="00435B19">
        <w:trPr>
          <w:trHeight w:val="206"/>
        </w:trPr>
        <w:tc>
          <w:tcPr>
            <w:tcW w:w="547" w:type="dxa"/>
            <w:vAlign w:val="center"/>
          </w:tcPr>
          <w:p w14:paraId="73C4BBD1" w14:textId="604E3F5F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C, </w:t>
            </w:r>
            <w:proofErr w:type="spellStart"/>
            <w:r>
              <w:rPr>
                <w:rFonts w:cstheme="minorHAnsi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257" w:type="dxa"/>
            <w:vAlign w:val="center"/>
          </w:tcPr>
          <w:p w14:paraId="5D663F7A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369E2395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6BC7D30F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6BF8CEAC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431D8FCD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02273ED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4C63DBD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43B520D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52C7A71F" w14:textId="77777777" w:rsidR="00435B19" w:rsidRPr="00435B19" w:rsidRDefault="00435B19" w:rsidP="00435B1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BFC138" w14:textId="77777777" w:rsidR="00572C20" w:rsidRPr="00435B19" w:rsidRDefault="00572C20" w:rsidP="00572C20">
      <w:pPr>
        <w:rPr>
          <w:rFonts w:cstheme="minorHAnsi"/>
        </w:rPr>
      </w:pPr>
    </w:p>
    <w:p w14:paraId="67589A9F" w14:textId="77777777" w:rsidR="00435B19" w:rsidRPr="00435B19" w:rsidRDefault="00435B19" w:rsidP="00435B19">
      <w:pPr>
        <w:rPr>
          <w:rFonts w:cstheme="minorHAnsi"/>
          <w:b/>
          <w:bCs/>
        </w:rPr>
      </w:pPr>
      <w:r w:rsidRPr="00435B19">
        <w:rPr>
          <w:rFonts w:cstheme="minorHAnsi"/>
          <w:b/>
          <w:bCs/>
        </w:rPr>
        <w:t>Supplemental Figure 5: Example of trend analysis output</w:t>
      </w:r>
    </w:p>
    <w:p w14:paraId="62F4BB00" w14:textId="5F7BE411" w:rsidR="00572C20" w:rsidRPr="00435B19" w:rsidRDefault="00435B19">
      <w:pPr>
        <w:rPr>
          <w:rFonts w:cstheme="minorHAnsi"/>
        </w:rPr>
      </w:pPr>
      <w:r w:rsidRPr="00435B19">
        <w:rPr>
          <w:rFonts w:cstheme="minorHAnsi"/>
          <w:noProof/>
        </w:rPr>
        <w:drawing>
          <wp:inline distT="0" distB="0" distL="0" distR="0" wp14:anchorId="2EE95A03" wp14:editId="7083A171">
            <wp:extent cx="3762531" cy="2977116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820" cy="298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C20" w:rsidRPr="00435B19" w:rsidSect="00435B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D6"/>
    <w:rsid w:val="00012C94"/>
    <w:rsid w:val="000132CA"/>
    <w:rsid w:val="00016C7D"/>
    <w:rsid w:val="00021965"/>
    <w:rsid w:val="0003491F"/>
    <w:rsid w:val="00053CFC"/>
    <w:rsid w:val="00067DCB"/>
    <w:rsid w:val="00080E57"/>
    <w:rsid w:val="00093C58"/>
    <w:rsid w:val="000B59C6"/>
    <w:rsid w:val="000C09AF"/>
    <w:rsid w:val="000C5629"/>
    <w:rsid w:val="000C765E"/>
    <w:rsid w:val="000E4D0C"/>
    <w:rsid w:val="000E6873"/>
    <w:rsid w:val="001000AA"/>
    <w:rsid w:val="00107B5A"/>
    <w:rsid w:val="00112EB4"/>
    <w:rsid w:val="00132E55"/>
    <w:rsid w:val="00134DBD"/>
    <w:rsid w:val="00145482"/>
    <w:rsid w:val="001471EC"/>
    <w:rsid w:val="0015698E"/>
    <w:rsid w:val="0016139C"/>
    <w:rsid w:val="001644D5"/>
    <w:rsid w:val="00175E4A"/>
    <w:rsid w:val="001A3CAB"/>
    <w:rsid w:val="001A4595"/>
    <w:rsid w:val="001C5DAF"/>
    <w:rsid w:val="001E40F7"/>
    <w:rsid w:val="002006A1"/>
    <w:rsid w:val="00207638"/>
    <w:rsid w:val="00221DC4"/>
    <w:rsid w:val="00222938"/>
    <w:rsid w:val="0025648F"/>
    <w:rsid w:val="00263AD3"/>
    <w:rsid w:val="002753AE"/>
    <w:rsid w:val="002816BB"/>
    <w:rsid w:val="002A1C00"/>
    <w:rsid w:val="002D6A1D"/>
    <w:rsid w:val="002E17C8"/>
    <w:rsid w:val="002F23C4"/>
    <w:rsid w:val="002F2C94"/>
    <w:rsid w:val="0030090E"/>
    <w:rsid w:val="00300F46"/>
    <w:rsid w:val="003110B1"/>
    <w:rsid w:val="00321488"/>
    <w:rsid w:val="00327A49"/>
    <w:rsid w:val="00375EA3"/>
    <w:rsid w:val="003A254C"/>
    <w:rsid w:val="003C0691"/>
    <w:rsid w:val="003D7A17"/>
    <w:rsid w:val="00400F0D"/>
    <w:rsid w:val="00435B19"/>
    <w:rsid w:val="004425FB"/>
    <w:rsid w:val="00443BF8"/>
    <w:rsid w:val="0044443A"/>
    <w:rsid w:val="00460EDB"/>
    <w:rsid w:val="00476E21"/>
    <w:rsid w:val="00481881"/>
    <w:rsid w:val="004974A2"/>
    <w:rsid w:val="004A06A8"/>
    <w:rsid w:val="004B137C"/>
    <w:rsid w:val="004D241F"/>
    <w:rsid w:val="004E29C7"/>
    <w:rsid w:val="004F15F0"/>
    <w:rsid w:val="004F39E3"/>
    <w:rsid w:val="00503A89"/>
    <w:rsid w:val="00504F02"/>
    <w:rsid w:val="00572C20"/>
    <w:rsid w:val="00576158"/>
    <w:rsid w:val="00596EB4"/>
    <w:rsid w:val="005B21D7"/>
    <w:rsid w:val="005B2ADD"/>
    <w:rsid w:val="005C21D2"/>
    <w:rsid w:val="005E046D"/>
    <w:rsid w:val="005E22BB"/>
    <w:rsid w:val="005E3595"/>
    <w:rsid w:val="005E5255"/>
    <w:rsid w:val="005F449C"/>
    <w:rsid w:val="0060504E"/>
    <w:rsid w:val="00605A4B"/>
    <w:rsid w:val="00632D24"/>
    <w:rsid w:val="00633266"/>
    <w:rsid w:val="00653E56"/>
    <w:rsid w:val="00674B95"/>
    <w:rsid w:val="0067639E"/>
    <w:rsid w:val="00677D71"/>
    <w:rsid w:val="00684469"/>
    <w:rsid w:val="006B2FF1"/>
    <w:rsid w:val="006C12EF"/>
    <w:rsid w:val="006D6079"/>
    <w:rsid w:val="006D7F02"/>
    <w:rsid w:val="006E1C93"/>
    <w:rsid w:val="00721AEC"/>
    <w:rsid w:val="00741BEE"/>
    <w:rsid w:val="00750BCE"/>
    <w:rsid w:val="00755045"/>
    <w:rsid w:val="00773118"/>
    <w:rsid w:val="007A2AF2"/>
    <w:rsid w:val="007C1E39"/>
    <w:rsid w:val="007C2213"/>
    <w:rsid w:val="007C66D6"/>
    <w:rsid w:val="007D2D72"/>
    <w:rsid w:val="007D663C"/>
    <w:rsid w:val="007F37E5"/>
    <w:rsid w:val="00814738"/>
    <w:rsid w:val="008330DE"/>
    <w:rsid w:val="00856AF7"/>
    <w:rsid w:val="008672AB"/>
    <w:rsid w:val="008906A2"/>
    <w:rsid w:val="008908C5"/>
    <w:rsid w:val="008E661E"/>
    <w:rsid w:val="008F61D3"/>
    <w:rsid w:val="009061C7"/>
    <w:rsid w:val="00907B6A"/>
    <w:rsid w:val="009148A3"/>
    <w:rsid w:val="00922970"/>
    <w:rsid w:val="0093553C"/>
    <w:rsid w:val="009465DD"/>
    <w:rsid w:val="00956970"/>
    <w:rsid w:val="00965F29"/>
    <w:rsid w:val="0097636F"/>
    <w:rsid w:val="00977F58"/>
    <w:rsid w:val="009833C2"/>
    <w:rsid w:val="009938EF"/>
    <w:rsid w:val="009A59E5"/>
    <w:rsid w:val="009C00CD"/>
    <w:rsid w:val="009C496F"/>
    <w:rsid w:val="009C7FA2"/>
    <w:rsid w:val="009D37D6"/>
    <w:rsid w:val="009D6F3D"/>
    <w:rsid w:val="009E0104"/>
    <w:rsid w:val="009E1E22"/>
    <w:rsid w:val="009E388B"/>
    <w:rsid w:val="009E49EA"/>
    <w:rsid w:val="009F3211"/>
    <w:rsid w:val="00A04A27"/>
    <w:rsid w:val="00A335B9"/>
    <w:rsid w:val="00A3558A"/>
    <w:rsid w:val="00A36E2A"/>
    <w:rsid w:val="00A774A2"/>
    <w:rsid w:val="00A9480D"/>
    <w:rsid w:val="00AA1387"/>
    <w:rsid w:val="00AC3FF7"/>
    <w:rsid w:val="00AC63DA"/>
    <w:rsid w:val="00B21D1C"/>
    <w:rsid w:val="00B320CF"/>
    <w:rsid w:val="00B32655"/>
    <w:rsid w:val="00B350EF"/>
    <w:rsid w:val="00B473D6"/>
    <w:rsid w:val="00B515A8"/>
    <w:rsid w:val="00B66058"/>
    <w:rsid w:val="00B662D7"/>
    <w:rsid w:val="00B66759"/>
    <w:rsid w:val="00B67682"/>
    <w:rsid w:val="00B7044D"/>
    <w:rsid w:val="00B7353D"/>
    <w:rsid w:val="00BC45F0"/>
    <w:rsid w:val="00BD2EA2"/>
    <w:rsid w:val="00C14D53"/>
    <w:rsid w:val="00C43825"/>
    <w:rsid w:val="00C64E7C"/>
    <w:rsid w:val="00C712E3"/>
    <w:rsid w:val="00C76ADF"/>
    <w:rsid w:val="00C77D70"/>
    <w:rsid w:val="00C92B5B"/>
    <w:rsid w:val="00CC7316"/>
    <w:rsid w:val="00CD43B0"/>
    <w:rsid w:val="00CF5001"/>
    <w:rsid w:val="00D108B4"/>
    <w:rsid w:val="00D36DF9"/>
    <w:rsid w:val="00D50CD0"/>
    <w:rsid w:val="00D617F7"/>
    <w:rsid w:val="00D71635"/>
    <w:rsid w:val="00D71662"/>
    <w:rsid w:val="00D7578C"/>
    <w:rsid w:val="00D82570"/>
    <w:rsid w:val="00D90645"/>
    <w:rsid w:val="00DA6C07"/>
    <w:rsid w:val="00DB62D5"/>
    <w:rsid w:val="00DC42B9"/>
    <w:rsid w:val="00DD6E4D"/>
    <w:rsid w:val="00DE4DBA"/>
    <w:rsid w:val="00E036A1"/>
    <w:rsid w:val="00E05900"/>
    <w:rsid w:val="00E27362"/>
    <w:rsid w:val="00E27FC6"/>
    <w:rsid w:val="00E57A52"/>
    <w:rsid w:val="00E713A6"/>
    <w:rsid w:val="00E85C87"/>
    <w:rsid w:val="00E87657"/>
    <w:rsid w:val="00EB2A7A"/>
    <w:rsid w:val="00EC5A22"/>
    <w:rsid w:val="00ED6E95"/>
    <w:rsid w:val="00F117B8"/>
    <w:rsid w:val="00F14F3D"/>
    <w:rsid w:val="00F16419"/>
    <w:rsid w:val="00F20070"/>
    <w:rsid w:val="00F32D7E"/>
    <w:rsid w:val="00F404D0"/>
    <w:rsid w:val="00F47744"/>
    <w:rsid w:val="00F6150E"/>
    <w:rsid w:val="00F70B4D"/>
    <w:rsid w:val="00F70CF6"/>
    <w:rsid w:val="00F729F6"/>
    <w:rsid w:val="00F85E2A"/>
    <w:rsid w:val="00FB0826"/>
    <w:rsid w:val="00FB35DC"/>
    <w:rsid w:val="00FB4694"/>
    <w:rsid w:val="00F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F590D"/>
  <w15:chartTrackingRefBased/>
  <w15:docId w15:val="{562263C1-5CAF-304B-9462-7F39E165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3D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66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66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B47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3D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3D6"/>
    <w:rPr>
      <w:rFonts w:ascii="Times New Roman" w:eastAsia="Times New Roman" w:hAnsi="Times New Roman" w:cs="Times New Roman"/>
      <w:sz w:val="20"/>
      <w:szCs w:val="20"/>
    </w:rPr>
  </w:style>
  <w:style w:type="table" w:styleId="GridTable6Colorful">
    <w:name w:val="Grid Table 6 Colorful"/>
    <w:basedOn w:val="TableNormal"/>
    <w:uiPriority w:val="51"/>
    <w:rsid w:val="009D37D6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F6150E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table" w:styleId="TableGrid">
    <w:name w:val="Table Grid"/>
    <w:basedOn w:val="TableNormal"/>
    <w:rsid w:val="00572C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606</Words>
  <Characters>3551</Characters>
  <Application>Microsoft Office Word</Application>
  <DocSecurity>0</DocSecurity>
  <Lines>49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Linnander, Erika</dc:creator>
  <cp:keywords/>
  <dc:description/>
  <cp:lastModifiedBy>Linnander, Erika</cp:lastModifiedBy>
  <cp:revision>4</cp:revision>
  <dcterms:created xsi:type="dcterms:W3CDTF">2022-03-08T13:56:00Z</dcterms:created>
  <dcterms:modified xsi:type="dcterms:W3CDTF">2022-03-08T16:55:00Z</dcterms:modified>
</cp:coreProperties>
</file>