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437" w:rsidRPr="00741B57" w:rsidRDefault="002F3437" w:rsidP="002F3437">
      <w:pPr>
        <w:pStyle w:val="Caption"/>
      </w:pPr>
      <w:r w:rsidRPr="00741B57">
        <w:t>Additional materials file 2</w:t>
      </w:r>
    </w:p>
    <w:p w:rsidR="002F3437" w:rsidRPr="00741B57" w:rsidRDefault="002F3437" w:rsidP="002F3437">
      <w:pPr>
        <w:pStyle w:val="Caption"/>
      </w:pPr>
      <w:proofErr w:type="gramStart"/>
      <w:r w:rsidRPr="00741B57">
        <w:t>Table S2-1.</w:t>
      </w:r>
      <w:proofErr w:type="gramEnd"/>
      <w:r w:rsidRPr="00741B57">
        <w:t xml:space="preserve"> Cost parameters and corresponding codes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5490"/>
      </w:tblGrid>
      <w:tr w:rsidR="002F3437" w:rsidRPr="00741B57" w:rsidTr="00004805">
        <w:tc>
          <w:tcPr>
            <w:tcW w:w="3505" w:type="dxa"/>
            <w:shd w:val="clear" w:color="auto" w:fill="BFBFBF" w:themeFill="background1" w:themeFillShade="BF"/>
          </w:tcPr>
          <w:p w:rsidR="002F3437" w:rsidRPr="00741B57" w:rsidRDefault="002F3437" w:rsidP="00004805">
            <w:pPr>
              <w:pStyle w:val="Tabletext"/>
              <w:rPr>
                <w:b/>
              </w:rPr>
            </w:pPr>
            <w:r w:rsidRPr="00741B57">
              <w:rPr>
                <w:b/>
              </w:rPr>
              <w:t>Parameter</w:t>
            </w:r>
          </w:p>
        </w:tc>
        <w:tc>
          <w:tcPr>
            <w:tcW w:w="5490" w:type="dxa"/>
            <w:shd w:val="clear" w:color="auto" w:fill="BFBFBF" w:themeFill="background1" w:themeFillShade="BF"/>
          </w:tcPr>
          <w:p w:rsidR="002F3437" w:rsidRPr="00741B57" w:rsidRDefault="002F3437" w:rsidP="00004805">
            <w:pPr>
              <w:pStyle w:val="Tabletext"/>
              <w:rPr>
                <w:b/>
              </w:rPr>
            </w:pPr>
            <w:r w:rsidRPr="00741B57">
              <w:rPr>
                <w:b/>
              </w:rPr>
              <w:t>Codes</w:t>
            </w:r>
          </w:p>
        </w:tc>
      </w:tr>
      <w:tr w:rsidR="002F3437" w:rsidRPr="00741B57" w:rsidTr="00004805">
        <w:tc>
          <w:tcPr>
            <w:tcW w:w="3505" w:type="dxa"/>
            <w:shd w:val="clear" w:color="auto" w:fill="auto"/>
          </w:tcPr>
          <w:p w:rsidR="002F3437" w:rsidRPr="00741B57" w:rsidRDefault="002F3437" w:rsidP="00004805">
            <w:pPr>
              <w:pStyle w:val="Tabletext"/>
              <w:rPr>
                <w:bCs/>
                <w:lang w:val="en-SG"/>
              </w:rPr>
            </w:pPr>
            <w:r w:rsidRPr="00741B57">
              <w:rPr>
                <w:bCs/>
                <w:lang w:val="en-SG"/>
              </w:rPr>
              <w:t>TAVI mean episodic charge without AEs</w:t>
            </w:r>
          </w:p>
        </w:tc>
        <w:tc>
          <w:tcPr>
            <w:tcW w:w="5490" w:type="dxa"/>
            <w:shd w:val="clear" w:color="auto" w:fill="auto"/>
          </w:tcPr>
          <w:p w:rsidR="002F3437" w:rsidRPr="00741B57" w:rsidRDefault="002F3437" w:rsidP="00004805">
            <w:pPr>
              <w:pStyle w:val="Tabletext"/>
              <w:rPr>
                <w:bCs/>
                <w:lang w:val="en-SG"/>
              </w:rPr>
            </w:pPr>
            <w:r w:rsidRPr="00741B57">
              <w:rPr>
                <w:bCs/>
                <w:lang w:val="en-SG"/>
              </w:rPr>
              <w:t>ACHI code: 3848000, 3848100, 3848800, 3848900, 3848901</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SAVR mean episodic charge without AEs</w:t>
            </w:r>
          </w:p>
        </w:tc>
        <w:tc>
          <w:tcPr>
            <w:tcW w:w="5490" w:type="dxa"/>
          </w:tcPr>
          <w:p w:rsidR="002F3437" w:rsidRPr="00741B57" w:rsidRDefault="002F3437" w:rsidP="00004805">
            <w:pPr>
              <w:pStyle w:val="Tabletext"/>
              <w:rPr>
                <w:lang w:val="en-SG"/>
              </w:rPr>
            </w:pPr>
            <w:r w:rsidRPr="00741B57">
              <w:rPr>
                <w:lang w:val="en-SG"/>
              </w:rPr>
              <w:t>ACHI code: 3827001</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Follow-up care after procedure</w:t>
            </w:r>
          </w:p>
        </w:tc>
        <w:tc>
          <w:tcPr>
            <w:tcW w:w="5490" w:type="dxa"/>
          </w:tcPr>
          <w:p w:rsidR="002F3437" w:rsidRPr="00741B57" w:rsidRDefault="002F3437" w:rsidP="00004805">
            <w:pPr>
              <w:pStyle w:val="Tabletext"/>
              <w:rPr>
                <w:lang w:val="en-SG"/>
              </w:rPr>
            </w:pPr>
            <w:r w:rsidRPr="00741B57">
              <w:rPr>
                <w:lang w:val="en-SG"/>
              </w:rPr>
              <w:t>-</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Disabling or major stroke</w:t>
            </w:r>
          </w:p>
        </w:tc>
        <w:tc>
          <w:tcPr>
            <w:tcW w:w="5490" w:type="dxa"/>
          </w:tcPr>
          <w:p w:rsidR="002F3437" w:rsidRPr="00741B57" w:rsidRDefault="002F3437" w:rsidP="00004805">
            <w:pPr>
              <w:pStyle w:val="Tabletext"/>
              <w:rPr>
                <w:lang w:val="en-SG"/>
              </w:rPr>
            </w:pPr>
            <w:r w:rsidRPr="00741B57">
              <w:rPr>
                <w:lang w:val="en-SG"/>
              </w:rPr>
              <w:t>ICD-10: I629, I63, I630, I631, I632, I633, I634, I635, I636, I638, I639</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Neurologist outpatient visit</w:t>
            </w:r>
          </w:p>
        </w:tc>
        <w:tc>
          <w:tcPr>
            <w:tcW w:w="5490" w:type="dxa"/>
          </w:tcPr>
          <w:p w:rsidR="002F3437" w:rsidRPr="00741B57" w:rsidRDefault="002F3437" w:rsidP="00004805">
            <w:pPr>
              <w:pStyle w:val="Tabletext"/>
              <w:rPr>
                <w:lang w:val="en-SG"/>
              </w:rPr>
            </w:pPr>
            <w:r w:rsidRPr="00741B57">
              <w:rPr>
                <w:lang w:val="en-SG"/>
              </w:rPr>
              <w:t>-</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Rehospitalisation</w:t>
            </w:r>
          </w:p>
        </w:tc>
        <w:tc>
          <w:tcPr>
            <w:tcW w:w="5490" w:type="dxa"/>
          </w:tcPr>
          <w:p w:rsidR="002F3437" w:rsidRPr="00741B57" w:rsidRDefault="002F3437" w:rsidP="00004805">
            <w:pPr>
              <w:pStyle w:val="Tabletext"/>
              <w:rPr>
                <w:lang w:val="en-SG"/>
              </w:rPr>
            </w:pPr>
            <w:r w:rsidRPr="00741B57">
              <w:rPr>
                <w:lang w:val="en-SG"/>
              </w:rPr>
              <w:t>ICD-10: I200, I209, I500, I501, I509</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MI</w:t>
            </w:r>
          </w:p>
        </w:tc>
        <w:tc>
          <w:tcPr>
            <w:tcW w:w="5490" w:type="dxa"/>
          </w:tcPr>
          <w:p w:rsidR="002F3437" w:rsidRPr="00741B57" w:rsidRDefault="002F3437" w:rsidP="00004805">
            <w:pPr>
              <w:pStyle w:val="Tabletext"/>
              <w:rPr>
                <w:lang w:val="en-SG"/>
              </w:rPr>
            </w:pPr>
            <w:r w:rsidRPr="00741B57">
              <w:rPr>
                <w:lang w:val="en-SG"/>
              </w:rPr>
              <w:t xml:space="preserve">ICD-10: I21, I210, I211, I212, I213, I214, I219  </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Major vascular complication</w:t>
            </w:r>
          </w:p>
        </w:tc>
        <w:tc>
          <w:tcPr>
            <w:tcW w:w="5490" w:type="dxa"/>
          </w:tcPr>
          <w:p w:rsidR="002F3437" w:rsidRPr="00741B57" w:rsidRDefault="002F3437" w:rsidP="00004805">
            <w:pPr>
              <w:pStyle w:val="Tabletext"/>
              <w:rPr>
                <w:lang w:val="en-SG"/>
              </w:rPr>
            </w:pPr>
            <w:r w:rsidRPr="00741B57">
              <w:rPr>
                <w:lang w:val="en-SG"/>
              </w:rPr>
              <w:t>ICD-10: A419, I358, I458, I509, I7020, I719, I723, I724, I742, I743, I744, I745, I770, I771, I802, I99</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Life-threatening, disabling, or major bleeding</w:t>
            </w:r>
          </w:p>
        </w:tc>
        <w:tc>
          <w:tcPr>
            <w:tcW w:w="5490" w:type="dxa"/>
          </w:tcPr>
          <w:p w:rsidR="002F3437" w:rsidRPr="00741B57" w:rsidRDefault="002F3437" w:rsidP="00004805">
            <w:pPr>
              <w:pStyle w:val="Tabletext"/>
              <w:rPr>
                <w:lang w:val="en-SG"/>
              </w:rPr>
            </w:pPr>
            <w:r w:rsidRPr="00741B57">
              <w:rPr>
                <w:lang w:val="en-SG"/>
              </w:rPr>
              <w:t>ICD-10: K922</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Endocarditis</w:t>
            </w:r>
          </w:p>
        </w:tc>
        <w:tc>
          <w:tcPr>
            <w:tcW w:w="5490" w:type="dxa"/>
          </w:tcPr>
          <w:p w:rsidR="002F3437" w:rsidRPr="00741B57" w:rsidRDefault="002F3437" w:rsidP="00004805">
            <w:pPr>
              <w:pStyle w:val="Tabletext"/>
              <w:rPr>
                <w:lang w:val="en-SG"/>
              </w:rPr>
            </w:pPr>
            <w:r w:rsidRPr="00741B57">
              <w:rPr>
                <w:lang w:val="en-SG"/>
              </w:rPr>
              <w:t>ICD-10: I33, I330, I339, I38</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AKI</w:t>
            </w:r>
          </w:p>
        </w:tc>
        <w:tc>
          <w:tcPr>
            <w:tcW w:w="5490" w:type="dxa"/>
          </w:tcPr>
          <w:p w:rsidR="002F3437" w:rsidRPr="00741B57" w:rsidRDefault="002F3437" w:rsidP="00004805">
            <w:pPr>
              <w:pStyle w:val="Tabletext"/>
              <w:rPr>
                <w:lang w:val="en-SG"/>
              </w:rPr>
            </w:pPr>
            <w:r w:rsidRPr="00741B57">
              <w:rPr>
                <w:lang w:val="en-SG"/>
              </w:rPr>
              <w:t>ICD-10: N17, N170, N171, N172, N178, N179, N19</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New PPI</w:t>
            </w:r>
          </w:p>
        </w:tc>
        <w:tc>
          <w:tcPr>
            <w:tcW w:w="5490" w:type="dxa"/>
          </w:tcPr>
          <w:p w:rsidR="002F3437" w:rsidRPr="00741B57" w:rsidRDefault="002F3437" w:rsidP="00004805">
            <w:pPr>
              <w:pStyle w:val="Tabletext"/>
              <w:rPr>
                <w:lang w:val="en-SG"/>
              </w:rPr>
            </w:pPr>
            <w:r w:rsidRPr="00741B57">
              <w:rPr>
                <w:lang w:val="en-SG"/>
              </w:rPr>
              <w:t>ACHI code:</w:t>
            </w:r>
            <w:r w:rsidRPr="00741B57">
              <w:t xml:space="preserve"> </w:t>
            </w:r>
            <w:r w:rsidRPr="00741B57">
              <w:rPr>
                <w:lang w:val="en-SG"/>
              </w:rPr>
              <w:t>3835300, 3835000</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TIA</w:t>
            </w:r>
          </w:p>
        </w:tc>
        <w:tc>
          <w:tcPr>
            <w:tcW w:w="5490" w:type="dxa"/>
          </w:tcPr>
          <w:p w:rsidR="002F3437" w:rsidRPr="00741B57" w:rsidRDefault="002F3437" w:rsidP="00004805">
            <w:pPr>
              <w:pStyle w:val="Tabletext"/>
              <w:rPr>
                <w:lang w:val="en-SG"/>
              </w:rPr>
            </w:pPr>
            <w:r w:rsidRPr="00741B57">
              <w:rPr>
                <w:lang w:val="en-SG"/>
              </w:rPr>
              <w:t xml:space="preserve">ICD-10: G45, G450, G451, G452, G458, G459 </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Atrial fibrillation</w:t>
            </w:r>
          </w:p>
        </w:tc>
        <w:tc>
          <w:tcPr>
            <w:tcW w:w="5490" w:type="dxa"/>
          </w:tcPr>
          <w:p w:rsidR="002F3437" w:rsidRPr="00741B57" w:rsidRDefault="002F3437" w:rsidP="00004805">
            <w:pPr>
              <w:pStyle w:val="Tabletext"/>
              <w:rPr>
                <w:lang w:val="en-SG"/>
              </w:rPr>
            </w:pPr>
            <w:r w:rsidRPr="00741B57">
              <w:rPr>
                <w:lang w:val="en-SG"/>
              </w:rPr>
              <w:t>ICD-10: I48, I480, I481, I489,</w:t>
            </w:r>
          </w:p>
        </w:tc>
      </w:tr>
      <w:tr w:rsidR="002F3437" w:rsidRPr="00741B57" w:rsidTr="00004805">
        <w:tc>
          <w:tcPr>
            <w:tcW w:w="3505" w:type="dxa"/>
          </w:tcPr>
          <w:p w:rsidR="002F3437" w:rsidRPr="00741B57" w:rsidRDefault="002F3437" w:rsidP="00004805">
            <w:pPr>
              <w:pStyle w:val="Tabletext"/>
              <w:rPr>
                <w:lang w:val="en-SG"/>
              </w:rPr>
            </w:pPr>
            <w:r w:rsidRPr="00741B57">
              <w:rPr>
                <w:lang w:val="en-SG"/>
              </w:rPr>
              <w:t xml:space="preserve">Paravalvular aortic regurgitation </w:t>
            </w:r>
          </w:p>
        </w:tc>
        <w:tc>
          <w:tcPr>
            <w:tcW w:w="5490" w:type="dxa"/>
          </w:tcPr>
          <w:p w:rsidR="002F3437" w:rsidRPr="00741B57" w:rsidRDefault="002F3437" w:rsidP="00004805">
            <w:pPr>
              <w:pStyle w:val="Tabletext"/>
              <w:rPr>
                <w:lang w:val="en-SG"/>
              </w:rPr>
            </w:pPr>
            <w:r w:rsidRPr="00741B57">
              <w:rPr>
                <w:lang w:val="en-SG"/>
              </w:rPr>
              <w:t>ICD-10: I351</w:t>
            </w:r>
          </w:p>
        </w:tc>
      </w:tr>
    </w:tbl>
    <w:p w:rsidR="002F3437" w:rsidRPr="00741B57" w:rsidRDefault="002F3437" w:rsidP="002F3437">
      <w:pPr>
        <w:pStyle w:val="tablenote"/>
      </w:pPr>
      <w:r w:rsidRPr="00741B57">
        <w:t xml:space="preserve">Abbreviations: ACHI, Australian Classification of Health Interventions; AE, adverse event; AKI, acute kidney injury; ICD, International Classification of Diseases; MI, myocardial infarction; PPI, permanent pacemaker implantation; SAVR, surgical aortic valve replacement; TAVI, </w:t>
      </w:r>
      <w:proofErr w:type="spellStart"/>
      <w:r w:rsidRPr="00741B57">
        <w:t>transcatheter</w:t>
      </w:r>
      <w:proofErr w:type="spellEnd"/>
      <w:r w:rsidRPr="00741B57">
        <w:t xml:space="preserve"> aortic valve implantation; TIA, transient ischemic attack</w:t>
      </w:r>
    </w:p>
    <w:p w:rsidR="002F3437" w:rsidRPr="00741B57" w:rsidRDefault="002F3437" w:rsidP="002F3437">
      <w:pPr>
        <w:pStyle w:val="tablenote"/>
      </w:pPr>
    </w:p>
    <w:p w:rsidR="002F3437" w:rsidRPr="00741B57" w:rsidRDefault="002F3437" w:rsidP="002F3437">
      <w:pPr>
        <w:pStyle w:val="tablenote"/>
      </w:pPr>
      <w:r w:rsidRPr="00741B57">
        <w:t xml:space="preserve">Notes: </w:t>
      </w:r>
    </w:p>
    <w:p w:rsidR="002F3437" w:rsidRPr="00741B57" w:rsidRDefault="002F3437" w:rsidP="002F3437">
      <w:pPr>
        <w:pStyle w:val="tablenote"/>
        <w:numPr>
          <w:ilvl w:val="0"/>
          <w:numId w:val="1"/>
        </w:numPr>
      </w:pPr>
      <w:r w:rsidRPr="00741B57">
        <w:t>Charges in the initial index procedure were</w:t>
      </w:r>
      <w:r w:rsidRPr="00741B57" w:rsidDel="00367AD1">
        <w:t xml:space="preserve"> </w:t>
      </w:r>
      <w:r w:rsidRPr="00741B57">
        <w:t>associated with implant, surgery facility, surgeon, surgery, anaesthetist and hospitalisation in regular ward and ICU. Costs for outpatient follow-up care comprised expenditures of electrocardiogram assessment and clinician consultation.</w:t>
      </w:r>
    </w:p>
    <w:p w:rsidR="002F3437" w:rsidRPr="00741B57" w:rsidRDefault="002F3437" w:rsidP="002F3437">
      <w:pPr>
        <w:pStyle w:val="tablenote"/>
        <w:numPr>
          <w:ilvl w:val="0"/>
          <w:numId w:val="1"/>
        </w:numPr>
      </w:pPr>
      <w:r w:rsidRPr="00741B57">
        <w:t xml:space="preserve">The </w:t>
      </w:r>
      <w:proofErr w:type="spellStart"/>
      <w:r w:rsidRPr="00741B57">
        <w:t>Casemix</w:t>
      </w:r>
      <w:proofErr w:type="spellEnd"/>
      <w:r w:rsidRPr="00741B57">
        <w:t xml:space="preserve"> and Subvention System </w:t>
      </w:r>
      <w:proofErr w:type="gramStart"/>
      <w:r w:rsidRPr="00741B57">
        <w:t>contains</w:t>
      </w:r>
      <w:proofErr w:type="gramEnd"/>
      <w:r w:rsidRPr="00741B57">
        <w:t xml:space="preserve"> inpatient, day surgery episodic data or specialist outpatient visit data from public healthcare institutions (PHIs) for subvention purpose. It contains information on patient demographics, episode or visit details including ward class (admitted/discharged), subsidy status (i.e. subsidised/private), length of stay, cost (i.e. total charge, total bill), and clinical data such as diagnosis and procedure codes.  </w:t>
      </w:r>
    </w:p>
    <w:p w:rsidR="002F3437" w:rsidRPr="00741B57" w:rsidRDefault="002F3437" w:rsidP="002F3437">
      <w:pPr>
        <w:pStyle w:val="tablenote"/>
        <w:numPr>
          <w:ilvl w:val="0"/>
          <w:numId w:val="1"/>
        </w:numPr>
      </w:pPr>
      <w:r w:rsidRPr="00741B57">
        <w:t>Only cases without any adverse events were applied in the model for the cost estimation of index procedure.</w:t>
      </w:r>
    </w:p>
    <w:p w:rsidR="002F3437" w:rsidRPr="00741B57" w:rsidRDefault="002F3437" w:rsidP="002F3437">
      <w:pPr>
        <w:pStyle w:val="tablenote"/>
        <w:numPr>
          <w:ilvl w:val="0"/>
          <w:numId w:val="1"/>
        </w:numPr>
      </w:pPr>
      <w:r w:rsidRPr="00741B57">
        <w:t>Treatment costs of adverse events were identified using corresponding codes as the primary code. For episodes of disabling or major stroke, major vascular complication, and life-threatening, disabling, or major bleeding</w:t>
      </w:r>
      <w:r w:rsidRPr="00741B57" w:rsidDel="008D3078">
        <w:t xml:space="preserve"> </w:t>
      </w:r>
      <w:r w:rsidRPr="00741B57">
        <w:t xml:space="preserve">to be included in the analyses, length of stay had to be more than seven days, seven days, and five days respectively. These filters were based on the </w:t>
      </w:r>
      <w:proofErr w:type="gramStart"/>
      <w:r w:rsidRPr="00741B57">
        <w:t>clinicians</w:t>
      </w:r>
      <w:proofErr w:type="gramEnd"/>
      <w:r w:rsidRPr="00741B57">
        <w:t xml:space="preserve"> estimates of average length of stay for the various adverse events. </w:t>
      </w:r>
    </w:p>
    <w:p w:rsidR="002F3437" w:rsidRPr="00741B57" w:rsidRDefault="002F3437" w:rsidP="002F3437">
      <w:pPr>
        <w:pStyle w:val="tablenote"/>
        <w:numPr>
          <w:ilvl w:val="0"/>
          <w:numId w:val="1"/>
        </w:numPr>
      </w:pPr>
      <w:r w:rsidRPr="00741B57">
        <w:t xml:space="preserve">Case definition for TAVI: Any inpatient episode with the following ACHI codes admitted between 2016 and 2018 in patients who are Singapore citizens or permanent residents (SC/PR) aged ≥75 to &lt;90 years with an implant charge ≥S$20K to ≤S$50K, excluding those who are transferred for admission, discharged against advice and social </w:t>
      </w:r>
      <w:proofErr w:type="spellStart"/>
      <w:r w:rsidRPr="00741B57">
        <w:t>overstayers</w:t>
      </w:r>
      <w:proofErr w:type="spellEnd"/>
      <w:r w:rsidRPr="00741B57">
        <w:t xml:space="preserve">. Additional filters for costs including </w:t>
      </w:r>
      <w:r w:rsidRPr="00741B57">
        <w:lastRenderedPageBreak/>
        <w:t>AEs included those with adverse events of interest but excluding cases with total charge &gt;S$90K (TAVI); additional filters for costs without AEs excluded those with adverse events of interest and total charge &gt;S$90K (TAVI).</w:t>
      </w:r>
    </w:p>
    <w:p w:rsidR="002F3437" w:rsidRPr="00741B57" w:rsidRDefault="002F3437" w:rsidP="002F3437">
      <w:pPr>
        <w:pStyle w:val="tablenote"/>
        <w:numPr>
          <w:ilvl w:val="0"/>
          <w:numId w:val="1"/>
        </w:numPr>
      </w:pPr>
      <w:r w:rsidRPr="00741B57">
        <w:t xml:space="preserve">Case definition for SAVR: Any inpatient episode with the following ACHI codes admitted between 2016 and 2018 in patients who are SC/PR aged ≥60 years with an implant charge ≥S$1K to ≤S$10K, excluding those who are transferred for admission, discharged against advice and social </w:t>
      </w:r>
      <w:proofErr w:type="spellStart"/>
      <w:r w:rsidRPr="00741B57">
        <w:t>overstayers</w:t>
      </w:r>
      <w:proofErr w:type="spellEnd"/>
      <w:r w:rsidRPr="00741B57">
        <w:t>. Additional filters for costs including AEs included those with adverse events of interest but excluding cases with total charge &gt;S$50K (SAVR); additional filters for costs without AEs excluded those with adverse events of interest and total charge &gt;S$50K (SAVR).</w:t>
      </w:r>
    </w:p>
    <w:p w:rsidR="002F3437" w:rsidRPr="00741B57" w:rsidRDefault="002F3437" w:rsidP="002F3437">
      <w:pPr>
        <w:pStyle w:val="tablenote"/>
      </w:pPr>
    </w:p>
    <w:p w:rsidR="00D64DF8" w:rsidRDefault="00D64DF8">
      <w:bookmarkStart w:id="0" w:name="_GoBack"/>
      <w:bookmarkEnd w:id="0"/>
    </w:p>
    <w:sectPr w:rsidR="00D64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3A14D6"/>
    <w:multiLevelType w:val="hybridMultilevel"/>
    <w:tmpl w:val="E5DCD72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437"/>
    <w:rsid w:val="000B1A9C"/>
    <w:rsid w:val="000B67F6"/>
    <w:rsid w:val="00127566"/>
    <w:rsid w:val="00130CD7"/>
    <w:rsid w:val="001352CE"/>
    <w:rsid w:val="001578C8"/>
    <w:rsid w:val="0018109C"/>
    <w:rsid w:val="0018538A"/>
    <w:rsid w:val="00200AB9"/>
    <w:rsid w:val="00236C30"/>
    <w:rsid w:val="002F3437"/>
    <w:rsid w:val="00361F73"/>
    <w:rsid w:val="003669FE"/>
    <w:rsid w:val="00391F89"/>
    <w:rsid w:val="00456E4C"/>
    <w:rsid w:val="00507702"/>
    <w:rsid w:val="00595DD2"/>
    <w:rsid w:val="005A3F9A"/>
    <w:rsid w:val="005E457E"/>
    <w:rsid w:val="006072D1"/>
    <w:rsid w:val="006331F3"/>
    <w:rsid w:val="00667E37"/>
    <w:rsid w:val="006E3880"/>
    <w:rsid w:val="006F57B4"/>
    <w:rsid w:val="00793C3C"/>
    <w:rsid w:val="007A4956"/>
    <w:rsid w:val="007B4EA6"/>
    <w:rsid w:val="007F5CA3"/>
    <w:rsid w:val="00827804"/>
    <w:rsid w:val="00880AE6"/>
    <w:rsid w:val="00895639"/>
    <w:rsid w:val="008C1169"/>
    <w:rsid w:val="008C6F2D"/>
    <w:rsid w:val="008D6A25"/>
    <w:rsid w:val="009379EA"/>
    <w:rsid w:val="00945CF4"/>
    <w:rsid w:val="009C04CD"/>
    <w:rsid w:val="00A62CED"/>
    <w:rsid w:val="00A6641A"/>
    <w:rsid w:val="00AE1BA7"/>
    <w:rsid w:val="00B108DE"/>
    <w:rsid w:val="00B32A1B"/>
    <w:rsid w:val="00B51F99"/>
    <w:rsid w:val="00B7231E"/>
    <w:rsid w:val="00B83757"/>
    <w:rsid w:val="00B921FE"/>
    <w:rsid w:val="00B97041"/>
    <w:rsid w:val="00BC4720"/>
    <w:rsid w:val="00C34517"/>
    <w:rsid w:val="00C763A0"/>
    <w:rsid w:val="00CA675E"/>
    <w:rsid w:val="00D376B6"/>
    <w:rsid w:val="00D61D1C"/>
    <w:rsid w:val="00D64DF8"/>
    <w:rsid w:val="00D66337"/>
    <w:rsid w:val="00DA1874"/>
    <w:rsid w:val="00DD2786"/>
    <w:rsid w:val="00E26819"/>
    <w:rsid w:val="00E413D4"/>
    <w:rsid w:val="00E62602"/>
    <w:rsid w:val="00E67142"/>
    <w:rsid w:val="00EA5F00"/>
    <w:rsid w:val="00EF4ED5"/>
    <w:rsid w:val="00F71407"/>
    <w:rsid w:val="00FC58F2"/>
    <w:rsid w:val="00FE2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qFormat/>
    <w:rsid w:val="002F3437"/>
    <w:pPr>
      <w:spacing w:before="20" w:after="20" w:line="240" w:lineRule="auto"/>
    </w:pPr>
    <w:rPr>
      <w:rFonts w:eastAsia="Times New Roman" w:cstheme="minorHAnsi"/>
      <w:sz w:val="20"/>
      <w:szCs w:val="20"/>
      <w:lang w:val="en-AU" w:eastAsia="en-AU"/>
    </w:rPr>
  </w:style>
  <w:style w:type="character" w:customStyle="1" w:styleId="TabletextChar">
    <w:name w:val="Table text Char"/>
    <w:link w:val="Tabletext"/>
    <w:rsid w:val="002F3437"/>
    <w:rPr>
      <w:rFonts w:eastAsia="Times New Roman" w:cstheme="minorHAnsi"/>
      <w:sz w:val="20"/>
      <w:szCs w:val="20"/>
      <w:lang w:val="en-AU" w:eastAsia="en-AU"/>
    </w:rPr>
  </w:style>
  <w:style w:type="paragraph" w:customStyle="1" w:styleId="tablenote">
    <w:name w:val="table note"/>
    <w:basedOn w:val="Normal"/>
    <w:link w:val="tablenoteChar"/>
    <w:autoRedefine/>
    <w:qFormat/>
    <w:rsid w:val="002F3437"/>
    <w:pPr>
      <w:tabs>
        <w:tab w:val="left" w:pos="567"/>
      </w:tabs>
      <w:spacing w:after="0" w:line="240" w:lineRule="auto"/>
      <w:contextualSpacing/>
      <w:jc w:val="both"/>
    </w:pPr>
    <w:rPr>
      <w:b/>
      <w:szCs w:val="28"/>
      <w:lang w:val="en-SG"/>
    </w:rPr>
  </w:style>
  <w:style w:type="character" w:customStyle="1" w:styleId="tablenoteChar">
    <w:name w:val="table note Char"/>
    <w:basedOn w:val="DefaultParagraphFont"/>
    <w:link w:val="tablenote"/>
    <w:rsid w:val="002F3437"/>
    <w:rPr>
      <w:b/>
      <w:szCs w:val="28"/>
      <w:lang w:val="en-SG"/>
    </w:rPr>
  </w:style>
  <w:style w:type="paragraph" w:styleId="Caption">
    <w:name w:val="caption"/>
    <w:basedOn w:val="Normal"/>
    <w:next w:val="Normal"/>
    <w:link w:val="CaptionChar"/>
    <w:uiPriority w:val="35"/>
    <w:unhideWhenUsed/>
    <w:qFormat/>
    <w:rsid w:val="002F3437"/>
    <w:pPr>
      <w:keepNext/>
      <w:spacing w:before="60" w:after="60" w:line="240" w:lineRule="auto"/>
      <w:jc w:val="both"/>
    </w:pPr>
    <w:rPr>
      <w:b/>
      <w:bCs/>
      <w:szCs w:val="18"/>
      <w:lang w:val="en-SG"/>
    </w:rPr>
  </w:style>
  <w:style w:type="character" w:customStyle="1" w:styleId="CaptionChar">
    <w:name w:val="Caption Char"/>
    <w:basedOn w:val="DefaultParagraphFont"/>
    <w:link w:val="Caption"/>
    <w:uiPriority w:val="35"/>
    <w:rsid w:val="002F3437"/>
    <w:rPr>
      <w:b/>
      <w:bCs/>
      <w:szCs w:val="18"/>
      <w:lang w:val="en-S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qFormat/>
    <w:rsid w:val="002F3437"/>
    <w:pPr>
      <w:spacing w:before="20" w:after="20" w:line="240" w:lineRule="auto"/>
    </w:pPr>
    <w:rPr>
      <w:rFonts w:eastAsia="Times New Roman" w:cstheme="minorHAnsi"/>
      <w:sz w:val="20"/>
      <w:szCs w:val="20"/>
      <w:lang w:val="en-AU" w:eastAsia="en-AU"/>
    </w:rPr>
  </w:style>
  <w:style w:type="character" w:customStyle="1" w:styleId="TabletextChar">
    <w:name w:val="Table text Char"/>
    <w:link w:val="Tabletext"/>
    <w:rsid w:val="002F3437"/>
    <w:rPr>
      <w:rFonts w:eastAsia="Times New Roman" w:cstheme="minorHAnsi"/>
      <w:sz w:val="20"/>
      <w:szCs w:val="20"/>
      <w:lang w:val="en-AU" w:eastAsia="en-AU"/>
    </w:rPr>
  </w:style>
  <w:style w:type="paragraph" w:customStyle="1" w:styleId="tablenote">
    <w:name w:val="table note"/>
    <w:basedOn w:val="Normal"/>
    <w:link w:val="tablenoteChar"/>
    <w:autoRedefine/>
    <w:qFormat/>
    <w:rsid w:val="002F3437"/>
    <w:pPr>
      <w:tabs>
        <w:tab w:val="left" w:pos="567"/>
      </w:tabs>
      <w:spacing w:after="0" w:line="240" w:lineRule="auto"/>
      <w:contextualSpacing/>
      <w:jc w:val="both"/>
    </w:pPr>
    <w:rPr>
      <w:b/>
      <w:szCs w:val="28"/>
      <w:lang w:val="en-SG"/>
    </w:rPr>
  </w:style>
  <w:style w:type="character" w:customStyle="1" w:styleId="tablenoteChar">
    <w:name w:val="table note Char"/>
    <w:basedOn w:val="DefaultParagraphFont"/>
    <w:link w:val="tablenote"/>
    <w:rsid w:val="002F3437"/>
    <w:rPr>
      <w:b/>
      <w:szCs w:val="28"/>
      <w:lang w:val="en-SG"/>
    </w:rPr>
  </w:style>
  <w:style w:type="paragraph" w:styleId="Caption">
    <w:name w:val="caption"/>
    <w:basedOn w:val="Normal"/>
    <w:next w:val="Normal"/>
    <w:link w:val="CaptionChar"/>
    <w:uiPriority w:val="35"/>
    <w:unhideWhenUsed/>
    <w:qFormat/>
    <w:rsid w:val="002F3437"/>
    <w:pPr>
      <w:keepNext/>
      <w:spacing w:before="60" w:after="60" w:line="240" w:lineRule="auto"/>
      <w:jc w:val="both"/>
    </w:pPr>
    <w:rPr>
      <w:b/>
      <w:bCs/>
      <w:szCs w:val="18"/>
      <w:lang w:val="en-SG"/>
    </w:rPr>
  </w:style>
  <w:style w:type="character" w:customStyle="1" w:styleId="CaptionChar">
    <w:name w:val="Caption Char"/>
    <w:basedOn w:val="DefaultParagraphFont"/>
    <w:link w:val="Caption"/>
    <w:uiPriority w:val="35"/>
    <w:rsid w:val="002F3437"/>
    <w:rPr>
      <w:b/>
      <w:bCs/>
      <w:szCs w:val="18"/>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3246</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GSABORDO</dc:creator>
  <cp:lastModifiedBy>GSABORDO</cp:lastModifiedBy>
  <cp:revision>1</cp:revision>
  <dcterms:created xsi:type="dcterms:W3CDTF">2022-08-01T00:21:00Z</dcterms:created>
  <dcterms:modified xsi:type="dcterms:W3CDTF">2022-08-01T00:23:00Z</dcterms:modified>
</cp:coreProperties>
</file>