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A39" w:rsidRPr="00741B57" w:rsidRDefault="00323A39" w:rsidP="00323A39">
      <w:pPr>
        <w:rPr>
          <w:rFonts w:cstheme="minorHAnsi"/>
          <w:b/>
          <w:bCs/>
        </w:rPr>
      </w:pPr>
      <w:r w:rsidRPr="00741B57">
        <w:rPr>
          <w:rFonts w:cstheme="minorHAnsi"/>
          <w:b/>
          <w:bCs/>
        </w:rPr>
        <w:t xml:space="preserve">Additional materials file </w:t>
      </w:r>
      <w:proofErr w:type="gramStart"/>
      <w:r w:rsidRPr="00741B57">
        <w:rPr>
          <w:rFonts w:cstheme="minorHAnsi"/>
          <w:b/>
          <w:bCs/>
        </w:rPr>
        <w:t>4</w:t>
      </w:r>
      <w:proofErr w:type="gramEnd"/>
    </w:p>
    <w:p w:rsidR="00323A39" w:rsidRPr="00741B57" w:rsidRDefault="00323A39" w:rsidP="00323A39">
      <w:pPr>
        <w:rPr>
          <w:rFonts w:cstheme="minorHAnsi"/>
          <w:b/>
          <w:bCs/>
        </w:rPr>
      </w:pPr>
      <w:r w:rsidRPr="00741B57">
        <w:rPr>
          <w:rFonts w:cstheme="minorHAnsi"/>
          <w:b/>
          <w:bCs/>
        </w:rPr>
        <w:t>Scenario analyses</w:t>
      </w:r>
    </w:p>
    <w:p w:rsidR="00323A39" w:rsidRPr="00741B57" w:rsidRDefault="00323A39" w:rsidP="00323A39">
      <w:pPr>
        <w:jc w:val="both"/>
        <w:rPr>
          <w:rFonts w:cstheme="minorHAnsi"/>
        </w:rPr>
      </w:pPr>
      <w:r w:rsidRPr="00741B57">
        <w:rPr>
          <w:rFonts w:cstheme="minorHAnsi"/>
        </w:rPr>
        <w:t>The four scenario analyses were:</w:t>
      </w:r>
    </w:p>
    <w:p w:rsidR="00323A39" w:rsidRPr="00741B57" w:rsidRDefault="00323A39" w:rsidP="00323A39">
      <w:pPr>
        <w:pStyle w:val="ListParagraph"/>
        <w:numPr>
          <w:ilvl w:val="0"/>
          <w:numId w:val="3"/>
        </w:numPr>
        <w:jc w:val="both"/>
        <w:rPr>
          <w:rFonts w:cstheme="minorHAnsi"/>
        </w:rPr>
      </w:pPr>
      <w:r w:rsidRPr="00741B57">
        <w:rPr>
          <w:rFonts w:cstheme="minorHAnsi"/>
        </w:rPr>
        <w:t>Scenario 1: Clinical outcomes using SAPIEN 3 valve (PARTNER S3i/PARTNER 2A PSM)</w:t>
      </w:r>
      <w:r w:rsidRPr="00741B57" w:rsidDel="0042616D">
        <w:rPr>
          <w:rFonts w:cstheme="minorHAnsi"/>
        </w:rPr>
        <w:t xml:space="preserve"> </w:t>
      </w:r>
    </w:p>
    <w:p w:rsidR="00323A39" w:rsidRPr="00741B57" w:rsidRDefault="00323A39" w:rsidP="00323A39">
      <w:pPr>
        <w:pStyle w:val="ListParagraph"/>
        <w:numPr>
          <w:ilvl w:val="0"/>
          <w:numId w:val="3"/>
        </w:numPr>
        <w:jc w:val="both"/>
        <w:rPr>
          <w:rFonts w:cstheme="minorHAnsi"/>
        </w:rPr>
      </w:pPr>
      <w:r w:rsidRPr="00741B57">
        <w:rPr>
          <w:rFonts w:cstheme="minorHAnsi"/>
        </w:rPr>
        <w:t xml:space="preserve">Scenario 2: Clinical outcomes using </w:t>
      </w:r>
      <w:proofErr w:type="spellStart"/>
      <w:r w:rsidRPr="00741B57">
        <w:rPr>
          <w:rFonts w:cstheme="minorHAnsi"/>
        </w:rPr>
        <w:t>CoreValve</w:t>
      </w:r>
      <w:proofErr w:type="spellEnd"/>
      <w:r w:rsidRPr="00741B57">
        <w:rPr>
          <w:rFonts w:cstheme="minorHAnsi"/>
        </w:rPr>
        <w:t>® System (SURTAVI trial)</w:t>
      </w:r>
    </w:p>
    <w:p w:rsidR="00323A39" w:rsidRPr="00741B57" w:rsidRDefault="00323A39" w:rsidP="00323A39">
      <w:pPr>
        <w:pStyle w:val="ListParagraph"/>
        <w:numPr>
          <w:ilvl w:val="0"/>
          <w:numId w:val="3"/>
        </w:numPr>
        <w:jc w:val="both"/>
        <w:rPr>
          <w:rFonts w:cstheme="minorHAnsi"/>
        </w:rPr>
      </w:pPr>
      <w:r w:rsidRPr="00741B57">
        <w:rPr>
          <w:rFonts w:cstheme="minorHAnsi"/>
        </w:rPr>
        <w:t>Scenario 3: Lifetime horizon of 20 years applied on base case setting</w:t>
      </w:r>
    </w:p>
    <w:p w:rsidR="00323A39" w:rsidRPr="00741B57" w:rsidRDefault="00323A39" w:rsidP="00323A39">
      <w:pPr>
        <w:pStyle w:val="ListParagraph"/>
        <w:numPr>
          <w:ilvl w:val="0"/>
          <w:numId w:val="3"/>
        </w:numPr>
        <w:jc w:val="both"/>
        <w:rPr>
          <w:rFonts w:cstheme="minorHAnsi"/>
        </w:rPr>
      </w:pPr>
      <w:r w:rsidRPr="00741B57">
        <w:rPr>
          <w:rFonts w:cstheme="minorHAnsi"/>
        </w:rPr>
        <w:t xml:space="preserve">Scenario 4: Incorporating </w:t>
      </w:r>
      <w:proofErr w:type="spellStart"/>
      <w:r w:rsidRPr="00741B57">
        <w:rPr>
          <w:rFonts w:cstheme="minorHAnsi"/>
        </w:rPr>
        <w:t>disutilities</w:t>
      </w:r>
      <w:proofErr w:type="spellEnd"/>
      <w:r w:rsidRPr="00741B57">
        <w:rPr>
          <w:rFonts w:cstheme="minorHAnsi"/>
        </w:rPr>
        <w:t xml:space="preserve"> associated with </w:t>
      </w:r>
      <w:r w:rsidRPr="00741B57">
        <w:t>AEs in base case</w:t>
      </w:r>
    </w:p>
    <w:p w:rsidR="00323A39" w:rsidRPr="00741B57" w:rsidRDefault="00323A39" w:rsidP="00323A39">
      <w:pPr>
        <w:jc w:val="both"/>
      </w:pPr>
      <w:r w:rsidRPr="00741B57">
        <w:rPr>
          <w:rFonts w:cstheme="minorHAnsi"/>
        </w:rPr>
        <w:t xml:space="preserve">In scenario 1, clinical inputs were derived from the 1-year PARTNER S3i PSM study (Table S4-1) and </w:t>
      </w:r>
      <w:proofErr w:type="spellStart"/>
      <w:r w:rsidRPr="00741B57">
        <w:rPr>
          <w:rFonts w:cstheme="minorHAnsi"/>
        </w:rPr>
        <w:t>modelled</w:t>
      </w:r>
      <w:proofErr w:type="spellEnd"/>
      <w:r w:rsidRPr="00741B57">
        <w:rPr>
          <w:rFonts w:cstheme="minorHAnsi"/>
        </w:rPr>
        <w:t xml:space="preserve"> over a five-year time horizon. Patients in the TAVI group received the newer SAPIEN 3 valve. Monthly risks in the second year were derived by linearly projecting Month-2 and Month-12 outcomes with constant hazard rate. Beyond two years, patients in both TAVI and SAVR were assumed to follow the second-year projected probability in the SAVR arm. Table S4-2 part A shows the EQ-5D utilities from PARTNER S3i PSM </w:t>
      </w:r>
      <w:r w:rsidRPr="00741B57">
        <w:fldChar w:fldCharType="begin" w:fldLock="1"/>
      </w:r>
      <w:r w:rsidRPr="00741B57">
        <w:instrText>ADDIN CSL_CITATION {"citationItems":[{"id":"ITEM-1","itemData":{"DOI":"https://doi.org/10.1016/j.jcin.2018.02.032","ISSN":"1876-7605","abstract":"Objectives: The aim of this study was to evaluate whether transcatheter aortic valve replacement (TAVR) with the SAPIEN 3 valve (S3-TAVR) results in improved quality of life (QoL) compared with previous-generation TAVR devices or surgical aortic valve replacement (SAVR). Background: In patients with severe aortic stenosis at intermediate surgical risk, TAVR using the SAPIEN XT valve (XT-TAVR) results in similar QoL compared with SAVR. Compared with SAPIEN XT, the SAPIEN 3 valve offers a lower delivery profile and modifications to reduce paravalvular regurgitation. Methods: Between February and December 2014, 1,078 patients at intermediate surgical risk with severe aortic stenosis were treated with S3-TAVR in the PARTNER S3i (Placement of Aortic Transcatheter Valve) trial. QoL was assessed at baseline, 1 month, and 1 year using the Kansas City Cardiomyopathy Questionnaire, Medical Outcomes Study Short Form-36, and EQ-5D. QoL outcomes of S3-TAVR patients were compared with those in the SAVR and XT-TAVR arms of the PARTNER 2A trial using propensity score stratification to adjust for differences between the treatment groups. Results: Over 1 year, S3-TAVR was associated with substantial improvements in QoL compared with baseline. At 1 month, S3-TAVR was associated with better QoL than either SAVR or XT-TAVR (adjusted differences in Kansas City Cardiomyopathy Questionnaire overall summary score 15.6 and 3.7 points, respectively; p &lt; 0.001). At 1 year, the differences in QoL between S3-TAVR and both SAVR and XT-TAVR were reduced but remained statistically significant (adjusted differences 2.0 and 2.2 points, respectively; p &lt; 0.05). Similar results were seen for generic QoL outcomes. Conclusions: Among patients at intermediate surgical risk with severe aortic stenosis, S3-TAVR resulted in improved QoL at both 1 month and 1 year compared with both XT-TAVR and SAVR.","author":[{"dropping-particle":"","family":"Baron","given":"S.J.","non-dropping-particle":"","parse-names":false,"suffix":""},{"dropping-particle":"","family":"Thourani","given":"V.H.","non-dropping-particle":"","parse-names":false,"suffix":""},{"dropping-particle":"","family":"Kodali","given":"S.","non-dropping-particle":"","parse-names":false,"suffix":""},{"dropping-particle":"","family":"Arnold","given":"S.V.","non-dropping-particle":"","parse-names":false,"suffix":""},{"dropping-particle":"","family":"Wang","given":"K.","non-dropping-particle":"","parse-names":false,"suffix":""},{"dropping-particle":"","family":"E.A.","given":"Magnuson","non-dropping-particle":"","parse-names":false,"suffix":""},{"dropping-particle":"","family":"A.D.","given":"Pichard","non-dropping-particle":"","parse-names":false,"suffix":""},{"dropping-particle":"","family":"V.","given":"Babaliaros","non-dropping-particle":"","parse-names":false,"suffix":""},{"dropping-particle":"","family":"I.","given":"George","non-dropping-particle":"","parse-names":false,"suffix":""},{"dropping-particle":"","family":"D.C.","given":"Miller","non-dropping-particle":"","parse-names":false,"suffix":""},{"dropping-particle":"","family":"E.M.","given":"Tuzcu","non-dropping-particle":"","parse-names":false,"suffix":""},{"dropping-particle":"","family":"K.","given":"Greason","non-dropping-particle":"","parse-names":false,"suffix":""},{"dropping-particle":"","family":"H.C.","given":"Herrmann","non-dropping-particle":"","parse-names":false,"suffix":""},{"dropping-particle":"","family":"C.R.","given":"Smith","non-dropping-particle":"","parse-names":false,"suffix":""},{"dropping-particle":"","family":"M.B.","given":"Leon","non-dropping-particle":"","parse-names":false,"suffix":""},{"dropping-particle":"","family":"D.J.","given":"Cohen","non-dropping-particle":"","parse-names":false,"suffix":""}],"container-title":"JACC: Cardiovascular Interventions","id":"ITEM-1","issue":"12","issued":{"date-parts":[["2018"]]},"language":"English","page":"1188-1198","publisher-place":"S.J. Baron, Saint Luke's Mid America Heart Institute, University of Missouri–Kansas City School of Medicine, 20 NE Saint Luke's Boulevard, Suite 240, Lees Summit, Missouri, United States","title":"Effect of SAPIEN 3 Transcatheter Valve Implantation on Health Status in Patients With Severe Aortic Stenosis at Intermediate Surgical Risk: Results From the PARTNER S3i Trial","type":"article-journal","volume":"11"},"uris":["http://www.mendeley.com/documents/?uuid=88990438-d458-4d50-94aa-bc02a0975797"]}],"mendeley":{"formattedCitation":"[43]","plainTextFormattedCitation":"[43]","previouslyFormattedCitation":"[43]"},"properties":{"noteIndex":0},"schema":"https://github.com/citation-style-language/schema/raw/master/csl-citation.json"}</w:instrText>
      </w:r>
      <w:r w:rsidRPr="00741B57">
        <w:fldChar w:fldCharType="separate"/>
      </w:r>
      <w:r w:rsidRPr="00741B57">
        <w:rPr>
          <w:noProof/>
        </w:rPr>
        <w:t>[50]</w:t>
      </w:r>
      <w:r w:rsidRPr="00741B57">
        <w:fldChar w:fldCharType="end"/>
      </w:r>
      <w:r w:rsidRPr="00741B57">
        <w:t>.</w:t>
      </w:r>
    </w:p>
    <w:p w:rsidR="00323A39" w:rsidRPr="00741B57" w:rsidRDefault="00323A39" w:rsidP="00323A39">
      <w:pPr>
        <w:spacing w:after="0"/>
        <w:jc w:val="both"/>
        <w:rPr>
          <w:rFonts w:cstheme="minorHAnsi"/>
        </w:rPr>
      </w:pPr>
      <w:r w:rsidRPr="00741B57">
        <w:rPr>
          <w:rFonts w:cstheme="minorHAnsi"/>
        </w:rPr>
        <w:t>In scenario 2, clinical inputs were derived from SURTAVI trial and health state utilities from PARTNER 2A (pooled TAVI (</w:t>
      </w:r>
      <w:proofErr w:type="spellStart"/>
      <w:r w:rsidRPr="00741B57">
        <w:rPr>
          <w:rFonts w:cstheme="minorHAnsi"/>
        </w:rPr>
        <w:t>transfemoral</w:t>
      </w:r>
      <w:proofErr w:type="spellEnd"/>
      <w:r w:rsidRPr="00741B57">
        <w:rPr>
          <w:rFonts w:cstheme="minorHAnsi"/>
        </w:rPr>
        <w:t xml:space="preserve"> + transthoracic)) were used (see Table S4-2 and Table S4-3 Part C). Utility decrements are the same as Scenario 4 (Table S4-3 Part B).</w:t>
      </w:r>
    </w:p>
    <w:p w:rsidR="00323A39" w:rsidRPr="00741B57" w:rsidRDefault="00323A39" w:rsidP="00323A39">
      <w:pPr>
        <w:spacing w:before="240" w:after="0"/>
        <w:jc w:val="both"/>
        <w:rPr>
          <w:rFonts w:cstheme="minorHAnsi"/>
        </w:rPr>
      </w:pPr>
      <w:r w:rsidRPr="00741B57">
        <w:rPr>
          <w:rFonts w:cstheme="minorHAnsi"/>
        </w:rPr>
        <w:t xml:space="preserve">For scenario 3, a lifetime horizon of 20 years was applied on base case setting (PARTNER 2A inputs). The following assumptions were used: </w:t>
      </w:r>
    </w:p>
    <w:p w:rsidR="00323A39" w:rsidRPr="00741B57" w:rsidRDefault="00323A39" w:rsidP="00323A39">
      <w:pPr>
        <w:pStyle w:val="ListParagraph"/>
        <w:numPr>
          <w:ilvl w:val="0"/>
          <w:numId w:val="2"/>
        </w:numPr>
        <w:spacing w:after="0"/>
        <w:jc w:val="both"/>
        <w:rPr>
          <w:rFonts w:cstheme="minorHAnsi"/>
        </w:rPr>
      </w:pPr>
      <w:r w:rsidRPr="00741B57">
        <w:rPr>
          <w:rFonts w:cstheme="minorHAnsi"/>
        </w:rPr>
        <w:t>No valve re-intervention was required beyond five years;</w:t>
      </w:r>
    </w:p>
    <w:p w:rsidR="00323A39" w:rsidRPr="00741B57" w:rsidRDefault="00323A39" w:rsidP="00323A39">
      <w:pPr>
        <w:pStyle w:val="ListParagraph"/>
        <w:numPr>
          <w:ilvl w:val="0"/>
          <w:numId w:val="2"/>
        </w:numPr>
        <w:spacing w:after="0"/>
        <w:jc w:val="both"/>
        <w:rPr>
          <w:rFonts w:cstheme="minorHAnsi"/>
        </w:rPr>
      </w:pPr>
      <w:r w:rsidRPr="00741B57">
        <w:rPr>
          <w:rFonts w:cstheme="minorHAnsi"/>
        </w:rPr>
        <w:t>Risks were projected based on either:</w:t>
      </w:r>
    </w:p>
    <w:p w:rsidR="00323A39" w:rsidRPr="00741B57" w:rsidRDefault="00323A39" w:rsidP="00323A39">
      <w:pPr>
        <w:pStyle w:val="ListParagraph"/>
        <w:numPr>
          <w:ilvl w:val="1"/>
          <w:numId w:val="2"/>
        </w:numPr>
        <w:spacing w:after="0"/>
        <w:jc w:val="both"/>
        <w:rPr>
          <w:rFonts w:cstheme="minorHAnsi"/>
        </w:rPr>
      </w:pPr>
      <w:r w:rsidRPr="00741B57">
        <w:rPr>
          <w:rFonts w:cstheme="minorHAnsi"/>
        </w:rPr>
        <w:t xml:space="preserve">Last observed (five-year) data in each arm; or  </w:t>
      </w:r>
    </w:p>
    <w:p w:rsidR="00323A39" w:rsidRPr="00741B57" w:rsidRDefault="00323A39" w:rsidP="00323A39">
      <w:pPr>
        <w:pStyle w:val="ListParagraph"/>
        <w:numPr>
          <w:ilvl w:val="1"/>
          <w:numId w:val="2"/>
        </w:numPr>
        <w:spacing w:after="0"/>
        <w:jc w:val="both"/>
        <w:rPr>
          <w:rFonts w:cstheme="minorHAnsi"/>
        </w:rPr>
      </w:pPr>
      <w:r w:rsidRPr="00741B57">
        <w:rPr>
          <w:rFonts w:cstheme="minorHAnsi"/>
        </w:rPr>
        <w:t>Patients in both arms follow the probabilities projected linearly based on fifth-year probability in SAVR arm.</w:t>
      </w:r>
    </w:p>
    <w:p w:rsidR="00323A39" w:rsidRPr="00741B57" w:rsidRDefault="00323A39" w:rsidP="00323A39">
      <w:pPr>
        <w:pStyle w:val="ListParagraph"/>
        <w:spacing w:after="0"/>
        <w:ind w:left="1080"/>
        <w:jc w:val="both"/>
        <w:rPr>
          <w:rFonts w:cstheme="minorHAnsi"/>
        </w:rPr>
      </w:pPr>
    </w:p>
    <w:p w:rsidR="00323A39" w:rsidRPr="00741B57" w:rsidRDefault="00323A39" w:rsidP="00323A39">
      <w:pPr>
        <w:jc w:val="both"/>
      </w:pPr>
      <w:r w:rsidRPr="00741B57">
        <w:t xml:space="preserve">Finally, scenario 4 evaluated the impact of AE </w:t>
      </w:r>
      <w:proofErr w:type="spellStart"/>
      <w:r w:rsidRPr="00741B57">
        <w:t>disutilities</w:t>
      </w:r>
      <w:proofErr w:type="spellEnd"/>
      <w:r w:rsidRPr="00741B57">
        <w:t xml:space="preserve"> on the cost-effectiveness of TAVI using PARTNER 2A inputs (base case). It was assumed that disabling or major stroke would incur long-term impact on utility applied in the “stroke” health state. </w:t>
      </w:r>
      <w:r w:rsidRPr="00741B57">
        <w:rPr>
          <w:rFonts w:cstheme="minorHAnsi"/>
        </w:rPr>
        <w:t xml:space="preserve">In </w:t>
      </w:r>
      <w:r w:rsidRPr="00741B57">
        <w:t>contrast, the occurrence of other AEs would contribute to a one-time utility decrement only. Utility decrements associated with AEs (</w:t>
      </w:r>
      <w:r w:rsidRPr="00741B57">
        <w:rPr>
          <w:rFonts w:cstheme="minorHAnsi"/>
        </w:rPr>
        <w:t>Table S4-3 part B</w:t>
      </w:r>
      <w:r w:rsidRPr="00741B57">
        <w:t xml:space="preserve">) were mainly obtained from </w:t>
      </w:r>
      <w:proofErr w:type="spellStart"/>
      <w:r w:rsidRPr="00741B57">
        <w:t>Kaier</w:t>
      </w:r>
      <w:proofErr w:type="spellEnd"/>
      <w:r w:rsidRPr="00741B57">
        <w:t xml:space="preserve"> et al. (2016) </w:t>
      </w:r>
      <w:r w:rsidRPr="00741B57">
        <w:fldChar w:fldCharType="begin" w:fldLock="1"/>
      </w:r>
      <w:r w:rsidRPr="00741B57">
        <w:instrText>ADDIN CSL_CITATION {"citationItems":[{"id":"ITEM-1","itemData":{"DOI":"10.1186/s12955-016-0512-9","ISSN":"1477-7525 (Electronic)","PMID":"27456092","abstract":"BACKGROUND: Quality of life (QoL) measurements reported in observational studies are  often biased, since patients who failed to improve are more likely to be unable to respond due to death or impairment. In order to observe the development of QoL in patients close to death, we analyzed a set of monthly QoL measurements for a cohort of elderly patients treated for aortic valve stenosis (AS) with special consideration of the effect of distance to death. METHODS: QoL in 169 elderly patients (age </w:instrText>
      </w:r>
      <w:r w:rsidRPr="00741B57">
        <w:rPr>
          <w:rFonts w:hint="eastAsia"/>
        </w:rPr>
        <w:instrText>≥</w:instrText>
      </w:r>
      <w:r w:rsidRPr="00741B57">
        <w:instrText> 75 years), treated either with transcatheter aortic valve replacement (TAVR; n = 92), surgical aortic-valve replacement (n = 70), or drug-based therapy (n = 7), was evaluated using the standardized EQ-5D questionnaire. Over a two-year period, patients were consulted using monthly telephone interviews or outpatient visits, leading to a total of 2463 time points at which QoL values, New York Heart Association (NYHA) Functional Classification and their status of assistance were assessed. Furthermore, post-procedural clinical events and complications were monitored. Linear and ordered logistic regression analyses with random intercept were carried out, taking into account overall trends and distance to death. RESULTS: QoL measures decreased slightly over time, were temporarily impaired at month 1 after the initial episode of hospitalization and decreased substantially at the end of life with a measurable effect starting at the sixth from last follow-up (month) before death. Many clinical complications (bleeding complications, stroke, acute kidney injury) showed an impairment of QoL measurements, but the inclusion of lagged variables demonstrated medium term (three months) QoL impairments for access site bleeding only. All other complications are associated with event-related impairments that decreased dramatically at the second and third follow-up interviews (month) after event. CONCLUSIONS: Distance to death shows clear effects on QoL and should be taken into account when analyzing QoL measures in the elderly patients treated for aortic valve stenosis. TRIAL REGISTRATION: German Clinical Trial Register Nr. DRKS00000797.","author":[{"dropping-particle":"","family":"Kaier","given":"Klaus","non-dropping-particle":"","parse-names":false,"suffix":""},{"dropping-particle":"","family":"Gutmann","given":"Anja","non-dropping-particle":"","parse-names":false,"suffix":""},{"dropping-particle":"","family":"Baumbach","given":"Hardy","non-dropping-particle":"","parse-names":false,"suffix":""},{"dropping-particle":"","family":"Zur Mühlen","given":"Constantin","non-dropping-particle":"von","parse-names":false,"suffix":""},{"dropping-particle":"","family":"Hehn","given":"Philip","non-dropping-particle":"","parse-names":false,"suffix":""},{"dropping-particle":"","family":"Vach","given":"Werner","non-dropping-particle":"","parse-names":false,"suffix":""},{"dropping-particle":"","family":"Beyersdorf","given":"Friedhelm","non-dropping-particle":"","parse-names":false,"suffix":""},{"dropping-particle":"","family":"Zehender","given":"Manfred","non-dropping-particle":"","parse-names":false,"suffix":""},{"dropping-particle":"","family":"Bode","given":"Christoph","non-dropping-particle":"","parse-names":false,"suffix":""},{"dropping-particle":"","family":"Reinöhl","given":"Jochen","non-dropping-particle":"","parse-names":false,"suffix":""}],"container-title":"Health and quality of life outcomes","id":"ITEM-1","issue":"1","issued":{"date-parts":[["2016","7"]]},"language":"eng","page":"109","title":"Quality of life among elderly patients undergoing transcatheter or surgical aortic  valve replacement- a model-based longitudinal data analysis.","type":"article-journal","volume":"14"},"uris":["http://www.mendeley.com/documents/?uuid=86437aa6-9cfd-4f76-b4f5-958e3aba137f"]}],"mendeley":{"formattedCitation":"[44]","plainTextFormattedCitation":"[44]","previouslyFormattedCitation":"[44]"},"properties":{"noteIndex":0},"schema":"https://github.com/citation-style-language/schema/raw/master/csl-citation.json"}</w:instrText>
      </w:r>
      <w:r w:rsidRPr="00741B57">
        <w:fldChar w:fldCharType="separate"/>
      </w:r>
      <w:r w:rsidRPr="00741B57">
        <w:rPr>
          <w:noProof/>
        </w:rPr>
        <w:t>[51]</w:t>
      </w:r>
      <w:r w:rsidRPr="00741B57">
        <w:fldChar w:fldCharType="end"/>
      </w:r>
      <w:r w:rsidRPr="00741B57">
        <w:t xml:space="preserve"> which </w:t>
      </w:r>
      <w:proofErr w:type="spellStart"/>
      <w:r w:rsidRPr="00741B57">
        <w:t>analysed</w:t>
      </w:r>
      <w:proofErr w:type="spellEnd"/>
      <w:r w:rsidRPr="00741B57">
        <w:t xml:space="preserve"> the impact of clinical complications on </w:t>
      </w:r>
      <w:proofErr w:type="spellStart"/>
      <w:r w:rsidRPr="00741B57">
        <w:t>QoL</w:t>
      </w:r>
      <w:proofErr w:type="spellEnd"/>
      <w:r w:rsidRPr="00741B57">
        <w:t xml:space="preserve"> in high surgical risk patients aged above 75 years who received TAVI or SAVR using EQ-5D questionnaire. When utility decrement for an adverse event was not available from </w:t>
      </w:r>
      <w:proofErr w:type="spellStart"/>
      <w:r w:rsidRPr="00741B57">
        <w:t>Kaier</w:t>
      </w:r>
      <w:proofErr w:type="spellEnd"/>
      <w:r w:rsidRPr="00741B57">
        <w:t xml:space="preserve"> et al (2016) </w:t>
      </w:r>
      <w:r w:rsidRPr="00741B57">
        <w:fldChar w:fldCharType="begin" w:fldLock="1"/>
      </w:r>
      <w:r w:rsidRPr="00741B57">
        <w:instrText>ADDIN CSL_CITATION {"citationItems":[{"id":"ITEM-1","itemData":{"DOI":"10.1186/s12955-016-0512-9","ISSN":"1477-7525 (Electronic)","PMID":"27456092","abstract":"BACKGROUND: Quality of life (QoL) measurements reported in observational studies are  often biased, since patients who failed to improve are more likely to be unable to respond due to death or impairment. In order to observe the development of QoL in patients close to death, we analyzed a set of monthly QoL measurements for a cohort of elderly patients treated for aortic valve stenosis (AS) with special consideration of the effect of distance to death. METHODS: QoL in 169 elderly patients (age </w:instrText>
      </w:r>
      <w:r w:rsidRPr="00741B57">
        <w:rPr>
          <w:rFonts w:hint="eastAsia"/>
        </w:rPr>
        <w:instrText>≥</w:instrText>
      </w:r>
      <w:r w:rsidRPr="00741B57">
        <w:instrText> 75 years), treated either with transcatheter aortic valve replacement (TAVR; n = 92), surgical aortic-valve replacement (n = 70), or drug-based therapy (n = 7), was evaluated using the standardized EQ-5D questionnaire. Over a two-year period, patients were consulted using monthly telephone interviews or outpatient visits, leading to a total of 2463 time points at which QoL values, New York Heart Association (NYHA) Functional Classification and their status of assistance were assessed. Furthermore, post-procedural clinical events and complications were monitored. Linear and ordered logistic regression analyses with random intercept were carried out, taking into account overall trends and distance to death. RESULTS: QoL measures decreased slightly over time, were temporarily impaired at month 1 after the initial episode of hospitalization and decreased substantially at the end of life with a measurable effect starting at the sixth from last follow-up (month) before death. Many clinical complications (bleeding complications, stroke, acute kidney injury) showed an impairment of QoL measurements, but the inclusion of lagged variables demonstrated medium term (three months) QoL impairments for access site bleeding only. All other complications are associated with event-related impairments that decreased dramatically at the second and third follow-up interviews (month) after event. CONCLUSIONS: Distance to death shows clear effects on QoL and should be taken into account when analyzing QoL measures in the elderly patients treated for aortic valve stenosis. TRIAL REGISTRATION: German Clinical Trial Register Nr. DRKS00000797.","author":[{"dropping-particle":"","family":"Kaier","given":"Klaus","non-dropping-particle":"","parse-names":false,"suffix":""},{"dropping-particle":"","family":"Gutmann","given":"Anja","non-dropping-particle":"","parse-names":false,"suffix":""},{"dropping-particle":"","family":"Baumbach","given":"Hardy","non-dropping-particle":"","parse-names":false,"suffix":""},{"dropping-particle":"","family":"Zur Mühlen","given":"Constantin","non-dropping-particle":"von","parse-names":false,"suffix":""},{"dropping-particle":"","family":"Hehn","given":"Philip","non-dropping-particle":"","parse-names":false,"suffix":""},{"dropping-particle":"","family":"Vach","given":"Werner","non-dropping-particle":"","parse-names":false,"suffix":""},{"dropping-particle":"","family":"Beyersdorf","given":"Friedhelm","non-dropping-particle":"","parse-names":false,"suffix":""},{"dropping-particle":"","family":"Zehender","given":"Manfred","non-dropping-particle":"","parse-names":false,"suffix":""},{"dropping-particle":"","family":"Bode","given":"Christoph","non-dropping-particle":"","parse-names":false,"suffix":""},{"dropping-particle":"","family":"Reinöhl","given":"Jochen","non-dropping-particle":"","parse-names":false,"suffix":""}],"container-title":"Health and quality of life outcomes","id":"ITEM-1","issue":"1","issued":{"date-parts":[["2016","7"]]},"language":"eng","page":"109","title":"Quality of life among elderly patients undergoing transcatheter or surgical aortic  valve replacement- a model-based longitudinal data analysis.","type":"article-journal","volume":"14"},"uris":["http://www.mendeley.com/documents/?uuid=86437aa6-9cfd-4f76-b4f5-958e3aba137f"]}],"mendeley":{"formattedCitation":"[44]","plainTextFormattedCitation":"[44]","previouslyFormattedCitation":"[44]"},"properties":{"noteIndex":0},"schema":"https://github.com/citation-style-language/schema/raw/master/csl-citation.json"}</w:instrText>
      </w:r>
      <w:r w:rsidRPr="00741B57">
        <w:fldChar w:fldCharType="separate"/>
      </w:r>
      <w:r w:rsidRPr="00741B57">
        <w:rPr>
          <w:noProof/>
        </w:rPr>
        <w:t>[51]</w:t>
      </w:r>
      <w:r w:rsidRPr="00741B57">
        <w:fldChar w:fldCharType="end"/>
      </w:r>
      <w:r w:rsidRPr="00741B57">
        <w:t xml:space="preserve">, decrement values from another </w:t>
      </w:r>
      <w:proofErr w:type="spellStart"/>
      <w:r w:rsidRPr="00741B57">
        <w:t>QoL</w:t>
      </w:r>
      <w:proofErr w:type="spellEnd"/>
      <w:r w:rsidRPr="00741B57">
        <w:t xml:space="preserve"> study using a Germany TAVI registry </w:t>
      </w:r>
      <w:r w:rsidRPr="00741B57">
        <w:fldChar w:fldCharType="begin" w:fldLock="1"/>
      </w:r>
      <w:r w:rsidRPr="00741B57">
        <w:instrText>ADDIN CSL_CITATION {"citationItems":[{"id":"ITEM-1","itemData":{"DOI":"10.1016/j.jcin.2016.09.050","ISSN":"1876-7605 (Electronic)","PMID":"28007203","abstract":"OBJECTIVES: This study sought to analyze health-related quality-of-life (HrQoL)  outcomes of patients undergoing transcatheter aortic valve replacement (TAVR) based on data from GARY (German Aortic Valve Registry). BACKGROUND: Typically, patients currently referred for and treated by TAVR are elderly with a concomitant variable spectrum of multiple comorbidities, disabilities, and limited life expectancy. Beyond mortality and morbidity, the assessment of HrQoL is of paramount importance not only to guide patient-centered clinical decision-making but also to judge this new treatment modality in this high-risk patient population. METHODS: In 2011, 3,875 patients undergoing TAVR were included in the GARY registry. HrQoL was prospectively measured using the EuroQol 5 dimensions questionnaire self-complete version on paper at baseline and 1 year. RESULTS: Complete follow-up EuroQol 5 dimensions questionnaire evaluation was available for 2,288 patients (transvascular transcatheter aortic valve replacement [TAVR-TV]: n = 1,626 and transapical TAVR [TAVR-TA]: n = 662). In-hospital mortality was 5.9% (n = 229) and the 1-year mortality was 23% (n = 893). The baseline visual analog scale score for general health status was 52.6% for TAVR-TV and 55.8% for TAVR-TA and, in parallel to an improvement in New York Heart Association functional class, improved to 59.6% and 58.5% at 1 year, respectively (p &lt; 0.001). Between baseline and 1 year, the number of patients reporting no complaints increased by 7.8% (TAVR-TV) and by 3.5% within the mobility dimension, and by 14.1% (TAVR-TV) and 9.2% within the usual activity dimension, whereas only moderate changes were found for the self-care, pain or discomfort, and anxiety or depression dimensions. In a multiple linear regression analysis several pre- and post-operative factors were predictive for less pronounced HrQoL benefits. CONCLUSIONS: TAVR treatment led to improvements in HrQoL, especially in terms of mobility and usual activities. The magnitude of improvements was higher in the TAVR-TV group as compared to the TAVR-TA group. However, there was a sizable group of patients who did not derive any HrQoL benefits. Several independent pre- and post-operative factors were identified being predictive for less pronounced HrQoL benefits.","author":[{"dropping-particle":"","family":"Lange","given":"Rüdiger","non-dropping-particle":"","parse-names":false,"suffix":""},{"dropping-particle":"","family":"Beckmann","given":"Andreas","non-dropping-particle":"","parse-names":false,"suffix":""},{"dropping-particle":"","family":"Neumann","given":"Till","non-dropping-particle":"","parse-names":false,"suffix":""},{"dropping-particle":"","family":"Krane","given":"Markus","non-dropping-particle":"","parse-names":false,"suffix":""},{"dropping-particle":"","family":"Deutsch","given":"Marcus-André","non-dropping-particle":"","parse-names":false,"suffix":""},{"dropping-particle":"","family":"Landwehr","given":"Sandra","non-dropping-particle":"","parse-names":false,"suffix":""},{"dropping-particle":"","family":"Kötting","given":"Joachim","non-dropping-particle":"","parse-names":false,"suffix":""},{"dropping-particle":"","family":"Welz","given":"Armin","non-dropping-particle":"","parse-names":false,"suffix":""},{"dropping-particle":"","family":"Zahn","given":"Ralf","non-dropping-particle":"","parse-names":false,"suffix":""},{"dropping-particle":"","family":"Cremer","given":"Jochen","non-dropping-particle":"","parse-names":false,"suffix":""},{"dropping-particle":"","family":"Figulla","given":"Hans R","non-dropping-particle":"","parse-names":false,"suffix":""},{"dropping-particle":"","family":"Schuler","given":"Gerhard","non-dropping-particle":"","parse-names":false,"suffix":""},{"dropping-particle":"","family":"Holzhey","given":"David M","non-dropping-particle":"","parse-names":false,"suffix":""},{"dropping-particle":"","family":"Funkat","given":"Anne-Kathrin","non-dropping-particle":"","parse-names":false,"suffix":""},{"dropping-particle":"","family":"Heusch","given":"Gerd","non-dropping-particle":"","parse-names":false,"suffix":""},{"dropping-particle":"","family":"Sack","given":"Stefan","non-dropping-particle":"","parse-names":false,"suffix":""},{"dropping-particle":"","family":"Pasic","given":"Miralem","non-dropping-particle":"","parse-names":false,"suffix":""},{"dropping-particle":"","family":"Meinertz","given":"Thomas","non-dropping-particle":"","parse-names":false,"suffix":""},{"dropping-particle":"","family":"Walther","given":"Thomas","non-dropping-particle":"","parse-names":false,"suffix":""},{"dropping-particle":"","family":"Kuck","given":"Karl-Heinz","non-dropping-particle":"","parse-names":false,"suffix":""},{"dropping-particle":"","family":"Beyersdorf","given":"Friedhelm","non-dropping-particle":"","parse-names":false,"suffix":""},{"dropping-particle":"","family":"Böhm","given":"Michael","non-dropping-particle":"","parse-names":false,"suffix":""},{"dropping-particle":"","family":"Möllmann","given":"Helge","non-dropping-particle":"","parse-names":false,"suffix":""},{"dropping-particle":"","family":"Hamm","given":"Christian W","non-dropping-particle":"","parse-names":false,"suffix":""},{"dropping-particle":"","family":"Mohr","given":"Friedrich W","non-dropping-particle":"","parse-names":false,"suffix":""}],"container-title":"JACC. Cardiovascular interventions","id":"ITEM-1","issue":"24","issued":{"date-parts":[["2016","12"]]},"language":"eng","page":"2541-2554","publisher-place":"United States","title":"Quality of Life After Transcatheter Aortic Valve Replacement: Prospective Data From  GARY (German Aortic Valve Registry).","type":"article-journal","volume":"9"},"uris":["http://www.mendeley.com/documents/?uuid=e3dc0252-66e9-47f2-b20d-342faf42a88d"]}],"mendeley":{"formattedCitation":"[45]","plainTextFormattedCitation":"[45]","previouslyFormattedCitation":"[45]"},"properties":{"noteIndex":0},"schema":"https://github.com/citation-style-language/schema/raw/master/csl-citation.json"}</w:instrText>
      </w:r>
      <w:r w:rsidRPr="00741B57">
        <w:fldChar w:fldCharType="separate"/>
      </w:r>
      <w:r w:rsidRPr="00741B57">
        <w:rPr>
          <w:noProof/>
        </w:rPr>
        <w:t>[52]</w:t>
      </w:r>
      <w:r w:rsidRPr="00741B57">
        <w:fldChar w:fldCharType="end"/>
      </w:r>
      <w:r w:rsidRPr="00741B57">
        <w:t xml:space="preserve"> and other published cost-effectiveness analyses studies on TAVI were used </w:t>
      </w:r>
      <w:r w:rsidRPr="00741B57">
        <w:fldChar w:fldCharType="begin" w:fldLock="1"/>
      </w:r>
      <w:r w:rsidRPr="00741B57">
        <w:instrText>ADDIN CSL_CITATION {"citationItems":[{"id":"ITEM-1","itemData":{"DOI":"10.2147/CEOR.S208107","ISSN":"1178-6981 (Print)","PMID":"31551658","abstract":"Background and objectives: The treatment of severe aortic stenosis requires  replacement of the defective native valve. Traditionally, this has been done via surgery, but in the last 10 years, transcatheter techniques have emerged. Transcatheter aortic valve implantation (TAVI) is a less invasive option compared to surgical aortic valve replacement (SAVR), and this study evaluates the cost-effectiveness of TAVI versus SAVR in intermediate and high surgical risk patients in Canada. Methods: A Markov model was used to project the costs and quality-adjusted life years (QALYs) gained for TAVI using the SAPIEN 3 valve and SAVR over a 15-year time horizon. The PARTNER I and II studies were used to populate the model in terms of survival, clinical event rates and quality of life over time. The costs of TAVI with SAPIEN 3 and SAVR as well as the costs associated with events included in the model were derived from Canadian administrative and literature data. Costs were expressed in 2018 Canadian dollars and all future costs and QALYs were discounted at a rate of 1.5% annually. Probabilistic and one-way sensitivity analyses were conducted. Results: The incremental cost-effectiveness ratios of TAVI using the SAPIEN 3 valve compared to surgery were $28,154 per QALY gained in intermediate risk patients and $17,237 per QALY gained in high-risk patients. The results of the probabilistic analyses indicated that at willingness-to-pay threshold of $50,000 per QALY gained, the probability of TAVI to be cost-effective was greater than 0.9 in both intermediate-risk and high-risk patients. Sensitivity analyses showed the results were most sensitive to the time horizon used. Conclusion: TAVI using the SAPIEN 3 valve is highly likely to be cost-effective in Canadian patients with severe aortic stenosis who are at intermediate and high surgical risk.","author":[{"dropping-particle":"","family":"Tarride","given":"Jean-Eric","non-dropping-particle":"","parse-names":false,"suffix":""},{"dropping-particle":"","family":"Luong","given":"Trinh","non-dropping-particle":"","parse-names":false,"suffix":""},{"dropping-particle":"","family":"Goodall","given":"Gordon","non-dropping-particle":"","parse-names":false,"suffix":""},{"dropping-particle":"","family":"Burke","given":"Natasha","non-dropping-particle":"","parse-names":false,"suffix":""},{"dropping-particle":"","family":"Blackhouse","given":"Gordon","non-dropping-particle":"","parse-names":false,"suffix":""}],"container-title":"ClinicoEconomics and outcomes research : CEOR","id":"ITEM-1","issued":{"date-parts":[["2019"]]},"language":"eng","page":"477-486","title":"A Canadian cost-effectiveness analysis of SAPIEN 3 transcatheter aortic valve  implantation compared with surgery, in intermediate and high-risk severe aortic stenosis patients.","type":"article-journal","volume":"11"},"uris":["http://www.mendeley.com/documents/?uuid=e622fa3e-20eb-4766-8309-e1716772bed6"]},{"id":"ITEM-2","itemData":{"DOI":"10.1016/j.ijcard.2019.06.057","ISSN":"1874-1754 (Electronic)","PMID":"31255453","abstract":"BACKGROUND: The recent PARTNER S3i trial compared transcatheter aortic valve  implantation (TAVI) using the third-generation SAPIEN 3 device to surgical aortic valve replacement (SAVR) in intermediate-risk patients with severe symptomatic aortic stenosis. Using data from PARTNER S3i, we performed a contemporary cost-effectiveness analysis of current-generation TAVI versus SAVR from the Australian healthcare system perspective. METHODS: A Markov model with monthly cycles and a ten-year horizon was constructed to estimate costs, life-years and quality adjusted life-years (QALYs) associated with TAVI and SAVR. Efficacy inputs were derived from the PARTNER S3i study. Costs were estimated from published sources. Deterministic and probabilistic sensitivity analyses were performed to assess model uncertainty. RESULTS: TAVI was found to have higher immediate procedural costs than SAVR, driven primarily by the cost of the transcatheter valve. This was offset by a shorter length of hospitalisation following TAVI, such that the combined cost of initial procedure and hospitalisation was lower in TAVI compared to SAVR. With 5% annual discounting, total costs over ten-years were $50,515 AUD in TAVI and $60,144 AUD in SAVR, and TAVI was found to produce 0.33 more life years and 0.31 more QALYs than SAVR. Thus, from a health economic perspective, TAVI was dominant compared to SAVR. Results were robust to sensitivity analyses, with TAVI being dominant in 68% of 10,000 Monte Carlo iterations and cost-effective in 92% of iterations at a willingness-to-pay threshold of $50,000/QALY gained. CONCLUSIONS: TAVI is likely to be highly cost-effective compared to SAVR in intermediate-risk patients with severe aortic stenosis.","author":[{"dropping-particle":"","family":"Zhou","given":"Jennifer","non-dropping-particle":"","parse-names":false,"suffix":""},{"dropping-particle":"","family":"Liew","given":"Danny","non-dropping-particle":"","parse-names":false,"suffix":""},{"dropping-particle":"","family":"Duffy","given":"Stephen J","non-dropping-particle":"","parse-names":false,"suffix":""},{"dropping-particle":"","family":"Walton","given":"Antony","non-dropping-particle":"","parse-names":false,"suffix":""},{"dropping-particle":"","family":"Htun","given":"Nay","non-dropping-particle":"","parse-names":false,"suffix":""},{"dropping-particle":"","family":"Stub","given":"Dion","non-dropping-particle":"","parse-names":false,"suffix":""}],"container-title":"International journal of cardiology","id":"ITEM-2","issued":{"date-parts":[["2019","11"]]},"language":"eng","page":"17-22","publisher-place":"Netherlands","title":"Cost-effectiveness of transcatheter aortic valve implantation compared to surgical  aortic valve replacement in the intermediate surgical risk population.","type":"article-journal","volume":"294"},"uris":["http://www.mendeley.com/documents/?uuid=18dd2ac5-d7a7-48d5-ae83-9cc4adc4a767"]}],"mendeley":{"formattedCitation":"[17,33]","plainTextFormattedCitation":"[17,33]"},"properties":{"noteIndex":0},"schema":"https://github.com/citation-style-language/schema/raw/master/csl-citation.json"}</w:instrText>
      </w:r>
      <w:r w:rsidRPr="00741B57">
        <w:fldChar w:fldCharType="separate"/>
      </w:r>
      <w:r w:rsidRPr="00741B57">
        <w:rPr>
          <w:noProof/>
        </w:rPr>
        <w:t>[17,34]</w:t>
      </w:r>
      <w:r w:rsidRPr="00741B57">
        <w:fldChar w:fldCharType="end"/>
      </w:r>
      <w:r w:rsidRPr="00741B57">
        <w:t xml:space="preserve">. </w:t>
      </w:r>
    </w:p>
    <w:p w:rsidR="00323A39" w:rsidRPr="00741B57" w:rsidRDefault="00323A39" w:rsidP="00323A39">
      <w:pPr>
        <w:jc w:val="both"/>
        <w:rPr>
          <w:rFonts w:cstheme="minorHAnsi"/>
          <w:b/>
          <w:bCs/>
          <w:szCs w:val="18"/>
          <w:lang w:val="en-SG"/>
        </w:rPr>
      </w:pPr>
      <w:r w:rsidRPr="00741B57">
        <w:rPr>
          <w:rFonts w:cstheme="minorHAnsi"/>
        </w:rPr>
        <w:br w:type="page"/>
      </w:r>
    </w:p>
    <w:p w:rsidR="00323A39" w:rsidRPr="00741B57" w:rsidRDefault="00323A39" w:rsidP="00323A39">
      <w:pPr>
        <w:pStyle w:val="Caption"/>
      </w:pPr>
      <w:proofErr w:type="gramStart"/>
      <w:r w:rsidRPr="00741B57">
        <w:rPr>
          <w:rFonts w:cstheme="minorHAnsi"/>
        </w:rPr>
        <w:lastRenderedPageBreak/>
        <w:t>Table S4-1.</w:t>
      </w:r>
      <w:proofErr w:type="gramEnd"/>
      <w:r w:rsidRPr="00741B57">
        <w:t xml:space="preserve"> Summary of clinical outcomes used in Scenario 1 (based on PARTNER S3i PSM) </w:t>
      </w:r>
      <w:r w:rsidRPr="00741B57">
        <w:fldChar w:fldCharType="begin" w:fldLock="1"/>
      </w:r>
      <w:r w:rsidRPr="00741B57">
        <w:instrText>ADDIN CSL_CITATION {"citationItems":[{"id":"ITEM-1","itemData":{"DOI":"10.1016/S0140-6736(16)30073-3","ISSN":"1474-547X (Electronic)","PMID":"27053442","abstract":"BACKGROUND: Transcatheter aortic valve replacement (TAVR) with the SAPIEN 3 valve  demonstrates good 30 day clinical outcomes in patients with severe aortic stenosis who are at intermediate risk of surgical mortality. Here we report longer-term data in intermediate-risk patients given SAPIEN 3 TAVR and compare outcomes to those of intermediate-risk patients given surgical aortic valve replacement. METHODS: In the SAPIEN 3 observational study, 1077 intermediate-risk patients at 51 sites in the USA and Canada were assigned to receive TAVR with the SAPIEN 3 valve [952 [88%] via transfemoral access) between Feb 17, 2014, and Sept 3, 2014. In this population we assessed all-cause mortality and incidence of strokes, re-intervention, and aortic valve regurgitation at 1 year after implantation. Then we compared 1 year outcomes in this population with those for intermediate-risk patients treated with surgical valve replacement in the PARTNER 2A trial between Dec 23, 2011, and Nov 6, 2013, using a prespecified propensity score analysis to account for between-trial differences in baseline characteristics. The clinical events committee and echocardiographic core laboratory methods were the same for both studies. The primary endpoint was the composite of death from any cause, all strokes, and incidence of moderate or severe aortic regurgitation. We did non-inferiority (margin 7·5%) and superiority analyses in propensity score quintiles to calculate pooled weighted proportion differences for outcomes. FINDINGS: At 1 year follow-up of the SAPIEN 3 observational study, 79 of 1077 patients who initiated the TAVR procedure had died (all-cause mortality 7·4%; 6·5% in the transfemoral access subgroup), and disabling strokes had occurred in 24 (2%), aortic valve re-intervention in six (1%), and moderate or severe paravalvular regurgitation in 13 (2%). In the propensity-score analysis we included 963 patients treated with SAPIEN 3 TAVR and 747 with surgical valve replacement. For the primary composite endpoint of mortality, strokes, and moderate or severe aortic regurgitation, TAVR was both non-inferior (pooled weighted proportion difference of -9·2%; 90% CI -12·4 to -6; p&lt;0·0001) and superior (-9·2%, 95% CI -13·0 to -5·4; p&lt;0·0001) to surgical valve replacement. INTERPRETATION: TAVR with SAPIEN 3 in intermediate-risk patients with severe aortic stenosis is associated with low mortality, strokes, and regurgitation at 1 year. The propensity score analysis indicates a signific…","author":[{"dropping-particle":"","family":"Thourani","given":"Vinod H","non-dropping-particle":"","parse-names":false,"suffix":""},{"dropping-particle":"","family":"Kodali","given":"Susheel","non-dropping-particle":"","parse-names":false,"suffix":""},{"dropping-particle":"","family":"Makkar","given":"Raj R","non-dropping-particle":"","parse-names":false,"suffix":""},{"dropping-particle":"","family":"Herrmann","given":"Howard C","non-dropping-particle":"","parse-names":false,"suffix":""},{"dropping-particle":"","family":"Williams","given":"Mathew","non-dropping-particle":"","parse-names":false,"suffix":""},{"dropping-particle":"","family":"Babaliaros","given":"Vasilis","non-dropping-particle":"","parse-names":false,"suffix":""},{"dropping-particle":"","family":"Smalling","given":"Richard","non-dropping-particle":"","parse-names":false,"suffix":""},{"dropping-particle":"","family":"Lim","given":"Scott","non-dropping-particle":"","parse-names":false,"suffix":""},{"dropping-particle":"","family":"Malaisrie","given":"S Chris","non-dropping-particle":"","parse-names":false,"suffix":""},{"dropping-particle":"","family":"Kapadia","given":"Samir","non-dropping-particle":"","parse-names":false,"suffix":""},{"dropping-particle":"","family":"Szeto","given":"Wilson Y","non-dropping-particle":"","parse-names":false,"suffix":""},{"dropping-particle":"","family":"Greason","given":"Kevin L","non-dropping-particle":"","parse-names":false,"suffix":""},{"dropping-particle":"","family":"Kereiakes","given":"Dean","non-dropping-particle":"","parse-names":false,"suffix":""},{"dropping-particle":"","family":"Ailawadi","given":"Gorav","non-dropping-particle":"","parse-names":false,"suffix":""},{"dropping-particle":"","family":"Whisenant","given":"Brian K","non-dropping-particle":"","parse-names":false,"suffix":""},{"dropping-particle":"","family":"Devireddy","given":"Chandan","non-dropping-particle":"","parse-names":false,"suffix":""},{"dropping-particle":"","family":"Leipsic","given":"Jonathon","non-dropping-particle":"","parse-names":false,"suffix":""},{"dropping-particle":"","family":"Hahn","given":"Rebecca T","non-dropping-particle":"","parse-names":false,"suffix":""},{"dropping-particle":"","family":"Pibarot","given":"Philippe","non-dropping-particle":"","parse-names":false,"suffix":""},{"dropping-particle":"","family":"Weissman","given":"Neil J","non-dropping-particle":"","parse-names":false,"suffix":""},{"dropping-particle":"","family":"Jaber","given":"Wael A","non-dropping-particle":"","parse-names":false,"suffix":""},{"dropping-particle":"","family":"Cohen","given":"David J","non-dropping-particle":"","parse-names":false,"suffix":""},{"dropping-particle":"","family":"Suri","given":"Rakesh","non-dropping-particle":"","parse-names":false,"suffix":""},{"dropping-particle":"","family":"Tuzcu","given":"E Murat","non-dropping-particle":"","parse-names":false,"suffix":""},{"dropping-particle":"","family":"Svensson","given":"Lars G","non-dropping-particle":"","parse-names":false,"suffix":""},{"dropping-particle":"","family":"Webb","given":"John G","non-dropping-particle":"","parse-names":false,"suffix":""},{"dropping-particle":"","family":"Moses","given":"Jeffrey W","non-dropping-particle":"","parse-names":false,"suffix":""},{"dropping-particle":"","family":"Mack","given":"Michael J","non-dropping-particle":"","parse-names":false,"suffix":""},{"dropping-particle":"","family":"Miller","given":"D Craig","non-dropping-particle":"","parse-names":false,"suffix":""},{"dropping-particle":"","family":"Smith","given":"Craig R","non-dropping-particle":"","parse-names":false,"suffix":""},{"dropping-particle":"","family":"Alu","given":"Maria C","non-dropping-particle":"","parse-names":false,"suffix":""},{"dropping-particle":"","family":"Parvataneni","given":"Rupa","non-dropping-particle":"","parse-names":false,"suffix":""},{"dropping-particle":"","family":"D'Agostino","given":"Ralph B Jr","non-dropping-particle":"","parse-names":false,"suffix":""},{"dropping-particle":"","family":"Leon","given":"Martin B","non-dropping-particle":"","parse-names":false,"suffix":""}],"container-title":"Lancet (London, England)","id":"ITEM-1","issue":"10034","issued":{"date-parts":[["2016","5"]]},"language":"eng","page":"2218-2225","publisher-place":"England","title":"Transcatheter aortic valve replacement versus surgical valve replacement in  intermediate-risk patients: a propensity score analysis.","type":"article-journal","volume":"387"},"uris":["http://www.mendeley.com/documents/?uuid=dde35411-188f-4302-a0f0-498220c01114"]}],"mendeley":{"formattedCitation":"[13]","plainTextFormattedCitation":"[13]","previouslyFormattedCitation":"[13]"},"properties":{"noteIndex":0},"schema":"https://github.com/citation-style-language/schema/raw/master/csl-citation.json"}</w:instrText>
      </w:r>
      <w:r w:rsidRPr="00741B57">
        <w:fldChar w:fldCharType="separate"/>
      </w:r>
      <w:r w:rsidRPr="00741B57">
        <w:rPr>
          <w:noProof/>
        </w:rPr>
        <w:t>[13]</w:t>
      </w:r>
      <w:r w:rsidRPr="00741B57">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1325"/>
        <w:gridCol w:w="1264"/>
        <w:gridCol w:w="1327"/>
        <w:gridCol w:w="1256"/>
      </w:tblGrid>
      <w:tr w:rsidR="00323A39" w:rsidRPr="00741B57" w:rsidTr="00004805">
        <w:tc>
          <w:tcPr>
            <w:tcW w:w="2299" w:type="pct"/>
            <w:vMerge w:val="restart"/>
            <w:shd w:val="clear" w:color="auto" w:fill="BFBFBF" w:themeFill="background1" w:themeFillShade="BF"/>
          </w:tcPr>
          <w:p w:rsidR="00323A39" w:rsidRPr="00741B57" w:rsidRDefault="00323A39" w:rsidP="00004805">
            <w:pPr>
              <w:pStyle w:val="Tabletext"/>
              <w:jc w:val="both"/>
            </w:pPr>
            <w:r w:rsidRPr="00741B57">
              <w:rPr>
                <w:b/>
              </w:rPr>
              <w:t>Clinical outcomes</w:t>
            </w:r>
          </w:p>
        </w:tc>
        <w:tc>
          <w:tcPr>
            <w:tcW w:w="1352" w:type="pct"/>
            <w:gridSpan w:val="2"/>
            <w:shd w:val="clear" w:color="auto" w:fill="BFBFBF" w:themeFill="background1" w:themeFillShade="BF"/>
          </w:tcPr>
          <w:p w:rsidR="00323A39" w:rsidRPr="00741B57" w:rsidRDefault="00323A39" w:rsidP="00004805">
            <w:pPr>
              <w:pStyle w:val="Tabletext"/>
              <w:jc w:val="both"/>
            </w:pPr>
            <w:r w:rsidRPr="00741B57">
              <w:rPr>
                <w:b/>
              </w:rPr>
              <w:t>TAVI (%)</w:t>
            </w:r>
          </w:p>
        </w:tc>
        <w:tc>
          <w:tcPr>
            <w:tcW w:w="1349" w:type="pct"/>
            <w:gridSpan w:val="2"/>
            <w:shd w:val="clear" w:color="auto" w:fill="BFBFBF" w:themeFill="background1" w:themeFillShade="BF"/>
          </w:tcPr>
          <w:p w:rsidR="00323A39" w:rsidRPr="00741B57" w:rsidRDefault="00323A39" w:rsidP="00004805">
            <w:pPr>
              <w:pStyle w:val="Tabletext"/>
              <w:jc w:val="both"/>
            </w:pPr>
            <w:r w:rsidRPr="00741B57">
              <w:rPr>
                <w:b/>
              </w:rPr>
              <w:t>SAVR (%)</w:t>
            </w:r>
          </w:p>
        </w:tc>
      </w:tr>
      <w:tr w:rsidR="00323A39" w:rsidRPr="00741B57" w:rsidTr="00004805">
        <w:tc>
          <w:tcPr>
            <w:tcW w:w="2299" w:type="pct"/>
            <w:vMerge/>
            <w:shd w:val="clear" w:color="auto" w:fill="BFBFBF" w:themeFill="background1" w:themeFillShade="BF"/>
          </w:tcPr>
          <w:p w:rsidR="00323A39" w:rsidRPr="00741B57" w:rsidRDefault="00323A39" w:rsidP="00004805">
            <w:pPr>
              <w:pStyle w:val="Tabletext"/>
              <w:jc w:val="both"/>
              <w:rPr>
                <w:b/>
                <w:lang w:val="en-SG"/>
              </w:rPr>
            </w:pPr>
          </w:p>
        </w:tc>
        <w:tc>
          <w:tcPr>
            <w:tcW w:w="692" w:type="pct"/>
            <w:shd w:val="clear" w:color="auto" w:fill="BFBFBF" w:themeFill="background1" w:themeFillShade="BF"/>
          </w:tcPr>
          <w:p w:rsidR="00323A39" w:rsidRPr="00741B57" w:rsidRDefault="00323A39" w:rsidP="00004805">
            <w:pPr>
              <w:pStyle w:val="Tabletext"/>
              <w:jc w:val="both"/>
              <w:rPr>
                <w:b/>
                <w:lang w:val="en-SG"/>
              </w:rPr>
            </w:pPr>
            <w:r w:rsidRPr="00741B57">
              <w:rPr>
                <w:b/>
                <w:lang w:val="en-SG"/>
              </w:rPr>
              <w:t>30 day</w:t>
            </w:r>
          </w:p>
        </w:tc>
        <w:tc>
          <w:tcPr>
            <w:tcW w:w="660" w:type="pct"/>
            <w:shd w:val="clear" w:color="auto" w:fill="BFBFBF" w:themeFill="background1" w:themeFillShade="BF"/>
          </w:tcPr>
          <w:p w:rsidR="00323A39" w:rsidRPr="00741B57" w:rsidRDefault="00323A39" w:rsidP="00004805">
            <w:pPr>
              <w:pStyle w:val="Tabletext"/>
              <w:jc w:val="both"/>
              <w:rPr>
                <w:b/>
                <w:lang w:val="en-SG"/>
              </w:rPr>
            </w:pPr>
            <w:r w:rsidRPr="00741B57">
              <w:rPr>
                <w:b/>
                <w:lang w:val="en-SG"/>
              </w:rPr>
              <w:t>1 year</w:t>
            </w:r>
          </w:p>
        </w:tc>
        <w:tc>
          <w:tcPr>
            <w:tcW w:w="693" w:type="pct"/>
            <w:shd w:val="clear" w:color="auto" w:fill="BFBFBF" w:themeFill="background1" w:themeFillShade="BF"/>
          </w:tcPr>
          <w:p w:rsidR="00323A39" w:rsidRPr="00741B57" w:rsidRDefault="00323A39" w:rsidP="00004805">
            <w:pPr>
              <w:pStyle w:val="Tabletext"/>
              <w:jc w:val="both"/>
              <w:rPr>
                <w:b/>
                <w:lang w:val="en-SG"/>
              </w:rPr>
            </w:pPr>
            <w:r w:rsidRPr="00741B57">
              <w:rPr>
                <w:b/>
                <w:lang w:val="en-SG"/>
              </w:rPr>
              <w:t>30 day</w:t>
            </w:r>
          </w:p>
        </w:tc>
        <w:tc>
          <w:tcPr>
            <w:tcW w:w="656" w:type="pct"/>
            <w:shd w:val="clear" w:color="auto" w:fill="BFBFBF" w:themeFill="background1" w:themeFillShade="BF"/>
          </w:tcPr>
          <w:p w:rsidR="00323A39" w:rsidRPr="00741B57" w:rsidRDefault="00323A39" w:rsidP="00004805">
            <w:pPr>
              <w:pStyle w:val="Tabletext"/>
              <w:jc w:val="both"/>
              <w:rPr>
                <w:b/>
                <w:lang w:val="en-SG"/>
              </w:rPr>
            </w:pPr>
            <w:r w:rsidRPr="00741B57">
              <w:rPr>
                <w:b/>
                <w:lang w:val="en-SG"/>
              </w:rPr>
              <w:t>1 year</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All-cause mortality</w:t>
            </w:r>
          </w:p>
        </w:tc>
        <w:tc>
          <w:tcPr>
            <w:tcW w:w="692" w:type="pct"/>
          </w:tcPr>
          <w:p w:rsidR="00323A39" w:rsidRPr="00741B57" w:rsidRDefault="00323A39" w:rsidP="00004805">
            <w:pPr>
              <w:pStyle w:val="Tabletext"/>
              <w:jc w:val="both"/>
              <w:rPr>
                <w:lang w:val="en-SG"/>
              </w:rPr>
            </w:pPr>
            <w:r w:rsidRPr="00741B57">
              <w:rPr>
                <w:lang w:val="en-SG"/>
              </w:rPr>
              <w:t>1.1</w:t>
            </w:r>
          </w:p>
        </w:tc>
        <w:tc>
          <w:tcPr>
            <w:tcW w:w="660" w:type="pct"/>
          </w:tcPr>
          <w:p w:rsidR="00323A39" w:rsidRPr="00741B57" w:rsidRDefault="00323A39" w:rsidP="00004805">
            <w:pPr>
              <w:pStyle w:val="Tabletext"/>
              <w:jc w:val="both"/>
              <w:rPr>
                <w:lang w:val="en-SG"/>
              </w:rPr>
            </w:pPr>
            <w:r w:rsidRPr="00741B57">
              <w:rPr>
                <w:lang w:val="en-SG"/>
              </w:rPr>
              <w:t>6.5</w:t>
            </w:r>
          </w:p>
        </w:tc>
        <w:tc>
          <w:tcPr>
            <w:tcW w:w="693" w:type="pct"/>
          </w:tcPr>
          <w:p w:rsidR="00323A39" w:rsidRPr="00741B57" w:rsidRDefault="00323A39" w:rsidP="00004805">
            <w:pPr>
              <w:pStyle w:val="Tabletext"/>
              <w:jc w:val="both"/>
              <w:rPr>
                <w:lang w:val="en-SG"/>
              </w:rPr>
            </w:pPr>
            <w:r w:rsidRPr="00741B57">
              <w:rPr>
                <w:lang w:val="en-SG"/>
              </w:rPr>
              <w:t>3.9</w:t>
            </w:r>
          </w:p>
        </w:tc>
        <w:tc>
          <w:tcPr>
            <w:tcW w:w="656" w:type="pct"/>
          </w:tcPr>
          <w:p w:rsidR="00323A39" w:rsidRPr="00741B57" w:rsidRDefault="00323A39" w:rsidP="00004805">
            <w:pPr>
              <w:pStyle w:val="Tabletext"/>
              <w:jc w:val="both"/>
              <w:rPr>
                <w:lang w:val="en-SG"/>
              </w:rPr>
            </w:pPr>
            <w:r w:rsidRPr="00741B57">
              <w:rPr>
                <w:lang w:val="en-SG"/>
              </w:rPr>
              <w:t>12.2</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Disabling or major stroke</w:t>
            </w:r>
          </w:p>
        </w:tc>
        <w:tc>
          <w:tcPr>
            <w:tcW w:w="692" w:type="pct"/>
          </w:tcPr>
          <w:p w:rsidR="00323A39" w:rsidRPr="00741B57" w:rsidRDefault="00323A39" w:rsidP="00004805">
            <w:pPr>
              <w:pStyle w:val="Tabletext"/>
              <w:jc w:val="both"/>
              <w:rPr>
                <w:lang w:val="en-SG"/>
              </w:rPr>
            </w:pPr>
            <w:r w:rsidRPr="00741B57">
              <w:rPr>
                <w:lang w:val="en-SG"/>
              </w:rPr>
              <w:t>0.7</w:t>
            </w:r>
          </w:p>
        </w:tc>
        <w:tc>
          <w:tcPr>
            <w:tcW w:w="660" w:type="pct"/>
          </w:tcPr>
          <w:p w:rsidR="00323A39" w:rsidRPr="00741B57" w:rsidRDefault="00323A39" w:rsidP="00004805">
            <w:pPr>
              <w:pStyle w:val="Tabletext"/>
              <w:jc w:val="both"/>
              <w:rPr>
                <w:lang w:val="en-SG"/>
              </w:rPr>
            </w:pPr>
            <w:r w:rsidRPr="00741B57">
              <w:rPr>
                <w:lang w:val="en-SG"/>
              </w:rPr>
              <w:t>1.7</w:t>
            </w:r>
          </w:p>
        </w:tc>
        <w:tc>
          <w:tcPr>
            <w:tcW w:w="693" w:type="pct"/>
          </w:tcPr>
          <w:p w:rsidR="00323A39" w:rsidRPr="00741B57" w:rsidRDefault="00323A39" w:rsidP="00004805">
            <w:pPr>
              <w:pStyle w:val="Tabletext"/>
              <w:jc w:val="both"/>
              <w:rPr>
                <w:lang w:val="en-SG"/>
              </w:rPr>
            </w:pPr>
            <w:r w:rsidRPr="00741B57">
              <w:rPr>
                <w:lang w:val="en-SG"/>
              </w:rPr>
              <w:t>4.2</w:t>
            </w:r>
          </w:p>
        </w:tc>
        <w:tc>
          <w:tcPr>
            <w:tcW w:w="656" w:type="pct"/>
          </w:tcPr>
          <w:p w:rsidR="00323A39" w:rsidRPr="00741B57" w:rsidRDefault="00323A39" w:rsidP="00004805">
            <w:pPr>
              <w:pStyle w:val="Tabletext"/>
              <w:jc w:val="both"/>
              <w:rPr>
                <w:lang w:val="en-SG"/>
              </w:rPr>
            </w:pPr>
            <w:r w:rsidRPr="00741B57">
              <w:rPr>
                <w:lang w:val="en-SG"/>
              </w:rPr>
              <w:t>6</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Rehospitalisation</w:t>
            </w:r>
          </w:p>
        </w:tc>
        <w:tc>
          <w:tcPr>
            <w:tcW w:w="692" w:type="pct"/>
          </w:tcPr>
          <w:p w:rsidR="00323A39" w:rsidRPr="00741B57" w:rsidRDefault="00323A39" w:rsidP="00004805">
            <w:pPr>
              <w:pStyle w:val="Tabletext"/>
              <w:jc w:val="both"/>
              <w:rPr>
                <w:lang w:val="en-SG"/>
              </w:rPr>
            </w:pPr>
            <w:r w:rsidRPr="00741B57">
              <w:rPr>
                <w:lang w:val="en-SG"/>
              </w:rPr>
              <w:t>4</w:t>
            </w:r>
          </w:p>
        </w:tc>
        <w:tc>
          <w:tcPr>
            <w:tcW w:w="660" w:type="pct"/>
          </w:tcPr>
          <w:p w:rsidR="00323A39" w:rsidRPr="00741B57" w:rsidRDefault="00323A39" w:rsidP="00004805">
            <w:pPr>
              <w:pStyle w:val="Tabletext"/>
              <w:jc w:val="both"/>
              <w:rPr>
                <w:lang w:val="en-SG"/>
              </w:rPr>
            </w:pPr>
            <w:r w:rsidRPr="00741B57">
              <w:rPr>
                <w:lang w:val="en-SG"/>
              </w:rPr>
              <w:t>10.5</w:t>
            </w:r>
          </w:p>
        </w:tc>
        <w:tc>
          <w:tcPr>
            <w:tcW w:w="693" w:type="pct"/>
          </w:tcPr>
          <w:p w:rsidR="00323A39" w:rsidRPr="00741B57" w:rsidRDefault="00323A39" w:rsidP="00004805">
            <w:pPr>
              <w:pStyle w:val="Tabletext"/>
              <w:jc w:val="both"/>
              <w:rPr>
                <w:lang w:val="en-SG"/>
              </w:rPr>
            </w:pPr>
            <w:r w:rsidRPr="00741B57">
              <w:rPr>
                <w:lang w:val="en-SG"/>
              </w:rPr>
              <w:t>6.7</w:t>
            </w:r>
          </w:p>
        </w:tc>
        <w:tc>
          <w:tcPr>
            <w:tcW w:w="656" w:type="pct"/>
          </w:tcPr>
          <w:p w:rsidR="00323A39" w:rsidRPr="00741B57" w:rsidRDefault="00323A39" w:rsidP="00004805">
            <w:pPr>
              <w:pStyle w:val="Tabletext"/>
              <w:jc w:val="both"/>
              <w:rPr>
                <w:lang w:val="en-SG"/>
              </w:rPr>
            </w:pPr>
            <w:r w:rsidRPr="00741B57">
              <w:rPr>
                <w:lang w:val="en-SG"/>
              </w:rPr>
              <w:t>15.2</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MI</w:t>
            </w:r>
          </w:p>
        </w:tc>
        <w:tc>
          <w:tcPr>
            <w:tcW w:w="692" w:type="pct"/>
          </w:tcPr>
          <w:p w:rsidR="00323A39" w:rsidRPr="00741B57" w:rsidRDefault="00323A39" w:rsidP="00004805">
            <w:pPr>
              <w:pStyle w:val="Tabletext"/>
              <w:jc w:val="both"/>
              <w:rPr>
                <w:lang w:val="en-SG"/>
              </w:rPr>
            </w:pPr>
            <w:r w:rsidRPr="00741B57">
              <w:rPr>
                <w:lang w:val="en-SG"/>
              </w:rPr>
              <w:t>0.3</w:t>
            </w:r>
          </w:p>
        </w:tc>
        <w:tc>
          <w:tcPr>
            <w:tcW w:w="660" w:type="pct"/>
          </w:tcPr>
          <w:p w:rsidR="00323A39" w:rsidRPr="00741B57" w:rsidRDefault="00323A39" w:rsidP="00004805">
            <w:pPr>
              <w:pStyle w:val="Tabletext"/>
              <w:jc w:val="both"/>
              <w:rPr>
                <w:lang w:val="en-SG"/>
              </w:rPr>
            </w:pPr>
            <w:r w:rsidRPr="00741B57">
              <w:rPr>
                <w:lang w:val="en-SG"/>
              </w:rPr>
              <w:t>1.9</w:t>
            </w:r>
          </w:p>
        </w:tc>
        <w:tc>
          <w:tcPr>
            <w:tcW w:w="693" w:type="pct"/>
          </w:tcPr>
          <w:p w:rsidR="00323A39" w:rsidRPr="00741B57" w:rsidRDefault="00323A39" w:rsidP="00004805">
            <w:pPr>
              <w:pStyle w:val="Tabletext"/>
              <w:jc w:val="both"/>
              <w:rPr>
                <w:lang w:val="en-SG"/>
              </w:rPr>
            </w:pPr>
            <w:r w:rsidRPr="00741B57">
              <w:rPr>
                <w:lang w:val="en-SG"/>
              </w:rPr>
              <w:t>1.8</w:t>
            </w:r>
          </w:p>
        </w:tc>
        <w:tc>
          <w:tcPr>
            <w:tcW w:w="656" w:type="pct"/>
          </w:tcPr>
          <w:p w:rsidR="00323A39" w:rsidRPr="00741B57" w:rsidRDefault="00323A39" w:rsidP="00004805">
            <w:pPr>
              <w:pStyle w:val="Tabletext"/>
              <w:jc w:val="both"/>
              <w:rPr>
                <w:lang w:val="en-SG"/>
              </w:rPr>
            </w:pPr>
            <w:r w:rsidRPr="00741B57">
              <w:rPr>
                <w:lang w:val="en-SG"/>
              </w:rPr>
              <w:t>2.8</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Major vascular complication</w:t>
            </w:r>
          </w:p>
        </w:tc>
        <w:tc>
          <w:tcPr>
            <w:tcW w:w="692" w:type="pct"/>
          </w:tcPr>
          <w:p w:rsidR="00323A39" w:rsidRPr="00741B57" w:rsidRDefault="00323A39" w:rsidP="00004805">
            <w:pPr>
              <w:pStyle w:val="Tabletext"/>
              <w:jc w:val="both"/>
              <w:rPr>
                <w:lang w:val="en-SG"/>
              </w:rPr>
            </w:pPr>
            <w:r w:rsidRPr="00741B57">
              <w:rPr>
                <w:lang w:val="en-SG"/>
              </w:rPr>
              <w:t>6.4</w:t>
            </w:r>
          </w:p>
        </w:tc>
        <w:tc>
          <w:tcPr>
            <w:tcW w:w="660" w:type="pct"/>
          </w:tcPr>
          <w:p w:rsidR="00323A39" w:rsidRPr="00741B57" w:rsidRDefault="00323A39" w:rsidP="00004805">
            <w:pPr>
              <w:pStyle w:val="Tabletext"/>
              <w:jc w:val="both"/>
              <w:rPr>
                <w:lang w:val="en-SG"/>
              </w:rPr>
            </w:pPr>
            <w:r w:rsidRPr="00741B57">
              <w:rPr>
                <w:lang w:val="en-SG"/>
              </w:rPr>
              <w:t>-</w:t>
            </w:r>
          </w:p>
        </w:tc>
        <w:tc>
          <w:tcPr>
            <w:tcW w:w="693" w:type="pct"/>
          </w:tcPr>
          <w:p w:rsidR="00323A39" w:rsidRPr="00741B57" w:rsidRDefault="00323A39" w:rsidP="00004805">
            <w:pPr>
              <w:pStyle w:val="Tabletext"/>
              <w:jc w:val="both"/>
              <w:rPr>
                <w:lang w:val="en-SG"/>
              </w:rPr>
            </w:pPr>
            <w:r w:rsidRPr="00741B57">
              <w:rPr>
                <w:lang w:val="en-SG"/>
              </w:rPr>
              <w:t>4.2</w:t>
            </w:r>
          </w:p>
        </w:tc>
        <w:tc>
          <w:tcPr>
            <w:tcW w:w="656" w:type="pct"/>
          </w:tcPr>
          <w:p w:rsidR="00323A39" w:rsidRPr="00741B57" w:rsidRDefault="00323A39" w:rsidP="00004805">
            <w:pPr>
              <w:pStyle w:val="Tabletext"/>
              <w:jc w:val="both"/>
              <w:rPr>
                <w:lang w:val="en-SG"/>
              </w:rPr>
            </w:pPr>
            <w:r w:rsidRPr="00741B57">
              <w:rPr>
                <w:lang w:val="en-SG"/>
              </w:rPr>
              <w:t>-</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Life-threatening, disabling or major bleeding</w:t>
            </w:r>
          </w:p>
        </w:tc>
        <w:tc>
          <w:tcPr>
            <w:tcW w:w="692" w:type="pct"/>
          </w:tcPr>
          <w:p w:rsidR="00323A39" w:rsidRPr="00741B57" w:rsidRDefault="00323A39" w:rsidP="00004805">
            <w:pPr>
              <w:pStyle w:val="Tabletext"/>
              <w:jc w:val="both"/>
              <w:rPr>
                <w:lang w:val="en-SG"/>
              </w:rPr>
            </w:pPr>
            <w:r w:rsidRPr="00741B57">
              <w:rPr>
                <w:lang w:val="en-SG"/>
              </w:rPr>
              <w:t>3.6</w:t>
            </w:r>
          </w:p>
        </w:tc>
        <w:tc>
          <w:tcPr>
            <w:tcW w:w="660" w:type="pct"/>
          </w:tcPr>
          <w:p w:rsidR="00323A39" w:rsidRPr="00741B57" w:rsidRDefault="00323A39" w:rsidP="00004805">
            <w:pPr>
              <w:pStyle w:val="Tabletext"/>
              <w:jc w:val="both"/>
              <w:rPr>
                <w:lang w:val="en-SG"/>
              </w:rPr>
            </w:pPr>
            <w:r w:rsidRPr="00741B57">
              <w:rPr>
                <w:lang w:val="en-SG"/>
              </w:rPr>
              <w:t>-</w:t>
            </w:r>
          </w:p>
        </w:tc>
        <w:tc>
          <w:tcPr>
            <w:tcW w:w="693" w:type="pct"/>
          </w:tcPr>
          <w:p w:rsidR="00323A39" w:rsidRPr="00741B57" w:rsidRDefault="00323A39" w:rsidP="00004805">
            <w:pPr>
              <w:pStyle w:val="Tabletext"/>
              <w:jc w:val="both"/>
              <w:rPr>
                <w:lang w:val="en-SG"/>
              </w:rPr>
            </w:pPr>
            <w:r w:rsidRPr="00741B57">
              <w:rPr>
                <w:lang w:val="en-SG"/>
              </w:rPr>
              <w:t>44.2</w:t>
            </w:r>
          </w:p>
        </w:tc>
        <w:tc>
          <w:tcPr>
            <w:tcW w:w="656" w:type="pct"/>
          </w:tcPr>
          <w:p w:rsidR="00323A39" w:rsidRPr="00741B57" w:rsidRDefault="00323A39" w:rsidP="00004805">
            <w:pPr>
              <w:pStyle w:val="Tabletext"/>
              <w:jc w:val="both"/>
              <w:rPr>
                <w:lang w:val="en-SG"/>
              </w:rPr>
            </w:pPr>
            <w:r w:rsidRPr="00741B57">
              <w:rPr>
                <w:lang w:val="en-SG"/>
              </w:rPr>
              <w:t>-</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Endocarditis</w:t>
            </w:r>
          </w:p>
        </w:tc>
        <w:tc>
          <w:tcPr>
            <w:tcW w:w="692" w:type="pct"/>
          </w:tcPr>
          <w:p w:rsidR="00323A39" w:rsidRPr="00741B57" w:rsidRDefault="00323A39" w:rsidP="00004805">
            <w:pPr>
              <w:pStyle w:val="Tabletext"/>
              <w:jc w:val="both"/>
              <w:rPr>
                <w:lang w:val="en-SG"/>
              </w:rPr>
            </w:pPr>
            <w:r w:rsidRPr="00741B57">
              <w:rPr>
                <w:lang w:val="en-SG"/>
              </w:rPr>
              <w:t>0.2</w:t>
            </w:r>
          </w:p>
        </w:tc>
        <w:tc>
          <w:tcPr>
            <w:tcW w:w="660" w:type="pct"/>
          </w:tcPr>
          <w:p w:rsidR="00323A39" w:rsidRPr="00741B57" w:rsidRDefault="00323A39" w:rsidP="00004805">
            <w:pPr>
              <w:pStyle w:val="Tabletext"/>
              <w:jc w:val="both"/>
              <w:rPr>
                <w:lang w:val="en-SG"/>
              </w:rPr>
            </w:pPr>
            <w:r w:rsidRPr="00741B57">
              <w:rPr>
                <w:lang w:val="en-SG"/>
              </w:rPr>
              <w:t>0.8</w:t>
            </w:r>
          </w:p>
        </w:tc>
        <w:tc>
          <w:tcPr>
            <w:tcW w:w="693" w:type="pct"/>
          </w:tcPr>
          <w:p w:rsidR="00323A39" w:rsidRPr="00741B57" w:rsidRDefault="00323A39" w:rsidP="00004805">
            <w:pPr>
              <w:pStyle w:val="Tabletext"/>
              <w:jc w:val="both"/>
              <w:rPr>
                <w:lang w:val="en-SG"/>
              </w:rPr>
            </w:pPr>
            <w:r w:rsidRPr="00741B57">
              <w:rPr>
                <w:lang w:val="en-SG"/>
              </w:rPr>
              <w:t>0</w:t>
            </w:r>
          </w:p>
        </w:tc>
        <w:tc>
          <w:tcPr>
            <w:tcW w:w="656" w:type="pct"/>
          </w:tcPr>
          <w:p w:rsidR="00323A39" w:rsidRPr="00741B57" w:rsidRDefault="00323A39" w:rsidP="00004805">
            <w:pPr>
              <w:pStyle w:val="Tabletext"/>
              <w:jc w:val="both"/>
              <w:rPr>
                <w:lang w:val="en-SG"/>
              </w:rPr>
            </w:pPr>
            <w:r w:rsidRPr="00741B57">
              <w:rPr>
                <w:lang w:val="en-SG"/>
              </w:rPr>
              <w:t>0.9</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AKI</w:t>
            </w:r>
          </w:p>
        </w:tc>
        <w:tc>
          <w:tcPr>
            <w:tcW w:w="692" w:type="pct"/>
          </w:tcPr>
          <w:p w:rsidR="00323A39" w:rsidRPr="00741B57" w:rsidRDefault="00323A39" w:rsidP="00004805">
            <w:pPr>
              <w:pStyle w:val="Tabletext"/>
              <w:jc w:val="both"/>
              <w:rPr>
                <w:lang w:val="en-SG"/>
              </w:rPr>
            </w:pPr>
            <w:r w:rsidRPr="00741B57">
              <w:rPr>
                <w:lang w:val="en-SG"/>
              </w:rPr>
              <w:t>0.5</w:t>
            </w:r>
          </w:p>
        </w:tc>
        <w:tc>
          <w:tcPr>
            <w:tcW w:w="660" w:type="pct"/>
          </w:tcPr>
          <w:p w:rsidR="00323A39" w:rsidRPr="00741B57" w:rsidRDefault="00323A39" w:rsidP="00004805">
            <w:pPr>
              <w:pStyle w:val="Tabletext"/>
              <w:jc w:val="both"/>
              <w:rPr>
                <w:lang w:val="en-SG"/>
              </w:rPr>
            </w:pPr>
            <w:r w:rsidRPr="00741B57">
              <w:rPr>
                <w:lang w:val="en-SG"/>
              </w:rPr>
              <w:t>-</w:t>
            </w:r>
          </w:p>
        </w:tc>
        <w:tc>
          <w:tcPr>
            <w:tcW w:w="693" w:type="pct"/>
          </w:tcPr>
          <w:p w:rsidR="00323A39" w:rsidRPr="00741B57" w:rsidRDefault="00323A39" w:rsidP="00004805">
            <w:pPr>
              <w:pStyle w:val="Tabletext"/>
              <w:jc w:val="both"/>
              <w:rPr>
                <w:lang w:val="en-SG"/>
              </w:rPr>
            </w:pPr>
            <w:r w:rsidRPr="00741B57">
              <w:rPr>
                <w:lang w:val="en-SG"/>
              </w:rPr>
              <w:t>3.3</w:t>
            </w:r>
          </w:p>
        </w:tc>
        <w:tc>
          <w:tcPr>
            <w:tcW w:w="656" w:type="pct"/>
          </w:tcPr>
          <w:p w:rsidR="00323A39" w:rsidRPr="00741B57" w:rsidRDefault="00323A39" w:rsidP="00004805">
            <w:pPr>
              <w:pStyle w:val="Tabletext"/>
              <w:jc w:val="both"/>
              <w:rPr>
                <w:lang w:val="en-SG"/>
              </w:rPr>
            </w:pPr>
            <w:r w:rsidRPr="00741B57">
              <w:rPr>
                <w:lang w:val="en-SG"/>
              </w:rPr>
              <w:t>-</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New PPI</w:t>
            </w:r>
          </w:p>
        </w:tc>
        <w:tc>
          <w:tcPr>
            <w:tcW w:w="692" w:type="pct"/>
          </w:tcPr>
          <w:p w:rsidR="00323A39" w:rsidRPr="00741B57" w:rsidRDefault="00323A39" w:rsidP="00004805">
            <w:pPr>
              <w:pStyle w:val="Tabletext"/>
              <w:jc w:val="both"/>
              <w:rPr>
                <w:lang w:val="en-SG"/>
              </w:rPr>
            </w:pPr>
            <w:r w:rsidRPr="00741B57">
              <w:rPr>
                <w:lang w:val="en-SG"/>
              </w:rPr>
              <w:t>10.5</w:t>
            </w:r>
          </w:p>
        </w:tc>
        <w:tc>
          <w:tcPr>
            <w:tcW w:w="660" w:type="pct"/>
          </w:tcPr>
          <w:p w:rsidR="00323A39" w:rsidRPr="00741B57" w:rsidRDefault="00323A39" w:rsidP="00004805">
            <w:pPr>
              <w:pStyle w:val="Tabletext"/>
              <w:jc w:val="both"/>
              <w:rPr>
                <w:lang w:val="en-SG"/>
              </w:rPr>
            </w:pPr>
            <w:r w:rsidRPr="00741B57">
              <w:rPr>
                <w:lang w:val="en-SG"/>
              </w:rPr>
              <w:t>12.7</w:t>
            </w:r>
          </w:p>
        </w:tc>
        <w:tc>
          <w:tcPr>
            <w:tcW w:w="693" w:type="pct"/>
          </w:tcPr>
          <w:p w:rsidR="00323A39" w:rsidRPr="00741B57" w:rsidRDefault="00323A39" w:rsidP="00004805">
            <w:pPr>
              <w:pStyle w:val="Tabletext"/>
              <w:jc w:val="both"/>
              <w:rPr>
                <w:lang w:val="en-SG"/>
              </w:rPr>
            </w:pPr>
            <w:r w:rsidRPr="00741B57">
              <w:rPr>
                <w:lang w:val="en-SG"/>
              </w:rPr>
              <w:t>7.6</w:t>
            </w:r>
          </w:p>
        </w:tc>
        <w:tc>
          <w:tcPr>
            <w:tcW w:w="656" w:type="pct"/>
          </w:tcPr>
          <w:p w:rsidR="00323A39" w:rsidRPr="00741B57" w:rsidRDefault="00323A39" w:rsidP="00004805">
            <w:pPr>
              <w:pStyle w:val="Tabletext"/>
              <w:jc w:val="both"/>
              <w:rPr>
                <w:lang w:val="en-SG"/>
              </w:rPr>
            </w:pPr>
            <w:r w:rsidRPr="00741B57">
              <w:rPr>
                <w:lang w:val="en-SG"/>
              </w:rPr>
              <w:t>10</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TIA</w:t>
            </w:r>
          </w:p>
        </w:tc>
        <w:tc>
          <w:tcPr>
            <w:tcW w:w="692" w:type="pct"/>
          </w:tcPr>
          <w:p w:rsidR="00323A39" w:rsidRPr="00741B57" w:rsidRDefault="00323A39" w:rsidP="00004805">
            <w:pPr>
              <w:pStyle w:val="Tabletext"/>
              <w:jc w:val="both"/>
              <w:rPr>
                <w:lang w:val="en-SG"/>
              </w:rPr>
            </w:pPr>
            <w:r w:rsidRPr="00741B57">
              <w:rPr>
                <w:lang w:val="en-SG"/>
              </w:rPr>
              <w:t>0.4</w:t>
            </w:r>
          </w:p>
        </w:tc>
        <w:tc>
          <w:tcPr>
            <w:tcW w:w="660" w:type="pct"/>
          </w:tcPr>
          <w:p w:rsidR="00323A39" w:rsidRPr="00741B57" w:rsidRDefault="00323A39" w:rsidP="00004805">
            <w:pPr>
              <w:pStyle w:val="Tabletext"/>
              <w:jc w:val="both"/>
              <w:rPr>
                <w:lang w:val="en-SG"/>
              </w:rPr>
            </w:pPr>
            <w:r w:rsidRPr="00741B57">
              <w:rPr>
                <w:lang w:val="en-SG"/>
              </w:rPr>
              <w:t>1.9</w:t>
            </w:r>
          </w:p>
        </w:tc>
        <w:tc>
          <w:tcPr>
            <w:tcW w:w="693" w:type="pct"/>
          </w:tcPr>
          <w:p w:rsidR="00323A39" w:rsidRPr="00741B57" w:rsidRDefault="00323A39" w:rsidP="00004805">
            <w:pPr>
              <w:pStyle w:val="Tabletext"/>
              <w:jc w:val="both"/>
              <w:rPr>
                <w:lang w:val="en-SG"/>
              </w:rPr>
            </w:pPr>
            <w:r w:rsidRPr="00741B57">
              <w:rPr>
                <w:lang w:val="en-SG"/>
              </w:rPr>
              <w:t>0.3</w:t>
            </w:r>
          </w:p>
        </w:tc>
        <w:tc>
          <w:tcPr>
            <w:tcW w:w="656" w:type="pct"/>
          </w:tcPr>
          <w:p w:rsidR="00323A39" w:rsidRPr="00741B57" w:rsidRDefault="00323A39" w:rsidP="00004805">
            <w:pPr>
              <w:pStyle w:val="Tabletext"/>
              <w:jc w:val="both"/>
              <w:rPr>
                <w:lang w:val="en-SG"/>
              </w:rPr>
            </w:pPr>
            <w:r w:rsidRPr="00741B57">
              <w:rPr>
                <w:lang w:val="en-SG"/>
              </w:rPr>
              <w:t>1.8</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Atrial fibrillation</w:t>
            </w:r>
          </w:p>
        </w:tc>
        <w:tc>
          <w:tcPr>
            <w:tcW w:w="692" w:type="pct"/>
          </w:tcPr>
          <w:p w:rsidR="00323A39" w:rsidRPr="00741B57" w:rsidRDefault="00323A39" w:rsidP="00004805">
            <w:pPr>
              <w:pStyle w:val="Tabletext"/>
              <w:jc w:val="both"/>
              <w:rPr>
                <w:lang w:val="en-SG"/>
              </w:rPr>
            </w:pPr>
            <w:r w:rsidRPr="00741B57">
              <w:rPr>
                <w:lang w:val="en-SG"/>
              </w:rPr>
              <w:t>3.2</w:t>
            </w:r>
          </w:p>
        </w:tc>
        <w:tc>
          <w:tcPr>
            <w:tcW w:w="660" w:type="pct"/>
          </w:tcPr>
          <w:p w:rsidR="00323A39" w:rsidRPr="00741B57" w:rsidRDefault="00323A39" w:rsidP="00004805">
            <w:pPr>
              <w:pStyle w:val="Tabletext"/>
              <w:jc w:val="both"/>
              <w:rPr>
                <w:lang w:val="en-SG"/>
              </w:rPr>
            </w:pPr>
            <w:r w:rsidRPr="00741B57">
              <w:rPr>
                <w:lang w:val="en-SG"/>
              </w:rPr>
              <w:t>4.2</w:t>
            </w:r>
          </w:p>
        </w:tc>
        <w:tc>
          <w:tcPr>
            <w:tcW w:w="693" w:type="pct"/>
          </w:tcPr>
          <w:p w:rsidR="00323A39" w:rsidRPr="00741B57" w:rsidRDefault="00323A39" w:rsidP="00004805">
            <w:pPr>
              <w:pStyle w:val="Tabletext"/>
              <w:jc w:val="both"/>
              <w:rPr>
                <w:lang w:val="en-SG"/>
              </w:rPr>
            </w:pPr>
            <w:r w:rsidRPr="00741B57">
              <w:rPr>
                <w:lang w:val="en-SG"/>
              </w:rPr>
              <w:t>28.5</w:t>
            </w:r>
          </w:p>
        </w:tc>
        <w:tc>
          <w:tcPr>
            <w:tcW w:w="656" w:type="pct"/>
          </w:tcPr>
          <w:p w:rsidR="00323A39" w:rsidRPr="00741B57" w:rsidRDefault="00323A39" w:rsidP="00004805">
            <w:pPr>
              <w:pStyle w:val="Tabletext"/>
              <w:jc w:val="both"/>
              <w:rPr>
                <w:lang w:val="en-SG"/>
              </w:rPr>
            </w:pPr>
            <w:r w:rsidRPr="00741B57">
              <w:rPr>
                <w:lang w:val="en-SG"/>
              </w:rPr>
              <w:t>29.4</w:t>
            </w:r>
          </w:p>
        </w:tc>
      </w:tr>
      <w:tr w:rsidR="00323A39" w:rsidRPr="00741B57" w:rsidTr="00004805">
        <w:tc>
          <w:tcPr>
            <w:tcW w:w="2299" w:type="pct"/>
          </w:tcPr>
          <w:p w:rsidR="00323A39" w:rsidRPr="00741B57" w:rsidRDefault="00323A39" w:rsidP="00004805">
            <w:pPr>
              <w:pStyle w:val="Tabletext"/>
              <w:jc w:val="both"/>
              <w:rPr>
                <w:lang w:val="en-SG"/>
              </w:rPr>
            </w:pPr>
            <w:r w:rsidRPr="00741B57">
              <w:rPr>
                <w:lang w:val="en-SG"/>
              </w:rPr>
              <w:t xml:space="preserve">Paravalvular aortic regurgitation </w:t>
            </w:r>
          </w:p>
        </w:tc>
        <w:tc>
          <w:tcPr>
            <w:tcW w:w="692" w:type="pct"/>
          </w:tcPr>
          <w:p w:rsidR="00323A39" w:rsidRPr="00741B57" w:rsidRDefault="00323A39" w:rsidP="00004805">
            <w:pPr>
              <w:pStyle w:val="Tabletext"/>
              <w:jc w:val="both"/>
              <w:rPr>
                <w:lang w:val="en-SG"/>
              </w:rPr>
            </w:pPr>
            <w:r w:rsidRPr="00741B57">
              <w:rPr>
                <w:lang w:val="en-SG"/>
              </w:rPr>
              <w:t>3.8</w:t>
            </w:r>
          </w:p>
        </w:tc>
        <w:tc>
          <w:tcPr>
            <w:tcW w:w="660" w:type="pct"/>
          </w:tcPr>
          <w:p w:rsidR="00323A39" w:rsidRPr="00741B57" w:rsidRDefault="00323A39" w:rsidP="00004805">
            <w:pPr>
              <w:pStyle w:val="Tabletext"/>
              <w:jc w:val="both"/>
              <w:rPr>
                <w:lang w:val="en-SG"/>
              </w:rPr>
            </w:pPr>
            <w:r w:rsidRPr="00741B57">
              <w:rPr>
                <w:lang w:val="en-SG"/>
              </w:rPr>
              <w:t>1.5</w:t>
            </w:r>
          </w:p>
        </w:tc>
        <w:tc>
          <w:tcPr>
            <w:tcW w:w="693" w:type="pct"/>
          </w:tcPr>
          <w:p w:rsidR="00323A39" w:rsidRPr="00741B57" w:rsidRDefault="00323A39" w:rsidP="00004805">
            <w:pPr>
              <w:pStyle w:val="Tabletext"/>
              <w:jc w:val="both"/>
              <w:rPr>
                <w:lang w:val="en-SG"/>
              </w:rPr>
            </w:pPr>
            <w:r w:rsidRPr="00741B57">
              <w:rPr>
                <w:lang w:val="en-SG"/>
              </w:rPr>
              <w:t>0.49</w:t>
            </w:r>
          </w:p>
        </w:tc>
        <w:tc>
          <w:tcPr>
            <w:tcW w:w="656" w:type="pct"/>
          </w:tcPr>
          <w:p w:rsidR="00323A39" w:rsidRPr="00741B57" w:rsidRDefault="00323A39" w:rsidP="00004805">
            <w:pPr>
              <w:pStyle w:val="Tabletext"/>
              <w:jc w:val="both"/>
              <w:rPr>
                <w:lang w:val="en-SG"/>
              </w:rPr>
            </w:pPr>
            <w:r w:rsidRPr="00741B57">
              <w:rPr>
                <w:lang w:val="en-SG"/>
              </w:rPr>
              <w:t>0.49</w:t>
            </w:r>
          </w:p>
        </w:tc>
      </w:tr>
    </w:tbl>
    <w:p w:rsidR="00323A39" w:rsidRPr="00741B57" w:rsidDel="00A12E2E" w:rsidRDefault="00323A39" w:rsidP="00323A39">
      <w:pPr>
        <w:pStyle w:val="tablenote"/>
      </w:pPr>
      <w:r w:rsidRPr="00741B57">
        <w:t xml:space="preserve">Abbreviations: AKI, acute kidney injury; CI, confidence interval; MI, myocardial infarction; PPI, permanent pacemaker implantation; PSM, propensity-score matched study; SAVR, surgical aortic valve replacement; TIA, transient ischemic attack; TAVI, </w:t>
      </w:r>
      <w:proofErr w:type="spellStart"/>
      <w:r w:rsidRPr="00741B57">
        <w:t>transcatheter</w:t>
      </w:r>
      <w:proofErr w:type="spellEnd"/>
      <w:r w:rsidRPr="00741B57">
        <w:t xml:space="preserve"> aortic valve implantation </w:t>
      </w:r>
    </w:p>
    <w:p w:rsidR="00323A39" w:rsidRPr="00741B57" w:rsidRDefault="00323A39" w:rsidP="00323A39">
      <w:pPr>
        <w:pStyle w:val="tablenote"/>
      </w:pPr>
      <w:r w:rsidRPr="00741B57">
        <w:t xml:space="preserve">Notes: </w:t>
      </w:r>
    </w:p>
    <w:p w:rsidR="00323A39" w:rsidRPr="00741B57" w:rsidRDefault="00323A39" w:rsidP="00323A39">
      <w:pPr>
        <w:pStyle w:val="tablenote"/>
        <w:numPr>
          <w:ilvl w:val="0"/>
          <w:numId w:val="1"/>
        </w:numPr>
      </w:pPr>
      <w:r w:rsidRPr="00741B57">
        <w:t xml:space="preserve">All-cause mortality was extracted from Kaplan-Meier curves for as-treated population, </w:t>
      </w:r>
      <w:proofErr w:type="spellStart"/>
      <w:r w:rsidRPr="00741B57">
        <w:t>transfemoral</w:t>
      </w:r>
      <w:proofErr w:type="spellEnd"/>
      <w:r w:rsidRPr="00741B57">
        <w:t xml:space="preserve"> population presented in </w:t>
      </w:r>
      <w:proofErr w:type="spellStart"/>
      <w:r w:rsidRPr="00741B57">
        <w:t>Thourani</w:t>
      </w:r>
      <w:proofErr w:type="spellEnd"/>
      <w:r w:rsidRPr="00741B57">
        <w:t xml:space="preserve"> et al., 2016 </w:t>
      </w:r>
      <w:r w:rsidRPr="00741B57">
        <w:fldChar w:fldCharType="begin" w:fldLock="1"/>
      </w:r>
      <w:r w:rsidRPr="00741B57">
        <w:instrText>ADDIN CSL_CITATION {"citationItems":[{"id":"ITEM-1","itemData":{"DOI":"10.1016/S0140-6736(16)30073-3","ISSN":"1474-547X (Electronic)","PMID":"27053442","abstract":"BACKGROUND: Transcatheter aortic valve replacement (TAVR) with the SAPIEN 3 valve  demonstrates good 30 day clinical outcomes in patients with severe aortic stenosis who are at intermediate risk of surgical mortality. Here we report longer-term data in intermediate-risk patients given SAPIEN 3 TAVR and compare outcomes to those of intermediate-risk patients given surgical aortic valve replacement. METHODS: In the SAPIEN 3 observational study, 1077 intermediate-risk patients at 51 sites in the USA and Canada were assigned to receive TAVR with the SAPIEN 3 valve [952 [88%] via transfemoral access) between Feb 17, 2014, and Sept 3, 2014. In this population we assessed all-cause mortality and incidence of strokes, re-intervention, and aortic valve regurgitation at 1 year after implantation. Then we compared 1 year outcomes in this population with those for intermediate-risk patients treated with surgical valve replacement in the PARTNER 2A trial between Dec 23, 2011, and Nov 6, 2013, using a prespecified propensity score analysis to account for between-trial differences in baseline characteristics. The clinical events committee and echocardiographic core laboratory methods were the same for both studies. The primary endpoint was the composite of death from any cause, all strokes, and incidence of moderate or severe aortic regurgitation. We did non-inferiority (margin 7·5%) and superiority analyses in propensity score quintiles to calculate pooled weighted proportion differences for outcomes. FINDINGS: At 1 year follow-up of the SAPIEN 3 observational study, 79 of 1077 patients who initiated the TAVR procedure had died (all-cause mortality 7·4%; 6·5% in the transfemoral access subgroup), and disabling strokes had occurred in 24 (2%), aortic valve re-intervention in six (1%), and moderate or severe paravalvular regurgitation in 13 (2%). In the propensity-score analysis we included 963 patients treated with SAPIEN 3 TAVR and 747 with surgical valve replacement. For the primary composite endpoint of mortality, strokes, and moderate or severe aortic regurgitation, TAVR was both non-inferior (pooled weighted proportion difference of -9·2%; 90% CI -12·4 to -6; p&lt;0·0001) and superior (-9·2%, 95% CI -13·0 to -5·4; p&lt;0·0001) to surgical valve replacement. INTERPRETATION: TAVR with SAPIEN 3 in intermediate-risk patients with severe aortic stenosis is associated with low mortality, strokes, and regurgitation at 1 year. The propensity score analysis indicates a signific…","author":[{"dropping-particle":"","family":"Thourani","given":"Vinod H","non-dropping-particle":"","parse-names":false,"suffix":""},{"dropping-particle":"","family":"Kodali","given":"Susheel","non-dropping-particle":"","parse-names":false,"suffix":""},{"dropping-particle":"","family":"Makkar","given":"Raj R","non-dropping-particle":"","parse-names":false,"suffix":""},{"dropping-particle":"","family":"Herrmann","given":"Howard C","non-dropping-particle":"","parse-names":false,"suffix":""},{"dropping-particle":"","family":"Williams","given":"Mathew","non-dropping-particle":"","parse-names":false,"suffix":""},{"dropping-particle":"","family":"Babaliaros","given":"Vasilis","non-dropping-particle":"","parse-names":false,"suffix":""},{"dropping-particle":"","family":"Smalling","given":"Richard","non-dropping-particle":"","parse-names":false,"suffix":""},{"dropping-particle":"","family":"Lim","given":"Scott","non-dropping-particle":"","parse-names":false,"suffix":""},{"dropping-particle":"","family":"Malaisrie","given":"S Chris","non-dropping-particle":"","parse-names":false,"suffix":""},{"dropping-particle":"","family":"Kapadia","given":"Samir","non-dropping-particle":"","parse-names":false,"suffix":""},{"dropping-particle":"","family":"Szeto","given":"Wilson Y","non-dropping-particle":"","parse-names":false,"suffix":""},{"dropping-particle":"","family":"Greason","given":"Kevin L","non-dropping-particle":"","parse-names":false,"suffix":""},{"dropping-particle":"","family":"Kereiakes","given":"Dean","non-dropping-particle":"","parse-names":false,"suffix":""},{"dropping-particle":"","family":"Ailawadi","given":"Gorav","non-dropping-particle":"","parse-names":false,"suffix":""},{"dropping-particle":"","family":"Whisenant","given":"Brian K","non-dropping-particle":"","parse-names":false,"suffix":""},{"dropping-particle":"","family":"Devireddy","given":"Chandan","non-dropping-particle":"","parse-names":false,"suffix":""},{"dropping-particle":"","family":"Leipsic","given":"Jonathon","non-dropping-particle":"","parse-names":false,"suffix":""},{"dropping-particle":"","family":"Hahn","given":"Rebecca T","non-dropping-particle":"","parse-names":false,"suffix":""},{"dropping-particle":"","family":"Pibarot","given":"Philippe","non-dropping-particle":"","parse-names":false,"suffix":""},{"dropping-particle":"","family":"Weissman","given":"Neil J","non-dropping-particle":"","parse-names":false,"suffix":""},{"dropping-particle":"","family":"Jaber","given":"Wael A","non-dropping-particle":"","parse-names":false,"suffix":""},{"dropping-particle":"","family":"Cohen","given":"David J","non-dropping-particle":"","parse-names":false,"suffix":""},{"dropping-particle":"","family":"Suri","given":"Rakesh","non-dropping-particle":"","parse-names":false,"suffix":""},{"dropping-particle":"","family":"Tuzcu","given":"E Murat","non-dropping-particle":"","parse-names":false,"suffix":""},{"dropping-particle":"","family":"Svensson","given":"Lars G","non-dropping-particle":"","parse-names":false,"suffix":""},{"dropping-particle":"","family":"Webb","given":"John G","non-dropping-particle":"","parse-names":false,"suffix":""},{"dropping-particle":"","family":"Moses","given":"Jeffrey W","non-dropping-particle":"","parse-names":false,"suffix":""},{"dropping-particle":"","family":"Mack","given":"Michael J","non-dropping-particle":"","parse-names":false,"suffix":""},{"dropping-particle":"","family":"Miller","given":"D Craig","non-dropping-particle":"","parse-names":false,"suffix":""},{"dropping-particle":"","family":"Smith","given":"Craig R","non-dropping-particle":"","parse-names":false,"suffix":""},{"dropping-particle":"","family":"Alu","given":"Maria C","non-dropping-particle":"","parse-names":false,"suffix":""},{"dropping-particle":"","family":"Parvataneni","given":"Rupa","non-dropping-particle":"","parse-names":false,"suffix":""},{"dropping-particle":"","family":"D'Agostino","given":"Ralph B Jr","non-dropping-particle":"","parse-names":false,"suffix":""},{"dropping-particle":"","family":"Leon","given":"Martin B","non-dropping-particle":"","parse-names":false,"suffix":""}],"container-title":"Lancet (London, England)","id":"ITEM-1","issue":"10034","issued":{"date-parts":[["2016","5"]]},"language":"eng","page":"2218-2225","publisher-place":"England","title":"Transcatheter aortic valve replacement versus surgical valve replacement in  intermediate-risk patients: a propensity score analysis.","type":"article-journal","volume":"387"},"uris":["http://www.mendeley.com/documents/?uuid=dde35411-188f-4302-a0f0-498220c01114"]}],"mendeley":{"formattedCitation":"[13]","plainTextFormattedCitation":"[13]","previouslyFormattedCitation":"[13]"},"properties":{"noteIndex":0},"schema":"https://github.com/citation-style-language/schema/raw/master/csl-citation.json"}</w:instrText>
      </w:r>
      <w:r w:rsidRPr="00741B57">
        <w:fldChar w:fldCharType="separate"/>
      </w:r>
      <w:r w:rsidRPr="00741B57">
        <w:rPr>
          <w:noProof/>
        </w:rPr>
        <w:t>[13]</w:t>
      </w:r>
      <w:r w:rsidRPr="00741B57">
        <w:fldChar w:fldCharType="end"/>
      </w:r>
      <w:r w:rsidRPr="00741B57">
        <w:t>.</w:t>
      </w:r>
    </w:p>
    <w:p w:rsidR="00323A39" w:rsidRPr="00741B57" w:rsidRDefault="00323A39" w:rsidP="00323A39">
      <w:pPr>
        <w:pStyle w:val="tablenote"/>
        <w:numPr>
          <w:ilvl w:val="0"/>
          <w:numId w:val="1"/>
        </w:numPr>
      </w:pPr>
      <w:r w:rsidRPr="00741B57">
        <w:t>As paravalvular aortic regurgitation rates were not available for SAVR patients, data reported in PARTNER 2A was used instead.</w:t>
      </w:r>
    </w:p>
    <w:p w:rsidR="00323A39" w:rsidRPr="00741B57" w:rsidRDefault="00323A39" w:rsidP="00323A39">
      <w:pPr>
        <w:pStyle w:val="tablenote"/>
      </w:pPr>
    </w:p>
    <w:p w:rsidR="00323A39" w:rsidRPr="00741B57" w:rsidRDefault="00323A39" w:rsidP="00323A39">
      <w:pPr>
        <w:jc w:val="both"/>
        <w:rPr>
          <w:b/>
          <w:szCs w:val="28"/>
          <w:lang w:val="en-SG"/>
        </w:rPr>
      </w:pPr>
      <w:r w:rsidRPr="00741B57">
        <w:br w:type="page"/>
      </w:r>
    </w:p>
    <w:p w:rsidR="00323A39" w:rsidRPr="00741B57" w:rsidRDefault="00323A39" w:rsidP="00323A39">
      <w:pPr>
        <w:pStyle w:val="tablenote"/>
      </w:pPr>
      <w:proofErr w:type="gramStart"/>
      <w:r w:rsidRPr="00741B57">
        <w:lastRenderedPageBreak/>
        <w:t>Table S4-2.</w:t>
      </w:r>
      <w:proofErr w:type="gramEnd"/>
      <w:r w:rsidRPr="00741B57">
        <w:t xml:space="preserve"> Utility values and decrements applied in scenario analyses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4A0" w:firstRow="1" w:lastRow="0" w:firstColumn="1" w:lastColumn="0" w:noHBand="0" w:noVBand="1"/>
      </w:tblPr>
      <w:tblGrid>
        <w:gridCol w:w="2288"/>
        <w:gridCol w:w="2486"/>
        <w:gridCol w:w="575"/>
        <w:gridCol w:w="2005"/>
        <w:gridCol w:w="2222"/>
      </w:tblGrid>
      <w:tr w:rsidR="00323A39" w:rsidRPr="00741B57" w:rsidTr="00004805">
        <w:tc>
          <w:tcPr>
            <w:tcW w:w="5000" w:type="pct"/>
            <w:gridSpan w:val="5"/>
            <w:shd w:val="clear" w:color="auto" w:fill="BFBFBF" w:themeFill="background1" w:themeFillShade="BF"/>
          </w:tcPr>
          <w:p w:rsidR="00323A39" w:rsidRPr="00741B57" w:rsidRDefault="00323A39" w:rsidP="00323A39">
            <w:pPr>
              <w:pStyle w:val="Tabletext"/>
              <w:numPr>
                <w:ilvl w:val="0"/>
                <w:numId w:val="4"/>
              </w:numPr>
              <w:ind w:left="335" w:hanging="335"/>
              <w:rPr>
                <w:b/>
                <w:lang w:val="en-SG"/>
              </w:rPr>
            </w:pPr>
            <w:r w:rsidRPr="00741B57">
              <w:rPr>
                <w:b/>
              </w:rPr>
              <w:t>EQ-5D utility values applied in Scenario 1</w:t>
            </w:r>
          </w:p>
        </w:tc>
      </w:tr>
      <w:tr w:rsidR="00323A39" w:rsidRPr="00741B57" w:rsidTr="00004805">
        <w:tc>
          <w:tcPr>
            <w:tcW w:w="1195" w:type="pct"/>
            <w:shd w:val="clear" w:color="auto" w:fill="BFBFBF" w:themeFill="background1" w:themeFillShade="BF"/>
          </w:tcPr>
          <w:p w:rsidR="00323A39" w:rsidRPr="00741B57" w:rsidRDefault="00323A39" w:rsidP="00004805">
            <w:pPr>
              <w:pStyle w:val="Tabletext"/>
              <w:rPr>
                <w:lang w:val="en-SG"/>
              </w:rPr>
            </w:pPr>
            <w:r w:rsidRPr="00741B57">
              <w:rPr>
                <w:b/>
              </w:rPr>
              <w:t>Time point</w:t>
            </w:r>
          </w:p>
        </w:tc>
        <w:tc>
          <w:tcPr>
            <w:tcW w:w="1298" w:type="pct"/>
            <w:shd w:val="clear" w:color="auto" w:fill="BFBFBF" w:themeFill="background1" w:themeFillShade="BF"/>
          </w:tcPr>
          <w:p w:rsidR="00323A39" w:rsidRPr="00741B57" w:rsidRDefault="00323A39" w:rsidP="00004805">
            <w:pPr>
              <w:pStyle w:val="Tabletext"/>
              <w:rPr>
                <w:lang w:val="en-SG"/>
              </w:rPr>
            </w:pPr>
            <w:r w:rsidRPr="00741B57">
              <w:rPr>
                <w:b/>
              </w:rPr>
              <w:t>TAVI, mean ± SD (95% CI)</w:t>
            </w:r>
          </w:p>
        </w:tc>
        <w:tc>
          <w:tcPr>
            <w:tcW w:w="1347" w:type="pct"/>
            <w:gridSpan w:val="2"/>
            <w:shd w:val="clear" w:color="auto" w:fill="BFBFBF" w:themeFill="background1" w:themeFillShade="BF"/>
          </w:tcPr>
          <w:p w:rsidR="00323A39" w:rsidRPr="00741B57" w:rsidRDefault="00323A39" w:rsidP="00004805">
            <w:pPr>
              <w:pStyle w:val="Tabletext"/>
              <w:rPr>
                <w:lang w:val="en-SG"/>
              </w:rPr>
            </w:pPr>
            <w:r w:rsidRPr="00741B57">
              <w:rPr>
                <w:b/>
              </w:rPr>
              <w:t>SAVR, mean ± SD (95% CI)</w:t>
            </w:r>
          </w:p>
        </w:tc>
        <w:tc>
          <w:tcPr>
            <w:tcW w:w="1160" w:type="pct"/>
            <w:shd w:val="clear" w:color="auto" w:fill="BFBFBF" w:themeFill="background1" w:themeFillShade="BF"/>
          </w:tcPr>
          <w:p w:rsidR="00323A39" w:rsidRPr="00741B57" w:rsidRDefault="00323A39" w:rsidP="00004805">
            <w:pPr>
              <w:pStyle w:val="Tabletext"/>
              <w:rPr>
                <w:lang w:val="en-SG"/>
              </w:rPr>
            </w:pPr>
            <w:r w:rsidRPr="00741B57">
              <w:rPr>
                <w:b/>
              </w:rPr>
              <w:t>Source</w:t>
            </w: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Baseline</w:t>
            </w:r>
          </w:p>
        </w:tc>
        <w:tc>
          <w:tcPr>
            <w:tcW w:w="1298" w:type="pct"/>
            <w:shd w:val="clear" w:color="auto" w:fill="FFFFFF" w:themeFill="background1"/>
          </w:tcPr>
          <w:p w:rsidR="00323A39" w:rsidRPr="00741B57" w:rsidRDefault="00323A39" w:rsidP="00004805">
            <w:pPr>
              <w:pStyle w:val="Tabletext"/>
              <w:rPr>
                <w:lang w:val="en-SG"/>
              </w:rPr>
            </w:pPr>
            <w:r w:rsidRPr="00741B57">
              <w:rPr>
                <w:lang w:val="en-SG"/>
              </w:rPr>
              <w:t>0.75 ± 0.16</w:t>
            </w:r>
          </w:p>
        </w:tc>
        <w:tc>
          <w:tcPr>
            <w:tcW w:w="1347" w:type="pct"/>
            <w:gridSpan w:val="2"/>
            <w:shd w:val="clear" w:color="auto" w:fill="FFFFFF" w:themeFill="background1"/>
          </w:tcPr>
          <w:p w:rsidR="00323A39" w:rsidRPr="00741B57" w:rsidRDefault="00323A39" w:rsidP="00004805">
            <w:pPr>
              <w:pStyle w:val="Tabletext"/>
              <w:rPr>
                <w:lang w:val="en-SG"/>
              </w:rPr>
            </w:pPr>
            <w:r w:rsidRPr="00741B57">
              <w:rPr>
                <w:lang w:val="en-SG"/>
              </w:rPr>
              <w:t>0.74 ± 0.17</w:t>
            </w:r>
          </w:p>
        </w:tc>
        <w:tc>
          <w:tcPr>
            <w:tcW w:w="1160" w:type="pct"/>
            <w:vMerge w:val="restart"/>
            <w:shd w:val="clear" w:color="auto" w:fill="FFFFFF" w:themeFill="background1"/>
          </w:tcPr>
          <w:p w:rsidR="00323A39" w:rsidRPr="00741B57" w:rsidRDefault="00323A39" w:rsidP="00004805">
            <w:pPr>
              <w:rPr>
                <w:sz w:val="20"/>
                <w:szCs w:val="20"/>
              </w:rPr>
            </w:pPr>
            <w:r w:rsidRPr="00741B57">
              <w:rPr>
                <w:sz w:val="20"/>
                <w:szCs w:val="20"/>
              </w:rPr>
              <w:fldChar w:fldCharType="begin" w:fldLock="1"/>
            </w:r>
            <w:r w:rsidRPr="00741B57">
              <w:rPr>
                <w:sz w:val="20"/>
                <w:szCs w:val="20"/>
              </w:rPr>
              <w:instrText>ADDIN CSL_CITATION {"citationItems":[{"id":"ITEM-1","itemData":{"DOI":"https://doi.org/10.1016/j.jcin.2018.02.032","ISSN":"1876-7605","abstract":"Objectives: The aim of this study was to evaluate whether transcatheter aortic valve replacement (TAVR) with the SAPIEN 3 valve (S3-TAVR) results in improved quality of life (QoL) compared with previous-generation TAVR devices or surgical aortic valve replacement (SAVR). Background: In patients with severe aortic stenosis at intermediate surgical risk, TAVR using the SAPIEN XT valve (XT-TAVR) results in similar QoL compared with SAVR. Compared with SAPIEN XT, the SAPIEN 3 valve offers a lower delivery profile and modifications to reduce paravalvular regurgitation. Methods: Between February and December 2014, 1,078 patients at intermediate surgical risk with severe aortic stenosis were treated with S3-TAVR in the PARTNER S3i (Placement of Aortic Transcatheter Valve) trial. QoL was assessed at baseline, 1 month, and 1 year using the Kansas City Cardiomyopathy Questionnaire, Medical Outcomes Study Short Form-36, and EQ-5D. QoL outcomes of S3-TAVR patients were compared with those in the SAVR and XT-TAVR arms of the PARTNER 2A trial using propensity score stratification to adjust for differences between the treatment groups. Results: Over 1 year, S3-TAVR was associated with substantial improvements in QoL compared with baseline. At 1 month, S3-TAVR was associated with better QoL than either SAVR or XT-TAVR (adjusted differences in Kansas City Cardiomyopathy Questionnaire overall summary score 15.6 and 3.7 points, respectively; p &lt; 0.001). At 1 year, the differences in QoL between S3-TAVR and both SAVR and XT-TAVR were reduced but remained statistically significant (adjusted differences 2.0 and 2.2 points, respectively; p &lt; 0.05). Similar results were seen for generic QoL outcomes. Conclusions: Among patients at intermediate surgical risk with severe aortic stenosis, S3-TAVR resulted in improved QoL at both 1 month and 1 year compared with both XT-TAVR and SAVR.","author":[{"dropping-particle":"","family":"Baron","given":"S.J.","non-dropping-particle":"","parse-names":false,"suffix":""},{"dropping-particle":"","family":"Thourani","given":"V.H.","non-dropping-particle":"","parse-names":false,"suffix":""},{"dropping-particle":"","family":"Kodali","given":"S.","non-dropping-particle":"","parse-names":false,"suffix":""},{"dropping-particle":"","family":"Arnold","given":"S.V.","non-dropping-particle":"","parse-names":false,"suffix":""},{"dropping-particle":"","family":"Wang","given":"K.","non-dropping-particle":"","parse-names":false,"suffix":""},{"dropping-particle":"","family":"E.A.","given":"Magnuson","non-dropping-particle":"","parse-names":false,"suffix":""},{"dropping-particle":"","family":"A.D.","given":"Pichard","non-dropping-particle":"","parse-names":false,"suffix":""},{"dropping-particle":"","family":"V.","given":"Babaliaros","non-dropping-particle":"","parse-names":false,"suffix":""},{"dropping-particle":"","family":"I.","given":"George","non-dropping-particle":"","parse-names":false,"suffix":""},{"dropping-particle":"","family":"D.C.","given":"Miller","non-dropping-particle":"","parse-names":false,"suffix":""},{"dropping-particle":"","family":"E.M.","given":"Tuzcu","non-dropping-particle":"","parse-names":false,"suffix":""},{"dropping-particle":"","family":"K.","given":"Greason","non-dropping-particle":"","parse-names":false,"suffix":""},{"dropping-particle":"","family":"H.C.","given":"Herrmann","non-dropping-particle":"","parse-names":false,"suffix":""},{"dropping-particle":"","family":"C.R.","given":"Smith","non-dropping-particle":"","parse-names":false,"suffix":""},{"dropping-particle":"","family":"M.B.","given":"Leon","non-dropping-particle":"","parse-names":false,"suffix":""},{"dropping-particle":"","family":"D.J.","given":"Cohen","non-dropping-particle":"","parse-names":false,"suffix":""}],"container-title":"JACC: Cardiovascular Interventions","id":"ITEM-1","issue":"12","issued":{"date-parts":[["2018"]]},"language":"English","page":"1188-1198","publisher-place":"S.J. Baron, Saint Luke's Mid America Heart Institute, University of Missouri–Kansas City School of Medicine, 20 NE Saint Luke's Boulevard, Suite 240, Lees Summit, Missouri, United States","title":"Effect of SAPIEN 3 Transcatheter Valve Implantation on Health Status in Patients With Severe Aortic Stenosis at Intermediate Surgical Risk: Results From the PARTNER S3i Trial","type":"article-journal","volume":"11"},"uris":["http://www.mendeley.com/documents/?uuid=88990438-d458-4d50-94aa-bc02a0975797"]}],"mendeley":{"formattedCitation":"[43]","plainTextFormattedCitation":"[43]","previouslyFormattedCitation":"[43]"},"properties":{"noteIndex":0},"schema":"https://github.com/citation-style-language/schema/raw/master/csl-citation.json"}</w:instrText>
            </w:r>
            <w:r w:rsidRPr="00741B57">
              <w:rPr>
                <w:sz w:val="20"/>
                <w:szCs w:val="20"/>
              </w:rPr>
              <w:fldChar w:fldCharType="separate"/>
            </w:r>
            <w:r w:rsidRPr="00741B57">
              <w:rPr>
                <w:noProof/>
                <w:sz w:val="20"/>
                <w:szCs w:val="20"/>
              </w:rPr>
              <w:t>[50]</w:t>
            </w:r>
            <w:r w:rsidRPr="00741B57">
              <w:rPr>
                <w:sz w:val="20"/>
                <w:szCs w:val="20"/>
              </w:rPr>
              <w:fldChar w:fldCharType="end"/>
            </w:r>
            <w:r w:rsidRPr="00741B57">
              <w:rPr>
                <w:sz w:val="20"/>
                <w:szCs w:val="20"/>
              </w:rPr>
              <w:t xml:space="preserve"> </w:t>
            </w:r>
            <w:r w:rsidRPr="00741B57">
              <w:rPr>
                <w:sz w:val="20"/>
                <w:szCs w:val="20"/>
                <w:lang w:val="en-SG"/>
              </w:rPr>
              <w:t>(Utility weights were obtained from pooled [</w:t>
            </w:r>
            <w:proofErr w:type="spellStart"/>
            <w:r w:rsidRPr="00741B57">
              <w:rPr>
                <w:sz w:val="20"/>
                <w:szCs w:val="20"/>
                <w:lang w:val="en-SG"/>
              </w:rPr>
              <w:t>transfemoral</w:t>
            </w:r>
            <w:proofErr w:type="spellEnd"/>
            <w:r w:rsidRPr="00741B57">
              <w:rPr>
                <w:sz w:val="20"/>
                <w:szCs w:val="20"/>
                <w:lang w:val="en-SG"/>
              </w:rPr>
              <w:t xml:space="preserve"> and non-</w:t>
            </w:r>
            <w:proofErr w:type="spellStart"/>
            <w:r w:rsidRPr="00741B57">
              <w:rPr>
                <w:sz w:val="20"/>
                <w:szCs w:val="20"/>
                <w:lang w:val="en-SG"/>
              </w:rPr>
              <w:t>transfemoral</w:t>
            </w:r>
            <w:proofErr w:type="spellEnd"/>
            <w:r w:rsidRPr="00741B57">
              <w:rPr>
                <w:sz w:val="20"/>
                <w:szCs w:val="20"/>
                <w:lang w:val="en-SG"/>
              </w:rPr>
              <w:t>] population)</w:t>
            </w:r>
          </w:p>
        </w:tc>
      </w:tr>
      <w:tr w:rsidR="00323A39" w:rsidRPr="00741B57" w:rsidTr="00004805">
        <w:tc>
          <w:tcPr>
            <w:tcW w:w="1195" w:type="pct"/>
            <w:shd w:val="clear" w:color="auto" w:fill="FFFFFF" w:themeFill="background1"/>
            <w:vAlign w:val="center"/>
          </w:tcPr>
          <w:p w:rsidR="00323A39" w:rsidRPr="00741B57" w:rsidRDefault="00323A39" w:rsidP="00004805">
            <w:pPr>
              <w:pStyle w:val="Tabletext"/>
              <w:rPr>
                <w:lang w:val="en-SG"/>
              </w:rPr>
            </w:pPr>
            <w:r w:rsidRPr="00741B57">
              <w:rPr>
                <w:lang w:val="en-SG"/>
              </w:rPr>
              <w:t>Month-1</w:t>
            </w:r>
          </w:p>
        </w:tc>
        <w:tc>
          <w:tcPr>
            <w:tcW w:w="1298" w:type="pct"/>
            <w:shd w:val="clear" w:color="auto" w:fill="FFFFFF" w:themeFill="background1"/>
          </w:tcPr>
          <w:p w:rsidR="00323A39" w:rsidRPr="00741B57" w:rsidRDefault="00323A39" w:rsidP="00004805">
            <w:pPr>
              <w:pStyle w:val="Tabletext"/>
              <w:rPr>
                <w:lang w:val="en-SG"/>
              </w:rPr>
            </w:pPr>
            <w:r w:rsidRPr="00741B57">
              <w:rPr>
                <w:lang w:val="en-SG"/>
              </w:rPr>
              <w:t>0.82 (0.8 to 0.83)</w:t>
            </w:r>
          </w:p>
        </w:tc>
        <w:tc>
          <w:tcPr>
            <w:tcW w:w="1347" w:type="pct"/>
            <w:gridSpan w:val="2"/>
            <w:shd w:val="clear" w:color="auto" w:fill="FFFFFF" w:themeFill="background1"/>
          </w:tcPr>
          <w:p w:rsidR="00323A39" w:rsidRPr="00741B57" w:rsidRDefault="00323A39" w:rsidP="00004805">
            <w:pPr>
              <w:pStyle w:val="Tabletext"/>
              <w:rPr>
                <w:lang w:val="en-SG"/>
              </w:rPr>
            </w:pPr>
            <w:r w:rsidRPr="00741B57">
              <w:rPr>
                <w:lang w:val="en-SG"/>
              </w:rPr>
              <w:t>0.74 (0.72 to 0.75)</w:t>
            </w:r>
          </w:p>
        </w:tc>
        <w:tc>
          <w:tcPr>
            <w:tcW w:w="1160" w:type="pct"/>
            <w:vMerge/>
            <w:shd w:val="clear" w:color="auto" w:fill="FFFFFF" w:themeFill="background1"/>
          </w:tcPr>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Month-12</w:t>
            </w:r>
          </w:p>
        </w:tc>
        <w:tc>
          <w:tcPr>
            <w:tcW w:w="1298" w:type="pct"/>
            <w:shd w:val="clear" w:color="auto" w:fill="FFFFFF" w:themeFill="background1"/>
          </w:tcPr>
          <w:p w:rsidR="00323A39" w:rsidRPr="00741B57" w:rsidRDefault="00323A39" w:rsidP="00004805">
            <w:pPr>
              <w:pStyle w:val="Tabletext"/>
              <w:rPr>
                <w:lang w:val="en-SG"/>
              </w:rPr>
            </w:pPr>
            <w:r w:rsidRPr="00741B57">
              <w:rPr>
                <w:lang w:val="en-SG"/>
              </w:rPr>
              <w:t>0.80 (0.79 to 0.81)</w:t>
            </w:r>
          </w:p>
        </w:tc>
        <w:tc>
          <w:tcPr>
            <w:tcW w:w="1347" w:type="pct"/>
            <w:gridSpan w:val="2"/>
            <w:shd w:val="clear" w:color="auto" w:fill="FFFFFF" w:themeFill="background1"/>
          </w:tcPr>
          <w:p w:rsidR="00323A39" w:rsidRPr="00741B57" w:rsidRDefault="00323A39" w:rsidP="00004805">
            <w:pPr>
              <w:pStyle w:val="Tabletext"/>
              <w:rPr>
                <w:lang w:val="en-SG"/>
              </w:rPr>
            </w:pPr>
            <w:r w:rsidRPr="00741B57">
              <w:rPr>
                <w:lang w:val="en-SG"/>
              </w:rPr>
              <w:t>0.80 (0.79 to 0.82)</w:t>
            </w:r>
          </w:p>
        </w:tc>
        <w:tc>
          <w:tcPr>
            <w:tcW w:w="1160" w:type="pct"/>
            <w:vMerge/>
            <w:shd w:val="clear" w:color="auto" w:fill="FFFFFF" w:themeFill="background1"/>
          </w:tcPr>
          <w:p w:rsidR="00323A39" w:rsidRPr="00741B57" w:rsidRDefault="00323A39" w:rsidP="00004805">
            <w:pPr>
              <w:pStyle w:val="Tabletext"/>
              <w:rPr>
                <w:lang w:val="en-SG"/>
              </w:rPr>
            </w:pPr>
          </w:p>
        </w:tc>
      </w:tr>
      <w:tr w:rsidR="00323A39" w:rsidRPr="00741B57" w:rsidTr="00004805">
        <w:trPr>
          <w:trHeight w:val="56"/>
        </w:trPr>
        <w:tc>
          <w:tcPr>
            <w:tcW w:w="5000" w:type="pct"/>
            <w:gridSpan w:val="5"/>
            <w:shd w:val="clear" w:color="auto" w:fill="BFBFBF" w:themeFill="background1" w:themeFillShade="BF"/>
            <w:vAlign w:val="bottom"/>
          </w:tcPr>
          <w:p w:rsidR="00323A39" w:rsidRPr="00741B57" w:rsidRDefault="00323A39" w:rsidP="00323A39">
            <w:pPr>
              <w:pStyle w:val="Tabletext"/>
              <w:numPr>
                <w:ilvl w:val="0"/>
                <w:numId w:val="4"/>
              </w:numPr>
              <w:ind w:left="335" w:hanging="335"/>
              <w:rPr>
                <w:lang w:val="en-SG"/>
              </w:rPr>
            </w:pPr>
            <w:r w:rsidRPr="00741B57">
              <w:rPr>
                <w:b/>
                <w:bCs/>
                <w:lang w:val="en-SG"/>
              </w:rPr>
              <w:t>Utility decrements associated with AEs, applied in Scenario 3</w:t>
            </w:r>
          </w:p>
        </w:tc>
      </w:tr>
      <w:tr w:rsidR="00323A39" w:rsidRPr="00741B57" w:rsidTr="00004805">
        <w:tc>
          <w:tcPr>
            <w:tcW w:w="1195" w:type="pct"/>
            <w:shd w:val="clear" w:color="auto" w:fill="BFBFBF" w:themeFill="background1" w:themeFillShade="BF"/>
          </w:tcPr>
          <w:p w:rsidR="00323A39" w:rsidRPr="00741B57" w:rsidRDefault="00323A39" w:rsidP="00004805">
            <w:pPr>
              <w:pStyle w:val="Tabletext"/>
              <w:rPr>
                <w:lang w:val="en-SG"/>
              </w:rPr>
            </w:pPr>
            <w:r w:rsidRPr="00741B57">
              <w:rPr>
                <w:b/>
              </w:rPr>
              <w:t>AEs</w:t>
            </w:r>
          </w:p>
        </w:tc>
        <w:tc>
          <w:tcPr>
            <w:tcW w:w="2645" w:type="pct"/>
            <w:gridSpan w:val="3"/>
            <w:shd w:val="clear" w:color="auto" w:fill="BFBFBF" w:themeFill="background1" w:themeFillShade="BF"/>
          </w:tcPr>
          <w:p w:rsidR="00323A39" w:rsidRPr="00741B57" w:rsidRDefault="00323A39" w:rsidP="00004805">
            <w:pPr>
              <w:pStyle w:val="Tabletext"/>
              <w:rPr>
                <w:lang w:val="en-SG"/>
              </w:rPr>
            </w:pPr>
            <w:r w:rsidRPr="00741B57">
              <w:rPr>
                <w:b/>
              </w:rPr>
              <w:t>Utility weights, mean ± SD (95% CI)</w:t>
            </w:r>
          </w:p>
        </w:tc>
        <w:tc>
          <w:tcPr>
            <w:tcW w:w="1160" w:type="pct"/>
            <w:shd w:val="clear" w:color="auto" w:fill="BFBFBF" w:themeFill="background1" w:themeFillShade="BF"/>
          </w:tcPr>
          <w:p w:rsidR="00323A39" w:rsidRPr="00741B57" w:rsidRDefault="00323A39" w:rsidP="00004805">
            <w:pPr>
              <w:pStyle w:val="Tabletext"/>
              <w:rPr>
                <w:lang w:val="en-SG"/>
              </w:rPr>
            </w:pPr>
            <w:r w:rsidRPr="00741B57">
              <w:rPr>
                <w:b/>
              </w:rPr>
              <w:t>Source</w:t>
            </w: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Disabling or major stroke</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0.161 ± 0.537</w:t>
            </w:r>
          </w:p>
        </w:tc>
        <w:tc>
          <w:tcPr>
            <w:tcW w:w="1160" w:type="pct"/>
            <w:shd w:val="clear" w:color="auto" w:fill="FFFFFF" w:themeFill="background1"/>
          </w:tcPr>
          <w:p w:rsidR="00323A39" w:rsidRPr="00741B57" w:rsidRDefault="00323A39" w:rsidP="00004805">
            <w:pPr>
              <w:spacing w:line="480" w:lineRule="auto"/>
              <w:rPr>
                <w:sz w:val="20"/>
                <w:szCs w:val="20"/>
              </w:rPr>
            </w:pPr>
            <w:r w:rsidRPr="00741B57">
              <w:rPr>
                <w:sz w:val="20"/>
                <w:szCs w:val="20"/>
              </w:rPr>
              <w:fldChar w:fldCharType="begin" w:fldLock="1"/>
            </w:r>
            <w:r w:rsidRPr="00741B57">
              <w:rPr>
                <w:sz w:val="20"/>
                <w:szCs w:val="20"/>
              </w:rPr>
              <w:instrText>ADDIN CSL_CITATION {"citationItems":[{"id":"ITEM-1","itemData":{"DOI":"10.1186/s12955-016-0512-9","ISSN":"1477-7525 (Electronic)","PMID":"27456092","abstract":"BACKGROUND: Quality of life (QoL) measurements reported in observational studies are  often biased, since patients who failed to improve are more likely to be unable to respond due to death or impairment. In order to observe the development of QoL in patients close to death, we analyzed a set of monthly QoL measurements for a cohort of elderly patients treated for aortic valve stenosis (AS) with special consideration of the effect of distance to death. METHODS: QoL in 169 elderly patients (age </w:instrText>
            </w:r>
            <w:r w:rsidRPr="00741B57">
              <w:rPr>
                <w:rFonts w:hint="eastAsia"/>
                <w:sz w:val="20"/>
                <w:szCs w:val="20"/>
              </w:rPr>
              <w:instrText>≥</w:instrText>
            </w:r>
            <w:r w:rsidRPr="00741B57">
              <w:rPr>
                <w:sz w:val="20"/>
                <w:szCs w:val="20"/>
              </w:rPr>
              <w:instrText> 75 years), treated either with transcatheter aortic valve replacement (TAVR; n = 92), surgical aortic-valve replacement (n = 70), or drug-based therapy (n = 7), was evaluated using the standardized EQ-5D questionnaire. Over a two-year period, patients were consulted using monthly telephone interviews or outpatient visits, leading to a total of 2463 time points at which QoL values, New York Heart Association (NYHA) Functional Classification and their status of assistance were assessed. Furthermore, post-procedural clinical events and complications were monitored. Linear and ordered logistic regression analyses with random intercept were carried out, taking into account overall trends and distance to death. RESULTS: QoL measures decreased slightly over time, were temporarily impaired at month 1 after the initial episode of hospitalization and decreased substantially at the end of life with a measurable effect starting at the sixth from last follow-up (month) before death. Many clinical complications (bleeding complications, stroke, acute kidney injury) showed an impairment of QoL measurements, but the inclusion of lagged variables demonstrated medium term (three months) QoL impairments for access site bleeding only. All other complications are associated with event-related impairments that decreased dramatically at the second and third follow-up interviews (month) after event. CONCLUSIONS: Distance to death shows clear effects on QoL and should be taken into account when analyzing QoL measures in the elderly patients treated for aortic valve stenosis. TRIAL REGISTRATION: German Clinical Trial Register Nr. DRKS00000797.","author":[{"dropping-particle":"","family":"Kaier","given":"Klaus","non-dropping-particle":"","parse-names":false,"suffix":""},{"dropping-particle":"","family":"Gutmann","given":"Anja","non-dropping-particle":"","parse-names":false,"suffix":""},{"dropping-particle":"","family":"Baumbach","given":"Hardy","non-dropping-particle":"","parse-names":false,"suffix":""},{"dropping-particle":"","family":"Zur Mühlen","given":"Constantin","non-dropping-particle":"von","parse-names":false,"suffix":""},{"dropping-particle":"","family":"Hehn","given":"Philip","non-dropping-particle":"","parse-names":false,"suffix":""},{"dropping-particle":"","family":"Vach","given":"Werner","non-dropping-particle":"","parse-names":false,"suffix":""},{"dropping-particle":"","family":"Beyersdorf","given":"Friedhelm","non-dropping-particle":"","parse-names":false,"suffix":""},{"dropping-particle":"","family":"Zehender","given":"Manfred","non-dropping-particle":"","parse-names":false,"suffix":""},{"dropping-particle":"","family":"Bode","given":"Christoph","non-dropping-particle":"","parse-names":false,"suffix":""},{"dropping-particle":"","family":"Reinöhl","given":"Jochen","non-dropping-particle":"","parse-names":false,"suffix":""}],"container-title":"Health and quality of life outcomes","id":"ITEM-1","issue":"1","issued":{"date-parts":[["2016","7"]]},"language":"eng","page":"109","title":"Quality of life among elderly patients undergoing transcatheter or surgical aortic  valve replacement- a model-based longitudinal data analysis.","type":"article-journal","volume":"14"},"uris":["http://www.mendeley.com/documents/?uuid=86437aa6-9cfd-4f76-b4f5-958e3aba137f"]}],"mendeley":{"formattedCitation":"[44]","plainTextFormattedCitation":"[44]","previouslyFormattedCitation":"[44]"},"properties":{"noteIndex":0},"schema":"https://github.com/citation-style-language/schema/raw/master/csl-citation.json"}</w:instrText>
            </w:r>
            <w:r w:rsidRPr="00741B57">
              <w:rPr>
                <w:sz w:val="20"/>
                <w:szCs w:val="20"/>
              </w:rPr>
              <w:fldChar w:fldCharType="separate"/>
            </w:r>
            <w:r w:rsidRPr="00741B57">
              <w:rPr>
                <w:noProof/>
                <w:sz w:val="20"/>
                <w:szCs w:val="20"/>
              </w:rPr>
              <w:t>[51]</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Rehospitalisation</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0.1167</w:t>
            </w:r>
          </w:p>
        </w:tc>
        <w:bookmarkStart w:id="0" w:name="_Hlk87523304"/>
        <w:bookmarkEnd w:id="0"/>
        <w:tc>
          <w:tcPr>
            <w:tcW w:w="1160" w:type="pct"/>
            <w:shd w:val="clear" w:color="auto" w:fill="FFFFFF" w:themeFill="background1"/>
          </w:tcPr>
          <w:p w:rsidR="00323A39" w:rsidRPr="00741B57" w:rsidRDefault="00323A39" w:rsidP="00004805">
            <w:pPr>
              <w:rPr>
                <w:sz w:val="20"/>
                <w:szCs w:val="20"/>
              </w:rPr>
            </w:pPr>
            <w:r w:rsidRPr="00741B57">
              <w:rPr>
                <w:sz w:val="20"/>
                <w:szCs w:val="20"/>
              </w:rPr>
              <w:fldChar w:fldCharType="begin" w:fldLock="1"/>
            </w:r>
            <w:r w:rsidRPr="00741B57">
              <w:rPr>
                <w:sz w:val="20"/>
                <w:szCs w:val="20"/>
              </w:rPr>
              <w:instrText>ADDIN CSL_CITATION {"citationItems":[{"id":"ITEM-1","itemData":{"DOI":"10.2147/CEOR.S208107","ISSN":"1178-6981 (Print)","PMID":"31551658","abstract":"Background and objectives: The treatment of severe aortic stenosis requires  replacement of the defective native valve. Traditionally, this has been done via surgery, but in the last 10 years, transcatheter techniques have emerged. Transcatheter aortic valve implantation (TAVI) is a less invasive option compared to surgical aortic valve replacement (SAVR), and this study evaluates the cost-effectiveness of TAVI versus SAVR in intermediate and high surgical risk patients in Canada. Methods: A Markov model was used to project the costs and quality-adjusted life years (QALYs) gained for TAVI using the SAPIEN 3 valve and SAVR over a 15-year time horizon. The PARTNER I and II studies were used to populate the model in terms of survival, clinical event rates and quality of life over time. The costs of TAVI with SAPIEN 3 and SAVR as well as the costs associated with events included in the model were derived from Canadian administrative and literature data. Costs were expressed in 2018 Canadian dollars and all future costs and QALYs were discounted at a rate of 1.5% annually. Probabilistic and one-way sensitivity analyses were conducted. Results: The incremental cost-effectiveness ratios of TAVI using the SAPIEN 3 valve compared to surgery were $28,154 per QALY gained in intermediate risk patients and $17,237 per QALY gained in high-risk patients. The results of the probabilistic analyses indicated that at willingness-to-pay threshold of $50,000 per QALY gained, the probability of TAVI to be cost-effective was greater than 0.9 in both intermediate-risk and high-risk patients. Sensitivity analyses showed the results were most sensitive to the time horizon used. Conclusion: TAVI using the SAPIEN 3 valve is highly likely to be cost-effective in Canadian patients with severe aortic stenosis who are at intermediate and high surgical risk.","author":[{"dropping-particle":"","family":"Tarride","given":"Jean-Eric","non-dropping-particle":"","parse-names":false,"suffix":""},{"dropping-particle":"","family":"Luong","given":"Trinh","non-dropping-particle":"","parse-names":false,"suffix":""},{"dropping-particle":"","family":"Goodall","given":"Gordon","non-dropping-particle":"","parse-names":false,"suffix":""},{"dropping-particle":"","family":"Burke","given":"Natasha","non-dropping-particle":"","parse-names":false,"suffix":""},{"dropping-particle":"","family":"Blackhouse","given":"Gordon","non-dropping-particle":"","parse-names":false,"suffix":""}],"container-title":"ClinicoEconomics and outcomes research : CEOR","id":"ITEM-1","issued":{"date-parts":[["2019"]]},"language":"eng","page":"477-486","title":"A Canadian cost-effectiveness analysis of SAPIEN 3 transcatheter aortic valve  implantation compared with surgery, in intermediate and high-risk severe aortic stenosis patients.","type":"article-journal","volume":"11"},"uris":["http://www.mendeley.com/documents/?uuid=e622fa3e-20eb-4766-8309-e1716772bed6"]}],"mendeley":{"formattedCitation":"[17]","plainTextFormattedCitation":"[17]","previouslyFormattedCitation":"[17]"},"properties":{"noteIndex":0},"schema":"https://github.com/citation-style-language/schema/raw/master/csl-citation.json"}</w:instrText>
            </w:r>
            <w:r w:rsidRPr="00741B57">
              <w:rPr>
                <w:sz w:val="20"/>
                <w:szCs w:val="20"/>
              </w:rPr>
              <w:fldChar w:fldCharType="separate"/>
            </w:r>
            <w:r w:rsidRPr="00741B57">
              <w:rPr>
                <w:noProof/>
                <w:sz w:val="20"/>
                <w:szCs w:val="20"/>
              </w:rPr>
              <w:t>[17]</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MI</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0.051</w:t>
            </w:r>
          </w:p>
        </w:tc>
        <w:tc>
          <w:tcPr>
            <w:tcW w:w="1160" w:type="pct"/>
            <w:shd w:val="clear" w:color="auto" w:fill="FFFFFF" w:themeFill="background1"/>
          </w:tcPr>
          <w:p w:rsidR="00323A39" w:rsidRPr="00741B57" w:rsidRDefault="00323A39" w:rsidP="00004805">
            <w:pPr>
              <w:rPr>
                <w:sz w:val="20"/>
                <w:szCs w:val="20"/>
              </w:rPr>
            </w:pPr>
            <w:r w:rsidRPr="00741B57">
              <w:rPr>
                <w:sz w:val="20"/>
                <w:szCs w:val="20"/>
              </w:rPr>
              <w:fldChar w:fldCharType="begin" w:fldLock="1"/>
            </w:r>
            <w:r w:rsidRPr="00741B57">
              <w:rPr>
                <w:sz w:val="20"/>
                <w:szCs w:val="20"/>
              </w:rPr>
              <w:instrText>ADDIN CSL_CITATION {"citationItems":[{"id":"ITEM-1","itemData":{"DOI":"10.1016/j.ijcard.2019.06.057","ISSN":"1874-1754 (Electronic)","PMID":"31255453","abstract":"BACKGROUND: The recent PARTNER S3i trial compared transcatheter aortic valve  implantation (TAVI) using the third-generation SAPIEN 3 device to surgical aortic valve replacement (SAVR) in intermediate-risk patients with severe symptomatic aortic stenosis. Using data from PARTNER S3i, we performed a contemporary cost-effectiveness analysis of current-generation TAVI versus SAVR from the Australian healthcare system perspective. METHODS: A Markov model with monthly cycles and a ten-year horizon was constructed to estimate costs, life-years and quality adjusted life-years (QALYs) associated with TAVI and SAVR. Efficacy inputs were derived from the PARTNER S3i study. Costs were estimated from published sources. Deterministic and probabilistic sensitivity analyses were performed to assess model uncertainty. RESULTS: TAVI was found to have higher immediate procedural costs than SAVR, driven primarily by the cost of the transcatheter valve. This was offset by a shorter length of hospitalisation following TAVI, such that the combined cost of initial procedure and hospitalisation was lower in TAVI compared to SAVR. With 5% annual discounting, total costs over ten-years were $50,515 AUD in TAVI and $60,144 AUD in SAVR, and TAVI was found to produce 0.33 more life years and 0.31 more QALYs than SAVR. Thus, from a health economic perspective, TAVI was dominant compared to SAVR. Results were robust to sensitivity analyses, with TAVI being dominant in 68% of 10,000 Monte Carlo iterations and cost-effective in 92% of iterations at a willingness-to-pay threshold of $50,000/QALY gained. CONCLUSIONS: TAVI is likely to be highly cost-effective compared to SAVR in intermediate-risk patients with severe aortic stenosis.","author":[{"dropping-particle":"","family":"Zhou","given":"Jennifer","non-dropping-particle":"","parse-names":false,"suffix":""},{"dropping-particle":"","family":"Liew","given":"Danny","non-dropping-particle":"","parse-names":false,"suffix":""},{"dropping-particle":"","family":"Duffy","given":"Stephen J","non-dropping-particle":"","parse-names":false,"suffix":""},{"dropping-particle":"","family":"Walton","given":"Antony","non-dropping-particle":"","parse-names":false,"suffix":""},{"dropping-particle":"","family":"Htun","given":"Nay","non-dropping-particle":"","parse-names":false,"suffix":""},{"dropping-particle":"","family":"Stub","given":"Dion","non-dropping-particle":"","parse-names":false,"suffix":""}],"container-title":"International journal of cardiology","id":"ITEM-1","issued":{"date-parts":[["2019","11"]]},"language":"eng","page":"17-22","publisher-place":"Netherlands","title":"Cost-effectiveness of transcatheter aortic valve implantation compared to surgical  aortic valve replacement in the intermediate surgical risk population.","type":"article-journal","volume":"294"},"uris":["http://www.mendeley.com/documents/?uuid=18dd2ac5-d7a7-48d5-ae83-9cc4adc4a767"]}],"mendeley":{"formattedCitation":"[33]","plainTextFormattedCitation":"[33]"},"properties":{"noteIndex":0},"schema":"https://github.com/citation-style-language/schema/raw/master/csl-citation.json"}</w:instrText>
            </w:r>
            <w:r w:rsidRPr="00741B57">
              <w:rPr>
                <w:sz w:val="20"/>
                <w:szCs w:val="20"/>
              </w:rPr>
              <w:fldChar w:fldCharType="separate"/>
            </w:r>
            <w:r w:rsidRPr="00741B57">
              <w:rPr>
                <w:noProof/>
                <w:sz w:val="20"/>
                <w:szCs w:val="20"/>
              </w:rPr>
              <w:t>[34]</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Major vascular complication</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0.00695 (0.003 to 0.012)</w:t>
            </w:r>
          </w:p>
        </w:tc>
        <w:tc>
          <w:tcPr>
            <w:tcW w:w="1160" w:type="pct"/>
            <w:shd w:val="clear" w:color="auto" w:fill="FFFFFF" w:themeFill="background1"/>
          </w:tcPr>
          <w:p w:rsidR="00323A39" w:rsidRPr="00741B57" w:rsidRDefault="00323A39" w:rsidP="00004805">
            <w:pPr>
              <w:spacing w:line="480" w:lineRule="auto"/>
              <w:rPr>
                <w:sz w:val="20"/>
                <w:szCs w:val="20"/>
              </w:rPr>
            </w:pPr>
            <w:r w:rsidRPr="00741B57">
              <w:rPr>
                <w:sz w:val="20"/>
                <w:szCs w:val="20"/>
              </w:rPr>
              <w:fldChar w:fldCharType="begin" w:fldLock="1"/>
            </w:r>
            <w:r w:rsidRPr="00741B57">
              <w:rPr>
                <w:sz w:val="20"/>
                <w:szCs w:val="20"/>
              </w:rPr>
              <w:instrText>ADDIN CSL_CITATION {"citationItems":[{"id":"ITEM-1","itemData":{"DOI":"10.1186/s12955-016-0512-9","ISSN":"1477-7525 (Electronic)","PMID":"27456092","abstract":"BACKGROUND: Quality of life (QoL) measurements reported in observational studies are  often biased, since patients who failed to improve are more likely to be unable to respond due to death or impairment. In order to observe the development of QoL in patients close to death, we analyzed a set of monthly QoL measurements for a cohort of elderly patients treated for aortic valve stenosis (AS) with special consideration of the effect of distance to death. METHODS: QoL in 169 elderly patients (age </w:instrText>
            </w:r>
            <w:r w:rsidRPr="00741B57">
              <w:rPr>
                <w:rFonts w:hint="eastAsia"/>
                <w:sz w:val="20"/>
                <w:szCs w:val="20"/>
              </w:rPr>
              <w:instrText>≥</w:instrText>
            </w:r>
            <w:r w:rsidRPr="00741B57">
              <w:rPr>
                <w:sz w:val="20"/>
                <w:szCs w:val="20"/>
              </w:rPr>
              <w:instrText> 75 years), treated either with transcatheter aortic valve replacement (TAVR; n = 92), surgical aortic-valve replacement (n = 70), or drug-based therapy (n = 7), was evaluated using the standardized EQ-5D questionnaire. Over a two-year period, patients were consulted using monthly telephone interviews or outpatient visits, leading to a total of 2463 time points at which QoL values, New York Heart Association (NYHA) Functional Classification and their status of assistance were assessed. Furthermore, post-procedural clinical events and complications were monitored. Linear and ordered logistic regression analyses with random intercept were carried out, taking into account overall trends and distance to death. RESULTS: QoL measures decreased slightly over time, were temporarily impaired at month 1 after the initial episode of hospitalization and decreased substantially at the end of life with a measurable effect starting at the sixth from last follow-up (month) before death. Many clinical complications (bleeding complications, stroke, acute kidney injury) showed an impairment of QoL measurements, but the inclusion of lagged variables demonstrated medium term (three months) QoL impairments for access site bleeding only. All other complications are associated with event-related impairments that decreased dramatically at the second and third follow-up interviews (month) after event. CONCLUSIONS: Distance to death shows clear effects on QoL and should be taken into account when analyzing QoL measures in the elderly patients treated for aortic valve stenosis. TRIAL REGISTRATION: German Clinical Trial Register Nr. DRKS00000797.","author":[{"dropping-particle":"","family":"Kaier","given":"Klaus","non-dropping-particle":"","parse-names":false,"suffix":""},{"dropping-particle":"","family":"Gutmann","given":"Anja","non-dropping-particle":"","parse-names":false,"suffix":""},{"dropping-particle":"","family":"Baumbach","given":"Hardy","non-dropping-particle":"","parse-names":false,"suffix":""},{"dropping-particle":"","family":"Zur Mühlen","given":"Constantin","non-dropping-particle":"von","parse-names":false,"suffix":""},{"dropping-particle":"","family":"Hehn","given":"Philip","non-dropping-particle":"","parse-names":false,"suffix":""},{"dropping-particle":"","family":"Vach","given":"Werner","non-dropping-particle":"","parse-names":false,"suffix":""},{"dropping-particle":"","family":"Beyersdorf","given":"Friedhelm","non-dropping-particle":"","parse-names":false,"suffix":""},{"dropping-particle":"","family":"Zehender","given":"Manfred","non-dropping-particle":"","parse-names":false,"suffix":""},{"dropping-particle":"","family":"Bode","given":"Christoph","non-dropping-particle":"","parse-names":false,"suffix":""},{"dropping-particle":"","family":"Reinöhl","given":"Jochen","non-dropping-particle":"","parse-names":false,"suffix":""}],"container-title":"Health and quality of life outcomes","id":"ITEM-1","issue":"1","issued":{"date-parts":[["2016","7"]]},"language":"eng","page":"109","title":"Quality of life among elderly patients undergoing transcatheter or surgical aortic  valve replacement- a model-based longitudinal data analysis.","type":"article-journal","volume":"14"},"uris":["http://www.mendeley.com/documents/?uuid=86437aa6-9cfd-4f76-b4f5-958e3aba137f"]}],"mendeley":{"formattedCitation":"[44]","plainTextFormattedCitation":"[44]","previouslyFormattedCitation":"[44]"},"properties":{"noteIndex":0},"schema":"https://github.com/citation-style-language/schema/raw/master/csl-citation.json"}</w:instrText>
            </w:r>
            <w:r w:rsidRPr="00741B57">
              <w:rPr>
                <w:sz w:val="20"/>
                <w:szCs w:val="20"/>
              </w:rPr>
              <w:fldChar w:fldCharType="separate"/>
            </w:r>
            <w:r w:rsidRPr="00741B57">
              <w:rPr>
                <w:noProof/>
                <w:sz w:val="20"/>
                <w:szCs w:val="20"/>
              </w:rPr>
              <w:t>[51]</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Life-threatening, disabling, or major bleeding</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0.0463 ± 0.0154</w:t>
            </w:r>
          </w:p>
        </w:tc>
        <w:tc>
          <w:tcPr>
            <w:tcW w:w="1160" w:type="pct"/>
            <w:shd w:val="clear" w:color="auto" w:fill="FFFFFF" w:themeFill="background1"/>
          </w:tcPr>
          <w:p w:rsidR="00323A39" w:rsidRPr="00741B57" w:rsidRDefault="00323A39" w:rsidP="00004805">
            <w:pPr>
              <w:spacing w:line="480" w:lineRule="auto"/>
              <w:rPr>
                <w:sz w:val="20"/>
                <w:szCs w:val="20"/>
              </w:rPr>
            </w:pPr>
            <w:r w:rsidRPr="00741B57">
              <w:rPr>
                <w:sz w:val="20"/>
                <w:szCs w:val="20"/>
              </w:rPr>
              <w:fldChar w:fldCharType="begin" w:fldLock="1"/>
            </w:r>
            <w:r w:rsidRPr="00741B57">
              <w:rPr>
                <w:sz w:val="20"/>
                <w:szCs w:val="20"/>
              </w:rPr>
              <w:instrText>ADDIN CSL_CITATION {"citationItems":[{"id":"ITEM-1","itemData":{"DOI":"10.1186/s12955-016-0512-9","ISSN":"1477-7525 (Electronic)","PMID":"27456092","abstract":"BACKGROUND: Quality of life (QoL) measurements reported in observational studies are  often biased, since patients who failed to improve are more likely to be unable to respond due to death or impairment. In order to observe the development of QoL in patients close to death, we analyzed a set of monthly QoL measurements for a cohort of elderly patients treated for aortic valve stenosis (AS) with special consideration of the effect of distance to death. METHODS: QoL in 169 elderly patients (age </w:instrText>
            </w:r>
            <w:r w:rsidRPr="00741B57">
              <w:rPr>
                <w:rFonts w:hint="eastAsia"/>
                <w:sz w:val="20"/>
                <w:szCs w:val="20"/>
              </w:rPr>
              <w:instrText>≥</w:instrText>
            </w:r>
            <w:r w:rsidRPr="00741B57">
              <w:rPr>
                <w:sz w:val="20"/>
                <w:szCs w:val="20"/>
              </w:rPr>
              <w:instrText> 75 years), treated either with transcatheter aortic valve replacement (TAVR; n = 92), surgical aortic-valve replacement (n = 70), or drug-based therapy (n = 7), was evaluated using the standardized EQ-5D questionnaire. Over a two-year period, patients were consulted using monthly telephone interviews or outpatient visits, leading to a total of 2463 time points at which QoL values, New York Heart Association (NYHA) Functional Classification and their status of assistance were assessed. Furthermore, post-procedural clinical events and complications were monitored. Linear and ordered logistic regression analyses with random intercept were carried out, taking into account overall trends and distance to death. RESULTS: QoL measures decreased slightly over time, were temporarily impaired at month 1 after the initial episode of hospitalization and decreased substantially at the end of life with a measurable effect starting at the sixth from last follow-up (month) before death. Many clinical complications (bleeding complications, stroke, acute kidney injury) showed an impairment of QoL measurements, but the inclusion of lagged variables demonstrated medium term (three months) QoL impairments for access site bleeding only. All other complications are associated with event-related impairments that decreased dramatically at the second and third follow-up interviews (month) after event. CONCLUSIONS: Distance to death shows clear effects on QoL and should be taken into account when analyzing QoL measures in the elderly patients treated for aortic valve stenosis. TRIAL REGISTRATION: German Clinical Trial Register Nr. DRKS00000797.","author":[{"dropping-particle":"","family":"Kaier","given":"Klaus","non-dropping-particle":"","parse-names":false,"suffix":""},{"dropping-particle":"","family":"Gutmann","given":"Anja","non-dropping-particle":"","parse-names":false,"suffix":""},{"dropping-particle":"","family":"Baumbach","given":"Hardy","non-dropping-particle":"","parse-names":false,"suffix":""},{"dropping-particle":"","family":"Zur Mühlen","given":"Constantin","non-dropping-particle":"von","parse-names":false,"suffix":""},{"dropping-particle":"","family":"Hehn","given":"Philip","non-dropping-particle":"","parse-names":false,"suffix":""},{"dropping-particle":"","family":"Vach","given":"Werner","non-dropping-particle":"","parse-names":false,"suffix":""},{"dropping-particle":"","family":"Beyersdorf","given":"Friedhelm","non-dropping-particle":"","parse-names":false,"suffix":""},{"dropping-particle":"","family":"Zehender","given":"Manfred","non-dropping-particle":"","parse-names":false,"suffix":""},{"dropping-particle":"","family":"Bode","given":"Christoph","non-dropping-particle":"","parse-names":false,"suffix":""},{"dropping-particle":"","family":"Reinöhl","given":"Jochen","non-dropping-particle":"","parse-names":false,"suffix":""}],"container-title":"Health and quality of life outcomes","id":"ITEM-1","issue":"1","issued":{"date-parts":[["2016","7"]]},"language":"eng","page":"109","title":"Quality of life among elderly patients undergoing transcatheter or surgical aortic  valve replacement- a model-based longitudinal data analysis.","type":"article-journal","volume":"14"},"uris":["http://www.mendeley.com/documents/?uuid=86437aa6-9cfd-4f76-b4f5-958e3aba137f"]}],"mendeley":{"formattedCitation":"[44]","plainTextFormattedCitation":"[44]","previouslyFormattedCitation":"[44]"},"properties":{"noteIndex":0},"schema":"https://github.com/citation-style-language/schema/raw/master/csl-citation.json"}</w:instrText>
            </w:r>
            <w:r w:rsidRPr="00741B57">
              <w:rPr>
                <w:sz w:val="20"/>
                <w:szCs w:val="20"/>
              </w:rPr>
              <w:fldChar w:fldCharType="separate"/>
            </w:r>
            <w:r w:rsidRPr="00741B57">
              <w:rPr>
                <w:noProof/>
                <w:sz w:val="20"/>
                <w:szCs w:val="20"/>
              </w:rPr>
              <w:t>[51]</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Endocarditis</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0.0289</w:t>
            </w:r>
          </w:p>
        </w:tc>
        <w:tc>
          <w:tcPr>
            <w:tcW w:w="1160" w:type="pct"/>
            <w:shd w:val="clear" w:color="auto" w:fill="FFFFFF" w:themeFill="background1"/>
          </w:tcPr>
          <w:p w:rsidR="00323A39" w:rsidRPr="00741B57" w:rsidRDefault="00323A39" w:rsidP="00004805">
            <w:pPr>
              <w:rPr>
                <w:sz w:val="20"/>
                <w:szCs w:val="20"/>
              </w:rPr>
            </w:pPr>
            <w:r w:rsidRPr="00741B57">
              <w:rPr>
                <w:sz w:val="20"/>
                <w:szCs w:val="20"/>
              </w:rPr>
              <w:fldChar w:fldCharType="begin" w:fldLock="1"/>
            </w:r>
            <w:r w:rsidRPr="00741B57">
              <w:rPr>
                <w:sz w:val="20"/>
                <w:szCs w:val="20"/>
              </w:rPr>
              <w:instrText>ADDIN CSL_CITATION {"citationItems":[{"id":"ITEM-1","itemData":{"DOI":"10.2147/CEOR.S208107","ISSN":"1178-6981 (Print)","PMID":"31551658","abstract":"Background and objectives: The treatment of severe aortic stenosis requires  replacement of the defective native valve. Traditionally, this has been done via surgery, but in the last 10 years, transcatheter techniques have emerged. Transcatheter aortic valve implantation (TAVI) is a less invasive option compared to surgical aortic valve replacement (SAVR), and this study evaluates the cost-effectiveness of TAVI versus SAVR in intermediate and high surgical risk patients in Canada. Methods: A Markov model was used to project the costs and quality-adjusted life years (QALYs) gained for TAVI using the SAPIEN 3 valve and SAVR over a 15-year time horizon. The PARTNER I and II studies were used to populate the model in terms of survival, clinical event rates and quality of life over time. The costs of TAVI with SAPIEN 3 and SAVR as well as the costs associated with events included in the model were derived from Canadian administrative and literature data. Costs were expressed in 2018 Canadian dollars and all future costs and QALYs were discounted at a rate of 1.5% annually. Probabilistic and one-way sensitivity analyses were conducted. Results: The incremental cost-effectiveness ratios of TAVI using the SAPIEN 3 valve compared to surgery were $28,154 per QALY gained in intermediate risk patients and $17,237 per QALY gained in high-risk patients. The results of the probabilistic analyses indicated that at willingness-to-pay threshold of $50,000 per QALY gained, the probability of TAVI to be cost-effective was greater than 0.9 in both intermediate-risk and high-risk patients. Sensitivity analyses showed the results were most sensitive to the time horizon used. Conclusion: TAVI using the SAPIEN 3 valve is highly likely to be cost-effective in Canadian patients with severe aortic stenosis who are at intermediate and high surgical risk.","author":[{"dropping-particle":"","family":"Tarride","given":"Jean-Eric","non-dropping-particle":"","parse-names":false,"suffix":""},{"dropping-particle":"","family":"Luong","given":"Trinh","non-dropping-particle":"","parse-names":false,"suffix":""},{"dropping-particle":"","family":"Goodall","given":"Gordon","non-dropping-particle":"","parse-names":false,"suffix":""},{"dropping-particle":"","family":"Burke","given":"Natasha","non-dropping-particle":"","parse-names":false,"suffix":""},{"dropping-particle":"","family":"Blackhouse","given":"Gordon","non-dropping-particle":"","parse-names":false,"suffix":""}],"container-title":"ClinicoEconomics and outcomes research : CEOR","id":"ITEM-1","issued":{"date-parts":[["2019"]]},"language":"eng","page":"477-486","title":"A Canadian cost-effectiveness analysis of SAPIEN 3 transcatheter aortic valve  implantation compared with surgery, in intermediate and high-risk severe aortic stenosis patients.","type":"article-journal","volume":"11"},"uris":["http://www.mendeley.com/documents/?uuid=e622fa3e-20eb-4766-8309-e1716772bed6"]}],"mendeley":{"formattedCitation":"[17]","plainTextFormattedCitation":"[17]","previouslyFormattedCitation":"[17]"},"properties":{"noteIndex":0},"schema":"https://github.com/citation-style-language/schema/raw/master/csl-citation.json"}</w:instrText>
            </w:r>
            <w:r w:rsidRPr="00741B57">
              <w:rPr>
                <w:sz w:val="20"/>
                <w:szCs w:val="20"/>
              </w:rPr>
              <w:fldChar w:fldCharType="separate"/>
            </w:r>
            <w:r w:rsidRPr="00741B57">
              <w:rPr>
                <w:noProof/>
                <w:sz w:val="20"/>
                <w:szCs w:val="20"/>
              </w:rPr>
              <w:t>[17]</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AKI</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0.177 ± 0.059</w:t>
            </w:r>
          </w:p>
        </w:tc>
        <w:tc>
          <w:tcPr>
            <w:tcW w:w="1160" w:type="pct"/>
            <w:shd w:val="clear" w:color="auto" w:fill="FFFFFF" w:themeFill="background1"/>
          </w:tcPr>
          <w:p w:rsidR="00323A39" w:rsidRPr="00741B57" w:rsidRDefault="00323A39" w:rsidP="00004805">
            <w:pPr>
              <w:spacing w:line="480" w:lineRule="auto"/>
              <w:rPr>
                <w:sz w:val="20"/>
                <w:szCs w:val="20"/>
              </w:rPr>
            </w:pPr>
            <w:r w:rsidRPr="00741B57">
              <w:rPr>
                <w:sz w:val="20"/>
                <w:szCs w:val="20"/>
              </w:rPr>
              <w:fldChar w:fldCharType="begin" w:fldLock="1"/>
            </w:r>
            <w:r w:rsidRPr="00741B57">
              <w:rPr>
                <w:sz w:val="20"/>
                <w:szCs w:val="20"/>
              </w:rPr>
              <w:instrText>ADDIN CSL_CITATION {"citationItems":[{"id":"ITEM-1","itemData":{"DOI":"10.1186/s12955-016-0512-9","ISSN":"1477-7525 (Electronic)","PMID":"27456092","abstract":"BACKGROUND: Quality of life (QoL) measurements reported in observational studies are  often biased, since patients who failed to improve are more likely to be unable to respond due to death or impairment. In order to observe the development of QoL in patients close to death, we analyzed a set of monthly QoL measurements for a cohort of elderly patients treated for aortic valve stenosis (AS) with special consideration of the effect of distance to death. METHODS: QoL in 169 elderly patients (age </w:instrText>
            </w:r>
            <w:r w:rsidRPr="00741B57">
              <w:rPr>
                <w:rFonts w:hint="eastAsia"/>
                <w:sz w:val="20"/>
                <w:szCs w:val="20"/>
              </w:rPr>
              <w:instrText>≥</w:instrText>
            </w:r>
            <w:r w:rsidRPr="00741B57">
              <w:rPr>
                <w:sz w:val="20"/>
                <w:szCs w:val="20"/>
              </w:rPr>
              <w:instrText> 75 years), treated either with transcatheter aortic valve replacement (TAVR; n = 92), surgical aortic-valve replacement (n = 70), or drug-based therapy (n = 7), was evaluated using the standardized EQ-5D questionnaire. Over a two-year period, patients were consulted using monthly telephone interviews or outpatient visits, leading to a total of 2463 time points at which QoL values, New York Heart Association (NYHA) Functional Classification and their status of assistance were assessed. Furthermore, post-procedural clinical events and complications were monitored. Linear and ordered logistic regression analyses with random intercept were carried out, taking into account overall trends and distance to death. RESULTS: QoL measures decreased slightly over time, were temporarily impaired at month 1 after the initial episode of hospitalization and decreased substantially at the end of life with a measurable effect starting at the sixth from last follow-up (month) before death. Many clinical complications (bleeding complications, stroke, acute kidney injury) showed an impairment of QoL measurements, but the inclusion of lagged variables demonstrated medium term (three months) QoL impairments for access site bleeding only. All other complications are associated with event-related impairments that decreased dramatically at the second and third follow-up interviews (month) after event. CONCLUSIONS: Distance to death shows clear effects on QoL and should be taken into account when analyzing QoL measures in the elderly patients treated for aortic valve stenosis. TRIAL REGISTRATION: German Clinical Trial Register Nr. DRKS00000797.","author":[{"dropping-particle":"","family":"Kaier","given":"Klaus","non-dropping-particle":"","parse-names":false,"suffix":""},{"dropping-particle":"","family":"Gutmann","given":"Anja","non-dropping-particle":"","parse-names":false,"suffix":""},{"dropping-particle":"","family":"Baumbach","given":"Hardy","non-dropping-particle":"","parse-names":false,"suffix":""},{"dropping-particle":"","family":"Zur Mühlen","given":"Constantin","non-dropping-particle":"von","parse-names":false,"suffix":""},{"dropping-particle":"","family":"Hehn","given":"Philip","non-dropping-particle":"","parse-names":false,"suffix":""},{"dropping-particle":"","family":"Vach","given":"Werner","non-dropping-particle":"","parse-names":false,"suffix":""},{"dropping-particle":"","family":"Beyersdorf","given":"Friedhelm","non-dropping-particle":"","parse-names":false,"suffix":""},{"dropping-particle":"","family":"Zehender","given":"Manfred","non-dropping-particle":"","parse-names":false,"suffix":""},{"dropping-particle":"","family":"Bode","given":"Christoph","non-dropping-particle":"","parse-names":false,"suffix":""},{"dropping-particle":"","family":"Reinöhl","given":"Jochen","non-dropping-particle":"","parse-names":false,"suffix":""}],"container-title":"Health and quality of life outcomes","id":"ITEM-1","issue":"1","issued":{"date-parts":[["2016","7"]]},"language":"eng","page":"109","title":"Quality of life among elderly patients undergoing transcatheter or surgical aortic  valve replacement- a model-based longitudinal data analysis.","type":"article-journal","volume":"14"},"uris":["http://www.mendeley.com/documents/?uuid=86437aa6-9cfd-4f76-b4f5-958e3aba137f"]}],"mendeley":{"formattedCitation":"[44]","plainTextFormattedCitation":"[44]","previouslyFormattedCitation":"[44]"},"properties":{"noteIndex":0},"schema":"https://github.com/citation-style-language/schema/raw/master/csl-citation.json"}</w:instrText>
            </w:r>
            <w:r w:rsidRPr="00741B57">
              <w:rPr>
                <w:sz w:val="20"/>
                <w:szCs w:val="20"/>
              </w:rPr>
              <w:fldChar w:fldCharType="separate"/>
            </w:r>
            <w:r w:rsidRPr="00741B57">
              <w:rPr>
                <w:noProof/>
                <w:sz w:val="20"/>
                <w:szCs w:val="20"/>
              </w:rPr>
              <w:t>[51]</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New PPI</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0.003 ± 0.021</w:t>
            </w:r>
          </w:p>
        </w:tc>
        <w:tc>
          <w:tcPr>
            <w:tcW w:w="1160" w:type="pct"/>
            <w:shd w:val="clear" w:color="auto" w:fill="FFFFFF" w:themeFill="background1"/>
          </w:tcPr>
          <w:p w:rsidR="00323A39" w:rsidRPr="00741B57" w:rsidRDefault="00323A39" w:rsidP="00004805">
            <w:pPr>
              <w:spacing w:line="480" w:lineRule="auto"/>
              <w:rPr>
                <w:sz w:val="20"/>
                <w:szCs w:val="20"/>
              </w:rPr>
            </w:pPr>
            <w:r w:rsidRPr="00741B57">
              <w:rPr>
                <w:sz w:val="20"/>
                <w:szCs w:val="20"/>
              </w:rPr>
              <w:fldChar w:fldCharType="begin" w:fldLock="1"/>
            </w:r>
            <w:r w:rsidRPr="00741B57">
              <w:rPr>
                <w:sz w:val="20"/>
                <w:szCs w:val="20"/>
              </w:rPr>
              <w:instrText>ADDIN CSL_CITATION {"citationItems":[{"id":"ITEM-1","itemData":{"DOI":"10.1016/j.jcin.2016.09.050","ISSN":"1876-7605 (Electronic)","PMID":"28007203","abstract":"OBJECTIVES: This study sought to analyze health-related quality-of-life (HrQoL)  outcomes of patients undergoing transcatheter aortic valve replacement (TAVR) based on data from GARY (German Aortic Valve Registry). BACKGROUND: Typically, patients currently referred for and treated by TAVR are elderly with a concomitant variable spectrum of multiple comorbidities, disabilities, and limited life expectancy. Beyond mortality and morbidity, the assessment of HrQoL is of paramount importance not only to guide patient-centered clinical decision-making but also to judge this new treatment modality in this high-risk patient population. METHODS: In 2011, 3,875 patients undergoing TAVR were included in the GARY registry. HrQoL was prospectively measured using the EuroQol 5 dimensions questionnaire self-complete version on paper at baseline and 1 year. RESULTS: Complete follow-up EuroQol 5 dimensions questionnaire evaluation was available for 2,288 patients (transvascular transcatheter aortic valve replacement [TAVR-TV]: n = 1,626 and transapical TAVR [TAVR-TA]: n = 662). In-hospital mortality was 5.9% (n = 229) and the 1-year mortality was 23% (n = 893). The baseline visual analog scale score for general health status was 52.6% for TAVR-TV and 55.8% for TAVR-TA and, in parallel to an improvement in New York Heart Association functional class, improved to 59.6% and 58.5% at 1 year, respectively (p &lt; 0.001). Between baseline and 1 year, the number of patients reporting no complaints increased by 7.8% (TAVR-TV) and by 3.5% within the mobility dimension, and by 14.1% (TAVR-TV) and 9.2% within the usual activity dimension, whereas only moderate changes were found for the self-care, pain or discomfort, and anxiety or depression dimensions. In a multiple linear regression analysis several pre- and post-operative factors were predictive for less pronounced HrQoL benefits. CONCLUSIONS: TAVR treatment led to improvements in HrQoL, especially in terms of mobility and usual activities. The magnitude of improvements was higher in the TAVR-TV group as compared to the TAVR-TA group. However, there was a sizable group of patients who did not derive any HrQoL benefits. Several independent pre- and post-operative factors were identified being predictive for less pronounced HrQoL benefits.","author":[{"dropping-particle":"","family":"Lange","given":"Rüdiger","non-dropping-particle":"","parse-names":false,"suffix":""},{"dropping-particle":"","family":"Beckmann","given":"Andreas","non-dropping-particle":"","parse-names":false,"suffix":""},{"dropping-particle":"","family":"Neumann","given":"Till","non-dropping-particle":"","parse-names":false,"suffix":""},{"dropping-particle":"","family":"Krane","given":"Markus","non-dropping-particle":"","parse-names":false,"suffix":""},{"dropping-particle":"","family":"Deutsch","given":"Marcus-André","non-dropping-particle":"","parse-names":false,"suffix":""},{"dropping-particle":"","family":"Landwehr","given":"Sandra","non-dropping-particle":"","parse-names":false,"suffix":""},{"dropping-particle":"","family":"Kötting","given":"Joachim","non-dropping-particle":"","parse-names":false,"suffix":""},{"dropping-particle":"","family":"Welz","given":"Armin","non-dropping-particle":"","parse-names":false,"suffix":""},{"dropping-particle":"","family":"Zahn","given":"Ralf","non-dropping-particle":"","parse-names":false,"suffix":""},{"dropping-particle":"","family":"Cremer","given":"Jochen","non-dropping-particle":"","parse-names":false,"suffix":""},{"dropping-particle":"","family":"Figulla","given":"Hans R","non-dropping-particle":"","parse-names":false,"suffix":""},{"dropping-particle":"","family":"Schuler","given":"Gerhard","non-dropping-particle":"","parse-names":false,"suffix":""},{"dropping-particle":"","family":"Holzhey","given":"David M","non-dropping-particle":"","parse-names":false,"suffix":""},{"dropping-particle":"","family":"Funkat","given":"Anne-Kathrin","non-dropping-particle":"","parse-names":false,"suffix":""},{"dropping-particle":"","family":"Heusch","given":"Gerd","non-dropping-particle":"","parse-names":false,"suffix":""},{"dropping-particle":"","family":"Sack","given":"Stefan","non-dropping-particle":"","parse-names":false,"suffix":""},{"dropping-particle":"","family":"Pasic","given":"Miralem","non-dropping-particle":"","parse-names":false,"suffix":""},{"dropping-particle":"","family":"Meinertz","given":"Thomas","non-dropping-particle":"","parse-names":false,"suffix":""},{"dropping-particle":"","family":"Walther","given":"Thomas","non-dropping-particle":"","parse-names":false,"suffix":""},{"dropping-particle":"","family":"Kuck","given":"Karl-Heinz","non-dropping-particle":"","parse-names":false,"suffix":""},{"dropping-particle":"","family":"Beyersdorf","given":"Friedhelm","non-dropping-particle":"","parse-names":false,"suffix":""},{"dropping-particle":"","family":"Böhm","given":"Michael","non-dropping-particle":"","parse-names":false,"suffix":""},{"dropping-particle":"","family":"Möllmann","given":"Helge","non-dropping-particle":"","parse-names":false,"suffix":""},{"dropping-particle":"","family":"Hamm","given":"Christian W","non-dropping-particle":"","parse-names":false,"suffix":""},{"dropping-particle":"","family":"Mohr","given":"Friedrich W","non-dropping-particle":"","parse-names":false,"suffix":""}],"container-title":"JACC. Cardiovascular interventions","id":"ITEM-1","issue":"24","issued":{"date-parts":[["2016","12"]]},"language":"eng","page":"2541-2554","publisher-place":"United States","title":"Quality of Life After Transcatheter Aortic Valve Replacement: Prospective Data From  GARY (German Aortic Valve Registry).","type":"article-journal","volume":"9"},"uris":["http://www.mendeley.com/documents/?uuid=e3dc0252-66e9-47f2-b20d-342faf42a88d"]}],"mendeley":{"formattedCitation":"[45]","plainTextFormattedCitation":"[45]","previouslyFormattedCitation":"[45]"},"properties":{"noteIndex":0},"schema":"https://github.com/citation-style-language/schema/raw/master/csl-citation.json"}</w:instrText>
            </w:r>
            <w:r w:rsidRPr="00741B57">
              <w:rPr>
                <w:sz w:val="20"/>
                <w:szCs w:val="20"/>
              </w:rPr>
              <w:fldChar w:fldCharType="separate"/>
            </w:r>
            <w:r w:rsidRPr="00741B57">
              <w:rPr>
                <w:noProof/>
                <w:sz w:val="20"/>
                <w:szCs w:val="20"/>
              </w:rPr>
              <w:t>[52]</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TIA</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0.033</w:t>
            </w:r>
          </w:p>
        </w:tc>
        <w:tc>
          <w:tcPr>
            <w:tcW w:w="1160" w:type="pct"/>
            <w:shd w:val="clear" w:color="auto" w:fill="FFFFFF" w:themeFill="background1"/>
          </w:tcPr>
          <w:p w:rsidR="00323A39" w:rsidRPr="00741B57" w:rsidRDefault="00323A39" w:rsidP="00004805">
            <w:pPr>
              <w:rPr>
                <w:sz w:val="20"/>
                <w:szCs w:val="20"/>
              </w:rPr>
            </w:pPr>
            <w:r w:rsidRPr="00741B57">
              <w:rPr>
                <w:sz w:val="20"/>
                <w:szCs w:val="20"/>
              </w:rPr>
              <w:fldChar w:fldCharType="begin" w:fldLock="1"/>
            </w:r>
            <w:r w:rsidRPr="00741B57">
              <w:rPr>
                <w:sz w:val="20"/>
                <w:szCs w:val="20"/>
              </w:rPr>
              <w:instrText>ADDIN CSL_CITATION {"citationItems":[{"id":"ITEM-1","itemData":{"DOI":"10.2147/CEOR.S208107","ISSN":"1178-6981 (Print)","PMID":"31551658","abstract":"Background and objectives: The treatment of severe aortic stenosis requires  replacement of the defective native valve. Traditionally, this has been done via surgery, but in the last 10 years, transcatheter techniques have emerged. Transcatheter aortic valve implantation (TAVI) is a less invasive option compared to surgical aortic valve replacement (SAVR), and this study evaluates the cost-effectiveness of TAVI versus SAVR in intermediate and high surgical risk patients in Canada. Methods: A Markov model was used to project the costs and quality-adjusted life years (QALYs) gained for TAVI using the SAPIEN 3 valve and SAVR over a 15-year time horizon. The PARTNER I and II studies were used to populate the model in terms of survival, clinical event rates and quality of life over time. The costs of TAVI with SAPIEN 3 and SAVR as well as the costs associated with events included in the model were derived from Canadian administrative and literature data. Costs were expressed in 2018 Canadian dollars and all future costs and QALYs were discounted at a rate of 1.5% annually. Probabilistic and one-way sensitivity analyses were conducted. Results: The incremental cost-effectiveness ratios of TAVI using the SAPIEN 3 valve compared to surgery were $28,154 per QALY gained in intermediate risk patients and $17,237 per QALY gained in high-risk patients. The results of the probabilistic analyses indicated that at willingness-to-pay threshold of $50,000 per QALY gained, the probability of TAVI to be cost-effective was greater than 0.9 in both intermediate-risk and high-risk patients. Sensitivity analyses showed the results were most sensitive to the time horizon used. Conclusion: TAVI using the SAPIEN 3 valve is highly likely to be cost-effective in Canadian patients with severe aortic stenosis who are at intermediate and high surgical risk.","author":[{"dropping-particle":"","family":"Tarride","given":"Jean-Eric","non-dropping-particle":"","parse-names":false,"suffix":""},{"dropping-particle":"","family":"Luong","given":"Trinh","non-dropping-particle":"","parse-names":false,"suffix":""},{"dropping-particle":"","family":"Goodall","given":"Gordon","non-dropping-particle":"","parse-names":false,"suffix":""},{"dropping-particle":"","family":"Burke","given":"Natasha","non-dropping-particle":"","parse-names":false,"suffix":""},{"dropping-particle":"","family":"Blackhouse","given":"Gordon","non-dropping-particle":"","parse-names":false,"suffix":""}],"container-title":"ClinicoEconomics and outcomes research : CEOR","id":"ITEM-1","issued":{"date-parts":[["2019"]]},"language":"eng","page":"477-486","title":"A Canadian cost-effectiveness analysis of SAPIEN 3 transcatheter aortic valve  implantation compared with surgery, in intermediate and high-risk severe aortic stenosis patients.","type":"article-journal","volume":"11"},"uris":["http://www.mendeley.com/documents/?uuid=e622fa3e-20eb-4766-8309-e1716772bed6"]}],"mendeley":{"formattedCitation":"[17]","plainTextFormattedCitation":"[17]","previouslyFormattedCitation":"[17]"},"properties":{"noteIndex":0},"schema":"https://github.com/citation-style-language/schema/raw/master/csl-citation.json"}</w:instrText>
            </w:r>
            <w:r w:rsidRPr="00741B57">
              <w:rPr>
                <w:sz w:val="20"/>
                <w:szCs w:val="20"/>
              </w:rPr>
              <w:fldChar w:fldCharType="separate"/>
            </w:r>
            <w:r w:rsidRPr="00741B57">
              <w:rPr>
                <w:noProof/>
                <w:sz w:val="20"/>
                <w:szCs w:val="20"/>
              </w:rPr>
              <w:t>[17]</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Atrial fibrillation</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0.0377 (0.018 to 0.068)</w:t>
            </w:r>
          </w:p>
        </w:tc>
        <w:tc>
          <w:tcPr>
            <w:tcW w:w="1160" w:type="pct"/>
            <w:shd w:val="clear" w:color="auto" w:fill="FFFFFF" w:themeFill="background1"/>
          </w:tcPr>
          <w:p w:rsidR="00323A39" w:rsidRPr="00741B57" w:rsidRDefault="00323A39" w:rsidP="00004805">
            <w:pPr>
              <w:spacing w:line="480" w:lineRule="auto"/>
              <w:rPr>
                <w:sz w:val="20"/>
                <w:szCs w:val="20"/>
              </w:rPr>
            </w:pPr>
            <w:r w:rsidRPr="00741B57">
              <w:rPr>
                <w:sz w:val="20"/>
                <w:szCs w:val="20"/>
              </w:rPr>
              <w:fldChar w:fldCharType="begin" w:fldLock="1"/>
            </w:r>
            <w:r w:rsidRPr="00741B57">
              <w:rPr>
                <w:sz w:val="20"/>
                <w:szCs w:val="20"/>
              </w:rPr>
              <w:instrText>ADDIN CSL_CITATION {"citationItems":[{"id":"ITEM-1","itemData":{"DOI":"10.1186/s12955-016-0512-9","ISSN":"1477-7525 (Electronic)","PMID":"27456092","abstract":"BACKGROUND: Quality of life (QoL) measurements reported in observational studies are  often biased, since patients who failed to improve are more likely to be unable to respond due to death or impairment. In order to observe the development of QoL in patients close to death, we analyzed a set of monthly QoL measurements for a cohort of elderly patients treated for aortic valve stenosis (AS) with special consideration of the effect of distance to death. METHODS: QoL in 169 elderly patients (age </w:instrText>
            </w:r>
            <w:r w:rsidRPr="00741B57">
              <w:rPr>
                <w:rFonts w:hint="eastAsia"/>
                <w:sz w:val="20"/>
                <w:szCs w:val="20"/>
              </w:rPr>
              <w:instrText>≥</w:instrText>
            </w:r>
            <w:r w:rsidRPr="00741B57">
              <w:rPr>
                <w:sz w:val="20"/>
                <w:szCs w:val="20"/>
              </w:rPr>
              <w:instrText> 75 years), treated either with transcatheter aortic valve replacement (TAVR; n = 92), surgical aortic-valve replacement (n = 70), or drug-based therapy (n = 7), was evaluated using the standardized EQ-5D questionnaire. Over a two-year period, patients were consulted using monthly telephone interviews or outpatient visits, leading to a total of 2463 time points at which QoL values, New York Heart Association (NYHA) Functional Classification and their status of assistance were assessed. Furthermore, post-procedural clinical events and complications were monitored. Linear and ordered logistic regression analyses with random intercept were carried out, taking into account overall trends and distance to death. RESULTS: QoL measures decreased slightly over time, were temporarily impaired at month 1 after the initial episode of hospitalization and decreased substantially at the end of life with a measurable effect starting at the sixth from last follow-up (month) before death. Many clinical complications (bleeding complications, stroke, acute kidney injury) showed an impairment of QoL measurements, but the inclusion of lagged variables demonstrated medium term (three months) QoL impairments for access site bleeding only. All other complications are associated with event-related impairments that decreased dramatically at the second and third follow-up interviews (month) after event. CONCLUSIONS: Distance to death shows clear effects on QoL and should be taken into account when analyzing QoL measures in the elderly patients treated for aortic valve stenosis. TRIAL REGISTRATION: German Clinical Trial Register Nr. DRKS00000797.","author":[{"dropping-particle":"","family":"Kaier","given":"Klaus","non-dropping-particle":"","parse-names":false,"suffix":""},{"dropping-particle":"","family":"Gutmann","given":"Anja","non-dropping-particle":"","parse-names":false,"suffix":""},{"dropping-particle":"","family":"Baumbach","given":"Hardy","non-dropping-particle":"","parse-names":false,"suffix":""},{"dropping-particle":"","family":"Zur Mühlen","given":"Constantin","non-dropping-particle":"von","parse-names":false,"suffix":""},{"dropping-particle":"","family":"Hehn","given":"Philip","non-dropping-particle":"","parse-names":false,"suffix":""},{"dropping-particle":"","family":"Vach","given":"Werner","non-dropping-particle":"","parse-names":false,"suffix":""},{"dropping-particle":"","family":"Beyersdorf","given":"Friedhelm","non-dropping-particle":"","parse-names":false,"suffix":""},{"dropping-particle":"","family":"Zehender","given":"Manfred","non-dropping-particle":"","parse-names":false,"suffix":""},{"dropping-particle":"","family":"Bode","given":"Christoph","non-dropping-particle":"","parse-names":false,"suffix":""},{"dropping-particle":"","family":"Reinöhl","given":"Jochen","non-dropping-particle":"","parse-names":false,"suffix":""}],"container-title":"Health and quality of life outcomes","id":"ITEM-1","issue":"1","issued":{"date-parts":[["2016","7"]]},"language":"eng","page":"109","title":"Quality of life among elderly patients undergoing transcatheter or surgical aortic  valve replacement- a model-based longitudinal data analysis.","type":"article-journal","volume":"14"},"uris":["http://www.mendeley.com/documents/?uuid=86437aa6-9cfd-4f76-b4f5-958e3aba137f"]}],"mendeley":{"formattedCitation":"[44]","plainTextFormattedCitation":"[44]","previouslyFormattedCitation":"[44]"},"properties":{"noteIndex":0},"schema":"https://github.com/citation-style-language/schema/raw/master/csl-citation.json"}</w:instrText>
            </w:r>
            <w:r w:rsidRPr="00741B57">
              <w:rPr>
                <w:sz w:val="20"/>
                <w:szCs w:val="20"/>
              </w:rPr>
              <w:fldChar w:fldCharType="separate"/>
            </w:r>
            <w:r w:rsidRPr="00741B57">
              <w:rPr>
                <w:noProof/>
                <w:sz w:val="20"/>
                <w:szCs w:val="20"/>
              </w:rPr>
              <w:t>[51]</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1195" w:type="pct"/>
            <w:shd w:val="clear" w:color="auto" w:fill="FFFFFF" w:themeFill="background1"/>
          </w:tcPr>
          <w:p w:rsidR="00323A39" w:rsidRPr="00741B57" w:rsidRDefault="00323A39" w:rsidP="00004805">
            <w:pPr>
              <w:pStyle w:val="Tabletext"/>
              <w:rPr>
                <w:lang w:val="en-SG"/>
              </w:rPr>
            </w:pPr>
            <w:r w:rsidRPr="00741B57">
              <w:rPr>
                <w:lang w:val="en-SG"/>
              </w:rPr>
              <w:t>Paravalvular aortic regurgitation</w:t>
            </w:r>
          </w:p>
        </w:tc>
        <w:tc>
          <w:tcPr>
            <w:tcW w:w="2645" w:type="pct"/>
            <w:gridSpan w:val="3"/>
            <w:shd w:val="clear" w:color="auto" w:fill="FFFFFF" w:themeFill="background1"/>
          </w:tcPr>
          <w:p w:rsidR="00323A39" w:rsidRPr="00741B57" w:rsidRDefault="00323A39" w:rsidP="00004805">
            <w:pPr>
              <w:pStyle w:val="Tabletext"/>
              <w:rPr>
                <w:lang w:val="en-SG"/>
              </w:rPr>
            </w:pPr>
            <w:r w:rsidRPr="00741B57">
              <w:rPr>
                <w:lang w:val="en-SG"/>
              </w:rPr>
              <w:t>0.024 (0.012 to 0.038)</w:t>
            </w:r>
          </w:p>
        </w:tc>
        <w:tc>
          <w:tcPr>
            <w:tcW w:w="1160" w:type="pct"/>
            <w:shd w:val="clear" w:color="auto" w:fill="FFFFFF" w:themeFill="background1"/>
          </w:tcPr>
          <w:p w:rsidR="00323A39" w:rsidRPr="00741B57" w:rsidRDefault="00323A39" w:rsidP="00004805">
            <w:pPr>
              <w:rPr>
                <w:sz w:val="20"/>
                <w:szCs w:val="20"/>
              </w:rPr>
            </w:pPr>
            <w:r w:rsidRPr="00741B57">
              <w:rPr>
                <w:sz w:val="20"/>
                <w:szCs w:val="20"/>
              </w:rPr>
              <w:fldChar w:fldCharType="begin" w:fldLock="1"/>
            </w:r>
            <w:r w:rsidRPr="00741B57">
              <w:rPr>
                <w:sz w:val="20"/>
                <w:szCs w:val="20"/>
              </w:rPr>
              <w:instrText>ADDIN CSL_CITATION {"citationItems":[{"id":"ITEM-1","itemData":{"DOI":"10.1016/j.ijcard.2019.06.057","ISSN":"1874-1754 (Electronic)","PMID":"31255453","abstract":"BACKGROUND: The recent PARTNER S3i trial compared transcatheter aortic valve  implantation (TAVI) using the third-generation SAPIEN 3 device to surgical aortic valve replacement (SAVR) in intermediate-risk patients with severe symptomatic aortic stenosis. Using data from PARTNER S3i, we performed a contemporary cost-effectiveness analysis of current-generation TAVI versus SAVR from the Australian healthcare system perspective. METHODS: A Markov model with monthly cycles and a ten-year horizon was constructed to estimate costs, life-years and quality adjusted life-years (QALYs) associated with TAVI and SAVR. Efficacy inputs were derived from the PARTNER S3i study. Costs were estimated from published sources. Deterministic and probabilistic sensitivity analyses were performed to assess model uncertainty. RESULTS: TAVI was found to have higher immediate procedural costs than SAVR, driven primarily by the cost of the transcatheter valve. This was offset by a shorter length of hospitalisation following TAVI, such that the combined cost of initial procedure and hospitalisation was lower in TAVI compared to SAVR. With 5% annual discounting, total costs over ten-years were $50,515 AUD in TAVI and $60,144 AUD in SAVR, and TAVI was found to produce 0.33 more life years and 0.31 more QALYs than SAVR. Thus, from a health economic perspective, TAVI was dominant compared to SAVR. Results were robust to sensitivity analyses, with TAVI being dominant in 68% of 10,000 Monte Carlo iterations and cost-effective in 92% of iterations at a willingness-to-pay threshold of $50,000/QALY gained. CONCLUSIONS: TAVI is likely to be highly cost-effective compared to SAVR in intermediate-risk patients with severe aortic stenosis.","author":[{"dropping-particle":"","family":"Zhou","given":"Jennifer","non-dropping-particle":"","parse-names":false,"suffix":""},{"dropping-particle":"","family":"Liew","given":"Danny","non-dropping-particle":"","parse-names":false,"suffix":""},{"dropping-particle":"","family":"Duffy","given":"Stephen J","non-dropping-particle":"","parse-names":false,"suffix":""},{"dropping-particle":"","family":"Walton","given":"Antony","non-dropping-particle":"","parse-names":false,"suffix":""},{"dropping-particle":"","family":"Htun","given":"Nay","non-dropping-particle":"","parse-names":false,"suffix":""},{"dropping-particle":"","family":"Stub","given":"Dion","non-dropping-particle":"","parse-names":false,"suffix":""}],"container-title":"International journal of cardiology","id":"ITEM-1","issued":{"date-parts":[["2019","11"]]},"language":"eng","page":"17-22","publisher-place":"Netherlands","title":"Cost-effectiveness of transcatheter aortic valve implantation compared to surgical  aortic valve replacement in the intermediate surgical risk population.","type":"article-journal","volume":"294"},"uris":["http://www.mendeley.com/documents/?uuid=18dd2ac5-d7a7-48d5-ae83-9cc4adc4a767"]}],"mendeley":{"formattedCitation":"[33]","plainTextFormattedCitation":"[33]"},"properties":{"noteIndex":0},"schema":"https://github.com/citation-style-language/schema/raw/master/csl-citation.json"}</w:instrText>
            </w:r>
            <w:r w:rsidRPr="00741B57">
              <w:rPr>
                <w:sz w:val="20"/>
                <w:szCs w:val="20"/>
              </w:rPr>
              <w:fldChar w:fldCharType="separate"/>
            </w:r>
            <w:r w:rsidRPr="00741B57">
              <w:rPr>
                <w:noProof/>
                <w:sz w:val="20"/>
                <w:szCs w:val="20"/>
              </w:rPr>
              <w:t>[34]</w:t>
            </w:r>
            <w:r w:rsidRPr="00741B57">
              <w:rPr>
                <w:sz w:val="20"/>
                <w:szCs w:val="20"/>
              </w:rPr>
              <w:fldChar w:fldCharType="end"/>
            </w:r>
          </w:p>
          <w:p w:rsidR="00323A39" w:rsidRPr="00741B57" w:rsidRDefault="00323A39" w:rsidP="00004805">
            <w:pPr>
              <w:pStyle w:val="Tabletext"/>
              <w:rPr>
                <w:lang w:val="en-SG"/>
              </w:rPr>
            </w:pPr>
          </w:p>
        </w:tc>
      </w:tr>
      <w:tr w:rsidR="00323A39" w:rsidRPr="00741B57" w:rsidTr="00004805">
        <w:tc>
          <w:tcPr>
            <w:tcW w:w="5000" w:type="pct"/>
            <w:gridSpan w:val="5"/>
            <w:shd w:val="clear" w:color="auto" w:fill="BFBFBF" w:themeFill="background1" w:themeFillShade="BF"/>
          </w:tcPr>
          <w:p w:rsidR="00323A39" w:rsidRPr="00741B57" w:rsidRDefault="00323A39" w:rsidP="00323A39">
            <w:pPr>
              <w:pStyle w:val="Tabletext"/>
              <w:numPr>
                <w:ilvl w:val="0"/>
                <w:numId w:val="4"/>
              </w:numPr>
              <w:ind w:left="335" w:hanging="335"/>
              <w:rPr>
                <w:b/>
                <w:bCs/>
                <w:lang w:val="en-SG"/>
              </w:rPr>
            </w:pPr>
            <w:r w:rsidRPr="00741B57">
              <w:rPr>
                <w:b/>
                <w:bCs/>
                <w:lang w:val="en-SG"/>
              </w:rPr>
              <w:t>EQ-5D utility values from PARTNER 2A (pooled TF and TT), applied in Scenario 4</w:t>
            </w:r>
          </w:p>
        </w:tc>
      </w:tr>
      <w:tr w:rsidR="00323A39" w:rsidRPr="00741B57" w:rsidTr="00004805">
        <w:tc>
          <w:tcPr>
            <w:tcW w:w="1195" w:type="pct"/>
            <w:shd w:val="clear" w:color="auto" w:fill="BFBFBF" w:themeFill="background1" w:themeFillShade="BF"/>
          </w:tcPr>
          <w:p w:rsidR="00323A39" w:rsidRPr="00741B57" w:rsidRDefault="00323A39" w:rsidP="00004805">
            <w:pPr>
              <w:pStyle w:val="Tabletext"/>
              <w:rPr>
                <w:lang w:val="en-SG"/>
              </w:rPr>
            </w:pPr>
            <w:r w:rsidRPr="00741B57">
              <w:rPr>
                <w:b/>
              </w:rPr>
              <w:lastRenderedPageBreak/>
              <w:t>Time point</w:t>
            </w:r>
          </w:p>
        </w:tc>
        <w:tc>
          <w:tcPr>
            <w:tcW w:w="1598" w:type="pct"/>
            <w:gridSpan w:val="2"/>
            <w:shd w:val="clear" w:color="auto" w:fill="BFBFBF" w:themeFill="background1" w:themeFillShade="BF"/>
          </w:tcPr>
          <w:p w:rsidR="00323A39" w:rsidRPr="00741B57" w:rsidRDefault="00323A39" w:rsidP="00004805">
            <w:pPr>
              <w:pStyle w:val="Tabletext"/>
              <w:rPr>
                <w:lang w:val="en-SG"/>
              </w:rPr>
            </w:pPr>
            <w:r w:rsidRPr="00741B57">
              <w:rPr>
                <w:b/>
              </w:rPr>
              <w:t xml:space="preserve">TAVI, mean ± SD (95% CI)  </w:t>
            </w:r>
          </w:p>
        </w:tc>
        <w:tc>
          <w:tcPr>
            <w:tcW w:w="1047" w:type="pct"/>
            <w:shd w:val="clear" w:color="auto" w:fill="BFBFBF" w:themeFill="background1" w:themeFillShade="BF"/>
          </w:tcPr>
          <w:p w:rsidR="00323A39" w:rsidRPr="00741B57" w:rsidRDefault="00323A39" w:rsidP="00004805">
            <w:pPr>
              <w:pStyle w:val="Tabletext"/>
              <w:rPr>
                <w:lang w:val="en-SG"/>
              </w:rPr>
            </w:pPr>
            <w:r w:rsidRPr="00741B57">
              <w:rPr>
                <w:b/>
              </w:rPr>
              <w:t>SAVR, mean ± SD (95% CI)</w:t>
            </w:r>
          </w:p>
        </w:tc>
        <w:tc>
          <w:tcPr>
            <w:tcW w:w="1160" w:type="pct"/>
            <w:shd w:val="clear" w:color="auto" w:fill="BFBFBF" w:themeFill="background1" w:themeFillShade="BF"/>
          </w:tcPr>
          <w:p w:rsidR="00323A39" w:rsidRPr="00741B57" w:rsidRDefault="00323A39" w:rsidP="00004805">
            <w:pPr>
              <w:pStyle w:val="Tabletext"/>
              <w:rPr>
                <w:lang w:val="en-SG"/>
              </w:rPr>
            </w:pPr>
            <w:r w:rsidRPr="00741B57">
              <w:rPr>
                <w:b/>
              </w:rPr>
              <w:t>Source</w:t>
            </w:r>
          </w:p>
        </w:tc>
      </w:tr>
      <w:tr w:rsidR="00323A39" w:rsidRPr="00741B57" w:rsidTr="00004805">
        <w:tc>
          <w:tcPr>
            <w:tcW w:w="1195" w:type="pct"/>
            <w:shd w:val="clear" w:color="auto" w:fill="auto"/>
          </w:tcPr>
          <w:p w:rsidR="00323A39" w:rsidRPr="00741B57" w:rsidRDefault="00323A39" w:rsidP="00004805">
            <w:pPr>
              <w:pStyle w:val="Tabletext"/>
              <w:rPr>
                <w:b/>
              </w:rPr>
            </w:pPr>
            <w:r w:rsidRPr="00741B57">
              <w:rPr>
                <w:lang w:val="en-SG"/>
              </w:rPr>
              <w:t>Baseline</w:t>
            </w:r>
          </w:p>
        </w:tc>
        <w:tc>
          <w:tcPr>
            <w:tcW w:w="1598" w:type="pct"/>
            <w:gridSpan w:val="2"/>
            <w:shd w:val="clear" w:color="auto" w:fill="auto"/>
          </w:tcPr>
          <w:p w:rsidR="00323A39" w:rsidRPr="00741B57" w:rsidRDefault="00323A39" w:rsidP="00004805">
            <w:pPr>
              <w:pStyle w:val="Tabletext"/>
              <w:rPr>
                <w:b/>
              </w:rPr>
            </w:pPr>
            <w:r w:rsidRPr="00741B57">
              <w:rPr>
                <w:lang w:val="en-SG"/>
              </w:rPr>
              <w:t>0.75 ± 0.16</w:t>
            </w:r>
          </w:p>
        </w:tc>
        <w:tc>
          <w:tcPr>
            <w:tcW w:w="1047" w:type="pct"/>
            <w:shd w:val="clear" w:color="auto" w:fill="auto"/>
          </w:tcPr>
          <w:p w:rsidR="00323A39" w:rsidRPr="00741B57" w:rsidRDefault="00323A39" w:rsidP="00004805">
            <w:pPr>
              <w:pStyle w:val="Tabletext"/>
              <w:rPr>
                <w:b/>
              </w:rPr>
            </w:pPr>
            <w:r w:rsidRPr="00741B57">
              <w:rPr>
                <w:lang w:val="en-SG"/>
              </w:rPr>
              <w:t>0.74 ± 0.17</w:t>
            </w:r>
          </w:p>
        </w:tc>
        <w:tc>
          <w:tcPr>
            <w:tcW w:w="1160" w:type="pct"/>
            <w:vMerge w:val="restart"/>
            <w:shd w:val="clear" w:color="auto" w:fill="auto"/>
          </w:tcPr>
          <w:p w:rsidR="00323A39" w:rsidRPr="00741B57" w:rsidRDefault="00323A39" w:rsidP="00004805">
            <w:pPr>
              <w:rPr>
                <w:sz w:val="20"/>
                <w:szCs w:val="20"/>
              </w:rPr>
            </w:pPr>
            <w:r w:rsidRPr="00741B57">
              <w:rPr>
                <w:sz w:val="20"/>
                <w:szCs w:val="20"/>
              </w:rPr>
              <w:fldChar w:fldCharType="begin" w:fldLock="1"/>
            </w:r>
            <w:r w:rsidRPr="00741B57">
              <w:rPr>
                <w:sz w:val="20"/>
                <w:szCs w:val="20"/>
              </w:rPr>
              <w:instrText>ADDIN CSL_CITATION {"citationItems":[{"id":"ITEM-1","itemData":{"DOI":"https://doi.org/10.1016/j.jcin.2018.02.032","ISSN":"1876-7605","abstract":"Objectives: The aim of this study was to evaluate whether transcatheter aortic valve replacement (TAVR) with the SAPIEN 3 valve (S3-TAVR) results in improved quality of life (QoL) compared with previous-generation TAVR devices or surgical aortic valve replacement (SAVR). Background: In patients with severe aortic stenosis at intermediate surgical risk, TAVR using the SAPIEN XT valve (XT-TAVR) results in similar QoL compared with SAVR. Compared with SAPIEN XT, the SAPIEN 3 valve offers a lower delivery profile and modifications to reduce paravalvular regurgitation. Methods: Between February and December 2014, 1,078 patients at intermediate surgical risk with severe aortic stenosis were treated with S3-TAVR in the PARTNER S3i (Placement of Aortic Transcatheter Valve) trial. QoL was assessed at baseline, 1 month, and 1 year using the Kansas City Cardiomyopathy Questionnaire, Medical Outcomes Study Short Form-36, and EQ-5D. QoL outcomes of S3-TAVR patients were compared with those in the SAVR and XT-TAVR arms of the PARTNER 2A trial using propensity score stratification to adjust for differences between the treatment groups. Results: Over 1 year, S3-TAVR was associated with substantial improvements in QoL compared with baseline. At 1 month, S3-TAVR was associated with better QoL than either SAVR or XT-TAVR (adjusted differences in Kansas City Cardiomyopathy Questionnaire overall summary score 15.6 and 3.7 points, respectively; p &lt; 0.001). At 1 year, the differences in QoL between S3-TAVR and both SAVR and XT-TAVR were reduced but remained statistically significant (adjusted differences 2.0 and 2.2 points, respectively; p &lt; 0.05). Similar results were seen for generic QoL outcomes. Conclusions: Among patients at intermediate surgical risk with severe aortic stenosis, S3-TAVR resulted in improved QoL at both 1 month and 1 year compared with both XT-TAVR and SAVR.","author":[{"dropping-particle":"","family":"Baron","given":"S.J.","non-dropping-particle":"","parse-names":false,"suffix":""},{"dropping-particle":"","family":"Thourani","given":"V.H.","non-dropping-particle":"","parse-names":false,"suffix":""},{"dropping-particle":"","family":"Kodali","given":"S.","non-dropping-particle":"","parse-names":false,"suffix":""},{"dropping-particle":"","family":"Arnold","given":"S.V.","non-dropping-particle":"","parse-names":false,"suffix":""},{"dropping-particle":"","family":"Wang","given":"K.","non-dropping-particle":"","parse-names":false,"suffix":""},{"dropping-particle":"","family":"E.A.","given":"Magnuson","non-dropping-particle":"","parse-names":false,"suffix":""},{"dropping-particle":"","family":"A.D.","given":"Pichard","non-dropping-particle":"","parse-names":false,"suffix":""},{"dropping-particle":"","family":"V.","given":"Babaliaros","non-dropping-particle":"","parse-names":false,"suffix":""},{"dropping-particle":"","family":"I.","given":"George","non-dropping-particle":"","parse-names":false,"suffix":""},{"dropping-particle":"","family":"D.C.","given":"Miller","non-dropping-particle":"","parse-names":false,"suffix":""},{"dropping-particle":"","family":"E.M.","given":"Tuzcu","non-dropping-particle":"","parse-names":false,"suffix":""},{"dropping-particle":"","family":"K.","given":"Greason","non-dropping-particle":"","parse-names":false,"suffix":""},{"dropping-particle":"","family":"H.C.","given":"Herrmann","non-dropping-particle":"","parse-names":false,"suffix":""},{"dropping-particle":"","family":"C.R.","given":"Smith","non-dropping-particle":"","parse-names":false,"suffix":""},{"dropping-particle":"","family":"M.B.","given":"Leon","non-dropping-particle":"","parse-names":false,"suffix":""},{"dropping-particle":"","family":"D.J.","given":"Cohen","non-dropping-particle":"","parse-names":false,"suffix":""}],"container-title":"JACC: Cardiovascular Interventions","id":"ITEM-1","issue":"12","issued":{"date-parts":[["2018"]]},"language":"English","page":"1188-1198","publisher-place":"S.J. Baron, Saint Luke's Mid America Heart Institute, University of Missouri–Kansas City School of Medicine, 20 NE Saint Luke's Boulevard, Suite 240, Lees Summit, Missouri, United States","title":"Effect of SAPIEN 3 Transcatheter Valve Implantation on Health Status in Patients With Severe Aortic Stenosis at Intermediate Surgical Risk: Results From the PARTNER S3i Trial","type":"article-journal","volume":"11"},"uris":["http://www.mendeley.com/documents/?uuid=88990438-d458-4d50-94aa-bc02a0975797"]}],"mendeley":{"formattedCitation":"[43]","plainTextFormattedCitation":"[43]","previouslyFormattedCitation":"[43]"},"properties":{"noteIndex":0},"schema":"https://github.com/citation-style-language/schema/raw/master/csl-citation.json"}</w:instrText>
            </w:r>
            <w:r w:rsidRPr="00741B57">
              <w:rPr>
                <w:sz w:val="20"/>
                <w:szCs w:val="20"/>
              </w:rPr>
              <w:fldChar w:fldCharType="separate"/>
            </w:r>
            <w:r w:rsidRPr="00741B57">
              <w:rPr>
                <w:noProof/>
                <w:sz w:val="20"/>
                <w:szCs w:val="20"/>
              </w:rPr>
              <w:t>[50]</w:t>
            </w:r>
            <w:r w:rsidRPr="00741B57">
              <w:rPr>
                <w:sz w:val="20"/>
                <w:szCs w:val="20"/>
              </w:rPr>
              <w:fldChar w:fldCharType="end"/>
            </w:r>
          </w:p>
          <w:p w:rsidR="00323A39" w:rsidRPr="00741B57" w:rsidRDefault="00323A39" w:rsidP="00004805">
            <w:pPr>
              <w:pStyle w:val="Tabletext"/>
              <w:rPr>
                <w:b/>
              </w:rPr>
            </w:pPr>
          </w:p>
        </w:tc>
      </w:tr>
      <w:tr w:rsidR="00323A39" w:rsidRPr="00741B57" w:rsidTr="00004805">
        <w:tc>
          <w:tcPr>
            <w:tcW w:w="1195" w:type="pct"/>
            <w:shd w:val="clear" w:color="auto" w:fill="auto"/>
            <w:vAlign w:val="center"/>
          </w:tcPr>
          <w:p w:rsidR="00323A39" w:rsidRPr="00741B57" w:rsidRDefault="00323A39" w:rsidP="00004805">
            <w:pPr>
              <w:pStyle w:val="Tabletext"/>
              <w:rPr>
                <w:b/>
              </w:rPr>
            </w:pPr>
            <w:r w:rsidRPr="00741B57">
              <w:rPr>
                <w:lang w:val="en-SG"/>
              </w:rPr>
              <w:t>Month-1</w:t>
            </w:r>
          </w:p>
        </w:tc>
        <w:tc>
          <w:tcPr>
            <w:tcW w:w="1598" w:type="pct"/>
            <w:gridSpan w:val="2"/>
            <w:shd w:val="clear" w:color="auto" w:fill="auto"/>
          </w:tcPr>
          <w:p w:rsidR="00323A39" w:rsidRPr="00741B57" w:rsidRDefault="00323A39" w:rsidP="00004805">
            <w:pPr>
              <w:pStyle w:val="Tabletext"/>
              <w:rPr>
                <w:b/>
              </w:rPr>
            </w:pPr>
            <w:r w:rsidRPr="00741B57">
              <w:rPr>
                <w:lang w:val="en-SG"/>
              </w:rPr>
              <w:t>0.82 (0.8 to 0.83)</w:t>
            </w:r>
          </w:p>
        </w:tc>
        <w:tc>
          <w:tcPr>
            <w:tcW w:w="1047" w:type="pct"/>
            <w:shd w:val="clear" w:color="auto" w:fill="auto"/>
          </w:tcPr>
          <w:p w:rsidR="00323A39" w:rsidRPr="00741B57" w:rsidRDefault="00323A39" w:rsidP="00004805">
            <w:pPr>
              <w:pStyle w:val="Tabletext"/>
              <w:rPr>
                <w:b/>
              </w:rPr>
            </w:pPr>
            <w:r w:rsidRPr="00741B57">
              <w:rPr>
                <w:lang w:val="en-SG"/>
              </w:rPr>
              <w:t>0.74 (0.72 to 0.75)</w:t>
            </w:r>
          </w:p>
        </w:tc>
        <w:tc>
          <w:tcPr>
            <w:tcW w:w="1160" w:type="pct"/>
            <w:vMerge/>
            <w:shd w:val="clear" w:color="auto" w:fill="auto"/>
          </w:tcPr>
          <w:p w:rsidR="00323A39" w:rsidRPr="00741B57" w:rsidRDefault="00323A39" w:rsidP="00004805">
            <w:pPr>
              <w:pStyle w:val="Tabletext"/>
              <w:rPr>
                <w:b/>
              </w:rPr>
            </w:pPr>
          </w:p>
        </w:tc>
      </w:tr>
      <w:tr w:rsidR="00323A39" w:rsidRPr="00741B57" w:rsidTr="00004805">
        <w:tc>
          <w:tcPr>
            <w:tcW w:w="1195" w:type="pct"/>
            <w:shd w:val="clear" w:color="auto" w:fill="auto"/>
            <w:vAlign w:val="bottom"/>
          </w:tcPr>
          <w:p w:rsidR="00323A39" w:rsidRPr="00741B57" w:rsidRDefault="00323A39" w:rsidP="00004805">
            <w:pPr>
              <w:pStyle w:val="Tabletext"/>
              <w:rPr>
                <w:b/>
              </w:rPr>
            </w:pPr>
            <w:r w:rsidRPr="00741B57">
              <w:rPr>
                <w:lang w:val="en-SG"/>
              </w:rPr>
              <w:t>Month-12</w:t>
            </w:r>
          </w:p>
        </w:tc>
        <w:tc>
          <w:tcPr>
            <w:tcW w:w="1598" w:type="pct"/>
            <w:gridSpan w:val="2"/>
            <w:shd w:val="clear" w:color="auto" w:fill="auto"/>
          </w:tcPr>
          <w:p w:rsidR="00323A39" w:rsidRPr="00741B57" w:rsidRDefault="00323A39" w:rsidP="00004805">
            <w:pPr>
              <w:pStyle w:val="Tabletext"/>
              <w:rPr>
                <w:b/>
              </w:rPr>
            </w:pPr>
            <w:r w:rsidRPr="00741B57">
              <w:rPr>
                <w:lang w:val="en-SG"/>
              </w:rPr>
              <w:t>0.8 (0.79 to 0.81)</w:t>
            </w:r>
          </w:p>
        </w:tc>
        <w:tc>
          <w:tcPr>
            <w:tcW w:w="1047" w:type="pct"/>
            <w:shd w:val="clear" w:color="auto" w:fill="auto"/>
          </w:tcPr>
          <w:p w:rsidR="00323A39" w:rsidRPr="00741B57" w:rsidRDefault="00323A39" w:rsidP="00004805">
            <w:pPr>
              <w:pStyle w:val="Tabletext"/>
              <w:rPr>
                <w:b/>
              </w:rPr>
            </w:pPr>
            <w:r w:rsidRPr="00741B57">
              <w:rPr>
                <w:lang w:val="en-SG"/>
              </w:rPr>
              <w:t>0.8 (0.79 to 0.82)</w:t>
            </w:r>
          </w:p>
        </w:tc>
        <w:tc>
          <w:tcPr>
            <w:tcW w:w="1160" w:type="pct"/>
            <w:vMerge/>
            <w:shd w:val="clear" w:color="auto" w:fill="auto"/>
          </w:tcPr>
          <w:p w:rsidR="00323A39" w:rsidRPr="00741B57" w:rsidRDefault="00323A39" w:rsidP="00004805">
            <w:pPr>
              <w:pStyle w:val="Tabletext"/>
              <w:rPr>
                <w:b/>
              </w:rPr>
            </w:pPr>
          </w:p>
        </w:tc>
      </w:tr>
    </w:tbl>
    <w:p w:rsidR="00323A39" w:rsidRPr="00741B57" w:rsidRDefault="00323A39" w:rsidP="00323A39">
      <w:pPr>
        <w:pStyle w:val="tablenote"/>
      </w:pPr>
      <w:r w:rsidRPr="00741B57">
        <w:t xml:space="preserve">Abbreviations: AKI, acute kidney injury; CI, confidence interval; MI, myocardial infarction, PPI, permanent pacemaker insertion; SAVR, surgical aortic valve replacement; SD, standard deviation; TAVI, </w:t>
      </w:r>
      <w:proofErr w:type="spellStart"/>
      <w:r w:rsidRPr="00741B57">
        <w:t>transcatheter</w:t>
      </w:r>
      <w:proofErr w:type="spellEnd"/>
      <w:r w:rsidRPr="00741B57">
        <w:t xml:space="preserve"> aortic valve implantation; TIA, transient ischemic attack; TF, </w:t>
      </w:r>
      <w:proofErr w:type="spellStart"/>
      <w:r w:rsidRPr="00741B57">
        <w:t>transfemoral</w:t>
      </w:r>
      <w:proofErr w:type="spellEnd"/>
      <w:r w:rsidRPr="00741B57">
        <w:t>; TT, transthoracic</w:t>
      </w:r>
    </w:p>
    <w:p w:rsidR="00323A39" w:rsidRPr="00741B57" w:rsidRDefault="00323A39" w:rsidP="00323A39">
      <w:pPr>
        <w:rPr>
          <w:rFonts w:cstheme="minorHAnsi"/>
          <w:b/>
          <w:bCs/>
          <w:szCs w:val="18"/>
          <w:lang w:val="en-SG"/>
        </w:rPr>
      </w:pPr>
      <w:r w:rsidRPr="00741B57">
        <w:rPr>
          <w:rFonts w:cstheme="minorHAnsi"/>
        </w:rPr>
        <w:br w:type="page"/>
      </w:r>
    </w:p>
    <w:p w:rsidR="00323A39" w:rsidRPr="00741B57" w:rsidDel="00EB0885" w:rsidRDefault="00323A39" w:rsidP="00323A39">
      <w:pPr>
        <w:spacing w:after="0"/>
        <w:rPr>
          <w:b/>
          <w:bCs/>
        </w:rPr>
      </w:pPr>
      <w:proofErr w:type="gramStart"/>
      <w:r w:rsidRPr="00741B57" w:rsidDel="00EB0885">
        <w:rPr>
          <w:rFonts w:cstheme="minorHAnsi"/>
          <w:b/>
          <w:bCs/>
        </w:rPr>
        <w:lastRenderedPageBreak/>
        <w:t>Table S4-3</w:t>
      </w:r>
      <w:r w:rsidRPr="00741B57" w:rsidDel="00EB0885">
        <w:rPr>
          <w:b/>
          <w:bCs/>
        </w:rPr>
        <w:t>.</w:t>
      </w:r>
      <w:proofErr w:type="gramEnd"/>
      <w:r w:rsidRPr="00741B57" w:rsidDel="00EB0885">
        <w:rPr>
          <w:b/>
          <w:bCs/>
        </w:rPr>
        <w:t xml:space="preserve"> Summary of clinical outcomes used in Scenario 4 (based on SURTAVI trial)</w:t>
      </w:r>
      <w:r w:rsidRPr="00741B57">
        <w:rPr>
          <w:b/>
          <w:bCs/>
        </w:rPr>
        <w:t xml:space="preserve"> </w:t>
      </w:r>
      <w:r w:rsidRPr="00741B57">
        <w:rPr>
          <w:b/>
          <w:bCs/>
        </w:rPr>
        <w:fldChar w:fldCharType="begin" w:fldLock="1"/>
      </w:r>
      <w:r w:rsidRPr="00741B57">
        <w:rPr>
          <w:b/>
          <w:bCs/>
        </w:rPr>
        <w:instrText>ADDIN CSL_CITATION {"citationItems":[{"id":"ITEM-1","itemData":{"DOI":"10.1056/NEJMoa1700456","author":[{"dropping-particle":"","family":"Reardon","given":"Michael J","non-dropping-particle":"","parse-names":false,"suffix":""},{"dropping-particle":"","family":"Mieghem","given":"Nicolas M","non-dropping-particle":"Van","parse-names":false,"suffix":""},{"dropping-particle":"","family":"Popma","given":"Jeffrey J","non-dropping-particle":"","parse-names":false,"suffix":""},{"dropping-particle":"","family":"Kleiman","given":"Neal S","non-dropping-particle":"","parse-names":false,"suffix":""},{"dropping-particle":"","family":"Søndergaard","given":"Lars","non-dropping-particle":"","parse-names":false,"suffix":""},{"dropping-particle":"","family":"Mumtaz","given":"Mubashir","non-dropping-particle":"","parse-names":false,"suffix":""},{"dropping-particle":"","family":"Adams","given":"David H","non-dropping-particle":"","parse-names":false,"suffix":""},{"dropping-particle":"","family":"Deeb","given":"G Michael","non-dropping-particle":"","parse-names":false,"suffix":""},{"dropping-particle":"","family":"Maini","given":"Brijeshwar","non-dropping-particle":"","parse-names":false,"suffix":""},{"dropping-particle":"","family":"Gada","given":"Hemal","non-dropping-particle":"","parse-names":false,"suffix":""},{"dropping-particle":"","family":"Chetcuti","given":"Stanley","non-dropping-particle":"","parse-names":false,"suffix":""},{"dropping-particle":"","family":"Gleason","given":"Thomas","non-dropping-particle":"","parse-names":false,"suffix":""},{"dropping-particle":"","family":"Heiser","given":"John","non-dropping-particle":"","parse-names":false,"suffix":""},{"dropping-particle":"","family":"Lange","given":"Rüdiger","non-dropping-particle":"","parse-names":false,"suffix":""},{"dropping-particle":"","family":"Merhi","given":"William","non-dropping-particle":"","parse-names":false,"suffix":""},{"dropping-particle":"","family":"Oh","given":"Jae K","non-dropping-particle":"","parse-names":false,"suffix":""},{"dropping-particle":"","family":"Olsen","given":"Peter S","non-dropping-particle":"","parse-names":false,"suffix":""},{"dropping-particle":"","family":"Piazza","given":"Nicolo","non-dropping-particle":"","parse-names":false,"suffix":""},{"dropping-particle":"","family":"Williams","given":"Mathew","non-dropping-particle":"","parse-names":false,"suffix":""},{"dropping-particle":"","family":"Windecker","given":"Stephan","non-dropping-particle":"","parse-names":false,"suffix":""},{"dropping-particle":"","family":"Yakubov","given":"Steven J","non-dropping-particle":"","parse-names":false,"suffix":""},{"dropping-particle":"","family":"Grube","given":"Eberhard","non-dropping-particle":"","parse-names":false,"suffix":""},{"dropping-particle":"","family":"Makkar","given":"Raj","non-dropping-particle":"","parse-names":false,"suffix":""},{"dropping-particle":"","family":"Lee","given":"Joon S","non-dropping-particle":"","parse-names":false,"suffix":""},{"dropping-particle":"","family":"Conte","given":"John","non-dropping-particle":"","parse-names":false,"suffix":""},{"dropping-particle":"","family":"Vang","given":"Eric","non-dropping-particle":"","parse-names":false,"suffix":""},{"dropping-particle":"","family":"Nguyen","given":"Hang","non-dropping-particle":"","parse-names":false,"suffix":""},{"dropping-particle":"","family":"Chang","given":"Yanping","non-dropping-particle":"","parse-names":false,"suffix":""},{"dropping-particle":"","family":"Mugglin","given":"Andrew S","non-dropping-particle":"","parse-names":false,"suffix":""},{"dropping-particle":"","family":"Serruys","given":"Patrick W J C","non-dropping-particle":"","parse-names":false,"suffix":""},{"dropping-particle":"","family":"Kappetein","given":"Arie P","non-dropping-particle":"","parse-names":false,"suffix":""}],"container-title":"New England Journal of Medicine","id":"ITEM-1","issue":"14","issued":{"date-parts":[["2017"]]},"note":"PMID: 28304219","page":"1321-1331","title":"Surgical or Transcatheter Aortic-Valve Replacement in Intermediate-Risk Patients","type":"article-journal","volume":"376"},"uris":["http://www.mendeley.com/documents/?uuid=34b9bd64-8936-4ccc-bef5-5956f332e797"]}],"mendeley":{"formattedCitation":"[12]","plainTextFormattedCitation":"[12]","previouslyFormattedCitation":"[12]"},"properties":{"noteIndex":0},"schema":"https://github.com/citation-style-language/schema/raw/master/csl-citation.json"}</w:instrText>
      </w:r>
      <w:r w:rsidRPr="00741B57">
        <w:rPr>
          <w:b/>
          <w:bCs/>
        </w:rPr>
        <w:fldChar w:fldCharType="separate"/>
      </w:r>
      <w:r w:rsidRPr="00741B57">
        <w:rPr>
          <w:b/>
          <w:bCs/>
          <w:noProof/>
        </w:rPr>
        <w:t>[12]</w:t>
      </w:r>
      <w:r w:rsidRPr="00741B57">
        <w:rPr>
          <w:b/>
          <w:bCs/>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1325"/>
        <w:gridCol w:w="1264"/>
        <w:gridCol w:w="1327"/>
        <w:gridCol w:w="1256"/>
      </w:tblGrid>
      <w:tr w:rsidR="00323A39" w:rsidRPr="00741B57" w:rsidDel="00EB0885" w:rsidTr="00004805">
        <w:tc>
          <w:tcPr>
            <w:tcW w:w="2299" w:type="pct"/>
            <w:vMerge w:val="restart"/>
            <w:shd w:val="clear" w:color="auto" w:fill="BFBFBF" w:themeFill="background1" w:themeFillShade="BF"/>
          </w:tcPr>
          <w:p w:rsidR="00323A39" w:rsidRPr="00741B57" w:rsidDel="00EB0885" w:rsidRDefault="00323A39" w:rsidP="00004805">
            <w:pPr>
              <w:pStyle w:val="Tabletext"/>
              <w:spacing w:after="0"/>
            </w:pPr>
            <w:r w:rsidRPr="00741B57" w:rsidDel="00EB0885">
              <w:rPr>
                <w:b/>
              </w:rPr>
              <w:t>Clinical outcomes</w:t>
            </w:r>
          </w:p>
        </w:tc>
        <w:tc>
          <w:tcPr>
            <w:tcW w:w="1352" w:type="pct"/>
            <w:gridSpan w:val="2"/>
            <w:shd w:val="clear" w:color="auto" w:fill="BFBFBF" w:themeFill="background1" w:themeFillShade="BF"/>
          </w:tcPr>
          <w:p w:rsidR="00323A39" w:rsidRPr="00741B57" w:rsidDel="00EB0885" w:rsidRDefault="00323A39" w:rsidP="00004805">
            <w:pPr>
              <w:pStyle w:val="Tabletext"/>
              <w:spacing w:after="0"/>
            </w:pPr>
            <w:r w:rsidRPr="00741B57" w:rsidDel="00EB0885">
              <w:rPr>
                <w:b/>
              </w:rPr>
              <w:t>TAVI (%)</w:t>
            </w:r>
          </w:p>
        </w:tc>
        <w:tc>
          <w:tcPr>
            <w:tcW w:w="1349" w:type="pct"/>
            <w:gridSpan w:val="2"/>
            <w:shd w:val="clear" w:color="auto" w:fill="BFBFBF" w:themeFill="background1" w:themeFillShade="BF"/>
          </w:tcPr>
          <w:p w:rsidR="00323A39" w:rsidRPr="00741B57" w:rsidDel="00EB0885" w:rsidRDefault="00323A39" w:rsidP="00004805">
            <w:pPr>
              <w:pStyle w:val="Tabletext"/>
              <w:spacing w:after="0"/>
            </w:pPr>
            <w:r w:rsidRPr="00741B57" w:rsidDel="00EB0885">
              <w:rPr>
                <w:b/>
              </w:rPr>
              <w:t>SAVR (%)</w:t>
            </w:r>
          </w:p>
        </w:tc>
      </w:tr>
      <w:tr w:rsidR="00323A39" w:rsidRPr="00741B57" w:rsidDel="00EB0885" w:rsidTr="00004805">
        <w:tc>
          <w:tcPr>
            <w:tcW w:w="2299" w:type="pct"/>
            <w:vMerge/>
            <w:shd w:val="clear" w:color="auto" w:fill="BFBFBF" w:themeFill="background1" w:themeFillShade="BF"/>
          </w:tcPr>
          <w:p w:rsidR="00323A39" w:rsidRPr="00741B57" w:rsidDel="00EB0885" w:rsidRDefault="00323A39" w:rsidP="00004805">
            <w:pPr>
              <w:pStyle w:val="Tabletext"/>
              <w:spacing w:after="0"/>
              <w:rPr>
                <w:b/>
                <w:lang w:val="en-SG"/>
              </w:rPr>
            </w:pPr>
          </w:p>
        </w:tc>
        <w:tc>
          <w:tcPr>
            <w:tcW w:w="692" w:type="pct"/>
            <w:shd w:val="clear" w:color="auto" w:fill="BFBFBF" w:themeFill="background1" w:themeFillShade="BF"/>
          </w:tcPr>
          <w:p w:rsidR="00323A39" w:rsidRPr="00741B57" w:rsidDel="00EB0885" w:rsidRDefault="00323A39" w:rsidP="00004805">
            <w:pPr>
              <w:pStyle w:val="Tabletext"/>
              <w:spacing w:after="0"/>
              <w:rPr>
                <w:b/>
                <w:lang w:val="en-SG"/>
              </w:rPr>
            </w:pPr>
            <w:r w:rsidRPr="00741B57" w:rsidDel="00EB0885">
              <w:rPr>
                <w:b/>
                <w:lang w:val="en-SG"/>
              </w:rPr>
              <w:t>30 day</w:t>
            </w:r>
          </w:p>
        </w:tc>
        <w:tc>
          <w:tcPr>
            <w:tcW w:w="660" w:type="pct"/>
            <w:shd w:val="clear" w:color="auto" w:fill="BFBFBF" w:themeFill="background1" w:themeFillShade="BF"/>
          </w:tcPr>
          <w:p w:rsidR="00323A39" w:rsidRPr="00741B57" w:rsidDel="00EB0885" w:rsidRDefault="00323A39" w:rsidP="00004805">
            <w:pPr>
              <w:pStyle w:val="Tabletext"/>
              <w:spacing w:after="0"/>
              <w:rPr>
                <w:b/>
                <w:lang w:val="en-SG"/>
              </w:rPr>
            </w:pPr>
            <w:r w:rsidRPr="00741B57" w:rsidDel="00EB0885">
              <w:rPr>
                <w:b/>
                <w:lang w:val="en-SG"/>
              </w:rPr>
              <w:t>1 year</w:t>
            </w:r>
          </w:p>
        </w:tc>
        <w:tc>
          <w:tcPr>
            <w:tcW w:w="693" w:type="pct"/>
            <w:shd w:val="clear" w:color="auto" w:fill="BFBFBF" w:themeFill="background1" w:themeFillShade="BF"/>
          </w:tcPr>
          <w:p w:rsidR="00323A39" w:rsidRPr="00741B57" w:rsidDel="00EB0885" w:rsidRDefault="00323A39" w:rsidP="00004805">
            <w:pPr>
              <w:pStyle w:val="Tabletext"/>
              <w:spacing w:after="0"/>
              <w:rPr>
                <w:b/>
                <w:lang w:val="en-SG"/>
              </w:rPr>
            </w:pPr>
            <w:r w:rsidRPr="00741B57" w:rsidDel="00EB0885">
              <w:rPr>
                <w:b/>
                <w:lang w:val="en-SG"/>
              </w:rPr>
              <w:t>30 day</w:t>
            </w:r>
          </w:p>
        </w:tc>
        <w:tc>
          <w:tcPr>
            <w:tcW w:w="656" w:type="pct"/>
            <w:shd w:val="clear" w:color="auto" w:fill="BFBFBF" w:themeFill="background1" w:themeFillShade="BF"/>
          </w:tcPr>
          <w:p w:rsidR="00323A39" w:rsidRPr="00741B57" w:rsidDel="00EB0885" w:rsidRDefault="00323A39" w:rsidP="00004805">
            <w:pPr>
              <w:pStyle w:val="Tabletext"/>
              <w:spacing w:after="0"/>
              <w:rPr>
                <w:b/>
                <w:lang w:val="en-SG"/>
              </w:rPr>
            </w:pPr>
            <w:r w:rsidRPr="00741B57" w:rsidDel="00EB0885">
              <w:rPr>
                <w:b/>
                <w:lang w:val="en-SG"/>
              </w:rPr>
              <w:t>1 year</w:t>
            </w:r>
          </w:p>
        </w:tc>
      </w:tr>
      <w:tr w:rsidR="00323A39" w:rsidRPr="00741B57" w:rsidDel="00EB0885" w:rsidTr="00004805">
        <w:tc>
          <w:tcPr>
            <w:tcW w:w="2299" w:type="pct"/>
          </w:tcPr>
          <w:p w:rsidR="00323A39" w:rsidRPr="00741B57" w:rsidDel="00EB0885" w:rsidRDefault="00323A39" w:rsidP="00004805">
            <w:pPr>
              <w:pStyle w:val="Tabletext"/>
              <w:spacing w:after="0"/>
              <w:rPr>
                <w:lang w:val="en-SG"/>
              </w:rPr>
            </w:pPr>
            <w:r w:rsidRPr="00741B57" w:rsidDel="00EB0885">
              <w:rPr>
                <w:lang w:val="en-SG"/>
              </w:rPr>
              <w:t>All-cause mortality</w:t>
            </w:r>
          </w:p>
        </w:tc>
        <w:tc>
          <w:tcPr>
            <w:tcW w:w="692" w:type="pct"/>
          </w:tcPr>
          <w:p w:rsidR="00323A39" w:rsidRPr="00741B57" w:rsidDel="00EB0885" w:rsidRDefault="00323A39" w:rsidP="00004805">
            <w:pPr>
              <w:pStyle w:val="Tabletext"/>
              <w:spacing w:after="0"/>
              <w:rPr>
                <w:lang w:val="en-SG"/>
              </w:rPr>
            </w:pPr>
            <w:r w:rsidRPr="00741B57" w:rsidDel="00EB0885">
              <w:rPr>
                <w:lang w:val="en-SG"/>
              </w:rPr>
              <w:t>2.2</w:t>
            </w:r>
          </w:p>
        </w:tc>
        <w:tc>
          <w:tcPr>
            <w:tcW w:w="660" w:type="pct"/>
          </w:tcPr>
          <w:p w:rsidR="00323A39" w:rsidRPr="00741B57" w:rsidDel="00EB0885" w:rsidRDefault="00323A39" w:rsidP="00004805">
            <w:pPr>
              <w:pStyle w:val="Tabletext"/>
              <w:spacing w:after="0"/>
              <w:rPr>
                <w:lang w:val="en-SG"/>
              </w:rPr>
            </w:pPr>
            <w:r w:rsidRPr="00741B57" w:rsidDel="00EB0885">
              <w:rPr>
                <w:lang w:val="en-SG"/>
              </w:rPr>
              <w:t>6.7</w:t>
            </w:r>
          </w:p>
        </w:tc>
        <w:tc>
          <w:tcPr>
            <w:tcW w:w="693" w:type="pct"/>
          </w:tcPr>
          <w:p w:rsidR="00323A39" w:rsidRPr="00741B57" w:rsidDel="00EB0885" w:rsidRDefault="00323A39" w:rsidP="00004805">
            <w:pPr>
              <w:pStyle w:val="Tabletext"/>
              <w:spacing w:after="0"/>
              <w:rPr>
                <w:lang w:val="en-SG"/>
              </w:rPr>
            </w:pPr>
            <w:r w:rsidRPr="00741B57" w:rsidDel="00EB0885">
              <w:rPr>
                <w:lang w:val="en-SG"/>
              </w:rPr>
              <w:t>1.7</w:t>
            </w:r>
          </w:p>
        </w:tc>
        <w:tc>
          <w:tcPr>
            <w:tcW w:w="656" w:type="pct"/>
          </w:tcPr>
          <w:p w:rsidR="00323A39" w:rsidRPr="00741B57" w:rsidDel="00EB0885" w:rsidRDefault="00323A39" w:rsidP="00004805">
            <w:pPr>
              <w:pStyle w:val="Tabletext"/>
              <w:spacing w:after="0"/>
              <w:rPr>
                <w:lang w:val="en-SG"/>
              </w:rPr>
            </w:pPr>
            <w:r w:rsidRPr="00741B57" w:rsidDel="00EB0885">
              <w:rPr>
                <w:lang w:val="en-SG"/>
              </w:rPr>
              <w:t>6.8</w:t>
            </w: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Disabling or major stroke</w:t>
            </w:r>
          </w:p>
        </w:tc>
        <w:tc>
          <w:tcPr>
            <w:tcW w:w="692" w:type="pct"/>
          </w:tcPr>
          <w:p w:rsidR="00323A39" w:rsidRPr="00741B57" w:rsidDel="00EB0885" w:rsidRDefault="00323A39" w:rsidP="00004805">
            <w:pPr>
              <w:pStyle w:val="Tabletext"/>
              <w:rPr>
                <w:lang w:val="en-SG"/>
              </w:rPr>
            </w:pPr>
            <w:r w:rsidRPr="00741B57" w:rsidDel="00EB0885">
              <w:rPr>
                <w:lang w:val="en-SG"/>
              </w:rPr>
              <w:t>1.2</w:t>
            </w:r>
          </w:p>
        </w:tc>
        <w:tc>
          <w:tcPr>
            <w:tcW w:w="660" w:type="pct"/>
          </w:tcPr>
          <w:p w:rsidR="00323A39" w:rsidRPr="00741B57" w:rsidDel="00EB0885" w:rsidRDefault="00323A39" w:rsidP="00004805">
            <w:pPr>
              <w:pStyle w:val="Tabletext"/>
              <w:rPr>
                <w:lang w:val="en-SG"/>
              </w:rPr>
            </w:pPr>
            <w:r w:rsidRPr="00741B57" w:rsidDel="00EB0885">
              <w:rPr>
                <w:lang w:val="en-SG"/>
              </w:rPr>
              <w:t>2.2</w:t>
            </w:r>
          </w:p>
        </w:tc>
        <w:tc>
          <w:tcPr>
            <w:tcW w:w="693" w:type="pct"/>
          </w:tcPr>
          <w:p w:rsidR="00323A39" w:rsidRPr="00741B57" w:rsidDel="00EB0885" w:rsidRDefault="00323A39" w:rsidP="00004805">
            <w:pPr>
              <w:pStyle w:val="Tabletext"/>
              <w:rPr>
                <w:lang w:val="en-SG"/>
              </w:rPr>
            </w:pPr>
            <w:r w:rsidRPr="00741B57" w:rsidDel="00EB0885">
              <w:rPr>
                <w:lang w:val="en-SG"/>
              </w:rPr>
              <w:t>2.5</w:t>
            </w:r>
          </w:p>
        </w:tc>
        <w:tc>
          <w:tcPr>
            <w:tcW w:w="656" w:type="pct"/>
          </w:tcPr>
          <w:p w:rsidR="00323A39" w:rsidRPr="00741B57" w:rsidDel="00EB0885" w:rsidRDefault="00323A39" w:rsidP="00004805">
            <w:pPr>
              <w:pStyle w:val="Tabletext"/>
              <w:rPr>
                <w:lang w:val="en-SG"/>
              </w:rPr>
            </w:pPr>
            <w:r w:rsidRPr="00741B57" w:rsidDel="00EB0885">
              <w:rPr>
                <w:lang w:val="en-SG"/>
              </w:rPr>
              <w:t>3.6</w:t>
            </w: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Rehospitalisation</w:t>
            </w:r>
          </w:p>
        </w:tc>
        <w:tc>
          <w:tcPr>
            <w:tcW w:w="692" w:type="pct"/>
          </w:tcPr>
          <w:p w:rsidR="00323A39" w:rsidRPr="00741B57" w:rsidDel="00EB0885" w:rsidRDefault="00323A39" w:rsidP="00004805">
            <w:pPr>
              <w:pStyle w:val="Tabletext"/>
              <w:rPr>
                <w:lang w:val="en-SG"/>
              </w:rPr>
            </w:pPr>
            <w:r w:rsidRPr="00741B57" w:rsidDel="00EB0885">
              <w:rPr>
                <w:lang w:val="en-SG"/>
              </w:rPr>
              <w:t>2.9</w:t>
            </w:r>
          </w:p>
        </w:tc>
        <w:tc>
          <w:tcPr>
            <w:tcW w:w="660" w:type="pct"/>
          </w:tcPr>
          <w:p w:rsidR="00323A39" w:rsidRPr="00741B57" w:rsidDel="00EB0885" w:rsidRDefault="00323A39" w:rsidP="00004805">
            <w:pPr>
              <w:pStyle w:val="Tabletext"/>
              <w:rPr>
                <w:lang w:val="en-SG"/>
              </w:rPr>
            </w:pPr>
            <w:r w:rsidRPr="00741B57" w:rsidDel="00EB0885">
              <w:rPr>
                <w:lang w:val="en-SG"/>
              </w:rPr>
              <w:t>8.5</w:t>
            </w:r>
          </w:p>
        </w:tc>
        <w:tc>
          <w:tcPr>
            <w:tcW w:w="693" w:type="pct"/>
          </w:tcPr>
          <w:p w:rsidR="00323A39" w:rsidRPr="00741B57" w:rsidDel="00EB0885" w:rsidRDefault="00323A39" w:rsidP="00004805">
            <w:pPr>
              <w:pStyle w:val="Tabletext"/>
              <w:rPr>
                <w:lang w:val="en-SG"/>
              </w:rPr>
            </w:pPr>
            <w:r w:rsidRPr="00741B57" w:rsidDel="00EB0885">
              <w:rPr>
                <w:lang w:val="en-SG"/>
              </w:rPr>
              <w:t>4.2</w:t>
            </w:r>
          </w:p>
        </w:tc>
        <w:tc>
          <w:tcPr>
            <w:tcW w:w="656" w:type="pct"/>
          </w:tcPr>
          <w:p w:rsidR="00323A39" w:rsidRPr="00741B57" w:rsidDel="00EB0885" w:rsidRDefault="00323A39" w:rsidP="00004805">
            <w:pPr>
              <w:pStyle w:val="Tabletext"/>
              <w:rPr>
                <w:lang w:val="en-SG"/>
              </w:rPr>
            </w:pPr>
            <w:r w:rsidRPr="00741B57" w:rsidDel="00EB0885">
              <w:rPr>
                <w:lang w:val="en-SG"/>
              </w:rPr>
              <w:t>7.6</w:t>
            </w: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MI</w:t>
            </w:r>
          </w:p>
        </w:tc>
        <w:tc>
          <w:tcPr>
            <w:tcW w:w="692" w:type="pct"/>
          </w:tcPr>
          <w:p w:rsidR="00323A39" w:rsidRPr="00741B57" w:rsidDel="00EB0885" w:rsidRDefault="00323A39" w:rsidP="00004805">
            <w:pPr>
              <w:pStyle w:val="Tabletext"/>
              <w:rPr>
                <w:lang w:val="en-SG"/>
              </w:rPr>
            </w:pPr>
            <w:r w:rsidRPr="00741B57" w:rsidDel="00EB0885">
              <w:rPr>
                <w:lang w:val="en-SG"/>
              </w:rPr>
              <w:t>0.9</w:t>
            </w:r>
          </w:p>
        </w:tc>
        <w:tc>
          <w:tcPr>
            <w:tcW w:w="660" w:type="pct"/>
          </w:tcPr>
          <w:p w:rsidR="00323A39" w:rsidRPr="00741B57" w:rsidDel="00EB0885" w:rsidRDefault="00323A39" w:rsidP="00004805">
            <w:pPr>
              <w:pStyle w:val="Tabletext"/>
              <w:rPr>
                <w:lang w:val="en-SG"/>
              </w:rPr>
            </w:pPr>
            <w:r w:rsidRPr="00741B57" w:rsidDel="00EB0885">
              <w:rPr>
                <w:lang w:val="en-SG"/>
              </w:rPr>
              <w:t>2.0</w:t>
            </w:r>
          </w:p>
        </w:tc>
        <w:tc>
          <w:tcPr>
            <w:tcW w:w="693" w:type="pct"/>
          </w:tcPr>
          <w:p w:rsidR="00323A39" w:rsidRPr="00741B57" w:rsidDel="00EB0885" w:rsidRDefault="00323A39" w:rsidP="00004805">
            <w:pPr>
              <w:pStyle w:val="Tabletext"/>
              <w:rPr>
                <w:lang w:val="en-SG"/>
              </w:rPr>
            </w:pPr>
            <w:r w:rsidRPr="00741B57" w:rsidDel="00EB0885">
              <w:rPr>
                <w:lang w:val="en-SG"/>
              </w:rPr>
              <w:t>1.0</w:t>
            </w:r>
          </w:p>
        </w:tc>
        <w:tc>
          <w:tcPr>
            <w:tcW w:w="656" w:type="pct"/>
          </w:tcPr>
          <w:p w:rsidR="00323A39" w:rsidRPr="00741B57" w:rsidDel="00EB0885" w:rsidRDefault="00323A39" w:rsidP="00004805">
            <w:pPr>
              <w:pStyle w:val="Tabletext"/>
              <w:rPr>
                <w:lang w:val="en-SG"/>
              </w:rPr>
            </w:pPr>
            <w:r w:rsidRPr="00741B57" w:rsidDel="00EB0885">
              <w:rPr>
                <w:lang w:val="en-SG"/>
              </w:rPr>
              <w:t>1.6</w:t>
            </w: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Major vascular complication</w:t>
            </w:r>
          </w:p>
        </w:tc>
        <w:tc>
          <w:tcPr>
            <w:tcW w:w="692" w:type="pct"/>
          </w:tcPr>
          <w:p w:rsidR="00323A39" w:rsidRPr="00741B57" w:rsidDel="00EB0885" w:rsidRDefault="00323A39" w:rsidP="00004805">
            <w:pPr>
              <w:pStyle w:val="Tabletext"/>
              <w:rPr>
                <w:lang w:val="en-SG"/>
              </w:rPr>
            </w:pPr>
            <w:r w:rsidRPr="00741B57" w:rsidDel="00EB0885">
              <w:rPr>
                <w:lang w:val="en-SG"/>
              </w:rPr>
              <w:t>6</w:t>
            </w:r>
          </w:p>
        </w:tc>
        <w:tc>
          <w:tcPr>
            <w:tcW w:w="660" w:type="pct"/>
          </w:tcPr>
          <w:p w:rsidR="00323A39" w:rsidRPr="00741B57" w:rsidDel="00EB0885" w:rsidRDefault="00323A39" w:rsidP="00004805">
            <w:pPr>
              <w:pStyle w:val="Tabletext"/>
              <w:rPr>
                <w:lang w:val="en-SG"/>
              </w:rPr>
            </w:pPr>
            <w:r w:rsidRPr="00741B57" w:rsidDel="00EB0885">
              <w:rPr>
                <w:lang w:val="en-SG"/>
              </w:rPr>
              <w:t>-</w:t>
            </w:r>
          </w:p>
        </w:tc>
        <w:tc>
          <w:tcPr>
            <w:tcW w:w="693" w:type="pct"/>
          </w:tcPr>
          <w:p w:rsidR="00323A39" w:rsidRPr="00741B57" w:rsidDel="00EB0885" w:rsidRDefault="00323A39" w:rsidP="00004805">
            <w:pPr>
              <w:pStyle w:val="Tabletext"/>
              <w:rPr>
                <w:lang w:val="en-SG"/>
              </w:rPr>
            </w:pPr>
            <w:r w:rsidRPr="00741B57" w:rsidDel="00EB0885">
              <w:rPr>
                <w:lang w:val="en-SG"/>
              </w:rPr>
              <w:t>1.1</w:t>
            </w:r>
          </w:p>
        </w:tc>
        <w:tc>
          <w:tcPr>
            <w:tcW w:w="656" w:type="pct"/>
          </w:tcPr>
          <w:p w:rsidR="00323A39" w:rsidRPr="00741B57" w:rsidDel="00EB0885" w:rsidRDefault="00323A39" w:rsidP="00004805">
            <w:pPr>
              <w:pStyle w:val="Tabletext"/>
              <w:rPr>
                <w:lang w:val="en-SG"/>
              </w:rPr>
            </w:pPr>
            <w:r w:rsidRPr="00741B57" w:rsidDel="00EB0885">
              <w:rPr>
                <w:lang w:val="en-SG"/>
              </w:rPr>
              <w:t>-</w:t>
            </w: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Life-threatening, disabling or major bleeding</w:t>
            </w:r>
          </w:p>
        </w:tc>
        <w:tc>
          <w:tcPr>
            <w:tcW w:w="692" w:type="pct"/>
          </w:tcPr>
          <w:p w:rsidR="00323A39" w:rsidRPr="00741B57" w:rsidDel="00EB0885" w:rsidRDefault="00323A39" w:rsidP="00004805">
            <w:pPr>
              <w:pStyle w:val="Tabletext"/>
              <w:rPr>
                <w:lang w:val="en-SG"/>
              </w:rPr>
            </w:pPr>
            <w:r w:rsidRPr="00741B57" w:rsidDel="00EB0885">
              <w:rPr>
                <w:lang w:val="en-SG"/>
              </w:rPr>
              <w:t>12.2</w:t>
            </w:r>
          </w:p>
        </w:tc>
        <w:tc>
          <w:tcPr>
            <w:tcW w:w="660" w:type="pct"/>
          </w:tcPr>
          <w:p w:rsidR="00323A39" w:rsidRPr="00741B57" w:rsidDel="00EB0885" w:rsidRDefault="00323A39" w:rsidP="00004805">
            <w:pPr>
              <w:pStyle w:val="Tabletext"/>
              <w:rPr>
                <w:lang w:val="en-SG"/>
              </w:rPr>
            </w:pPr>
            <w:r w:rsidRPr="00741B57" w:rsidDel="00EB0885">
              <w:rPr>
                <w:lang w:val="en-SG"/>
              </w:rPr>
              <w:t>-</w:t>
            </w:r>
          </w:p>
        </w:tc>
        <w:tc>
          <w:tcPr>
            <w:tcW w:w="693" w:type="pct"/>
          </w:tcPr>
          <w:p w:rsidR="00323A39" w:rsidRPr="00741B57" w:rsidDel="00EB0885" w:rsidRDefault="00323A39" w:rsidP="00004805">
            <w:pPr>
              <w:pStyle w:val="Tabletext"/>
              <w:rPr>
                <w:lang w:val="en-SG"/>
              </w:rPr>
            </w:pPr>
            <w:r w:rsidRPr="00741B57" w:rsidDel="00EB0885">
              <w:rPr>
                <w:lang w:val="en-SG"/>
              </w:rPr>
              <w:t>9.3</w:t>
            </w:r>
          </w:p>
        </w:tc>
        <w:tc>
          <w:tcPr>
            <w:tcW w:w="656" w:type="pct"/>
          </w:tcPr>
          <w:p w:rsidR="00323A39" w:rsidRPr="00741B57" w:rsidDel="00EB0885" w:rsidRDefault="00323A39" w:rsidP="00004805">
            <w:pPr>
              <w:pStyle w:val="Tabletext"/>
              <w:rPr>
                <w:lang w:val="en-SG"/>
              </w:rPr>
            </w:pPr>
            <w:r w:rsidRPr="00741B57" w:rsidDel="00EB0885">
              <w:rPr>
                <w:lang w:val="en-SG"/>
              </w:rPr>
              <w:t>-</w:t>
            </w: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Endocarditis</w:t>
            </w:r>
          </w:p>
        </w:tc>
        <w:tc>
          <w:tcPr>
            <w:tcW w:w="692" w:type="pct"/>
          </w:tcPr>
          <w:p w:rsidR="00323A39" w:rsidRPr="00741B57" w:rsidDel="00EB0885" w:rsidRDefault="00323A39" w:rsidP="00004805">
            <w:pPr>
              <w:pStyle w:val="Tabletext"/>
              <w:rPr>
                <w:lang w:val="en-SG"/>
              </w:rPr>
            </w:pPr>
            <w:r w:rsidRPr="00741B57" w:rsidDel="00EB0885">
              <w:rPr>
                <w:lang w:val="en-SG"/>
              </w:rPr>
              <w:t>0</w:t>
            </w:r>
          </w:p>
        </w:tc>
        <w:tc>
          <w:tcPr>
            <w:tcW w:w="660" w:type="pct"/>
          </w:tcPr>
          <w:p w:rsidR="00323A39" w:rsidRPr="00741B57" w:rsidDel="00EB0885" w:rsidRDefault="00323A39" w:rsidP="00004805">
            <w:pPr>
              <w:pStyle w:val="Tabletext"/>
              <w:rPr>
                <w:lang w:val="en-SG"/>
              </w:rPr>
            </w:pPr>
          </w:p>
        </w:tc>
        <w:tc>
          <w:tcPr>
            <w:tcW w:w="693" w:type="pct"/>
          </w:tcPr>
          <w:p w:rsidR="00323A39" w:rsidRPr="00741B57" w:rsidDel="00EB0885" w:rsidRDefault="00323A39" w:rsidP="00004805">
            <w:pPr>
              <w:pStyle w:val="Tabletext"/>
              <w:rPr>
                <w:lang w:val="en-SG"/>
              </w:rPr>
            </w:pPr>
            <w:r w:rsidRPr="00741B57" w:rsidDel="00EB0885">
              <w:rPr>
                <w:lang w:val="en-SG"/>
              </w:rPr>
              <w:t>0</w:t>
            </w:r>
          </w:p>
        </w:tc>
        <w:tc>
          <w:tcPr>
            <w:tcW w:w="656" w:type="pct"/>
          </w:tcPr>
          <w:p w:rsidR="00323A39" w:rsidRPr="00741B57" w:rsidDel="00EB0885" w:rsidRDefault="00323A39" w:rsidP="00004805">
            <w:pPr>
              <w:pStyle w:val="Tabletext"/>
              <w:rPr>
                <w:lang w:val="en-SG"/>
              </w:rPr>
            </w:pP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AKI</w:t>
            </w:r>
          </w:p>
        </w:tc>
        <w:tc>
          <w:tcPr>
            <w:tcW w:w="692" w:type="pct"/>
          </w:tcPr>
          <w:p w:rsidR="00323A39" w:rsidRPr="00741B57" w:rsidDel="00EB0885" w:rsidRDefault="00323A39" w:rsidP="00004805">
            <w:pPr>
              <w:pStyle w:val="Tabletext"/>
              <w:rPr>
                <w:lang w:val="en-SG"/>
              </w:rPr>
            </w:pPr>
            <w:r w:rsidRPr="00741B57" w:rsidDel="00EB0885">
              <w:rPr>
                <w:lang w:val="en-SG"/>
              </w:rPr>
              <w:t>1.7</w:t>
            </w:r>
          </w:p>
        </w:tc>
        <w:tc>
          <w:tcPr>
            <w:tcW w:w="660" w:type="pct"/>
          </w:tcPr>
          <w:p w:rsidR="00323A39" w:rsidRPr="00741B57" w:rsidDel="00EB0885" w:rsidRDefault="00323A39" w:rsidP="00004805">
            <w:pPr>
              <w:pStyle w:val="Tabletext"/>
              <w:rPr>
                <w:lang w:val="en-SG"/>
              </w:rPr>
            </w:pPr>
            <w:r w:rsidRPr="00741B57" w:rsidDel="00EB0885">
              <w:rPr>
                <w:lang w:val="en-SG"/>
              </w:rPr>
              <w:t>-</w:t>
            </w:r>
          </w:p>
        </w:tc>
        <w:tc>
          <w:tcPr>
            <w:tcW w:w="693" w:type="pct"/>
          </w:tcPr>
          <w:p w:rsidR="00323A39" w:rsidRPr="00741B57" w:rsidDel="00EB0885" w:rsidRDefault="00323A39" w:rsidP="00004805">
            <w:pPr>
              <w:pStyle w:val="Tabletext"/>
              <w:rPr>
                <w:lang w:val="en-SG"/>
              </w:rPr>
            </w:pPr>
            <w:r w:rsidRPr="00741B57" w:rsidDel="00EB0885">
              <w:rPr>
                <w:lang w:val="en-SG"/>
              </w:rPr>
              <w:t>4.4</w:t>
            </w:r>
          </w:p>
        </w:tc>
        <w:tc>
          <w:tcPr>
            <w:tcW w:w="656" w:type="pct"/>
          </w:tcPr>
          <w:p w:rsidR="00323A39" w:rsidRPr="00741B57" w:rsidDel="00EB0885" w:rsidRDefault="00323A39" w:rsidP="00004805">
            <w:pPr>
              <w:pStyle w:val="Tabletext"/>
              <w:rPr>
                <w:lang w:val="en-SG"/>
              </w:rPr>
            </w:pPr>
            <w:r w:rsidRPr="00741B57" w:rsidDel="00EB0885">
              <w:rPr>
                <w:lang w:val="en-SG"/>
              </w:rPr>
              <w:t>-</w:t>
            </w: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New PPI</w:t>
            </w:r>
          </w:p>
        </w:tc>
        <w:tc>
          <w:tcPr>
            <w:tcW w:w="692" w:type="pct"/>
          </w:tcPr>
          <w:p w:rsidR="00323A39" w:rsidRPr="00741B57" w:rsidDel="00EB0885" w:rsidRDefault="00323A39" w:rsidP="00004805">
            <w:pPr>
              <w:pStyle w:val="Tabletext"/>
              <w:rPr>
                <w:lang w:val="en-SG"/>
              </w:rPr>
            </w:pPr>
            <w:r w:rsidRPr="00741B57" w:rsidDel="00EB0885">
              <w:rPr>
                <w:lang w:val="en-SG"/>
              </w:rPr>
              <w:t>25.9</w:t>
            </w:r>
          </w:p>
        </w:tc>
        <w:tc>
          <w:tcPr>
            <w:tcW w:w="660" w:type="pct"/>
          </w:tcPr>
          <w:p w:rsidR="00323A39" w:rsidRPr="00741B57" w:rsidDel="00EB0885" w:rsidRDefault="00323A39" w:rsidP="00004805">
            <w:pPr>
              <w:pStyle w:val="Tabletext"/>
              <w:rPr>
                <w:lang w:val="en-SG"/>
              </w:rPr>
            </w:pPr>
          </w:p>
        </w:tc>
        <w:tc>
          <w:tcPr>
            <w:tcW w:w="693" w:type="pct"/>
          </w:tcPr>
          <w:p w:rsidR="00323A39" w:rsidRPr="00741B57" w:rsidDel="00EB0885" w:rsidRDefault="00323A39" w:rsidP="00004805">
            <w:pPr>
              <w:pStyle w:val="Tabletext"/>
              <w:rPr>
                <w:lang w:val="en-SG"/>
              </w:rPr>
            </w:pPr>
            <w:r w:rsidRPr="00741B57" w:rsidDel="00EB0885">
              <w:rPr>
                <w:lang w:val="en-SG"/>
              </w:rPr>
              <w:t>6.6</w:t>
            </w:r>
          </w:p>
        </w:tc>
        <w:tc>
          <w:tcPr>
            <w:tcW w:w="656" w:type="pct"/>
          </w:tcPr>
          <w:p w:rsidR="00323A39" w:rsidRPr="00741B57" w:rsidDel="00EB0885" w:rsidRDefault="00323A39" w:rsidP="00004805">
            <w:pPr>
              <w:pStyle w:val="Tabletext"/>
              <w:rPr>
                <w:lang w:val="en-SG"/>
              </w:rPr>
            </w:pP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TIA</w:t>
            </w:r>
          </w:p>
        </w:tc>
        <w:tc>
          <w:tcPr>
            <w:tcW w:w="692" w:type="pct"/>
          </w:tcPr>
          <w:p w:rsidR="00323A39" w:rsidRPr="00741B57" w:rsidDel="00EB0885" w:rsidRDefault="00323A39" w:rsidP="00004805">
            <w:pPr>
              <w:pStyle w:val="Tabletext"/>
              <w:rPr>
                <w:lang w:val="en-SG"/>
              </w:rPr>
            </w:pPr>
            <w:r w:rsidRPr="00741B57" w:rsidDel="00EB0885">
              <w:rPr>
                <w:lang w:val="en-SG"/>
              </w:rPr>
              <w:t>1.5</w:t>
            </w:r>
          </w:p>
        </w:tc>
        <w:tc>
          <w:tcPr>
            <w:tcW w:w="660" w:type="pct"/>
          </w:tcPr>
          <w:p w:rsidR="00323A39" w:rsidRPr="00741B57" w:rsidDel="00EB0885" w:rsidRDefault="00323A39" w:rsidP="00004805">
            <w:pPr>
              <w:pStyle w:val="Tabletext"/>
              <w:rPr>
                <w:lang w:val="en-SG"/>
              </w:rPr>
            </w:pPr>
            <w:r w:rsidRPr="00741B57" w:rsidDel="00EB0885">
              <w:rPr>
                <w:lang w:val="en-SG"/>
              </w:rPr>
              <w:t>3.2</w:t>
            </w:r>
          </w:p>
        </w:tc>
        <w:tc>
          <w:tcPr>
            <w:tcW w:w="693" w:type="pct"/>
          </w:tcPr>
          <w:p w:rsidR="00323A39" w:rsidRPr="00741B57" w:rsidDel="00EB0885" w:rsidRDefault="00323A39" w:rsidP="00004805">
            <w:pPr>
              <w:pStyle w:val="Tabletext"/>
              <w:rPr>
                <w:lang w:val="en-SG"/>
              </w:rPr>
            </w:pPr>
            <w:r w:rsidRPr="00741B57" w:rsidDel="00EB0885">
              <w:rPr>
                <w:lang w:val="en-SG"/>
              </w:rPr>
              <w:t>1.1</w:t>
            </w:r>
          </w:p>
        </w:tc>
        <w:tc>
          <w:tcPr>
            <w:tcW w:w="656" w:type="pct"/>
          </w:tcPr>
          <w:p w:rsidR="00323A39" w:rsidRPr="00741B57" w:rsidDel="00EB0885" w:rsidRDefault="00323A39" w:rsidP="00004805">
            <w:pPr>
              <w:pStyle w:val="Tabletext"/>
              <w:rPr>
                <w:lang w:val="en-SG"/>
              </w:rPr>
            </w:pPr>
            <w:r w:rsidRPr="00741B57" w:rsidDel="00EB0885">
              <w:rPr>
                <w:lang w:val="en-SG"/>
              </w:rPr>
              <w:t>2.0</w:t>
            </w: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Atrial fibrillation</w:t>
            </w:r>
          </w:p>
        </w:tc>
        <w:tc>
          <w:tcPr>
            <w:tcW w:w="692" w:type="pct"/>
          </w:tcPr>
          <w:p w:rsidR="00323A39" w:rsidRPr="00741B57" w:rsidDel="00EB0885" w:rsidRDefault="00323A39" w:rsidP="00004805">
            <w:pPr>
              <w:pStyle w:val="Tabletext"/>
              <w:rPr>
                <w:lang w:val="en-SG"/>
              </w:rPr>
            </w:pPr>
            <w:r w:rsidRPr="00741B57" w:rsidDel="00EB0885">
              <w:rPr>
                <w:lang w:val="en-SG"/>
              </w:rPr>
              <w:t>12.9</w:t>
            </w:r>
          </w:p>
        </w:tc>
        <w:tc>
          <w:tcPr>
            <w:tcW w:w="660" w:type="pct"/>
          </w:tcPr>
          <w:p w:rsidR="00323A39" w:rsidRPr="00741B57" w:rsidDel="00EB0885" w:rsidRDefault="00323A39" w:rsidP="00004805">
            <w:pPr>
              <w:pStyle w:val="Tabletext"/>
              <w:rPr>
                <w:lang w:val="en-SG"/>
              </w:rPr>
            </w:pPr>
          </w:p>
        </w:tc>
        <w:tc>
          <w:tcPr>
            <w:tcW w:w="693" w:type="pct"/>
          </w:tcPr>
          <w:p w:rsidR="00323A39" w:rsidRPr="00741B57" w:rsidDel="00EB0885" w:rsidRDefault="00323A39" w:rsidP="00004805">
            <w:pPr>
              <w:pStyle w:val="Tabletext"/>
              <w:rPr>
                <w:lang w:val="en-SG"/>
              </w:rPr>
            </w:pPr>
            <w:r w:rsidRPr="00741B57" w:rsidDel="00EB0885">
              <w:rPr>
                <w:lang w:val="en-SG"/>
              </w:rPr>
              <w:t>43.4</w:t>
            </w:r>
          </w:p>
        </w:tc>
        <w:tc>
          <w:tcPr>
            <w:tcW w:w="656" w:type="pct"/>
          </w:tcPr>
          <w:p w:rsidR="00323A39" w:rsidRPr="00741B57" w:rsidDel="00EB0885" w:rsidRDefault="00323A39" w:rsidP="00004805">
            <w:pPr>
              <w:pStyle w:val="Tabletext"/>
              <w:rPr>
                <w:lang w:val="en-SG"/>
              </w:rPr>
            </w:pPr>
          </w:p>
        </w:tc>
      </w:tr>
      <w:tr w:rsidR="00323A39" w:rsidRPr="00741B57" w:rsidDel="00EB0885" w:rsidTr="00004805">
        <w:tc>
          <w:tcPr>
            <w:tcW w:w="2299" w:type="pct"/>
          </w:tcPr>
          <w:p w:rsidR="00323A39" w:rsidRPr="00741B57" w:rsidDel="00EB0885" w:rsidRDefault="00323A39" w:rsidP="00004805">
            <w:pPr>
              <w:pStyle w:val="Tabletext"/>
              <w:rPr>
                <w:lang w:val="en-SG"/>
              </w:rPr>
            </w:pPr>
            <w:r w:rsidRPr="00741B57" w:rsidDel="00EB0885">
              <w:rPr>
                <w:lang w:val="en-SG"/>
              </w:rPr>
              <w:t xml:space="preserve">Paravalvular aortic regurgitation </w:t>
            </w:r>
          </w:p>
        </w:tc>
        <w:tc>
          <w:tcPr>
            <w:tcW w:w="692" w:type="pct"/>
          </w:tcPr>
          <w:p w:rsidR="00323A39" w:rsidRPr="00741B57" w:rsidDel="00EB0885" w:rsidRDefault="00323A39" w:rsidP="00004805">
            <w:pPr>
              <w:pStyle w:val="Tabletext"/>
              <w:rPr>
                <w:lang w:val="en-SG"/>
              </w:rPr>
            </w:pPr>
            <w:r w:rsidRPr="00741B57" w:rsidDel="00EB0885">
              <w:rPr>
                <w:lang w:val="en-SG"/>
              </w:rPr>
              <w:t>3.5</w:t>
            </w:r>
          </w:p>
        </w:tc>
        <w:tc>
          <w:tcPr>
            <w:tcW w:w="660" w:type="pct"/>
          </w:tcPr>
          <w:p w:rsidR="00323A39" w:rsidRPr="00741B57" w:rsidDel="00EB0885" w:rsidRDefault="00323A39" w:rsidP="00004805">
            <w:pPr>
              <w:pStyle w:val="Tabletext"/>
              <w:rPr>
                <w:lang w:val="en-SG"/>
              </w:rPr>
            </w:pPr>
            <w:r w:rsidRPr="00741B57" w:rsidDel="00EB0885">
              <w:rPr>
                <w:lang w:val="en-SG"/>
              </w:rPr>
              <w:t>1.5</w:t>
            </w:r>
          </w:p>
        </w:tc>
        <w:tc>
          <w:tcPr>
            <w:tcW w:w="693" w:type="pct"/>
          </w:tcPr>
          <w:p w:rsidR="00323A39" w:rsidRPr="00741B57" w:rsidDel="00EB0885" w:rsidRDefault="00323A39" w:rsidP="00004805">
            <w:pPr>
              <w:pStyle w:val="Tabletext"/>
              <w:rPr>
                <w:lang w:val="en-SG"/>
              </w:rPr>
            </w:pPr>
            <w:r w:rsidRPr="00741B57" w:rsidDel="00EB0885">
              <w:rPr>
                <w:lang w:val="en-SG"/>
              </w:rPr>
              <w:t>0.7</w:t>
            </w:r>
          </w:p>
        </w:tc>
        <w:tc>
          <w:tcPr>
            <w:tcW w:w="656" w:type="pct"/>
          </w:tcPr>
          <w:p w:rsidR="00323A39" w:rsidRPr="00741B57" w:rsidDel="00EB0885" w:rsidRDefault="00323A39" w:rsidP="00004805">
            <w:pPr>
              <w:pStyle w:val="Tabletext"/>
              <w:rPr>
                <w:lang w:val="en-SG"/>
              </w:rPr>
            </w:pPr>
            <w:r w:rsidRPr="00741B57" w:rsidDel="00EB0885">
              <w:rPr>
                <w:lang w:val="en-SG"/>
              </w:rPr>
              <w:t>0.49</w:t>
            </w:r>
          </w:p>
        </w:tc>
      </w:tr>
    </w:tbl>
    <w:p w:rsidR="00323A39" w:rsidRPr="00741B57" w:rsidDel="00EB0885" w:rsidRDefault="00323A39" w:rsidP="00323A39">
      <w:pPr>
        <w:pStyle w:val="tablenote"/>
      </w:pPr>
      <w:r w:rsidRPr="00741B57" w:rsidDel="00EB0885">
        <w:t xml:space="preserve">Abbreviations: AKI, acute kidney injury; CI, confidence interval; MI, myocardial infarction; PPI, permanent pacemaker implantation; SAVR, surgical aortic valve replacement; TIA, transient ischemic attack; TAVI, </w:t>
      </w:r>
      <w:proofErr w:type="spellStart"/>
      <w:r w:rsidRPr="00741B57" w:rsidDel="00EB0885">
        <w:t>transcatheter</w:t>
      </w:r>
      <w:proofErr w:type="spellEnd"/>
      <w:r w:rsidRPr="00741B57" w:rsidDel="00EB0885">
        <w:t xml:space="preserve"> aortic valve implantation </w:t>
      </w:r>
    </w:p>
    <w:p w:rsidR="00323A39" w:rsidRPr="00741B57" w:rsidRDefault="00323A39" w:rsidP="00323A39">
      <w:pPr>
        <w:pStyle w:val="tablenote"/>
      </w:pPr>
    </w:p>
    <w:p w:rsidR="00323A39" w:rsidRPr="00741B57" w:rsidRDefault="00323A39" w:rsidP="00323A39">
      <w:pPr>
        <w:pStyle w:val="tablenote"/>
      </w:pPr>
    </w:p>
    <w:p w:rsidR="00323A39" w:rsidRPr="00741B57" w:rsidRDefault="00323A39" w:rsidP="00323A39">
      <w:pPr>
        <w:pStyle w:val="tablenote"/>
      </w:pPr>
      <w:proofErr w:type="gramStart"/>
      <w:r w:rsidRPr="00741B57">
        <w:t>Table S4-4.</w:t>
      </w:r>
      <w:proofErr w:type="gramEnd"/>
      <w:r w:rsidRPr="00741B57">
        <w:t xml:space="preserve"> Results of scenario analyses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8"/>
        <w:gridCol w:w="1163"/>
        <w:gridCol w:w="1262"/>
        <w:gridCol w:w="1237"/>
        <w:gridCol w:w="1806"/>
      </w:tblGrid>
      <w:tr w:rsidR="00323A39" w:rsidRPr="00741B57" w:rsidTr="00004805">
        <w:trPr>
          <w:cantSplit/>
          <w:tblHeader/>
        </w:trPr>
        <w:tc>
          <w:tcPr>
            <w:tcW w:w="2145" w:type="pct"/>
            <w:shd w:val="clear" w:color="auto" w:fill="BFBFBF" w:themeFill="background1" w:themeFillShade="BF"/>
          </w:tcPr>
          <w:p w:rsidR="00323A39" w:rsidRPr="00741B57" w:rsidRDefault="00323A39" w:rsidP="00004805">
            <w:pPr>
              <w:pStyle w:val="TableHeading"/>
              <w:rPr>
                <w:color w:val="auto"/>
                <w:lang w:val="en-SG"/>
              </w:rPr>
            </w:pPr>
            <w:r w:rsidRPr="00741B57">
              <w:rPr>
                <w:color w:val="auto"/>
                <w:lang w:val="en-SG"/>
              </w:rPr>
              <w:t>Scenario</w:t>
            </w:r>
          </w:p>
        </w:tc>
        <w:tc>
          <w:tcPr>
            <w:tcW w:w="607" w:type="pct"/>
            <w:shd w:val="clear" w:color="auto" w:fill="BFBFBF" w:themeFill="background1" w:themeFillShade="BF"/>
          </w:tcPr>
          <w:p w:rsidR="00323A39" w:rsidRPr="00741B57" w:rsidRDefault="00323A39" w:rsidP="00004805">
            <w:pPr>
              <w:pStyle w:val="TableHeading"/>
              <w:rPr>
                <w:color w:val="auto"/>
                <w:lang w:val="en-SG"/>
              </w:rPr>
            </w:pPr>
            <w:r w:rsidRPr="00741B57">
              <w:rPr>
                <w:color w:val="auto"/>
                <w:lang w:val="en-SG"/>
              </w:rPr>
              <w:t>Treatment</w:t>
            </w:r>
          </w:p>
        </w:tc>
        <w:tc>
          <w:tcPr>
            <w:tcW w:w="659" w:type="pct"/>
            <w:shd w:val="clear" w:color="auto" w:fill="BFBFBF" w:themeFill="background1" w:themeFillShade="BF"/>
          </w:tcPr>
          <w:p w:rsidR="00323A39" w:rsidRPr="00741B57" w:rsidRDefault="00323A39" w:rsidP="00004805">
            <w:pPr>
              <w:pStyle w:val="TableHeading"/>
              <w:rPr>
                <w:color w:val="auto"/>
                <w:lang w:val="en-SG"/>
              </w:rPr>
            </w:pPr>
            <w:r w:rsidRPr="00741B57">
              <w:rPr>
                <w:color w:val="auto"/>
                <w:lang w:val="en-SG"/>
              </w:rPr>
              <w:t>Total costs, 2020 US$</w:t>
            </w:r>
          </w:p>
        </w:tc>
        <w:tc>
          <w:tcPr>
            <w:tcW w:w="646" w:type="pct"/>
            <w:shd w:val="clear" w:color="auto" w:fill="BFBFBF" w:themeFill="background1" w:themeFillShade="BF"/>
          </w:tcPr>
          <w:p w:rsidR="00323A39" w:rsidRPr="00741B57" w:rsidRDefault="00323A39" w:rsidP="00004805">
            <w:pPr>
              <w:pStyle w:val="TableHeading"/>
              <w:rPr>
                <w:color w:val="auto"/>
                <w:lang w:val="en-SG"/>
              </w:rPr>
            </w:pPr>
            <w:r w:rsidRPr="00741B57">
              <w:rPr>
                <w:color w:val="auto"/>
                <w:lang w:val="en-SG"/>
              </w:rPr>
              <w:t>Total QALYs</w:t>
            </w:r>
          </w:p>
        </w:tc>
        <w:tc>
          <w:tcPr>
            <w:tcW w:w="943" w:type="pct"/>
            <w:shd w:val="clear" w:color="auto" w:fill="BFBFBF" w:themeFill="background1" w:themeFillShade="BF"/>
          </w:tcPr>
          <w:p w:rsidR="00323A39" w:rsidRPr="00741B57" w:rsidRDefault="00323A39" w:rsidP="00004805">
            <w:pPr>
              <w:pStyle w:val="TableHeading"/>
              <w:rPr>
                <w:color w:val="auto"/>
                <w:lang w:val="en-SG"/>
              </w:rPr>
            </w:pPr>
            <w:r w:rsidRPr="00741B57">
              <w:rPr>
                <w:color w:val="auto"/>
                <w:lang w:val="en-SG"/>
              </w:rPr>
              <w:t>ICER (cost per QALY), 2020 US$</w:t>
            </w:r>
          </w:p>
        </w:tc>
      </w:tr>
      <w:tr w:rsidR="00323A39" w:rsidRPr="00741B57" w:rsidTr="00004805">
        <w:trPr>
          <w:cantSplit/>
        </w:trPr>
        <w:tc>
          <w:tcPr>
            <w:tcW w:w="2145" w:type="pct"/>
            <w:vMerge w:val="restart"/>
            <w:shd w:val="clear" w:color="auto" w:fill="auto"/>
          </w:tcPr>
          <w:p w:rsidR="00323A39" w:rsidRPr="00741B57" w:rsidRDefault="00323A39" w:rsidP="00004805">
            <w:pPr>
              <w:pStyle w:val="Tabletext"/>
              <w:rPr>
                <w:bCs/>
                <w:lang w:val="en-SG"/>
              </w:rPr>
            </w:pPr>
            <w:r w:rsidRPr="00741B57">
              <w:rPr>
                <w:bCs/>
                <w:lang w:val="en-SG"/>
              </w:rPr>
              <w:t>Base-case</w:t>
            </w:r>
          </w:p>
          <w:p w:rsidR="00323A39" w:rsidRPr="00741B57" w:rsidRDefault="00323A39" w:rsidP="00004805">
            <w:pPr>
              <w:pStyle w:val="Tabletext"/>
              <w:rPr>
                <w:bCs/>
                <w:lang w:val="en-SG"/>
              </w:rPr>
            </w:pPr>
          </w:p>
        </w:tc>
        <w:tc>
          <w:tcPr>
            <w:tcW w:w="607" w:type="pct"/>
            <w:shd w:val="clear" w:color="auto" w:fill="auto"/>
          </w:tcPr>
          <w:p w:rsidR="00323A39" w:rsidRPr="00741B57" w:rsidRDefault="00323A39" w:rsidP="00004805">
            <w:pPr>
              <w:pStyle w:val="Tabletext"/>
              <w:rPr>
                <w:lang w:val="en-SG"/>
              </w:rPr>
            </w:pPr>
            <w:r w:rsidRPr="00741B57">
              <w:rPr>
                <w:lang w:val="en-SG"/>
              </w:rPr>
              <w:t>TAVI</w:t>
            </w:r>
          </w:p>
        </w:tc>
        <w:tc>
          <w:tcPr>
            <w:tcW w:w="659" w:type="pct"/>
            <w:shd w:val="clear" w:color="auto" w:fill="auto"/>
          </w:tcPr>
          <w:p w:rsidR="00323A39" w:rsidRPr="00741B57" w:rsidRDefault="00323A39" w:rsidP="00004805">
            <w:pPr>
              <w:pStyle w:val="Tabletext"/>
            </w:pPr>
            <w:r w:rsidRPr="00741B57">
              <w:t>70959</w:t>
            </w:r>
          </w:p>
        </w:tc>
        <w:tc>
          <w:tcPr>
            <w:tcW w:w="646" w:type="pct"/>
            <w:shd w:val="clear" w:color="auto" w:fill="auto"/>
          </w:tcPr>
          <w:p w:rsidR="00323A39" w:rsidRPr="00741B57" w:rsidRDefault="00323A39" w:rsidP="00004805">
            <w:pPr>
              <w:pStyle w:val="Tabletext"/>
              <w:rPr>
                <w:lang w:val="en-SG"/>
              </w:rPr>
            </w:pPr>
            <w:r w:rsidRPr="00741B57">
              <w:t>2.92</w:t>
            </w:r>
          </w:p>
        </w:tc>
        <w:tc>
          <w:tcPr>
            <w:tcW w:w="943" w:type="pct"/>
            <w:vMerge w:val="restart"/>
            <w:shd w:val="clear" w:color="auto" w:fill="auto"/>
          </w:tcPr>
          <w:p w:rsidR="00323A39" w:rsidRPr="00741B57" w:rsidRDefault="00323A39" w:rsidP="00004805">
            <w:pPr>
              <w:pStyle w:val="Tabletext"/>
              <w:spacing w:line="276" w:lineRule="auto"/>
            </w:pPr>
            <w:r w:rsidRPr="00741B57">
              <w:t>315760</w:t>
            </w:r>
          </w:p>
        </w:tc>
      </w:tr>
      <w:tr w:rsidR="00323A39" w:rsidRPr="00741B57" w:rsidTr="00004805">
        <w:trPr>
          <w:cantSplit/>
        </w:trPr>
        <w:tc>
          <w:tcPr>
            <w:tcW w:w="2145" w:type="pct"/>
            <w:vMerge/>
            <w:shd w:val="clear" w:color="auto" w:fill="auto"/>
          </w:tcPr>
          <w:p w:rsidR="00323A39" w:rsidRPr="00741B57" w:rsidRDefault="00323A39" w:rsidP="00004805">
            <w:pPr>
              <w:pStyle w:val="Tabletext"/>
              <w:rPr>
                <w:bCs/>
                <w:lang w:val="en-SG"/>
              </w:rPr>
            </w:pPr>
          </w:p>
        </w:tc>
        <w:tc>
          <w:tcPr>
            <w:tcW w:w="607" w:type="pct"/>
            <w:shd w:val="clear" w:color="auto" w:fill="auto"/>
          </w:tcPr>
          <w:p w:rsidR="00323A39" w:rsidRPr="00741B57" w:rsidRDefault="00323A39" w:rsidP="00004805">
            <w:pPr>
              <w:pStyle w:val="Tabletext"/>
              <w:rPr>
                <w:lang w:val="en-SG"/>
              </w:rPr>
            </w:pPr>
            <w:r w:rsidRPr="00741B57">
              <w:rPr>
                <w:lang w:val="en-SG"/>
              </w:rPr>
              <w:t>SAVR</w:t>
            </w:r>
          </w:p>
        </w:tc>
        <w:tc>
          <w:tcPr>
            <w:tcW w:w="659" w:type="pct"/>
            <w:shd w:val="clear" w:color="auto" w:fill="auto"/>
          </w:tcPr>
          <w:p w:rsidR="00323A39" w:rsidRPr="00741B57" w:rsidRDefault="00323A39" w:rsidP="00004805">
            <w:pPr>
              <w:pStyle w:val="Tabletext"/>
            </w:pPr>
            <w:r w:rsidRPr="00741B57">
              <w:t>39492</w:t>
            </w:r>
          </w:p>
        </w:tc>
        <w:tc>
          <w:tcPr>
            <w:tcW w:w="646" w:type="pct"/>
            <w:shd w:val="clear" w:color="auto" w:fill="auto"/>
          </w:tcPr>
          <w:p w:rsidR="00323A39" w:rsidRPr="00741B57" w:rsidRDefault="00323A39" w:rsidP="00004805">
            <w:pPr>
              <w:pStyle w:val="Tabletext"/>
              <w:rPr>
                <w:lang w:val="en-SG"/>
              </w:rPr>
            </w:pPr>
            <w:r w:rsidRPr="00741B57">
              <w:t>2.82</w:t>
            </w:r>
          </w:p>
        </w:tc>
        <w:tc>
          <w:tcPr>
            <w:tcW w:w="943" w:type="pct"/>
            <w:vMerge/>
            <w:shd w:val="clear" w:color="auto" w:fill="auto"/>
          </w:tcPr>
          <w:p w:rsidR="00323A39" w:rsidRPr="00741B57" w:rsidRDefault="00323A39" w:rsidP="00004805">
            <w:pPr>
              <w:pStyle w:val="Tabletext"/>
              <w:rPr>
                <w:lang w:val="en-SG"/>
              </w:rPr>
            </w:pPr>
          </w:p>
        </w:tc>
      </w:tr>
      <w:tr w:rsidR="00323A39" w:rsidRPr="00741B57" w:rsidTr="00004805">
        <w:trPr>
          <w:cantSplit/>
        </w:trPr>
        <w:tc>
          <w:tcPr>
            <w:tcW w:w="2145" w:type="pct"/>
            <w:vMerge w:val="restart"/>
            <w:shd w:val="clear" w:color="auto" w:fill="auto"/>
          </w:tcPr>
          <w:p w:rsidR="00323A39" w:rsidRPr="00741B57" w:rsidRDefault="00323A39" w:rsidP="00004805">
            <w:pPr>
              <w:pStyle w:val="Tabletext"/>
              <w:rPr>
                <w:bCs/>
                <w:lang w:val="en-SG"/>
              </w:rPr>
            </w:pPr>
            <w:r w:rsidRPr="00741B57">
              <w:rPr>
                <w:bCs/>
                <w:lang w:val="en-SG"/>
              </w:rPr>
              <w:t>Scenario 1: Clinical outcomes using SAPIEN 3 valve (PARTNER S3i/PARTNER 2A PSM)</w:t>
            </w:r>
          </w:p>
        </w:tc>
        <w:tc>
          <w:tcPr>
            <w:tcW w:w="607" w:type="pct"/>
            <w:shd w:val="clear" w:color="auto" w:fill="auto"/>
          </w:tcPr>
          <w:p w:rsidR="00323A39" w:rsidRPr="00741B57" w:rsidRDefault="00323A39" w:rsidP="00004805">
            <w:pPr>
              <w:pStyle w:val="Tabletext"/>
              <w:rPr>
                <w:lang w:val="en-SG"/>
              </w:rPr>
            </w:pPr>
            <w:r w:rsidRPr="00741B57">
              <w:rPr>
                <w:lang w:val="en-SG"/>
              </w:rPr>
              <w:t>TAVI</w:t>
            </w:r>
          </w:p>
        </w:tc>
        <w:tc>
          <w:tcPr>
            <w:tcW w:w="659" w:type="pct"/>
            <w:shd w:val="clear" w:color="auto" w:fill="auto"/>
          </w:tcPr>
          <w:p w:rsidR="00323A39" w:rsidRPr="00741B57" w:rsidRDefault="00323A39" w:rsidP="00004805">
            <w:pPr>
              <w:pStyle w:val="Tabletext"/>
            </w:pPr>
            <w:r w:rsidRPr="00741B57">
              <w:t>66139</w:t>
            </w:r>
          </w:p>
        </w:tc>
        <w:tc>
          <w:tcPr>
            <w:tcW w:w="646" w:type="pct"/>
            <w:shd w:val="clear" w:color="auto" w:fill="auto"/>
          </w:tcPr>
          <w:p w:rsidR="00323A39" w:rsidRPr="00741B57" w:rsidRDefault="00323A39" w:rsidP="00004805">
            <w:pPr>
              <w:pStyle w:val="Tabletext"/>
              <w:rPr>
                <w:lang w:val="en-SG"/>
              </w:rPr>
            </w:pPr>
            <w:r w:rsidRPr="00741B57">
              <w:t>3.12</w:t>
            </w:r>
          </w:p>
        </w:tc>
        <w:tc>
          <w:tcPr>
            <w:tcW w:w="943" w:type="pct"/>
            <w:vMerge w:val="restart"/>
            <w:shd w:val="clear" w:color="auto" w:fill="auto"/>
          </w:tcPr>
          <w:p w:rsidR="00323A39" w:rsidRPr="00741B57" w:rsidRDefault="00323A39" w:rsidP="00004805">
            <w:pPr>
              <w:pStyle w:val="Tabletext"/>
            </w:pPr>
            <w:r w:rsidRPr="00741B57">
              <w:t>86337</w:t>
            </w:r>
          </w:p>
        </w:tc>
      </w:tr>
      <w:tr w:rsidR="00323A39" w:rsidRPr="00741B57" w:rsidTr="00004805">
        <w:trPr>
          <w:cantSplit/>
        </w:trPr>
        <w:tc>
          <w:tcPr>
            <w:tcW w:w="2145" w:type="pct"/>
            <w:vMerge/>
            <w:shd w:val="clear" w:color="auto" w:fill="auto"/>
          </w:tcPr>
          <w:p w:rsidR="00323A39" w:rsidRPr="00741B57" w:rsidRDefault="00323A39" w:rsidP="00004805">
            <w:pPr>
              <w:pStyle w:val="Tabletext"/>
              <w:rPr>
                <w:bCs/>
                <w:lang w:val="en-SG"/>
              </w:rPr>
            </w:pPr>
          </w:p>
        </w:tc>
        <w:tc>
          <w:tcPr>
            <w:tcW w:w="607" w:type="pct"/>
            <w:shd w:val="clear" w:color="auto" w:fill="auto"/>
          </w:tcPr>
          <w:p w:rsidR="00323A39" w:rsidRPr="00741B57" w:rsidRDefault="00323A39" w:rsidP="00004805">
            <w:pPr>
              <w:pStyle w:val="Tabletext"/>
              <w:rPr>
                <w:lang w:val="en-SG"/>
              </w:rPr>
            </w:pPr>
            <w:r w:rsidRPr="00741B57">
              <w:rPr>
                <w:lang w:val="en-SG"/>
              </w:rPr>
              <w:t>SAVR</w:t>
            </w:r>
          </w:p>
        </w:tc>
        <w:tc>
          <w:tcPr>
            <w:tcW w:w="659" w:type="pct"/>
            <w:shd w:val="clear" w:color="auto" w:fill="auto"/>
          </w:tcPr>
          <w:p w:rsidR="00323A39" w:rsidRPr="00741B57" w:rsidRDefault="00323A39" w:rsidP="00004805">
            <w:pPr>
              <w:pStyle w:val="Tabletext"/>
            </w:pPr>
            <w:r w:rsidRPr="00741B57">
              <w:t>41,007</w:t>
            </w:r>
          </w:p>
        </w:tc>
        <w:tc>
          <w:tcPr>
            <w:tcW w:w="646" w:type="pct"/>
            <w:shd w:val="clear" w:color="auto" w:fill="auto"/>
          </w:tcPr>
          <w:p w:rsidR="00323A39" w:rsidRPr="00741B57" w:rsidRDefault="00323A39" w:rsidP="00004805">
            <w:pPr>
              <w:pStyle w:val="Tabletext"/>
              <w:rPr>
                <w:lang w:val="en-SG"/>
              </w:rPr>
            </w:pPr>
            <w:r w:rsidRPr="00741B57">
              <w:t>2.82</w:t>
            </w:r>
          </w:p>
        </w:tc>
        <w:tc>
          <w:tcPr>
            <w:tcW w:w="943" w:type="pct"/>
            <w:vMerge/>
            <w:shd w:val="clear" w:color="auto" w:fill="auto"/>
          </w:tcPr>
          <w:p w:rsidR="00323A39" w:rsidRPr="00741B57" w:rsidRDefault="00323A39" w:rsidP="00004805">
            <w:pPr>
              <w:pStyle w:val="Tabletext"/>
              <w:rPr>
                <w:lang w:val="en-SG"/>
              </w:rPr>
            </w:pPr>
          </w:p>
        </w:tc>
      </w:tr>
      <w:tr w:rsidR="00323A39" w:rsidRPr="00741B57" w:rsidTr="00004805">
        <w:trPr>
          <w:cantSplit/>
        </w:trPr>
        <w:tc>
          <w:tcPr>
            <w:tcW w:w="2145" w:type="pct"/>
            <w:vMerge w:val="restart"/>
            <w:shd w:val="clear" w:color="auto" w:fill="auto"/>
          </w:tcPr>
          <w:p w:rsidR="00323A39" w:rsidRPr="00741B57" w:rsidRDefault="00323A39" w:rsidP="00004805">
            <w:pPr>
              <w:pStyle w:val="Tabletext"/>
              <w:rPr>
                <w:bCs/>
                <w:lang w:val="en-SG"/>
              </w:rPr>
            </w:pPr>
            <w:r w:rsidRPr="00741B57">
              <w:rPr>
                <w:bCs/>
                <w:lang w:val="en-SG"/>
              </w:rPr>
              <w:t xml:space="preserve">Scenario 2: Clinical outcomes using </w:t>
            </w:r>
            <w:proofErr w:type="spellStart"/>
            <w:r w:rsidRPr="00741B57">
              <w:rPr>
                <w:bCs/>
                <w:lang w:val="en-SG"/>
              </w:rPr>
              <w:t>CoreValve</w:t>
            </w:r>
            <w:proofErr w:type="spellEnd"/>
            <w:r w:rsidRPr="00741B57">
              <w:rPr>
                <w:bCs/>
                <w:lang w:val="en-SG"/>
              </w:rPr>
              <w:t>® System (SURTAVI)</w:t>
            </w:r>
          </w:p>
        </w:tc>
        <w:tc>
          <w:tcPr>
            <w:tcW w:w="607" w:type="pct"/>
            <w:shd w:val="clear" w:color="auto" w:fill="auto"/>
          </w:tcPr>
          <w:p w:rsidR="00323A39" w:rsidRPr="00741B57" w:rsidRDefault="00323A39" w:rsidP="00004805">
            <w:pPr>
              <w:pStyle w:val="Tabletext"/>
              <w:rPr>
                <w:lang w:val="en-SG"/>
              </w:rPr>
            </w:pPr>
            <w:r w:rsidRPr="00741B57">
              <w:rPr>
                <w:lang w:val="en-SG"/>
              </w:rPr>
              <w:t>TAVI</w:t>
            </w:r>
          </w:p>
        </w:tc>
        <w:tc>
          <w:tcPr>
            <w:tcW w:w="659" w:type="pct"/>
            <w:shd w:val="clear" w:color="auto" w:fill="auto"/>
          </w:tcPr>
          <w:p w:rsidR="00323A39" w:rsidRPr="00741B57" w:rsidRDefault="00323A39" w:rsidP="00004805">
            <w:pPr>
              <w:pStyle w:val="Tabletext"/>
            </w:pPr>
            <w:r w:rsidRPr="00741B57">
              <w:t>67485</w:t>
            </w:r>
          </w:p>
        </w:tc>
        <w:tc>
          <w:tcPr>
            <w:tcW w:w="646" w:type="pct"/>
            <w:shd w:val="clear" w:color="auto" w:fill="auto"/>
          </w:tcPr>
          <w:p w:rsidR="00323A39" w:rsidRPr="00741B57" w:rsidRDefault="00323A39" w:rsidP="00004805">
            <w:pPr>
              <w:pStyle w:val="Tabletext"/>
            </w:pPr>
            <w:r w:rsidRPr="00741B57">
              <w:t>3.15</w:t>
            </w:r>
          </w:p>
        </w:tc>
        <w:tc>
          <w:tcPr>
            <w:tcW w:w="943" w:type="pct"/>
            <w:vMerge w:val="restart"/>
            <w:shd w:val="clear" w:color="auto" w:fill="auto"/>
          </w:tcPr>
          <w:p w:rsidR="00323A39" w:rsidRPr="00741B57" w:rsidRDefault="00323A39" w:rsidP="00004805">
            <w:pPr>
              <w:pStyle w:val="Tabletext"/>
            </w:pPr>
            <w:r w:rsidRPr="00741B57">
              <w:t>837595</w:t>
            </w:r>
          </w:p>
          <w:p w:rsidR="00323A39" w:rsidRPr="00741B57" w:rsidRDefault="00323A39" w:rsidP="00004805">
            <w:pPr>
              <w:pStyle w:val="Tabletext"/>
            </w:pPr>
          </w:p>
        </w:tc>
      </w:tr>
      <w:tr w:rsidR="00323A39" w:rsidRPr="00741B57" w:rsidTr="00004805">
        <w:trPr>
          <w:cantSplit/>
        </w:trPr>
        <w:tc>
          <w:tcPr>
            <w:tcW w:w="2145" w:type="pct"/>
            <w:vMerge/>
            <w:shd w:val="clear" w:color="auto" w:fill="auto"/>
          </w:tcPr>
          <w:p w:rsidR="00323A39" w:rsidRPr="00741B57" w:rsidRDefault="00323A39" w:rsidP="00004805">
            <w:pPr>
              <w:pStyle w:val="Tabletext"/>
              <w:rPr>
                <w:bCs/>
                <w:lang w:val="en-SG"/>
              </w:rPr>
            </w:pPr>
          </w:p>
        </w:tc>
        <w:tc>
          <w:tcPr>
            <w:tcW w:w="607" w:type="pct"/>
            <w:shd w:val="clear" w:color="auto" w:fill="auto"/>
          </w:tcPr>
          <w:p w:rsidR="00323A39" w:rsidRPr="00741B57" w:rsidRDefault="00323A39" w:rsidP="00004805">
            <w:pPr>
              <w:pStyle w:val="Tabletext"/>
              <w:rPr>
                <w:lang w:val="en-SG"/>
              </w:rPr>
            </w:pPr>
            <w:r w:rsidRPr="00741B57">
              <w:rPr>
                <w:lang w:val="en-SG"/>
              </w:rPr>
              <w:t>SAVR</w:t>
            </w:r>
          </w:p>
        </w:tc>
        <w:tc>
          <w:tcPr>
            <w:tcW w:w="659" w:type="pct"/>
            <w:shd w:val="clear" w:color="auto" w:fill="auto"/>
          </w:tcPr>
          <w:p w:rsidR="00323A39" w:rsidRPr="00741B57" w:rsidRDefault="00323A39" w:rsidP="00004805">
            <w:pPr>
              <w:pStyle w:val="Tabletext"/>
            </w:pPr>
            <w:r w:rsidRPr="00741B57">
              <w:t>33981</w:t>
            </w:r>
          </w:p>
        </w:tc>
        <w:tc>
          <w:tcPr>
            <w:tcW w:w="646" w:type="pct"/>
            <w:shd w:val="clear" w:color="auto" w:fill="auto"/>
          </w:tcPr>
          <w:p w:rsidR="00323A39" w:rsidRPr="00741B57" w:rsidRDefault="00323A39" w:rsidP="00004805">
            <w:pPr>
              <w:pStyle w:val="Tabletext"/>
            </w:pPr>
            <w:r w:rsidRPr="00741B57">
              <w:t>3.11</w:t>
            </w:r>
          </w:p>
        </w:tc>
        <w:tc>
          <w:tcPr>
            <w:tcW w:w="943" w:type="pct"/>
            <w:vMerge/>
            <w:shd w:val="clear" w:color="auto" w:fill="auto"/>
          </w:tcPr>
          <w:p w:rsidR="00323A39" w:rsidRPr="00741B57" w:rsidRDefault="00323A39" w:rsidP="00004805">
            <w:pPr>
              <w:pStyle w:val="Tabletext"/>
            </w:pPr>
          </w:p>
        </w:tc>
      </w:tr>
      <w:tr w:rsidR="00323A39" w:rsidRPr="00741B57" w:rsidTr="00004805">
        <w:trPr>
          <w:cantSplit/>
        </w:trPr>
        <w:tc>
          <w:tcPr>
            <w:tcW w:w="2145" w:type="pct"/>
            <w:vMerge w:val="restart"/>
            <w:shd w:val="clear" w:color="auto" w:fill="auto"/>
          </w:tcPr>
          <w:p w:rsidR="00323A39" w:rsidRPr="00741B57" w:rsidRDefault="00323A39" w:rsidP="00004805">
            <w:pPr>
              <w:pStyle w:val="Tabletext"/>
              <w:rPr>
                <w:bCs/>
                <w:lang w:val="en-SG"/>
              </w:rPr>
            </w:pPr>
            <w:r w:rsidRPr="00741B57">
              <w:rPr>
                <w:bCs/>
                <w:lang w:val="en-SG"/>
              </w:rPr>
              <w:t>Scenario 3: 20-year time horizon projected based on last observed data in each arm</w:t>
            </w:r>
          </w:p>
        </w:tc>
        <w:tc>
          <w:tcPr>
            <w:tcW w:w="607" w:type="pct"/>
            <w:shd w:val="clear" w:color="auto" w:fill="auto"/>
          </w:tcPr>
          <w:p w:rsidR="00323A39" w:rsidRPr="00741B57" w:rsidRDefault="00323A39" w:rsidP="00004805">
            <w:pPr>
              <w:pStyle w:val="Tabletext"/>
              <w:rPr>
                <w:lang w:val="en-SG"/>
              </w:rPr>
            </w:pPr>
            <w:r w:rsidRPr="00741B57">
              <w:rPr>
                <w:lang w:val="en-SG"/>
              </w:rPr>
              <w:t>TAVI</w:t>
            </w:r>
          </w:p>
        </w:tc>
        <w:tc>
          <w:tcPr>
            <w:tcW w:w="659" w:type="pct"/>
            <w:shd w:val="clear" w:color="auto" w:fill="auto"/>
          </w:tcPr>
          <w:p w:rsidR="00323A39" w:rsidRPr="00741B57" w:rsidRDefault="00323A39" w:rsidP="00004805">
            <w:pPr>
              <w:pStyle w:val="Tabletext"/>
            </w:pPr>
            <w:r w:rsidRPr="00741B57">
              <w:t>79472</w:t>
            </w:r>
          </w:p>
        </w:tc>
        <w:tc>
          <w:tcPr>
            <w:tcW w:w="646" w:type="pct"/>
            <w:shd w:val="clear" w:color="auto" w:fill="auto"/>
          </w:tcPr>
          <w:p w:rsidR="00323A39" w:rsidRPr="00741B57" w:rsidRDefault="00323A39" w:rsidP="00004805">
            <w:pPr>
              <w:pStyle w:val="Tabletext"/>
            </w:pPr>
            <w:r w:rsidRPr="00741B57">
              <w:t>4.85</w:t>
            </w:r>
          </w:p>
        </w:tc>
        <w:tc>
          <w:tcPr>
            <w:tcW w:w="943" w:type="pct"/>
            <w:vMerge w:val="restart"/>
            <w:shd w:val="clear" w:color="auto" w:fill="auto"/>
          </w:tcPr>
          <w:p w:rsidR="00323A39" w:rsidRPr="00741B57" w:rsidRDefault="00323A39" w:rsidP="00004805">
            <w:pPr>
              <w:pStyle w:val="Tabletext"/>
            </w:pPr>
            <w:r w:rsidRPr="00741B57">
              <w:t>Dominated</w:t>
            </w:r>
          </w:p>
        </w:tc>
      </w:tr>
      <w:tr w:rsidR="00323A39" w:rsidRPr="00741B57" w:rsidTr="00004805">
        <w:trPr>
          <w:cantSplit/>
          <w:trHeight w:val="143"/>
        </w:trPr>
        <w:tc>
          <w:tcPr>
            <w:tcW w:w="2145" w:type="pct"/>
            <w:vMerge/>
            <w:shd w:val="clear" w:color="auto" w:fill="auto"/>
          </w:tcPr>
          <w:p w:rsidR="00323A39" w:rsidRPr="00741B57" w:rsidRDefault="00323A39" w:rsidP="00004805">
            <w:pPr>
              <w:pStyle w:val="Tabletext"/>
              <w:rPr>
                <w:bCs/>
                <w:lang w:val="en-SG"/>
              </w:rPr>
            </w:pPr>
          </w:p>
        </w:tc>
        <w:tc>
          <w:tcPr>
            <w:tcW w:w="607" w:type="pct"/>
            <w:shd w:val="clear" w:color="auto" w:fill="auto"/>
          </w:tcPr>
          <w:p w:rsidR="00323A39" w:rsidRPr="00741B57" w:rsidRDefault="00323A39" w:rsidP="00004805">
            <w:pPr>
              <w:pStyle w:val="Tabletext"/>
              <w:rPr>
                <w:lang w:val="en-SG"/>
              </w:rPr>
            </w:pPr>
            <w:r w:rsidRPr="00741B57">
              <w:rPr>
                <w:lang w:val="en-SG"/>
              </w:rPr>
              <w:t>SAVR</w:t>
            </w:r>
          </w:p>
        </w:tc>
        <w:tc>
          <w:tcPr>
            <w:tcW w:w="659" w:type="pct"/>
            <w:shd w:val="clear" w:color="auto" w:fill="auto"/>
          </w:tcPr>
          <w:p w:rsidR="00323A39" w:rsidRPr="00741B57" w:rsidRDefault="00323A39" w:rsidP="00004805">
            <w:pPr>
              <w:pStyle w:val="Tabletext"/>
            </w:pPr>
            <w:r w:rsidRPr="00741B57">
              <w:t>44180</w:t>
            </w:r>
          </w:p>
        </w:tc>
        <w:tc>
          <w:tcPr>
            <w:tcW w:w="646" w:type="pct"/>
            <w:shd w:val="clear" w:color="auto" w:fill="auto"/>
          </w:tcPr>
          <w:p w:rsidR="00323A39" w:rsidRPr="00741B57" w:rsidRDefault="00323A39" w:rsidP="00004805">
            <w:pPr>
              <w:pStyle w:val="Tabletext"/>
            </w:pPr>
            <w:r w:rsidRPr="00741B57">
              <w:t>5.16</w:t>
            </w:r>
          </w:p>
        </w:tc>
        <w:tc>
          <w:tcPr>
            <w:tcW w:w="943" w:type="pct"/>
            <w:vMerge/>
            <w:shd w:val="clear" w:color="auto" w:fill="auto"/>
          </w:tcPr>
          <w:p w:rsidR="00323A39" w:rsidRPr="00741B57" w:rsidRDefault="00323A39" w:rsidP="00004805">
            <w:pPr>
              <w:pStyle w:val="Tabletext"/>
            </w:pPr>
          </w:p>
        </w:tc>
      </w:tr>
      <w:tr w:rsidR="00323A39" w:rsidRPr="00741B57" w:rsidTr="00004805">
        <w:trPr>
          <w:cantSplit/>
        </w:trPr>
        <w:tc>
          <w:tcPr>
            <w:tcW w:w="2145" w:type="pct"/>
            <w:vMerge w:val="restart"/>
            <w:shd w:val="clear" w:color="auto" w:fill="auto"/>
          </w:tcPr>
          <w:p w:rsidR="00323A39" w:rsidRPr="00741B57" w:rsidRDefault="00323A39" w:rsidP="00004805">
            <w:pPr>
              <w:pStyle w:val="Tabletext"/>
              <w:rPr>
                <w:bCs/>
                <w:lang w:val="en-SG"/>
              </w:rPr>
            </w:pPr>
            <w:r w:rsidRPr="00741B57">
              <w:rPr>
                <w:bCs/>
                <w:lang w:val="en-SG"/>
              </w:rPr>
              <w:t xml:space="preserve">Scenario 4: Incorporating </w:t>
            </w:r>
            <w:proofErr w:type="spellStart"/>
            <w:r w:rsidRPr="00741B57">
              <w:rPr>
                <w:bCs/>
                <w:lang w:val="en-SG"/>
              </w:rPr>
              <w:t>disutilities</w:t>
            </w:r>
            <w:proofErr w:type="spellEnd"/>
            <w:r w:rsidRPr="00741B57">
              <w:rPr>
                <w:bCs/>
                <w:lang w:val="en-SG"/>
              </w:rPr>
              <w:t xml:space="preserve"> associated with AEs</w:t>
            </w:r>
            <w:r w:rsidRPr="00741B57" w:rsidDel="0057037B">
              <w:rPr>
                <w:bCs/>
                <w:lang w:val="en-SG"/>
              </w:rPr>
              <w:t xml:space="preserve"> </w:t>
            </w:r>
            <w:r w:rsidRPr="00741B57">
              <w:rPr>
                <w:bCs/>
                <w:lang w:val="en-SG"/>
              </w:rPr>
              <w:t>in base case</w:t>
            </w:r>
          </w:p>
        </w:tc>
        <w:tc>
          <w:tcPr>
            <w:tcW w:w="607" w:type="pct"/>
            <w:shd w:val="clear" w:color="auto" w:fill="auto"/>
          </w:tcPr>
          <w:p w:rsidR="00323A39" w:rsidRPr="00741B57" w:rsidRDefault="00323A39" w:rsidP="00004805">
            <w:pPr>
              <w:pStyle w:val="Tabletext"/>
              <w:rPr>
                <w:lang w:val="en-SG"/>
              </w:rPr>
            </w:pPr>
            <w:r w:rsidRPr="00741B57">
              <w:rPr>
                <w:lang w:val="en-SG"/>
              </w:rPr>
              <w:t>TAVI</w:t>
            </w:r>
          </w:p>
        </w:tc>
        <w:tc>
          <w:tcPr>
            <w:tcW w:w="659" w:type="pct"/>
            <w:shd w:val="clear" w:color="auto" w:fill="auto"/>
          </w:tcPr>
          <w:p w:rsidR="00323A39" w:rsidRPr="00741B57" w:rsidRDefault="00323A39" w:rsidP="00004805">
            <w:pPr>
              <w:pStyle w:val="Tabletext"/>
            </w:pPr>
            <w:r w:rsidRPr="00741B57">
              <w:t>70959</w:t>
            </w:r>
          </w:p>
        </w:tc>
        <w:tc>
          <w:tcPr>
            <w:tcW w:w="646" w:type="pct"/>
            <w:shd w:val="clear" w:color="auto" w:fill="auto"/>
          </w:tcPr>
          <w:p w:rsidR="00323A39" w:rsidRPr="00741B57" w:rsidRDefault="00323A39" w:rsidP="00004805">
            <w:pPr>
              <w:pStyle w:val="Tabletext"/>
              <w:rPr>
                <w:lang w:val="en-SG"/>
              </w:rPr>
            </w:pPr>
            <w:r w:rsidRPr="00741B57">
              <w:t>2.89</w:t>
            </w:r>
          </w:p>
        </w:tc>
        <w:tc>
          <w:tcPr>
            <w:tcW w:w="943" w:type="pct"/>
            <w:vMerge w:val="restart"/>
            <w:shd w:val="clear" w:color="auto" w:fill="auto"/>
          </w:tcPr>
          <w:p w:rsidR="00323A39" w:rsidRPr="00741B57" w:rsidRDefault="00323A39" w:rsidP="00004805">
            <w:pPr>
              <w:pStyle w:val="Tabletext"/>
            </w:pPr>
            <w:r w:rsidRPr="00741B57">
              <w:t>300070</w:t>
            </w:r>
          </w:p>
          <w:p w:rsidR="00323A39" w:rsidRPr="00741B57" w:rsidRDefault="00323A39" w:rsidP="00004805">
            <w:pPr>
              <w:pStyle w:val="Tabletext"/>
              <w:rPr>
                <w:lang w:val="en-SG"/>
              </w:rPr>
            </w:pPr>
          </w:p>
        </w:tc>
      </w:tr>
      <w:tr w:rsidR="00323A39" w:rsidRPr="00741B57" w:rsidTr="00004805">
        <w:trPr>
          <w:cantSplit/>
        </w:trPr>
        <w:tc>
          <w:tcPr>
            <w:tcW w:w="2145" w:type="pct"/>
            <w:vMerge/>
            <w:shd w:val="clear" w:color="auto" w:fill="auto"/>
          </w:tcPr>
          <w:p w:rsidR="00323A39" w:rsidRPr="00741B57" w:rsidRDefault="00323A39" w:rsidP="00004805">
            <w:pPr>
              <w:pStyle w:val="Tabletext"/>
              <w:rPr>
                <w:bCs/>
                <w:lang w:val="en-SG"/>
              </w:rPr>
            </w:pPr>
          </w:p>
        </w:tc>
        <w:tc>
          <w:tcPr>
            <w:tcW w:w="607" w:type="pct"/>
            <w:shd w:val="clear" w:color="auto" w:fill="auto"/>
          </w:tcPr>
          <w:p w:rsidR="00323A39" w:rsidRPr="00741B57" w:rsidRDefault="00323A39" w:rsidP="00004805">
            <w:pPr>
              <w:pStyle w:val="Tabletext"/>
              <w:rPr>
                <w:lang w:val="en-SG"/>
              </w:rPr>
            </w:pPr>
            <w:r w:rsidRPr="00741B57">
              <w:rPr>
                <w:lang w:val="en-SG"/>
              </w:rPr>
              <w:t>SAVR</w:t>
            </w:r>
          </w:p>
        </w:tc>
        <w:tc>
          <w:tcPr>
            <w:tcW w:w="659" w:type="pct"/>
            <w:shd w:val="clear" w:color="auto" w:fill="auto"/>
          </w:tcPr>
          <w:p w:rsidR="00323A39" w:rsidRPr="00741B57" w:rsidRDefault="00323A39" w:rsidP="00004805">
            <w:pPr>
              <w:pStyle w:val="Tabletext"/>
            </w:pPr>
            <w:r w:rsidRPr="00741B57">
              <w:t>39492</w:t>
            </w:r>
          </w:p>
        </w:tc>
        <w:tc>
          <w:tcPr>
            <w:tcW w:w="646" w:type="pct"/>
            <w:shd w:val="clear" w:color="auto" w:fill="auto"/>
          </w:tcPr>
          <w:p w:rsidR="00323A39" w:rsidRPr="00741B57" w:rsidRDefault="00323A39" w:rsidP="00004805">
            <w:pPr>
              <w:pStyle w:val="Tabletext"/>
              <w:rPr>
                <w:lang w:val="en-SG"/>
              </w:rPr>
            </w:pPr>
            <w:r w:rsidRPr="00741B57">
              <w:t>2.78</w:t>
            </w:r>
          </w:p>
        </w:tc>
        <w:tc>
          <w:tcPr>
            <w:tcW w:w="943" w:type="pct"/>
            <w:vMerge/>
            <w:shd w:val="clear" w:color="auto" w:fill="auto"/>
          </w:tcPr>
          <w:p w:rsidR="00323A39" w:rsidRPr="00741B57" w:rsidRDefault="00323A39" w:rsidP="00004805">
            <w:pPr>
              <w:pStyle w:val="Tabletext"/>
              <w:rPr>
                <w:lang w:val="en-SG"/>
              </w:rPr>
            </w:pPr>
          </w:p>
        </w:tc>
      </w:tr>
    </w:tbl>
    <w:p w:rsidR="00323A39" w:rsidRPr="00741B57" w:rsidRDefault="00323A39" w:rsidP="00323A39">
      <w:pPr>
        <w:pStyle w:val="tablenote"/>
      </w:pPr>
      <w:r w:rsidRPr="00741B57">
        <w:t xml:space="preserve">Abbreviations: ICER, incremental cost-effectiveness ratio; PSM, propensity-score matched study; SAVR, surgical aortic valve replacement; TAVI, </w:t>
      </w:r>
      <w:proofErr w:type="spellStart"/>
      <w:r w:rsidRPr="00741B57">
        <w:t>transcatheter</w:t>
      </w:r>
      <w:proofErr w:type="spellEnd"/>
      <w:r w:rsidRPr="00741B57">
        <w:t xml:space="preserve"> aortic valve implantation</w:t>
      </w:r>
    </w:p>
    <w:p w:rsidR="00D64DF8" w:rsidRDefault="00D64DF8">
      <w:bookmarkStart w:id="1" w:name="_GoBack"/>
      <w:bookmarkEnd w:id="1"/>
    </w:p>
    <w:sectPr w:rsidR="00D64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094991"/>
    <w:multiLevelType w:val="hybridMultilevel"/>
    <w:tmpl w:val="E466A7C4"/>
    <w:lvl w:ilvl="0" w:tplc="4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8CC438A"/>
    <w:multiLevelType w:val="hybridMultilevel"/>
    <w:tmpl w:val="1B8C36D4"/>
    <w:lvl w:ilvl="0" w:tplc="EB3E3D9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C252EF"/>
    <w:multiLevelType w:val="hybridMultilevel"/>
    <w:tmpl w:val="B4860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1790545"/>
    <w:multiLevelType w:val="hybridMultilevel"/>
    <w:tmpl w:val="8E829B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A39"/>
    <w:rsid w:val="000B1A9C"/>
    <w:rsid w:val="000B67F6"/>
    <w:rsid w:val="00127566"/>
    <w:rsid w:val="00130CD7"/>
    <w:rsid w:val="001352CE"/>
    <w:rsid w:val="001578C8"/>
    <w:rsid w:val="0018109C"/>
    <w:rsid w:val="0018538A"/>
    <w:rsid w:val="00200AB9"/>
    <w:rsid w:val="00236C30"/>
    <w:rsid w:val="00323A39"/>
    <w:rsid w:val="00361F73"/>
    <w:rsid w:val="003669FE"/>
    <w:rsid w:val="00391F89"/>
    <w:rsid w:val="00456E4C"/>
    <w:rsid w:val="00507702"/>
    <w:rsid w:val="00595DD2"/>
    <w:rsid w:val="005A3F9A"/>
    <w:rsid w:val="005E457E"/>
    <w:rsid w:val="006072D1"/>
    <w:rsid w:val="006331F3"/>
    <w:rsid w:val="00667E37"/>
    <w:rsid w:val="006E3880"/>
    <w:rsid w:val="006F57B4"/>
    <w:rsid w:val="00793C3C"/>
    <w:rsid w:val="007A4956"/>
    <w:rsid w:val="007B4EA6"/>
    <w:rsid w:val="007F5CA3"/>
    <w:rsid w:val="00827804"/>
    <w:rsid w:val="00880AE6"/>
    <w:rsid w:val="00895639"/>
    <w:rsid w:val="008C1169"/>
    <w:rsid w:val="008C6F2D"/>
    <w:rsid w:val="008D6A25"/>
    <w:rsid w:val="009379EA"/>
    <w:rsid w:val="00945CF4"/>
    <w:rsid w:val="009C04CD"/>
    <w:rsid w:val="00A62CED"/>
    <w:rsid w:val="00A6641A"/>
    <w:rsid w:val="00AE1BA7"/>
    <w:rsid w:val="00B108DE"/>
    <w:rsid w:val="00B32A1B"/>
    <w:rsid w:val="00B51F99"/>
    <w:rsid w:val="00B7231E"/>
    <w:rsid w:val="00B83757"/>
    <w:rsid w:val="00B921FE"/>
    <w:rsid w:val="00B97041"/>
    <w:rsid w:val="00BC4720"/>
    <w:rsid w:val="00C34517"/>
    <w:rsid w:val="00C763A0"/>
    <w:rsid w:val="00CA675E"/>
    <w:rsid w:val="00D376B6"/>
    <w:rsid w:val="00D61D1C"/>
    <w:rsid w:val="00D64DF8"/>
    <w:rsid w:val="00D66337"/>
    <w:rsid w:val="00DA1874"/>
    <w:rsid w:val="00DD2786"/>
    <w:rsid w:val="00E26819"/>
    <w:rsid w:val="00E413D4"/>
    <w:rsid w:val="00E62602"/>
    <w:rsid w:val="00E67142"/>
    <w:rsid w:val="00EA5F00"/>
    <w:rsid w:val="00EF4ED5"/>
    <w:rsid w:val="00F71407"/>
    <w:rsid w:val="00FC58F2"/>
    <w:rsid w:val="00FE2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link w:val="TabletextChar"/>
    <w:qFormat/>
    <w:rsid w:val="00323A39"/>
    <w:pPr>
      <w:spacing w:before="20" w:after="20" w:line="240" w:lineRule="auto"/>
    </w:pPr>
    <w:rPr>
      <w:rFonts w:eastAsia="Times New Roman" w:cstheme="minorHAnsi"/>
      <w:sz w:val="20"/>
      <w:szCs w:val="20"/>
      <w:lang w:val="en-AU" w:eastAsia="en-AU"/>
    </w:rPr>
  </w:style>
  <w:style w:type="character" w:customStyle="1" w:styleId="TabletextChar">
    <w:name w:val="Table text Char"/>
    <w:link w:val="Tabletext"/>
    <w:rsid w:val="00323A39"/>
    <w:rPr>
      <w:rFonts w:eastAsia="Times New Roman" w:cstheme="minorHAnsi"/>
      <w:sz w:val="20"/>
      <w:szCs w:val="20"/>
      <w:lang w:val="en-AU" w:eastAsia="en-AU"/>
    </w:rPr>
  </w:style>
  <w:style w:type="paragraph" w:customStyle="1" w:styleId="tablenote">
    <w:name w:val="table note"/>
    <w:basedOn w:val="Normal"/>
    <w:link w:val="tablenoteChar"/>
    <w:autoRedefine/>
    <w:qFormat/>
    <w:rsid w:val="00323A39"/>
    <w:pPr>
      <w:tabs>
        <w:tab w:val="left" w:pos="567"/>
      </w:tabs>
      <w:spacing w:after="0" w:line="240" w:lineRule="auto"/>
      <w:contextualSpacing/>
      <w:jc w:val="both"/>
    </w:pPr>
    <w:rPr>
      <w:b/>
      <w:szCs w:val="28"/>
      <w:lang w:val="en-SG"/>
    </w:rPr>
  </w:style>
  <w:style w:type="character" w:customStyle="1" w:styleId="tablenoteChar">
    <w:name w:val="table note Char"/>
    <w:basedOn w:val="DefaultParagraphFont"/>
    <w:link w:val="tablenote"/>
    <w:rsid w:val="00323A39"/>
    <w:rPr>
      <w:b/>
      <w:szCs w:val="28"/>
      <w:lang w:val="en-SG"/>
    </w:rPr>
  </w:style>
  <w:style w:type="paragraph" w:styleId="Caption">
    <w:name w:val="caption"/>
    <w:basedOn w:val="Normal"/>
    <w:next w:val="Normal"/>
    <w:link w:val="CaptionChar"/>
    <w:uiPriority w:val="35"/>
    <w:unhideWhenUsed/>
    <w:qFormat/>
    <w:rsid w:val="00323A39"/>
    <w:pPr>
      <w:keepNext/>
      <w:spacing w:before="60" w:after="60" w:line="240" w:lineRule="auto"/>
      <w:jc w:val="both"/>
    </w:pPr>
    <w:rPr>
      <w:b/>
      <w:bCs/>
      <w:szCs w:val="18"/>
      <w:lang w:val="en-SG"/>
    </w:rPr>
  </w:style>
  <w:style w:type="character" w:customStyle="1" w:styleId="CaptionChar">
    <w:name w:val="Caption Char"/>
    <w:basedOn w:val="DefaultParagraphFont"/>
    <w:link w:val="Caption"/>
    <w:uiPriority w:val="35"/>
    <w:rsid w:val="00323A39"/>
    <w:rPr>
      <w:b/>
      <w:bCs/>
      <w:szCs w:val="18"/>
      <w:lang w:val="en-SG"/>
    </w:rPr>
  </w:style>
  <w:style w:type="paragraph" w:customStyle="1" w:styleId="TableHeading">
    <w:name w:val="Table Heading"/>
    <w:basedOn w:val="Tabletext"/>
    <w:link w:val="TableHeadingChar"/>
    <w:qFormat/>
    <w:rsid w:val="00323A39"/>
    <w:pPr>
      <w:keepNext/>
    </w:pPr>
    <w:rPr>
      <w:rFonts w:eastAsia="Arial Unicode MS"/>
      <w:b/>
      <w:color w:val="FFFFFF" w:themeColor="background1"/>
    </w:rPr>
  </w:style>
  <w:style w:type="character" w:customStyle="1" w:styleId="TableHeadingChar">
    <w:name w:val="Table Heading Char"/>
    <w:basedOn w:val="TabletextChar"/>
    <w:link w:val="TableHeading"/>
    <w:rsid w:val="00323A39"/>
    <w:rPr>
      <w:rFonts w:eastAsia="Arial Unicode MS" w:cstheme="minorHAnsi"/>
      <w:b/>
      <w:color w:val="FFFFFF" w:themeColor="background1"/>
      <w:sz w:val="20"/>
      <w:szCs w:val="20"/>
      <w:lang w:val="en-AU" w:eastAsia="en-AU"/>
    </w:rPr>
  </w:style>
  <w:style w:type="paragraph" w:styleId="ListParagraph">
    <w:name w:val="List Paragraph"/>
    <w:aliases w:val="BulletPoints"/>
    <w:basedOn w:val="Normal"/>
    <w:link w:val="ListParagraphChar"/>
    <w:uiPriority w:val="34"/>
    <w:qFormat/>
    <w:rsid w:val="00323A39"/>
    <w:pPr>
      <w:spacing w:after="160" w:line="259" w:lineRule="auto"/>
      <w:ind w:left="720"/>
      <w:contextualSpacing/>
    </w:pPr>
    <w:rPr>
      <w:rFonts w:eastAsiaTheme="minorEastAsia"/>
      <w:lang w:val="en-GB" w:eastAsia="zh-CN"/>
    </w:rPr>
  </w:style>
  <w:style w:type="character" w:customStyle="1" w:styleId="ListParagraphChar">
    <w:name w:val="List Paragraph Char"/>
    <w:aliases w:val="BulletPoints Char"/>
    <w:basedOn w:val="DefaultParagraphFont"/>
    <w:link w:val="ListParagraph"/>
    <w:uiPriority w:val="34"/>
    <w:locked/>
    <w:rsid w:val="00323A39"/>
    <w:rPr>
      <w:rFonts w:eastAsiaTheme="minorEastAsia"/>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link w:val="TabletextChar"/>
    <w:qFormat/>
    <w:rsid w:val="00323A39"/>
    <w:pPr>
      <w:spacing w:before="20" w:after="20" w:line="240" w:lineRule="auto"/>
    </w:pPr>
    <w:rPr>
      <w:rFonts w:eastAsia="Times New Roman" w:cstheme="minorHAnsi"/>
      <w:sz w:val="20"/>
      <w:szCs w:val="20"/>
      <w:lang w:val="en-AU" w:eastAsia="en-AU"/>
    </w:rPr>
  </w:style>
  <w:style w:type="character" w:customStyle="1" w:styleId="TabletextChar">
    <w:name w:val="Table text Char"/>
    <w:link w:val="Tabletext"/>
    <w:rsid w:val="00323A39"/>
    <w:rPr>
      <w:rFonts w:eastAsia="Times New Roman" w:cstheme="minorHAnsi"/>
      <w:sz w:val="20"/>
      <w:szCs w:val="20"/>
      <w:lang w:val="en-AU" w:eastAsia="en-AU"/>
    </w:rPr>
  </w:style>
  <w:style w:type="paragraph" w:customStyle="1" w:styleId="tablenote">
    <w:name w:val="table note"/>
    <w:basedOn w:val="Normal"/>
    <w:link w:val="tablenoteChar"/>
    <w:autoRedefine/>
    <w:qFormat/>
    <w:rsid w:val="00323A39"/>
    <w:pPr>
      <w:tabs>
        <w:tab w:val="left" w:pos="567"/>
      </w:tabs>
      <w:spacing w:after="0" w:line="240" w:lineRule="auto"/>
      <w:contextualSpacing/>
      <w:jc w:val="both"/>
    </w:pPr>
    <w:rPr>
      <w:b/>
      <w:szCs w:val="28"/>
      <w:lang w:val="en-SG"/>
    </w:rPr>
  </w:style>
  <w:style w:type="character" w:customStyle="1" w:styleId="tablenoteChar">
    <w:name w:val="table note Char"/>
    <w:basedOn w:val="DefaultParagraphFont"/>
    <w:link w:val="tablenote"/>
    <w:rsid w:val="00323A39"/>
    <w:rPr>
      <w:b/>
      <w:szCs w:val="28"/>
      <w:lang w:val="en-SG"/>
    </w:rPr>
  </w:style>
  <w:style w:type="paragraph" w:styleId="Caption">
    <w:name w:val="caption"/>
    <w:basedOn w:val="Normal"/>
    <w:next w:val="Normal"/>
    <w:link w:val="CaptionChar"/>
    <w:uiPriority w:val="35"/>
    <w:unhideWhenUsed/>
    <w:qFormat/>
    <w:rsid w:val="00323A39"/>
    <w:pPr>
      <w:keepNext/>
      <w:spacing w:before="60" w:after="60" w:line="240" w:lineRule="auto"/>
      <w:jc w:val="both"/>
    </w:pPr>
    <w:rPr>
      <w:b/>
      <w:bCs/>
      <w:szCs w:val="18"/>
      <w:lang w:val="en-SG"/>
    </w:rPr>
  </w:style>
  <w:style w:type="character" w:customStyle="1" w:styleId="CaptionChar">
    <w:name w:val="Caption Char"/>
    <w:basedOn w:val="DefaultParagraphFont"/>
    <w:link w:val="Caption"/>
    <w:uiPriority w:val="35"/>
    <w:rsid w:val="00323A39"/>
    <w:rPr>
      <w:b/>
      <w:bCs/>
      <w:szCs w:val="18"/>
      <w:lang w:val="en-SG"/>
    </w:rPr>
  </w:style>
  <w:style w:type="paragraph" w:customStyle="1" w:styleId="TableHeading">
    <w:name w:val="Table Heading"/>
    <w:basedOn w:val="Tabletext"/>
    <w:link w:val="TableHeadingChar"/>
    <w:qFormat/>
    <w:rsid w:val="00323A39"/>
    <w:pPr>
      <w:keepNext/>
    </w:pPr>
    <w:rPr>
      <w:rFonts w:eastAsia="Arial Unicode MS"/>
      <w:b/>
      <w:color w:val="FFFFFF" w:themeColor="background1"/>
    </w:rPr>
  </w:style>
  <w:style w:type="character" w:customStyle="1" w:styleId="TableHeadingChar">
    <w:name w:val="Table Heading Char"/>
    <w:basedOn w:val="TabletextChar"/>
    <w:link w:val="TableHeading"/>
    <w:rsid w:val="00323A39"/>
    <w:rPr>
      <w:rFonts w:eastAsia="Arial Unicode MS" w:cstheme="minorHAnsi"/>
      <w:b/>
      <w:color w:val="FFFFFF" w:themeColor="background1"/>
      <w:sz w:val="20"/>
      <w:szCs w:val="20"/>
      <w:lang w:val="en-AU" w:eastAsia="en-AU"/>
    </w:rPr>
  </w:style>
  <w:style w:type="paragraph" w:styleId="ListParagraph">
    <w:name w:val="List Paragraph"/>
    <w:aliases w:val="BulletPoints"/>
    <w:basedOn w:val="Normal"/>
    <w:link w:val="ListParagraphChar"/>
    <w:uiPriority w:val="34"/>
    <w:qFormat/>
    <w:rsid w:val="00323A39"/>
    <w:pPr>
      <w:spacing w:after="160" w:line="259" w:lineRule="auto"/>
      <w:ind w:left="720"/>
      <w:contextualSpacing/>
    </w:pPr>
    <w:rPr>
      <w:rFonts w:eastAsiaTheme="minorEastAsia"/>
      <w:lang w:val="en-GB" w:eastAsia="zh-CN"/>
    </w:rPr>
  </w:style>
  <w:style w:type="character" w:customStyle="1" w:styleId="ListParagraphChar">
    <w:name w:val="List Paragraph Char"/>
    <w:aliases w:val="BulletPoints Char"/>
    <w:basedOn w:val="DefaultParagraphFont"/>
    <w:link w:val="ListParagraph"/>
    <w:uiPriority w:val="34"/>
    <w:locked/>
    <w:rsid w:val="00323A39"/>
    <w:rPr>
      <w:rFonts w:eastAsiaTheme="minorEastAsia"/>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15702</Words>
  <Characters>89503</Characters>
  <Application>Microsoft Office Word</Application>
  <DocSecurity>0</DocSecurity>
  <Lines>745</Lines>
  <Paragraphs>209</Paragraphs>
  <ScaleCrop>false</ScaleCrop>
  <Company/>
  <LinksUpToDate>false</LinksUpToDate>
  <CharactersWithSpaces>104996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GSABORDO</dc:creator>
  <cp:lastModifiedBy>GSABORDO</cp:lastModifiedBy>
  <cp:revision>1</cp:revision>
  <dcterms:created xsi:type="dcterms:W3CDTF">2022-08-01T00:22:00Z</dcterms:created>
  <dcterms:modified xsi:type="dcterms:W3CDTF">2022-08-01T00:23:00Z</dcterms:modified>
</cp:coreProperties>
</file>