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ECDEA" w14:textId="3FD4BDD8" w:rsidR="00EF6124" w:rsidRPr="00391FEF" w:rsidRDefault="00EF6124" w:rsidP="00EF6124">
      <w:pPr>
        <w:widowControl w:val="0"/>
        <w:spacing w:line="480" w:lineRule="auto"/>
        <w:rPr>
          <w:rFonts w:ascii="Times New Roman" w:eastAsia="Times New Roman" w:hAnsi="Times New Roman" w:cs="Times New Roman"/>
          <w:b/>
          <w:bCs/>
          <w:color w:val="0A0A0A"/>
          <w:sz w:val="24"/>
          <w:szCs w:val="24"/>
          <w:highlight w:val="white"/>
        </w:rPr>
      </w:pPr>
      <w:r w:rsidRPr="00391FEF">
        <w:rPr>
          <w:rFonts w:ascii="Times New Roman" w:eastAsia="Times New Roman" w:hAnsi="Times New Roman" w:cs="Times New Roman"/>
          <w:b/>
          <w:bCs/>
          <w:color w:val="0A0A0A"/>
          <w:sz w:val="24"/>
          <w:szCs w:val="24"/>
          <w:highlight w:val="white"/>
        </w:rPr>
        <w:t xml:space="preserve">Additional File 1. </w:t>
      </w:r>
      <w:r>
        <w:rPr>
          <w:rFonts w:ascii="Times New Roman" w:eastAsia="Times New Roman" w:hAnsi="Times New Roman" w:cs="Times New Roman"/>
          <w:b/>
          <w:bCs/>
          <w:color w:val="0A0A0A"/>
          <w:sz w:val="24"/>
          <w:szCs w:val="24"/>
          <w:highlight w:val="white"/>
        </w:rPr>
        <w:t>Mechanism and Empirical Model</w:t>
      </w:r>
    </w:p>
    <w:p w14:paraId="2F865A20" w14:textId="77777777" w:rsidR="005E5457" w:rsidRDefault="008E50E8">
      <w:pPr>
        <w:spacing w:before="200"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i/>
          <w:color w:val="222222"/>
          <w:sz w:val="24"/>
          <w:szCs w:val="24"/>
          <w:highlight w:val="white"/>
        </w:rPr>
        <w:t>Mechanism</w:t>
      </w:r>
    </w:p>
    <w:p w14:paraId="3D9877FE" w14:textId="5487063C" w:rsidR="005E5457" w:rsidRDefault="008E50E8" w:rsidP="00EC3F2E">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COVID-19 can influence healthcare utilization through two distinct channels - the direct increase in utilization in response to COVID-19 related illness, which could be exasperated by underlying health conditions, and the indirect impact on </w:t>
      </w:r>
      <w:proofErr w:type="spellStart"/>
      <w:r>
        <w:rPr>
          <w:rFonts w:ascii="Times New Roman" w:eastAsia="Times New Roman" w:hAnsi="Times New Roman" w:cs="Times New Roman"/>
          <w:color w:val="0A0A0A"/>
          <w:sz w:val="24"/>
          <w:szCs w:val="24"/>
          <w:highlight w:val="white"/>
        </w:rPr>
        <w:t>non COVID-19</w:t>
      </w:r>
      <w:proofErr w:type="spellEnd"/>
      <w:r>
        <w:rPr>
          <w:rFonts w:ascii="Times New Roman" w:eastAsia="Times New Roman" w:hAnsi="Times New Roman" w:cs="Times New Roman"/>
          <w:color w:val="0A0A0A"/>
          <w:sz w:val="24"/>
          <w:szCs w:val="24"/>
          <w:highlight w:val="white"/>
        </w:rPr>
        <w:t xml:space="preserve"> related health conditions that are now treated for due to renewed contact with the health care system. Health shocks can serve to draw patients into the health care system who were not previously engaged. At the same time, health care may be deferred to reduce interaction with the health system that may expose individuals to hospital-afflicted COVID-19 infection or, at the onset of the public health emergency, due to lack of access to care as hospitals scrambled to meet the COVID-19 patient load or social distancing measures were in place. Total healthcare spending will mechanically rise from COVID-19 related visits whereas deferral of non-COVID-19 related care, and particularly preventive care, may reduce healthcare costs in the short term. However, if high-value care was also deferred such as preventive care services, the same individuals may be facing even greater medical expenditures in the long term.  </w:t>
      </w:r>
    </w:p>
    <w:p w14:paraId="5B071525" w14:textId="77777777" w:rsidR="00EC3F2E" w:rsidRDefault="00EC3F2E" w:rsidP="00EC3F2E">
      <w:pPr>
        <w:spacing w:line="480" w:lineRule="auto"/>
        <w:ind w:firstLine="720"/>
        <w:rPr>
          <w:rFonts w:ascii="Times New Roman" w:eastAsia="Times New Roman" w:hAnsi="Times New Roman" w:cs="Times New Roman"/>
          <w:i/>
          <w:color w:val="222222"/>
          <w:sz w:val="24"/>
          <w:szCs w:val="24"/>
          <w:highlight w:val="white"/>
        </w:rPr>
      </w:pPr>
    </w:p>
    <w:p w14:paraId="1D401E85" w14:textId="77777777" w:rsidR="005E5457" w:rsidRDefault="008E50E8">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color w:val="222222"/>
          <w:sz w:val="24"/>
          <w:szCs w:val="24"/>
          <w:highlight w:val="white"/>
        </w:rPr>
        <w:t>Linear Regression Model</w:t>
      </w:r>
    </w:p>
    <w:p w14:paraId="3FDFA697" w14:textId="77777777" w:rsidR="005E5457" w:rsidRDefault="008E50E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compare utilization of health care services and healthcare expenditures before and after COVID diagnosis using a linear regression model.</w:t>
      </w:r>
      <w:r>
        <w:rPr>
          <w:rFonts w:ascii="Times New Roman" w:eastAsia="Times New Roman" w:hAnsi="Times New Roman" w:cs="Times New Roman"/>
          <w:sz w:val="24"/>
          <w:szCs w:val="24"/>
        </w:rPr>
        <w:tab/>
        <w:t>The estimated model is given in equation (1) below.</w:t>
      </w:r>
    </w:p>
    <w:p w14:paraId="0206B345" w14:textId="77777777" w:rsidR="005E5457" w:rsidRDefault="005E5457">
      <w:pPr>
        <w:rPr>
          <w:rFonts w:ascii="Times New Roman" w:eastAsia="Times New Roman" w:hAnsi="Times New Roman" w:cs="Times New Roman"/>
          <w:b/>
          <w:sz w:val="24"/>
          <w:szCs w:val="24"/>
        </w:rPr>
      </w:pPr>
    </w:p>
    <w:p w14:paraId="56180B52" w14:textId="77777777" w:rsidR="005E5457" w:rsidRDefault="00F90487">
      <w:pPr>
        <w:ind w:firstLine="720"/>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Y</m:t>
            </m:r>
          </m:e>
          <m:sub>
            <m:r>
              <w:rPr>
                <w:rFonts w:ascii="Cambria Math" w:eastAsia="Cambria Math" w:hAnsi="Cambria Math" w:cs="Cambria Math"/>
                <w:sz w:val="24"/>
                <w:szCs w:val="24"/>
              </w:rPr>
              <m:t>iszt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a+ρPOST</m:t>
            </m:r>
          </m:e>
          <m:sub>
            <m:r>
              <w:rPr>
                <w:rFonts w:ascii="Cambria Math" w:eastAsia="Cambria Math" w:hAnsi="Cambria Math" w:cs="Cambria Math"/>
                <w:sz w:val="24"/>
                <w:szCs w:val="24"/>
              </w:rPr>
              <m:t>it</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 xml:space="preserve"> +βX</m:t>
            </m:r>
          </m:e>
          <m:sub>
            <m:r>
              <w:rPr>
                <w:rFonts w:ascii="Cambria Math" w:eastAsia="Cambria Math" w:hAnsi="Cambria Math" w:cs="Cambria Math"/>
                <w:sz w:val="24"/>
                <w:szCs w:val="24"/>
              </w:rPr>
              <m:t>iszt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σ</m:t>
            </m:r>
          </m:e>
          <m:sub>
            <m:r>
              <w:rPr>
                <w:rFonts w:ascii="Cambria Math" w:eastAsia="Cambria Math" w:hAnsi="Cambria Math" w:cs="Cambria Math"/>
                <w:sz w:val="24"/>
                <w:szCs w:val="24"/>
              </w:rPr>
              <m:t>s</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τ</m:t>
            </m:r>
          </m:e>
          <m:sub>
            <m:r>
              <w:rPr>
                <w:rFonts w:ascii="Cambria Math" w:eastAsia="Cambria Math" w:hAnsi="Cambria Math" w:cs="Cambria Math"/>
                <w:sz w:val="24"/>
                <w:szCs w:val="24"/>
              </w:rPr>
              <m:t>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ε</m:t>
            </m:r>
          </m:e>
          <m:sub>
            <m:r>
              <w:rPr>
                <w:rFonts w:ascii="Cambria Math" w:eastAsia="Cambria Math" w:hAnsi="Cambria Math" w:cs="Cambria Math"/>
                <w:sz w:val="24"/>
                <w:szCs w:val="24"/>
              </w:rPr>
              <m:t>iszt</m:t>
            </m:r>
          </m:sub>
        </m:sSub>
      </m:oMath>
      <w:r w:rsidR="008E50E8">
        <w:rPr>
          <w:rFonts w:ascii="Times New Roman" w:eastAsia="Times New Roman" w:hAnsi="Times New Roman" w:cs="Times New Roman"/>
          <w:sz w:val="24"/>
          <w:szCs w:val="24"/>
        </w:rPr>
        <w:t xml:space="preserve">  </w:t>
      </w:r>
      <w:r w:rsidR="008E50E8">
        <w:rPr>
          <w:rFonts w:ascii="Times New Roman" w:eastAsia="Times New Roman" w:hAnsi="Times New Roman" w:cs="Times New Roman"/>
          <w:sz w:val="24"/>
          <w:szCs w:val="24"/>
        </w:rPr>
        <w:tab/>
        <w:t>(1) ,</w:t>
      </w:r>
    </w:p>
    <w:p w14:paraId="73773DE7" w14:textId="77777777" w:rsidR="005E5457" w:rsidRDefault="005E5457">
      <w:pPr>
        <w:rPr>
          <w:rFonts w:ascii="Times New Roman" w:eastAsia="Times New Roman" w:hAnsi="Times New Roman" w:cs="Times New Roman"/>
          <w:sz w:val="24"/>
          <w:szCs w:val="24"/>
        </w:rPr>
      </w:pPr>
    </w:p>
    <w:p w14:paraId="408EB417" w14:textId="77777777" w:rsidR="005E5457" w:rsidRDefault="008E50E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Y</m:t>
            </m:r>
          </m:e>
          <m:sub>
            <m:r>
              <w:rPr>
                <w:rFonts w:ascii="Cambria Math" w:eastAsia="Cambria Math" w:hAnsi="Cambria Math" w:cs="Cambria Math"/>
                <w:sz w:val="24"/>
                <w:szCs w:val="24"/>
              </w:rPr>
              <m:t>iszt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 xml:space="preserve"> USE</m:t>
            </m:r>
          </m:e>
          <m:sub>
            <m:r>
              <w:rPr>
                <w:rFonts w:ascii="Cambria Math" w:eastAsia="Cambria Math" w:hAnsi="Cambria Math" w:cs="Cambria Math"/>
                <w:sz w:val="24"/>
                <w:szCs w:val="24"/>
              </w:rPr>
              <m:t>iszt</m:t>
            </m:r>
          </m:sub>
        </m:sSub>
        <m:r>
          <w:rPr>
            <w:rFonts w:ascii="Cambria Math" w:eastAsia="Cambria Math" w:hAnsi="Cambria Math" w:cs="Cambria Math"/>
            <w:sz w:val="24"/>
            <w:szCs w:val="24"/>
          </w:rPr>
          <m:t xml:space="preserve"> measured in number of services by CPT category,</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 xml:space="preserve"> COST</m:t>
            </m:r>
          </m:e>
          <m:sub>
            <m:r>
              <w:rPr>
                <w:rFonts w:ascii="Cambria Math" w:eastAsia="Cambria Math" w:hAnsi="Cambria Math" w:cs="Cambria Math"/>
                <w:sz w:val="24"/>
                <w:szCs w:val="24"/>
              </w:rPr>
              <m:t>iszt</m:t>
            </m:r>
          </m:sub>
        </m:sSub>
        <m:r>
          <w:rPr>
            <w:rFonts w:ascii="Cambria Math" w:eastAsia="Cambria Math" w:hAnsi="Cambria Math" w:cs="Cambria Math"/>
            <w:sz w:val="24"/>
            <w:szCs w:val="24"/>
          </w:rPr>
          <m:t xml:space="preserve"> in $}</m:t>
        </m:r>
      </m:oMath>
      <w:r>
        <w:rPr>
          <w:rFonts w:ascii="Times New Roman" w:eastAsia="Times New Roman" w:hAnsi="Times New Roman" w:cs="Times New Roman"/>
          <w:sz w:val="24"/>
          <w:szCs w:val="24"/>
        </w:rPr>
        <w:t>.</w:t>
      </w:r>
    </w:p>
    <w:p w14:paraId="3D9FA2DC" w14:textId="77777777" w:rsidR="005E5457" w:rsidRDefault="005E5457">
      <w:pPr>
        <w:ind w:firstLine="720"/>
        <w:rPr>
          <w:rFonts w:ascii="Times New Roman" w:eastAsia="Times New Roman" w:hAnsi="Times New Roman" w:cs="Times New Roman"/>
          <w:sz w:val="24"/>
          <w:szCs w:val="24"/>
        </w:rPr>
      </w:pPr>
    </w:p>
    <w:p w14:paraId="1AD03BFA" w14:textId="226F0367" w:rsidR="005E5457" w:rsidRDefault="008E50E8" w:rsidP="00EF6124">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We regress healthcare utilization and healthcare expenditures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Y</m:t>
            </m:r>
          </m:e>
          <m:sub>
            <m:r>
              <w:rPr>
                <w:rFonts w:ascii="Cambria Math" w:eastAsia="Cambria Math" w:hAnsi="Cambria Math" w:cs="Cambria Math"/>
                <w:sz w:val="24"/>
                <w:szCs w:val="24"/>
              </w:rPr>
              <m:t>iszt</m:t>
            </m:r>
          </m:sub>
        </m:sSub>
      </m:oMath>
      <w:r>
        <w:rPr>
          <w:rFonts w:ascii="Times New Roman" w:eastAsia="Times New Roman" w:hAnsi="Times New Roman" w:cs="Times New Roman"/>
          <w:sz w:val="24"/>
          <w:szCs w:val="24"/>
        </w:rPr>
        <w:t xml:space="preserve"> for patient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 xml:space="preserve">state </w:t>
      </w:r>
      <w:r>
        <w:rPr>
          <w:rFonts w:ascii="Times New Roman" w:eastAsia="Times New Roman" w:hAnsi="Times New Roman" w:cs="Times New Roman"/>
          <w:i/>
          <w:sz w:val="24"/>
          <w:szCs w:val="24"/>
        </w:rPr>
        <w:t>s</w:t>
      </w:r>
      <w:proofErr w:type="spellEnd"/>
      <w:r>
        <w:rPr>
          <w:rFonts w:ascii="Times New Roman" w:eastAsia="Times New Roman" w:hAnsi="Times New Roman" w:cs="Times New Roman"/>
          <w:sz w:val="24"/>
          <w:szCs w:val="24"/>
        </w:rPr>
        <w:t xml:space="preserve"> in month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(diagnosis month baseline) in zip-code </w:t>
      </w:r>
      <w:r>
        <w:rPr>
          <w:rFonts w:ascii="Times New Roman" w:eastAsia="Times New Roman" w:hAnsi="Times New Roman" w:cs="Times New Roman"/>
          <w:i/>
          <w:sz w:val="24"/>
          <w:szCs w:val="24"/>
        </w:rPr>
        <w:t>z</w:t>
      </w:r>
      <w:r>
        <w:rPr>
          <w:rFonts w:ascii="Times New Roman" w:eastAsia="Times New Roman" w:hAnsi="Times New Roman" w:cs="Times New Roman"/>
          <w:sz w:val="24"/>
          <w:szCs w:val="24"/>
        </w:rPr>
        <w:t xml:space="preserve"> on a month-specific indicator of an individual’s first COVID-19 diagnosis,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POST</m:t>
            </m:r>
          </m:e>
          <m:sub>
            <m:r>
              <w:rPr>
                <w:rFonts w:ascii="Cambria Math" w:eastAsia="Cambria Math" w:hAnsi="Cambria Math" w:cs="Cambria Math"/>
                <w:sz w:val="24"/>
                <w:szCs w:val="24"/>
              </w:rPr>
              <m:t>it</m:t>
            </m:r>
          </m:sub>
        </m:sSub>
      </m:oMath>
      <w:r>
        <w:rPr>
          <w:rFonts w:ascii="Times New Roman" w:eastAsia="Times New Roman" w:hAnsi="Times New Roman" w:cs="Times New Roman"/>
          <w:sz w:val="24"/>
          <w:szCs w:val="24"/>
        </w:rPr>
        <w:t xml:space="preserve">,  and a number of explanatory variables collected in vector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iszt</m:t>
            </m:r>
          </m:sub>
        </m:sSub>
      </m:oMath>
      <w:r>
        <w:rPr>
          <w:rFonts w:ascii="Times New Roman" w:eastAsia="Times New Roman" w:hAnsi="Times New Roman" w:cs="Times New Roman"/>
          <w:sz w:val="24"/>
          <w:szCs w:val="24"/>
        </w:rPr>
        <w:t xml:space="preserve"> including individual-level demographic information such as an individual’s age (grouped in 4 categories), gender, and indicators of the COVID-19 diagnosis month of the year to capture month-specific trends in the evolution of the pandemic as well as aggregate-level socio-economic characteristics such as per capita income, poverty rate, labor force participation rate, total population, the percent of the population that resides in rural areas, is non-white, female, 65 years or older, 18 years or younger at the 3-digit zip code level. This vector also includes three individual insurance status indicators to identify an individual as a Medicare or Medicaid recipient or as uninsured </w:t>
      </w:r>
      <w:proofErr w:type="gramStart"/>
      <w:r>
        <w:rPr>
          <w:rFonts w:ascii="Times New Roman" w:eastAsia="Times New Roman" w:hAnsi="Times New Roman" w:cs="Times New Roman"/>
          <w:sz w:val="24"/>
          <w:szCs w:val="24"/>
        </w:rPr>
        <w:t>in a given</w:t>
      </w:r>
      <w:proofErr w:type="gramEnd"/>
      <w:r>
        <w:rPr>
          <w:rFonts w:ascii="Times New Roman" w:eastAsia="Times New Roman" w:hAnsi="Times New Roman" w:cs="Times New Roman"/>
          <w:sz w:val="24"/>
          <w:szCs w:val="24"/>
        </w:rPr>
        <w:t xml:space="preserve"> month. We use state fixed effects </w:t>
      </w:r>
      <m:oMath>
        <m:sSub>
          <m:sSubPr>
            <m:ctrlPr>
              <w:rPr>
                <w:rFonts w:ascii="Cambria Math" w:eastAsia="Cambria Math" w:hAnsi="Cambria Math" w:cs="Cambria Math"/>
                <w:sz w:val="24"/>
                <w:szCs w:val="24"/>
              </w:rPr>
            </m:ctrlPr>
          </m:sSubPr>
          <m:e>
            <m:r>
              <w:rPr>
                <w:rFonts w:ascii="Cambria Math" w:hAnsi="Cambria Math"/>
              </w:rPr>
              <m:t>σ</m:t>
            </m:r>
          </m:e>
          <m:sub>
            <m:r>
              <w:rPr>
                <w:rFonts w:ascii="Cambria Math" w:eastAsia="Cambria Math" w:hAnsi="Cambria Math" w:cs="Cambria Math"/>
                <w:sz w:val="24"/>
                <w:szCs w:val="24"/>
              </w:rPr>
              <m:t>s</m:t>
            </m:r>
          </m:sub>
        </m:sSub>
      </m:oMath>
      <w:r>
        <w:rPr>
          <w:rFonts w:ascii="Times New Roman" w:eastAsia="Times New Roman" w:hAnsi="Times New Roman" w:cs="Times New Roman"/>
          <w:sz w:val="24"/>
          <w:szCs w:val="24"/>
        </w:rPr>
        <w:t xml:space="preserve"> to account for state-invariant factors that may influence our outcomes and cluster standard errors at the individual level. The parameter of interest is </w:t>
      </w:r>
      <w:r>
        <w:rPr>
          <w:rFonts w:ascii="Times New Roman" w:eastAsia="Times New Roman" w:hAnsi="Times New Roman" w:cs="Times New Roman"/>
          <w:i/>
          <w:sz w:val="24"/>
          <w:szCs w:val="24"/>
        </w:rPr>
        <w:t>ρ</w:t>
      </w:r>
      <w:r>
        <w:rPr>
          <w:rFonts w:ascii="Times New Roman" w:eastAsia="Times New Roman" w:hAnsi="Times New Roman" w:cs="Times New Roman"/>
          <w:sz w:val="24"/>
          <w:szCs w:val="24"/>
        </w:rPr>
        <w:t xml:space="preserve">, the coefficient </w:t>
      </w:r>
      <w:proofErr w:type="gramStart"/>
      <w:r>
        <w:rPr>
          <w:rFonts w:ascii="Times New Roman" w:eastAsia="Times New Roman" w:hAnsi="Times New Roman" w:cs="Times New Roman"/>
          <w:sz w:val="24"/>
          <w:szCs w:val="24"/>
        </w:rPr>
        <w:t>estimate</w:t>
      </w:r>
      <w:proofErr w:type="gramEnd"/>
      <w:r>
        <w:rPr>
          <w:rFonts w:ascii="Times New Roman" w:eastAsia="Times New Roman" w:hAnsi="Times New Roman" w:cs="Times New Roman"/>
          <w:sz w:val="24"/>
          <w:szCs w:val="24"/>
        </w:rPr>
        <w:t xml:space="preserve"> of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POST</m:t>
            </m:r>
          </m:e>
          <m:sub>
            <m:r>
              <w:rPr>
                <w:rFonts w:ascii="Cambria Math" w:eastAsia="Cambria Math" w:hAnsi="Cambria Math" w:cs="Cambria Math"/>
                <w:sz w:val="24"/>
                <w:szCs w:val="24"/>
              </w:rPr>
              <m:t>it</m:t>
            </m:r>
          </m:sub>
        </m:sSub>
      </m:oMath>
      <w:r>
        <w:rPr>
          <w:rFonts w:ascii="Times New Roman" w:eastAsia="Times New Roman" w:hAnsi="Times New Roman" w:cs="Times New Roman"/>
          <w:sz w:val="24"/>
          <w:szCs w:val="24"/>
        </w:rPr>
        <w:t>,  which measures changes in healthcare utilization and costs six months after a COVID-19 diagnosis relative to their baseline levels during a period of six month periods leading up to the COVID-19 diagnosis date.</w:t>
      </w:r>
    </w:p>
    <w:p w14:paraId="41999BB2" w14:textId="77777777" w:rsidR="005E5457" w:rsidRDefault="005E5457">
      <w:pPr>
        <w:spacing w:before="240"/>
        <w:rPr>
          <w:rFonts w:ascii="Times New Roman" w:eastAsia="Times New Roman" w:hAnsi="Times New Roman" w:cs="Times New Roman"/>
          <w:sz w:val="24"/>
          <w:szCs w:val="24"/>
          <w:highlight w:val="white"/>
        </w:rPr>
      </w:pPr>
    </w:p>
    <w:p w14:paraId="3CF6C625" w14:textId="77777777" w:rsidR="005E5457" w:rsidRDefault="005E5457">
      <w:pPr>
        <w:spacing w:before="240"/>
        <w:rPr>
          <w:rFonts w:ascii="Times New Roman" w:eastAsia="Times New Roman" w:hAnsi="Times New Roman" w:cs="Times New Roman"/>
          <w:sz w:val="24"/>
          <w:szCs w:val="24"/>
          <w:highlight w:val="white"/>
        </w:rPr>
      </w:pPr>
    </w:p>
    <w:p w14:paraId="621C420C" w14:textId="77777777" w:rsidR="005E5457" w:rsidRDefault="005E5457">
      <w:pPr>
        <w:spacing w:before="240"/>
        <w:rPr>
          <w:rFonts w:ascii="Times New Roman" w:eastAsia="Times New Roman" w:hAnsi="Times New Roman" w:cs="Times New Roman"/>
          <w:sz w:val="24"/>
          <w:szCs w:val="24"/>
          <w:highlight w:val="white"/>
        </w:rPr>
      </w:pPr>
    </w:p>
    <w:p w14:paraId="711EA092" w14:textId="77777777" w:rsidR="005E5457" w:rsidRDefault="005E5457">
      <w:pPr>
        <w:spacing w:before="240"/>
        <w:rPr>
          <w:rFonts w:ascii="Times New Roman" w:eastAsia="Times New Roman" w:hAnsi="Times New Roman" w:cs="Times New Roman"/>
          <w:sz w:val="24"/>
          <w:szCs w:val="24"/>
          <w:highlight w:val="white"/>
        </w:rPr>
      </w:pPr>
    </w:p>
    <w:p w14:paraId="295EE61F" w14:textId="5D04C12A" w:rsidR="005E5457" w:rsidRPr="005024D5" w:rsidRDefault="005E5457" w:rsidP="009A22E7">
      <w:pPr>
        <w:spacing w:before="240"/>
        <w:rPr>
          <w:rFonts w:ascii="Times New Roman" w:eastAsia="Times New Roman" w:hAnsi="Times New Roman" w:cs="Times New Roman"/>
          <w:color w:val="0A0A0A"/>
          <w:sz w:val="24"/>
          <w:szCs w:val="24"/>
          <w:highlight w:val="white"/>
        </w:rPr>
      </w:pPr>
    </w:p>
    <w:sectPr w:rsidR="005E5457" w:rsidRPr="005024D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9037" w14:textId="77777777" w:rsidR="00F90487" w:rsidRDefault="00F90487">
      <w:r>
        <w:separator/>
      </w:r>
    </w:p>
  </w:endnote>
  <w:endnote w:type="continuationSeparator" w:id="0">
    <w:p w14:paraId="1C6C739D" w14:textId="77777777" w:rsidR="00F90487" w:rsidRDefault="00F9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B63F" w14:textId="77777777" w:rsidR="00F90487" w:rsidRDefault="00F90487">
      <w:r>
        <w:separator/>
      </w:r>
    </w:p>
  </w:footnote>
  <w:footnote w:type="continuationSeparator" w:id="0">
    <w:p w14:paraId="6D859661" w14:textId="77777777" w:rsidR="00F90487" w:rsidRDefault="00F90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457"/>
    <w:rsid w:val="000E2579"/>
    <w:rsid w:val="00195A0E"/>
    <w:rsid w:val="00256992"/>
    <w:rsid w:val="005024D5"/>
    <w:rsid w:val="005E5457"/>
    <w:rsid w:val="007D5E1A"/>
    <w:rsid w:val="00832E9F"/>
    <w:rsid w:val="008E50E8"/>
    <w:rsid w:val="009A22E7"/>
    <w:rsid w:val="00AD038F"/>
    <w:rsid w:val="00EC3F2E"/>
    <w:rsid w:val="00EF6124"/>
    <w:rsid w:val="00F90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AB72"/>
  <w15:docId w15:val="{EF9EC81D-B1D5-443D-BBD4-4B7800CF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208"/>
  </w:style>
  <w:style w:type="paragraph" w:styleId="Heading1">
    <w:name w:val="heading 1"/>
    <w:basedOn w:val="Normal"/>
    <w:next w:val="Normal"/>
    <w:link w:val="Heading1Char"/>
    <w:uiPriority w:val="9"/>
    <w:qFormat/>
    <w:rsid w:val="007A4208"/>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7A4208"/>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7A4208"/>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7A4208"/>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7A4208"/>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7A420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4208"/>
    <w:pPr>
      <w:keepNext/>
      <w:keepLines/>
      <w:spacing w:after="60"/>
    </w:pPr>
    <w:rPr>
      <w:sz w:val="52"/>
      <w:szCs w:val="52"/>
    </w:rPr>
  </w:style>
  <w:style w:type="character" w:customStyle="1" w:styleId="Heading1Char">
    <w:name w:val="Heading 1 Char"/>
    <w:basedOn w:val="DefaultParagraphFont"/>
    <w:link w:val="Heading1"/>
    <w:uiPriority w:val="9"/>
    <w:rsid w:val="007A4208"/>
    <w:rPr>
      <w:rFonts w:ascii="Arial" w:eastAsia="Arial" w:hAnsi="Arial" w:cs="Arial"/>
      <w:sz w:val="40"/>
      <w:szCs w:val="40"/>
      <w:lang w:val="en"/>
    </w:rPr>
  </w:style>
  <w:style w:type="character" w:customStyle="1" w:styleId="Heading2Char">
    <w:name w:val="Heading 2 Char"/>
    <w:basedOn w:val="DefaultParagraphFont"/>
    <w:link w:val="Heading2"/>
    <w:uiPriority w:val="9"/>
    <w:rsid w:val="007A4208"/>
    <w:rPr>
      <w:rFonts w:ascii="Arial" w:eastAsia="Arial" w:hAnsi="Arial" w:cs="Arial"/>
      <w:sz w:val="32"/>
      <w:szCs w:val="32"/>
      <w:lang w:val="en"/>
    </w:rPr>
  </w:style>
  <w:style w:type="character" w:customStyle="1" w:styleId="Heading3Char">
    <w:name w:val="Heading 3 Char"/>
    <w:basedOn w:val="DefaultParagraphFont"/>
    <w:link w:val="Heading3"/>
    <w:uiPriority w:val="9"/>
    <w:rsid w:val="007A4208"/>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rsid w:val="007A4208"/>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7A4208"/>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7A4208"/>
    <w:rPr>
      <w:rFonts w:ascii="Arial" w:eastAsia="Arial" w:hAnsi="Arial" w:cs="Arial"/>
      <w:i/>
      <w:color w:val="666666"/>
      <w:lang w:val="en"/>
    </w:rPr>
  </w:style>
  <w:style w:type="character" w:customStyle="1" w:styleId="TitleChar">
    <w:name w:val="Title Char"/>
    <w:basedOn w:val="DefaultParagraphFont"/>
    <w:link w:val="Title"/>
    <w:uiPriority w:val="10"/>
    <w:rsid w:val="007A4208"/>
    <w:rPr>
      <w:rFonts w:ascii="Arial" w:eastAsia="Arial" w:hAnsi="Arial" w:cs="Arial"/>
      <w:sz w:val="52"/>
      <w:szCs w:val="52"/>
      <w:lang w:val="en"/>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customStyle="1" w:styleId="SubtitleChar">
    <w:name w:val="Subtitle Char"/>
    <w:basedOn w:val="DefaultParagraphFont"/>
    <w:link w:val="Subtitle"/>
    <w:uiPriority w:val="11"/>
    <w:rsid w:val="007A4208"/>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sid w:val="007A4208"/>
    <w:rPr>
      <w:sz w:val="20"/>
      <w:szCs w:val="20"/>
    </w:rPr>
  </w:style>
  <w:style w:type="character" w:customStyle="1" w:styleId="CommentTextChar">
    <w:name w:val="Comment Text Char"/>
    <w:basedOn w:val="DefaultParagraphFont"/>
    <w:link w:val="CommentText"/>
    <w:uiPriority w:val="99"/>
    <w:semiHidden/>
    <w:rsid w:val="007A4208"/>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7A4208"/>
    <w:rPr>
      <w:sz w:val="16"/>
      <w:szCs w:val="16"/>
    </w:rPr>
  </w:style>
  <w:style w:type="character" w:styleId="Hyperlink">
    <w:name w:val="Hyperlink"/>
    <w:basedOn w:val="DefaultParagraphFont"/>
    <w:uiPriority w:val="99"/>
    <w:unhideWhenUsed/>
    <w:rsid w:val="007A4208"/>
    <w:rPr>
      <w:color w:val="0000FF"/>
      <w:u w:val="single"/>
    </w:rPr>
  </w:style>
  <w:style w:type="character" w:styleId="UnresolvedMention">
    <w:name w:val="Unresolved Mention"/>
    <w:basedOn w:val="DefaultParagraphFont"/>
    <w:uiPriority w:val="99"/>
    <w:semiHidden/>
    <w:unhideWhenUsed/>
    <w:rsid w:val="007A4208"/>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F6124"/>
    <w:pPr>
      <w:tabs>
        <w:tab w:val="center" w:pos="4680"/>
        <w:tab w:val="right" w:pos="9360"/>
      </w:tabs>
    </w:pPr>
  </w:style>
  <w:style w:type="character" w:customStyle="1" w:styleId="HeaderChar">
    <w:name w:val="Header Char"/>
    <w:basedOn w:val="DefaultParagraphFont"/>
    <w:link w:val="Header"/>
    <w:uiPriority w:val="99"/>
    <w:rsid w:val="00EF6124"/>
  </w:style>
  <w:style w:type="paragraph" w:styleId="Footer">
    <w:name w:val="footer"/>
    <w:basedOn w:val="Normal"/>
    <w:link w:val="FooterChar"/>
    <w:uiPriority w:val="99"/>
    <w:unhideWhenUsed/>
    <w:rsid w:val="00EF6124"/>
    <w:pPr>
      <w:tabs>
        <w:tab w:val="center" w:pos="4680"/>
        <w:tab w:val="right" w:pos="9360"/>
      </w:tabs>
    </w:pPr>
  </w:style>
  <w:style w:type="character" w:customStyle="1" w:styleId="FooterChar">
    <w:name w:val="Footer Char"/>
    <w:basedOn w:val="DefaultParagraphFont"/>
    <w:link w:val="Footer"/>
    <w:uiPriority w:val="99"/>
    <w:rsid w:val="00EF6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vMScKpejg4jbaVBRed2nrKC/Q==">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Koumpias, Antonios</dc:creator>
  <cp:lastModifiedBy>Antonios Marios Koumpias</cp:lastModifiedBy>
  <cp:revision>2</cp:revision>
  <dcterms:created xsi:type="dcterms:W3CDTF">2022-03-19T04:00:00Z</dcterms:created>
  <dcterms:modified xsi:type="dcterms:W3CDTF">2022-03-19T04:00:00Z</dcterms:modified>
</cp:coreProperties>
</file>