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A92AD" w14:textId="77777777" w:rsidR="00E77F90" w:rsidRDefault="00E77F90" w:rsidP="00E77F90">
      <w:pPr>
        <w:keepNext/>
        <w:keepLines/>
        <w:spacing w:before="240" w:after="0" w:line="240" w:lineRule="auto"/>
        <w:ind w:right="-1"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</w:p>
    <w:p w14:paraId="0D4F328E" w14:textId="77777777" w:rsidR="00E77F90" w:rsidRDefault="00E77F90" w:rsidP="00E77F90">
      <w:pPr>
        <w:keepNext/>
        <w:keepLines/>
        <w:spacing w:before="240" w:after="0" w:line="240" w:lineRule="auto"/>
        <w:ind w:right="-1"/>
        <w:jc w:val="center"/>
        <w:outlineLvl w:val="0"/>
        <w:rPr>
          <w:b/>
          <w:bCs/>
          <w:sz w:val="28"/>
          <w:szCs w:val="28"/>
        </w:rPr>
      </w:pPr>
    </w:p>
    <w:p w14:paraId="11AD89B5" w14:textId="54F9C6DF" w:rsidR="00E77F90" w:rsidRPr="00E77F90" w:rsidRDefault="00E77F90" w:rsidP="00E77F90">
      <w:pPr>
        <w:keepNext/>
        <w:keepLines/>
        <w:spacing w:before="240" w:after="0" w:line="240" w:lineRule="auto"/>
        <w:ind w:right="-1"/>
        <w:jc w:val="center"/>
        <w:outlineLvl w:val="0"/>
        <w:rPr>
          <w:rFonts w:ascii="Calibri" w:eastAsia="Times New Roman" w:hAnsi="Calibri" w:cs="Calibri"/>
          <w:b/>
          <w:bCs/>
          <w:sz w:val="28"/>
          <w:szCs w:val="28"/>
          <w:lang w:eastAsia="es-ES_tradnl"/>
        </w:rPr>
      </w:pPr>
      <w:r w:rsidRPr="00E77F90">
        <w:rPr>
          <w:b/>
          <w:bCs/>
          <w:sz w:val="28"/>
          <w:szCs w:val="28"/>
        </w:rPr>
        <w:t>Prospective Cohort Study for Assessment of Integrated Care with a Triple Aim approach: Hospital at Home as use case</w:t>
      </w:r>
    </w:p>
    <w:p w14:paraId="49889036" w14:textId="32532763" w:rsidR="00E77F90" w:rsidRPr="00E77F90" w:rsidRDefault="00E77F90" w:rsidP="00E77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3B1AC47A" w14:textId="0CF0490D" w:rsidR="00E77F90" w:rsidRPr="00E77F90" w:rsidRDefault="00E77F90" w:rsidP="00E77F90">
      <w:pPr>
        <w:spacing w:after="0" w:line="240" w:lineRule="auto"/>
        <w:jc w:val="center"/>
        <w:rPr>
          <w:rFonts w:ascii="Calibri" w:eastAsia="Times New Roman" w:hAnsi="Calibri" w:cs="Calibri"/>
          <w:i/>
          <w:iCs/>
          <w:sz w:val="24"/>
          <w:szCs w:val="24"/>
          <w:lang w:eastAsia="es-ES_tradnl"/>
        </w:rPr>
      </w:pPr>
    </w:p>
    <w:p w14:paraId="792F2B32" w14:textId="77D03AE9" w:rsidR="00E77F90" w:rsidRPr="00E77F90" w:rsidRDefault="00E77F90" w:rsidP="00E77F90">
      <w:pPr>
        <w:spacing w:after="0" w:line="240" w:lineRule="auto"/>
        <w:jc w:val="center"/>
        <w:rPr>
          <w:rFonts w:ascii="Calibri" w:eastAsia="Times New Roman" w:hAnsi="Calibri" w:cs="Calibri"/>
          <w:i/>
          <w:iCs/>
          <w:sz w:val="24"/>
          <w:szCs w:val="24"/>
          <w:lang w:eastAsia="es-ES_tradnl"/>
        </w:rPr>
      </w:pPr>
      <w:r w:rsidRPr="00E77F90">
        <w:rPr>
          <w:rFonts w:ascii="Calibri" w:eastAsia="Times New Roman" w:hAnsi="Calibri" w:cs="Calibri"/>
          <w:i/>
          <w:iCs/>
          <w:sz w:val="24"/>
          <w:szCs w:val="24"/>
          <w:lang w:eastAsia="es-ES_tradnl"/>
        </w:rPr>
        <w:t>(on-line supplementary material)</w:t>
      </w:r>
    </w:p>
    <w:p w14:paraId="05BE4F63" w14:textId="02E997B7" w:rsidR="00E77F90" w:rsidRDefault="00E77F90" w:rsidP="0064794E">
      <w:pPr>
        <w:jc w:val="center"/>
        <w:rPr>
          <w:i/>
        </w:rPr>
      </w:pPr>
    </w:p>
    <w:p w14:paraId="0903FAF0" w14:textId="5881C70E" w:rsidR="0064794E" w:rsidRPr="00E77F90" w:rsidRDefault="0064794E" w:rsidP="0064794E">
      <w:pPr>
        <w:jc w:val="center"/>
        <w:rPr>
          <w:i/>
        </w:rPr>
      </w:pPr>
      <w:r w:rsidRPr="00E77F90">
        <w:rPr>
          <w:i/>
        </w:rPr>
        <w:t>Her</w:t>
      </w:r>
      <w:r w:rsidR="003E7438" w:rsidRPr="00E77F90">
        <w:rPr>
          <w:i/>
        </w:rPr>
        <w:t>ranz</w:t>
      </w:r>
      <w:r w:rsidRPr="00E77F90">
        <w:rPr>
          <w:i/>
        </w:rPr>
        <w:t xml:space="preserve"> C. et al</w:t>
      </w:r>
    </w:p>
    <w:p w14:paraId="78BE91CA" w14:textId="77777777" w:rsidR="00F20299" w:rsidRPr="000230E5" w:rsidRDefault="00F20299" w:rsidP="00BB0D6D">
      <w:pPr>
        <w:rPr>
          <w:rFonts w:cstheme="minorHAnsi"/>
          <w:b/>
          <w:sz w:val="24"/>
          <w:szCs w:val="24"/>
        </w:rPr>
      </w:pPr>
    </w:p>
    <w:p w14:paraId="6D8CA088" w14:textId="77777777" w:rsidR="0026451E" w:rsidRDefault="0026451E" w:rsidP="00BB0D6D">
      <w:pPr>
        <w:rPr>
          <w:rFonts w:cstheme="minorHAnsi"/>
          <w:b/>
          <w:sz w:val="24"/>
          <w:szCs w:val="24"/>
          <w:lang w:val="en-GB"/>
        </w:rPr>
      </w:pPr>
    </w:p>
    <w:p w14:paraId="41EBF2F6" w14:textId="6923694C" w:rsidR="007F7E3F" w:rsidRPr="000C7F42" w:rsidRDefault="0026451E" w:rsidP="00BB0D6D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COMPARISONS AMONG </w:t>
      </w:r>
      <w:r w:rsidR="001E5FBD" w:rsidRPr="00E77F90">
        <w:rPr>
          <w:rFonts w:cstheme="minorHAnsi"/>
          <w:b/>
          <w:sz w:val="24"/>
          <w:szCs w:val="24"/>
          <w:lang w:val="en-GB"/>
        </w:rPr>
        <w:t>STUDY GROUPS</w:t>
      </w:r>
      <w:r w:rsidR="007F7E3F" w:rsidRPr="000C7F42">
        <w:rPr>
          <w:rFonts w:cstheme="minorHAnsi"/>
          <w:b/>
          <w:sz w:val="24"/>
          <w:szCs w:val="24"/>
          <w:lang w:val="en-GB"/>
        </w:rPr>
        <w:t xml:space="preserve"> </w:t>
      </w:r>
      <w:r w:rsidR="009F3A3B">
        <w:rPr>
          <w:rFonts w:cstheme="minorHAnsi"/>
          <w:b/>
          <w:sz w:val="24"/>
          <w:szCs w:val="24"/>
          <w:lang w:val="en-GB"/>
        </w:rPr>
        <w:t>(TABLES 1S-3S) AND MCDA (TABLE 4S)</w:t>
      </w:r>
    </w:p>
    <w:p w14:paraId="7CE75209" w14:textId="4C529C01" w:rsidR="0026451E" w:rsidRPr="00827B03" w:rsidRDefault="0026451E" w:rsidP="004B5E83">
      <w:pPr>
        <w:spacing w:after="120" w:line="360" w:lineRule="auto"/>
        <w:jc w:val="both"/>
        <w:rPr>
          <w:rFonts w:cstheme="minorHAnsi"/>
          <w:bCs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Tables 1S-3S </w:t>
      </w:r>
      <w:r w:rsidRPr="00827B03">
        <w:rPr>
          <w:rFonts w:cstheme="minorHAnsi"/>
          <w:bCs/>
          <w:sz w:val="24"/>
          <w:szCs w:val="24"/>
          <w:lang w:val="en-GB"/>
        </w:rPr>
        <w:t xml:space="preserve">depict comparisons </w:t>
      </w:r>
      <w:r w:rsidR="00827B03" w:rsidRPr="00827B03">
        <w:rPr>
          <w:rFonts w:cstheme="minorHAnsi"/>
          <w:bCs/>
          <w:sz w:val="24"/>
          <w:szCs w:val="24"/>
          <w:lang w:val="en-GB"/>
        </w:rPr>
        <w:t xml:space="preserve">between intervention and control groups across the flowchart displayed in </w:t>
      </w:r>
      <w:r w:rsidR="00827B03" w:rsidRPr="00827B03">
        <w:rPr>
          <w:rFonts w:cstheme="minorHAnsi"/>
          <w:b/>
          <w:sz w:val="24"/>
          <w:szCs w:val="24"/>
          <w:lang w:val="en-GB"/>
        </w:rPr>
        <w:t>Figure 1</w:t>
      </w:r>
      <w:r w:rsidR="00827B03" w:rsidRPr="00827B03">
        <w:rPr>
          <w:rFonts w:cstheme="minorHAnsi"/>
          <w:bCs/>
          <w:sz w:val="24"/>
          <w:szCs w:val="24"/>
          <w:lang w:val="en-GB"/>
        </w:rPr>
        <w:t xml:space="preserve">, that is: i) </w:t>
      </w:r>
      <w:r w:rsidRPr="00827B03">
        <w:rPr>
          <w:rFonts w:cstheme="minorHAnsi"/>
          <w:bCs/>
          <w:sz w:val="24"/>
          <w:szCs w:val="24"/>
          <w:lang w:val="en-GB"/>
        </w:rPr>
        <w:t>the entire population of patients included in the Hospital at Home</w:t>
      </w:r>
      <w:r w:rsidR="00827B03" w:rsidRPr="00827B03">
        <w:rPr>
          <w:rFonts w:cstheme="minorHAnsi"/>
          <w:bCs/>
          <w:sz w:val="24"/>
          <w:szCs w:val="24"/>
          <w:lang w:val="en-GB"/>
        </w:rPr>
        <w:t xml:space="preserve"> program directly from the Emergency Room, Hospital Avoidance (n=586), ii) the selected subset after propensity score matching (n=441) reported in the Cost-Consequence Analysis (CCA) (ref); and, iii) the Triple Aim analysis carried out in the current study (n=137).</w:t>
      </w:r>
      <w:r w:rsidR="00827B03">
        <w:rPr>
          <w:rFonts w:cstheme="minorHAnsi"/>
          <w:bCs/>
          <w:sz w:val="24"/>
          <w:szCs w:val="24"/>
          <w:lang w:val="en-GB"/>
        </w:rPr>
        <w:t xml:space="preserve"> The ultimate aim is to reflect </w:t>
      </w:r>
      <w:r w:rsidR="004C127A">
        <w:rPr>
          <w:rFonts w:cstheme="minorHAnsi"/>
          <w:bCs/>
          <w:sz w:val="24"/>
          <w:szCs w:val="24"/>
          <w:lang w:val="en-GB"/>
        </w:rPr>
        <w:t>representativeness of the conclusions obtained from the current Triple Aim assessment of HaH-HA.</w:t>
      </w:r>
    </w:p>
    <w:p w14:paraId="7F6DB98A" w14:textId="1104B6D9" w:rsidR="00154B1F" w:rsidRDefault="006A00A9" w:rsidP="004B5E83">
      <w:pPr>
        <w:spacing w:after="120" w:line="360" w:lineRule="auto"/>
        <w:jc w:val="both"/>
        <w:rPr>
          <w:rFonts w:cstheme="minorHAnsi"/>
          <w:sz w:val="24"/>
          <w:szCs w:val="24"/>
          <w:lang w:val="en-GB"/>
        </w:rPr>
      </w:pPr>
      <w:r w:rsidRPr="006A00A9">
        <w:rPr>
          <w:rFonts w:cstheme="minorHAnsi"/>
          <w:b/>
          <w:sz w:val="24"/>
          <w:szCs w:val="24"/>
          <w:lang w:val="en-GB"/>
        </w:rPr>
        <w:t xml:space="preserve">Table </w:t>
      </w:r>
      <w:r w:rsidR="003E7438">
        <w:rPr>
          <w:rFonts w:cstheme="minorHAnsi"/>
          <w:b/>
          <w:sz w:val="24"/>
          <w:szCs w:val="24"/>
          <w:lang w:val="en-GB"/>
        </w:rPr>
        <w:t>1</w:t>
      </w:r>
      <w:r w:rsidRPr="006A00A9">
        <w:rPr>
          <w:rFonts w:cstheme="minorHAnsi"/>
          <w:b/>
          <w:sz w:val="24"/>
          <w:szCs w:val="24"/>
          <w:lang w:val="en-GB"/>
        </w:rPr>
        <w:t>S</w:t>
      </w:r>
      <w:r>
        <w:rPr>
          <w:rFonts w:cstheme="minorHAnsi"/>
          <w:sz w:val="24"/>
          <w:szCs w:val="24"/>
          <w:lang w:val="en-GB"/>
        </w:rPr>
        <w:t xml:space="preserve"> displays </w:t>
      </w:r>
      <w:r w:rsidR="00154B1F">
        <w:rPr>
          <w:rFonts w:cstheme="minorHAnsi"/>
          <w:sz w:val="24"/>
          <w:szCs w:val="24"/>
          <w:lang w:val="en-GB"/>
        </w:rPr>
        <w:t xml:space="preserve">baseline data of the entire HaH-HA population (n=586), the HaH-HA group </w:t>
      </w:r>
      <w:r w:rsidR="00B1180A">
        <w:rPr>
          <w:rFonts w:cstheme="minorHAnsi"/>
          <w:sz w:val="24"/>
          <w:szCs w:val="24"/>
          <w:lang w:val="en-GB"/>
        </w:rPr>
        <w:t xml:space="preserve">(n= 441) </w:t>
      </w:r>
      <w:r w:rsidR="00154B1F">
        <w:rPr>
          <w:rFonts w:cstheme="minorHAnsi"/>
          <w:sz w:val="24"/>
          <w:szCs w:val="24"/>
          <w:lang w:val="en-GB"/>
        </w:rPr>
        <w:t>selected after Propensity Score Matching (PSM) and the corresponding usual care (UC) group. Moreover, the table also displays baseline characteristics of the MCDA subset</w:t>
      </w:r>
      <w:r w:rsidR="00B1180A">
        <w:rPr>
          <w:rFonts w:cstheme="minorHAnsi"/>
          <w:sz w:val="24"/>
          <w:szCs w:val="24"/>
          <w:lang w:val="en-GB"/>
        </w:rPr>
        <w:t>s</w:t>
      </w:r>
      <w:r w:rsidR="00F20299">
        <w:rPr>
          <w:rFonts w:cstheme="minorHAnsi"/>
          <w:sz w:val="24"/>
          <w:szCs w:val="24"/>
          <w:lang w:val="en-GB"/>
        </w:rPr>
        <w:t xml:space="preserve"> after PSM (n=137)</w:t>
      </w:r>
      <w:r w:rsidR="00154B1F">
        <w:rPr>
          <w:rFonts w:cstheme="minorHAnsi"/>
          <w:sz w:val="24"/>
          <w:szCs w:val="24"/>
          <w:lang w:val="en-GB"/>
        </w:rPr>
        <w:t xml:space="preserve">: HaH-HA_MCDA and the corresponding usual care group (UC-MCDA). </w:t>
      </w:r>
    </w:p>
    <w:p w14:paraId="2F73EA01" w14:textId="7640FD63" w:rsidR="00F20299" w:rsidRDefault="00154B1F" w:rsidP="004B5E83">
      <w:pPr>
        <w:spacing w:after="120" w:line="360" w:lineRule="auto"/>
        <w:jc w:val="both"/>
        <w:rPr>
          <w:rFonts w:cstheme="minorHAnsi"/>
          <w:sz w:val="24"/>
          <w:szCs w:val="24"/>
          <w:lang w:val="en-GB"/>
        </w:rPr>
      </w:pPr>
      <w:r w:rsidRPr="00154B1F">
        <w:rPr>
          <w:rFonts w:cstheme="minorHAnsi"/>
          <w:b/>
          <w:sz w:val="24"/>
          <w:szCs w:val="24"/>
          <w:lang w:val="en-GB"/>
        </w:rPr>
        <w:t xml:space="preserve">Table </w:t>
      </w:r>
      <w:r w:rsidR="003E7438">
        <w:rPr>
          <w:rFonts w:cstheme="minorHAnsi"/>
          <w:b/>
          <w:sz w:val="24"/>
          <w:szCs w:val="24"/>
          <w:lang w:val="en-GB"/>
        </w:rPr>
        <w:t>2</w:t>
      </w:r>
      <w:r w:rsidRPr="00154B1F">
        <w:rPr>
          <w:rFonts w:cstheme="minorHAnsi"/>
          <w:b/>
          <w:sz w:val="24"/>
          <w:szCs w:val="24"/>
          <w:lang w:val="en-GB"/>
        </w:rPr>
        <w:t xml:space="preserve">S </w:t>
      </w:r>
      <w:r w:rsidR="006014E1" w:rsidRPr="006014E1">
        <w:rPr>
          <w:rFonts w:cstheme="minorHAnsi"/>
          <w:sz w:val="24"/>
          <w:szCs w:val="24"/>
          <w:lang w:val="en-GB"/>
        </w:rPr>
        <w:t>provides</w:t>
      </w:r>
      <w:r w:rsidR="006014E1">
        <w:rPr>
          <w:rFonts w:cstheme="minorHAnsi"/>
          <w:sz w:val="24"/>
          <w:szCs w:val="24"/>
          <w:lang w:val="en-GB"/>
        </w:rPr>
        <w:t xml:space="preserve"> data during the acute episode and </w:t>
      </w:r>
      <w:r w:rsidR="00B1180A">
        <w:rPr>
          <w:rFonts w:cstheme="minorHAnsi"/>
          <w:sz w:val="24"/>
          <w:szCs w:val="24"/>
          <w:lang w:val="en-GB"/>
        </w:rPr>
        <w:t xml:space="preserve">during </w:t>
      </w:r>
      <w:r w:rsidR="006014E1">
        <w:rPr>
          <w:rFonts w:cstheme="minorHAnsi"/>
          <w:sz w:val="24"/>
          <w:szCs w:val="24"/>
          <w:lang w:val="en-GB"/>
        </w:rPr>
        <w:t xml:space="preserve">the 30-day period after discharge for the same datasets described in </w:t>
      </w:r>
      <w:r w:rsidR="006014E1" w:rsidRPr="006014E1">
        <w:rPr>
          <w:rFonts w:cstheme="minorHAnsi"/>
          <w:b/>
          <w:sz w:val="24"/>
          <w:szCs w:val="24"/>
          <w:lang w:val="en-GB"/>
        </w:rPr>
        <w:t>Table 1S</w:t>
      </w:r>
      <w:r w:rsidR="00F20299">
        <w:rPr>
          <w:rFonts w:cstheme="minorHAnsi"/>
          <w:sz w:val="24"/>
          <w:szCs w:val="24"/>
          <w:lang w:val="en-GB"/>
        </w:rPr>
        <w:t xml:space="preserve">. </w:t>
      </w:r>
    </w:p>
    <w:p w14:paraId="0CE50068" w14:textId="313E6FDB" w:rsidR="006A00A9" w:rsidRDefault="006014E1" w:rsidP="004B5E83">
      <w:pPr>
        <w:spacing w:after="120" w:line="360" w:lineRule="auto"/>
        <w:jc w:val="both"/>
        <w:rPr>
          <w:rFonts w:cstheme="minorHAnsi"/>
          <w:sz w:val="24"/>
          <w:szCs w:val="24"/>
          <w:lang w:val="en-GB"/>
        </w:rPr>
      </w:pPr>
      <w:r w:rsidRPr="006014E1">
        <w:rPr>
          <w:rFonts w:cstheme="minorHAnsi"/>
          <w:b/>
          <w:sz w:val="24"/>
          <w:szCs w:val="24"/>
          <w:lang w:val="en-GB"/>
        </w:rPr>
        <w:t xml:space="preserve">Table </w:t>
      </w:r>
      <w:r w:rsidR="003E7438">
        <w:rPr>
          <w:rFonts w:cstheme="minorHAnsi"/>
          <w:b/>
          <w:sz w:val="24"/>
          <w:szCs w:val="24"/>
          <w:lang w:val="en-GB"/>
        </w:rPr>
        <w:t>3</w:t>
      </w:r>
      <w:r w:rsidRPr="006014E1">
        <w:rPr>
          <w:rFonts w:cstheme="minorHAnsi"/>
          <w:b/>
          <w:sz w:val="24"/>
          <w:szCs w:val="24"/>
          <w:lang w:val="en-GB"/>
        </w:rPr>
        <w:t>S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B1180A">
        <w:rPr>
          <w:rFonts w:cstheme="minorHAnsi"/>
          <w:sz w:val="24"/>
          <w:szCs w:val="24"/>
          <w:lang w:val="en-GB"/>
        </w:rPr>
        <w:t xml:space="preserve">depicts </w:t>
      </w:r>
      <w:r>
        <w:rPr>
          <w:rFonts w:cstheme="minorHAnsi"/>
          <w:sz w:val="24"/>
          <w:szCs w:val="24"/>
          <w:lang w:val="en-GB"/>
        </w:rPr>
        <w:t xml:space="preserve">information on operational costs of the service during the acute episode, as well as </w:t>
      </w:r>
      <w:r w:rsidR="00B1180A">
        <w:rPr>
          <w:rFonts w:cstheme="minorHAnsi"/>
          <w:sz w:val="24"/>
          <w:szCs w:val="24"/>
          <w:lang w:val="en-GB"/>
        </w:rPr>
        <w:t xml:space="preserve">the </w:t>
      </w:r>
      <w:r>
        <w:rPr>
          <w:rFonts w:cstheme="minorHAnsi"/>
          <w:sz w:val="24"/>
          <w:szCs w:val="24"/>
          <w:lang w:val="en-GB"/>
        </w:rPr>
        <w:t xml:space="preserve">community-based expenditure during the 30-day period after discharge following the same organization of the information indicated for </w:t>
      </w:r>
      <w:r w:rsidRPr="006014E1">
        <w:rPr>
          <w:rFonts w:cstheme="minorHAnsi"/>
          <w:b/>
          <w:sz w:val="24"/>
          <w:szCs w:val="24"/>
          <w:lang w:val="en-GB"/>
        </w:rPr>
        <w:t>Table</w:t>
      </w:r>
      <w:r w:rsidR="00B1180A">
        <w:rPr>
          <w:rFonts w:cstheme="minorHAnsi"/>
          <w:b/>
          <w:sz w:val="24"/>
          <w:szCs w:val="24"/>
          <w:lang w:val="en-GB"/>
        </w:rPr>
        <w:t>s</w:t>
      </w:r>
      <w:r w:rsidRPr="006014E1">
        <w:rPr>
          <w:rFonts w:cstheme="minorHAnsi"/>
          <w:b/>
          <w:sz w:val="24"/>
          <w:szCs w:val="24"/>
          <w:lang w:val="en-GB"/>
        </w:rPr>
        <w:t xml:space="preserve"> 1S</w:t>
      </w:r>
      <w:r w:rsidR="00B1180A">
        <w:rPr>
          <w:rFonts w:cstheme="minorHAnsi"/>
          <w:b/>
          <w:sz w:val="24"/>
          <w:szCs w:val="24"/>
          <w:lang w:val="en-GB"/>
        </w:rPr>
        <w:t xml:space="preserve"> </w:t>
      </w:r>
      <w:r w:rsidR="00B1180A" w:rsidRPr="00B1180A">
        <w:rPr>
          <w:rFonts w:cstheme="minorHAnsi"/>
          <w:sz w:val="24"/>
          <w:szCs w:val="24"/>
          <w:lang w:val="en-GB"/>
        </w:rPr>
        <w:t xml:space="preserve">and </w:t>
      </w:r>
      <w:r w:rsidR="00B1180A">
        <w:rPr>
          <w:rFonts w:cstheme="minorHAnsi"/>
          <w:b/>
          <w:sz w:val="24"/>
          <w:szCs w:val="24"/>
          <w:lang w:val="en-GB"/>
        </w:rPr>
        <w:t>2S</w:t>
      </w:r>
      <w:r>
        <w:rPr>
          <w:rFonts w:cstheme="minorHAnsi"/>
          <w:sz w:val="24"/>
          <w:szCs w:val="24"/>
          <w:lang w:val="en-GB"/>
        </w:rPr>
        <w:t>.</w:t>
      </w:r>
    </w:p>
    <w:p w14:paraId="3A9BCB5D" w14:textId="1B529C22" w:rsidR="000230E5" w:rsidRDefault="000230E5" w:rsidP="00543134">
      <w:pPr>
        <w:pStyle w:val="Sinespaciado"/>
        <w:spacing w:after="120" w:line="360" w:lineRule="auto"/>
        <w:rPr>
          <w:rFonts w:cstheme="minorHAnsi"/>
          <w:sz w:val="24"/>
          <w:szCs w:val="24"/>
          <w:lang w:val="en-GB"/>
        </w:rPr>
      </w:pPr>
      <w:r w:rsidRPr="006014E1">
        <w:rPr>
          <w:rFonts w:cstheme="minorHAnsi"/>
          <w:b/>
          <w:sz w:val="24"/>
          <w:szCs w:val="24"/>
          <w:lang w:val="en-GB"/>
        </w:rPr>
        <w:t xml:space="preserve">Table </w:t>
      </w:r>
      <w:r>
        <w:rPr>
          <w:rFonts w:cstheme="minorHAnsi"/>
          <w:b/>
          <w:sz w:val="24"/>
          <w:szCs w:val="24"/>
          <w:lang w:val="en-GB"/>
        </w:rPr>
        <w:t>4</w:t>
      </w:r>
      <w:r w:rsidRPr="006014E1">
        <w:rPr>
          <w:rFonts w:cstheme="minorHAnsi"/>
          <w:b/>
          <w:sz w:val="24"/>
          <w:szCs w:val="24"/>
          <w:lang w:val="en-GB"/>
        </w:rPr>
        <w:t>S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6D673F">
        <w:rPr>
          <w:rFonts w:cstheme="minorHAnsi"/>
          <w:sz w:val="24"/>
          <w:szCs w:val="24"/>
          <w:lang w:val="en-GB"/>
        </w:rPr>
        <w:t xml:space="preserve">provides </w:t>
      </w:r>
      <w:r w:rsidR="00FE2908">
        <w:rPr>
          <w:rFonts w:cstheme="minorHAnsi"/>
          <w:sz w:val="24"/>
          <w:szCs w:val="24"/>
          <w:lang w:val="en-GB"/>
        </w:rPr>
        <w:t xml:space="preserve">the results of the sensitivity analysis </w:t>
      </w:r>
      <w:r w:rsidR="00FE2908">
        <w:rPr>
          <w:b/>
          <w:lang w:val="en-GB"/>
        </w:rPr>
        <w:t xml:space="preserve">of </w:t>
      </w:r>
      <w:r w:rsidR="00FE2908" w:rsidRPr="00FE2908">
        <w:rPr>
          <w:bCs/>
          <w:lang w:val="en-GB"/>
        </w:rPr>
        <w:t xml:space="preserve">MCDA from all stakeholders’ perspectives calculated using </w:t>
      </w:r>
      <w:r w:rsidR="00FE2908" w:rsidRPr="00FE2908">
        <w:rPr>
          <w:rFonts w:ascii="Calibri" w:eastAsia="Times New Roman" w:hAnsi="Calibri" w:cs="Calibri"/>
          <w:bCs/>
          <w:sz w:val="24"/>
          <w:szCs w:val="24"/>
          <w:lang w:eastAsia="es-ES_tradnl"/>
        </w:rPr>
        <w:t>Discrete Choice Experiments (DCE) weights</w:t>
      </w:r>
      <w:r w:rsidR="00FE2908">
        <w:rPr>
          <w:rFonts w:ascii="Calibri" w:eastAsia="Times New Roman" w:hAnsi="Calibri" w:cs="Calibri"/>
          <w:bCs/>
          <w:sz w:val="24"/>
          <w:szCs w:val="24"/>
          <w:lang w:eastAsia="es-ES_tradnl"/>
        </w:rPr>
        <w:t>.</w:t>
      </w:r>
    </w:p>
    <w:p w14:paraId="484D59AB" w14:textId="77777777" w:rsidR="003D327F" w:rsidRDefault="006A00A9" w:rsidP="00543134">
      <w:pPr>
        <w:spacing w:after="120" w:line="360" w:lineRule="auto"/>
        <w:rPr>
          <w:lang w:val="en-GB"/>
        </w:rPr>
        <w:sectPr w:rsidR="003D327F" w:rsidSect="003D327F">
          <w:pgSz w:w="11906" w:h="16838"/>
          <w:pgMar w:top="720" w:right="1418" w:bottom="720" w:left="1418" w:header="709" w:footer="709" w:gutter="0"/>
          <w:cols w:space="708"/>
          <w:docGrid w:linePitch="360"/>
        </w:sectPr>
      </w:pPr>
      <w:r>
        <w:rPr>
          <w:lang w:val="en-GB"/>
        </w:rPr>
        <w:br w:type="page"/>
      </w:r>
    </w:p>
    <w:p w14:paraId="4175E7BB" w14:textId="05F8C670" w:rsidR="00877BBD" w:rsidRDefault="00877BBD" w:rsidP="00877BBD">
      <w:pPr>
        <w:rPr>
          <w:rFonts w:cstheme="minorHAnsi"/>
          <w:b/>
          <w:bCs/>
        </w:rPr>
      </w:pPr>
      <w:r w:rsidRPr="00877BBD">
        <w:rPr>
          <w:b/>
          <w:lang w:val="en-GB"/>
        </w:rPr>
        <w:lastRenderedPageBreak/>
        <w:t xml:space="preserve">TABLE </w:t>
      </w:r>
      <w:r w:rsidR="003E7438">
        <w:rPr>
          <w:b/>
          <w:lang w:val="en-GB"/>
        </w:rPr>
        <w:t>1</w:t>
      </w:r>
      <w:r w:rsidRPr="00877BBD">
        <w:rPr>
          <w:b/>
          <w:lang w:val="en-GB"/>
        </w:rPr>
        <w:t>S.</w:t>
      </w:r>
      <w:r w:rsidR="00156E79" w:rsidRPr="00156E79">
        <w:rPr>
          <w:rFonts w:cstheme="minorHAnsi"/>
          <w:b/>
          <w:bCs/>
        </w:rPr>
        <w:t xml:space="preserve"> </w:t>
      </w:r>
      <w:r w:rsidR="00156E79" w:rsidRPr="00C90E7D">
        <w:rPr>
          <w:rFonts w:cstheme="minorHAnsi"/>
          <w:b/>
          <w:bCs/>
        </w:rPr>
        <w:t xml:space="preserve">Characteristics of the </w:t>
      </w:r>
      <w:r w:rsidR="00156E79">
        <w:rPr>
          <w:rFonts w:cstheme="minorHAnsi"/>
          <w:b/>
          <w:bCs/>
        </w:rPr>
        <w:t xml:space="preserve">study population (n=586) and </w:t>
      </w:r>
      <w:r w:rsidR="00156E79" w:rsidRPr="00C90E7D">
        <w:rPr>
          <w:rFonts w:cstheme="minorHAnsi"/>
          <w:b/>
          <w:bCs/>
        </w:rPr>
        <w:t>study groups</w:t>
      </w:r>
      <w:r w:rsidR="00156E79">
        <w:rPr>
          <w:rFonts w:cstheme="minorHAnsi"/>
          <w:b/>
          <w:bCs/>
        </w:rPr>
        <w:t xml:space="preserve"> (CCA, n=441 and MCDA n=137) after propensity score matching,</w:t>
      </w:r>
      <w:r w:rsidR="00156E79" w:rsidRPr="00C90E7D">
        <w:rPr>
          <w:rFonts w:cstheme="minorHAnsi"/>
          <w:b/>
          <w:bCs/>
        </w:rPr>
        <w:t xml:space="preserve"> before admission</w:t>
      </w:r>
    </w:p>
    <w:p w14:paraId="6347C860" w14:textId="77777777" w:rsidR="005E61B9" w:rsidRDefault="005E61B9" w:rsidP="00877BBD">
      <w:pPr>
        <w:rPr>
          <w:rFonts w:cstheme="minorHAnsi"/>
          <w:b/>
          <w:bCs/>
        </w:rPr>
      </w:pPr>
      <w:r w:rsidRPr="005E61B9">
        <w:rPr>
          <w:noProof/>
          <w:lang w:val="es-ES" w:eastAsia="es-ES"/>
        </w:rPr>
        <w:drawing>
          <wp:inline distT="0" distB="0" distL="0" distR="0" wp14:anchorId="3EA5AC2D" wp14:editId="74CB068C">
            <wp:extent cx="9777730" cy="4736827"/>
            <wp:effectExtent l="0" t="0" r="0" b="0"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4736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DEE3BD" w14:textId="77777777" w:rsidR="00156E79" w:rsidRPr="00C90E7D" w:rsidRDefault="00156E79" w:rsidP="005748D4">
      <w:pPr>
        <w:spacing w:line="240" w:lineRule="auto"/>
        <w:jc w:val="both"/>
        <w:rPr>
          <w:rFonts w:cstheme="minorHAnsi"/>
        </w:rPr>
      </w:pPr>
      <w:r w:rsidRPr="00C90E7D">
        <w:rPr>
          <w:rFonts w:cstheme="minorHAnsi"/>
          <w:b/>
          <w:bCs/>
          <w:i/>
          <w:iCs/>
        </w:rPr>
        <w:t xml:space="preserve">Legend. </w:t>
      </w:r>
      <w:r w:rsidRPr="00156E79">
        <w:rPr>
          <w:rFonts w:cstheme="minorHAnsi"/>
          <w:bCs/>
          <w:i/>
          <w:iCs/>
        </w:rPr>
        <w:t>CCA,</w:t>
      </w:r>
      <w:r>
        <w:rPr>
          <w:rFonts w:cstheme="minorHAnsi"/>
          <w:bCs/>
          <w:i/>
          <w:iCs/>
        </w:rPr>
        <w:t xml:space="preserve"> </w:t>
      </w:r>
      <w:r>
        <w:rPr>
          <w:rFonts w:cstheme="minorHAnsi"/>
          <w:i/>
          <w:iCs/>
        </w:rPr>
        <w:t>Cost Consequence Analysis;</w:t>
      </w:r>
      <w:r w:rsidRPr="00156E79">
        <w:rPr>
          <w:rFonts w:cstheme="minorHAnsi"/>
          <w:i/>
          <w:iCs/>
        </w:rPr>
        <w:t xml:space="preserve"> </w:t>
      </w:r>
      <w:r w:rsidR="009F7986" w:rsidRPr="007703DB">
        <w:rPr>
          <w:rFonts w:cstheme="minorHAnsi"/>
          <w:bCs/>
          <w:i/>
          <w:iCs/>
        </w:rPr>
        <w:t>Study population: all patients included in Hospital at Home-Hospital Avoidance (</w:t>
      </w:r>
      <w:r w:rsidR="009F7986" w:rsidRPr="007703DB">
        <w:rPr>
          <w:rFonts w:cstheme="minorHAnsi"/>
          <w:i/>
          <w:iCs/>
        </w:rPr>
        <w:t>HaH-HA</w:t>
      </w:r>
      <w:r w:rsidR="009F7986">
        <w:rPr>
          <w:rFonts w:cstheme="minorHAnsi"/>
          <w:i/>
          <w:iCs/>
        </w:rPr>
        <w:t>)</w:t>
      </w:r>
      <w:r w:rsidR="009F7986" w:rsidRPr="00C90E7D">
        <w:rPr>
          <w:rFonts w:cstheme="minorHAnsi"/>
          <w:i/>
          <w:iCs/>
        </w:rPr>
        <w:t xml:space="preserve">; </w:t>
      </w:r>
      <w:r w:rsidR="009F7986">
        <w:rPr>
          <w:rFonts w:cstheme="minorHAnsi"/>
          <w:i/>
          <w:iCs/>
        </w:rPr>
        <w:t>HaH-HA, corresponds to the study population after propensity score matching (PSM);</w:t>
      </w:r>
      <w:r w:rsidR="009F7986" w:rsidRPr="00C90E7D">
        <w:rPr>
          <w:rFonts w:cstheme="minorHAnsi"/>
          <w:i/>
          <w:iCs/>
        </w:rPr>
        <w:t xml:space="preserve"> UC, Usual Car</w:t>
      </w:r>
      <w:r w:rsidR="009F7986">
        <w:rPr>
          <w:rFonts w:cstheme="minorHAnsi"/>
          <w:i/>
          <w:iCs/>
        </w:rPr>
        <w:t>e, after PSM</w:t>
      </w:r>
      <w:r w:rsidR="009F7986" w:rsidRPr="00C90E7D">
        <w:rPr>
          <w:rFonts w:cstheme="minorHAnsi"/>
          <w:i/>
          <w:iCs/>
        </w:rPr>
        <w:t>;</w:t>
      </w:r>
      <w:r w:rsidR="009F7986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>MCDA, multiple criteria decision analysis;</w:t>
      </w:r>
      <w:r w:rsidRPr="00C90E7D">
        <w:rPr>
          <w:rFonts w:cstheme="minorHAnsi"/>
          <w:i/>
          <w:iCs/>
        </w:rPr>
        <w:t xml:space="preserve"> </w:t>
      </w:r>
      <w:r>
        <w:rPr>
          <w:rFonts w:cstheme="minorHAnsi"/>
          <w:i/>
          <w:iCs/>
        </w:rPr>
        <w:t>HaH-HA_MCDA, intervention subset used for MCDA</w:t>
      </w:r>
      <w:r w:rsidR="009F7986">
        <w:rPr>
          <w:rFonts w:cstheme="minorHAnsi"/>
          <w:i/>
          <w:iCs/>
        </w:rPr>
        <w:t>, after PSM</w:t>
      </w:r>
      <w:r>
        <w:rPr>
          <w:rFonts w:cstheme="minorHAnsi"/>
          <w:i/>
          <w:iCs/>
        </w:rPr>
        <w:t>; UC_MCDA, usual care subset used for MCDA</w:t>
      </w:r>
      <w:r w:rsidR="009F7986">
        <w:rPr>
          <w:rFonts w:cstheme="minorHAnsi"/>
          <w:i/>
          <w:iCs/>
        </w:rPr>
        <w:t>, after PSM</w:t>
      </w:r>
      <w:r>
        <w:rPr>
          <w:rFonts w:cstheme="minorHAnsi"/>
          <w:i/>
          <w:iCs/>
        </w:rPr>
        <w:t xml:space="preserve">; </w:t>
      </w:r>
      <w:r w:rsidRPr="00C90E7D">
        <w:rPr>
          <w:rFonts w:cstheme="minorHAnsi"/>
          <w:i/>
          <w:iCs/>
        </w:rPr>
        <w:t>GMA, Adjusted Morbidity Groups scoring; * Matching variables</w:t>
      </w:r>
      <w:r w:rsidR="00A5525A">
        <w:rPr>
          <w:rFonts w:cstheme="minorHAnsi"/>
          <w:i/>
          <w:iCs/>
        </w:rPr>
        <w:t>.</w:t>
      </w:r>
    </w:p>
    <w:p w14:paraId="0F3C6D98" w14:textId="77777777" w:rsidR="00E77F90" w:rsidRDefault="00E77F90" w:rsidP="00156E79">
      <w:pPr>
        <w:spacing w:after="120" w:line="360" w:lineRule="auto"/>
        <w:jc w:val="both"/>
        <w:rPr>
          <w:b/>
          <w:lang w:val="en-GB"/>
        </w:rPr>
      </w:pPr>
    </w:p>
    <w:p w14:paraId="21D7BC6A" w14:textId="77777777" w:rsidR="00E77F90" w:rsidRDefault="00E77F90" w:rsidP="00156E79">
      <w:pPr>
        <w:spacing w:after="120" w:line="360" w:lineRule="auto"/>
        <w:jc w:val="both"/>
        <w:rPr>
          <w:b/>
          <w:lang w:val="en-GB"/>
        </w:rPr>
      </w:pPr>
    </w:p>
    <w:p w14:paraId="52314C11" w14:textId="77777777" w:rsidR="00E77F90" w:rsidRDefault="00E77F90" w:rsidP="00156E79">
      <w:pPr>
        <w:spacing w:after="120" w:line="360" w:lineRule="auto"/>
        <w:jc w:val="both"/>
        <w:rPr>
          <w:b/>
          <w:lang w:val="en-GB"/>
        </w:rPr>
      </w:pPr>
    </w:p>
    <w:p w14:paraId="082B988B" w14:textId="6C63F816" w:rsidR="00156E79" w:rsidRDefault="00877BBD" w:rsidP="00156E79">
      <w:pPr>
        <w:spacing w:after="120" w:line="360" w:lineRule="auto"/>
        <w:jc w:val="both"/>
        <w:rPr>
          <w:rFonts w:cstheme="minorHAnsi"/>
          <w:b/>
          <w:bCs/>
        </w:rPr>
      </w:pPr>
      <w:r w:rsidRPr="00877BBD">
        <w:rPr>
          <w:b/>
          <w:lang w:val="en-GB"/>
        </w:rPr>
        <w:t xml:space="preserve">TABLE </w:t>
      </w:r>
      <w:r w:rsidR="003E7438">
        <w:rPr>
          <w:b/>
          <w:lang w:val="en-GB"/>
        </w:rPr>
        <w:t>2</w:t>
      </w:r>
      <w:r w:rsidRPr="00877BBD">
        <w:rPr>
          <w:b/>
          <w:lang w:val="en-GB"/>
        </w:rPr>
        <w:t>S.</w:t>
      </w:r>
      <w:r w:rsidR="00156E79" w:rsidRPr="00156E79">
        <w:rPr>
          <w:rFonts w:cstheme="minorHAnsi"/>
          <w:b/>
          <w:bCs/>
        </w:rPr>
        <w:t xml:space="preserve"> </w:t>
      </w:r>
      <w:r w:rsidR="00156E79" w:rsidRPr="00C90E7D">
        <w:rPr>
          <w:rFonts w:cstheme="minorHAnsi"/>
          <w:b/>
          <w:bCs/>
        </w:rPr>
        <w:t xml:space="preserve">Characteristics of the acute episode and main outcomes </w:t>
      </w:r>
      <w:r w:rsidR="00156E79">
        <w:rPr>
          <w:rFonts w:cstheme="minorHAnsi"/>
          <w:b/>
          <w:bCs/>
        </w:rPr>
        <w:t xml:space="preserve">for the entire population of HaH-HA and for the </w:t>
      </w:r>
      <w:r w:rsidR="008812FE">
        <w:rPr>
          <w:rFonts w:cstheme="minorHAnsi"/>
          <w:b/>
          <w:bCs/>
        </w:rPr>
        <w:t xml:space="preserve">two </w:t>
      </w:r>
      <w:r w:rsidR="00156E79">
        <w:rPr>
          <w:rFonts w:cstheme="minorHAnsi"/>
          <w:b/>
          <w:bCs/>
        </w:rPr>
        <w:t>study groups:</w:t>
      </w:r>
      <w:r w:rsidR="008812FE">
        <w:rPr>
          <w:rFonts w:cstheme="minorHAnsi"/>
          <w:b/>
          <w:bCs/>
        </w:rPr>
        <w:t xml:space="preserve"> CCA (n=441) and MCDA (n=137)</w:t>
      </w:r>
      <w:r w:rsidR="00156E79">
        <w:rPr>
          <w:rFonts w:cstheme="minorHAnsi"/>
          <w:b/>
          <w:bCs/>
        </w:rPr>
        <w:t xml:space="preserve"> </w:t>
      </w:r>
    </w:p>
    <w:p w14:paraId="0B87B94F" w14:textId="77777777" w:rsidR="00877BBD" w:rsidRDefault="00333E63" w:rsidP="00333E63">
      <w:pPr>
        <w:jc w:val="center"/>
        <w:rPr>
          <w:b/>
          <w:lang w:val="en-GB"/>
        </w:rPr>
      </w:pPr>
      <w:r w:rsidRPr="00333E63">
        <w:rPr>
          <w:noProof/>
          <w:lang w:val="es-ES" w:eastAsia="es-ES"/>
        </w:rPr>
        <w:drawing>
          <wp:inline distT="0" distB="0" distL="0" distR="0" wp14:anchorId="2BC71EA6" wp14:editId="10EF8E77">
            <wp:extent cx="9410700" cy="3219450"/>
            <wp:effectExtent l="0" t="0" r="0" b="0"/>
            <wp:docPr id="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97" r="3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DCB0A3" w14:textId="77777777" w:rsidR="008812FE" w:rsidRPr="00C90E7D" w:rsidRDefault="008812FE" w:rsidP="005748D4">
      <w:pPr>
        <w:spacing w:line="240" w:lineRule="auto"/>
        <w:jc w:val="both"/>
        <w:rPr>
          <w:rFonts w:cstheme="minorHAnsi"/>
        </w:rPr>
      </w:pPr>
      <w:r w:rsidRPr="00C90E7D">
        <w:rPr>
          <w:rFonts w:cstheme="minorHAnsi"/>
          <w:b/>
          <w:bCs/>
          <w:i/>
          <w:iCs/>
        </w:rPr>
        <w:t xml:space="preserve">Legend. </w:t>
      </w:r>
      <w:r w:rsidRPr="00156E79">
        <w:rPr>
          <w:rFonts w:cstheme="minorHAnsi"/>
          <w:bCs/>
          <w:i/>
          <w:iCs/>
        </w:rPr>
        <w:t>CCA,</w:t>
      </w:r>
      <w:r>
        <w:rPr>
          <w:rFonts w:cstheme="minorHAnsi"/>
          <w:bCs/>
          <w:i/>
          <w:iCs/>
        </w:rPr>
        <w:t xml:space="preserve"> </w:t>
      </w:r>
      <w:r>
        <w:rPr>
          <w:rFonts w:cstheme="minorHAnsi"/>
          <w:i/>
          <w:iCs/>
        </w:rPr>
        <w:t>Cost Consequence Analysis;</w:t>
      </w:r>
      <w:r w:rsidRPr="00156E79">
        <w:rPr>
          <w:rFonts w:cstheme="minorHAnsi"/>
          <w:i/>
          <w:iCs/>
        </w:rPr>
        <w:t xml:space="preserve"> </w:t>
      </w:r>
      <w:r w:rsidR="009F7986" w:rsidRPr="007703DB">
        <w:rPr>
          <w:rFonts w:cstheme="minorHAnsi"/>
          <w:bCs/>
          <w:i/>
          <w:iCs/>
        </w:rPr>
        <w:t>Study population: all patients included in Hospital at Home-Hospital Avoidance (</w:t>
      </w:r>
      <w:r w:rsidR="009F7986" w:rsidRPr="007703DB">
        <w:rPr>
          <w:rFonts w:cstheme="minorHAnsi"/>
          <w:i/>
          <w:iCs/>
        </w:rPr>
        <w:t>HaH-HA</w:t>
      </w:r>
      <w:r w:rsidR="009F7986">
        <w:rPr>
          <w:rFonts w:cstheme="minorHAnsi"/>
          <w:i/>
          <w:iCs/>
        </w:rPr>
        <w:t>)</w:t>
      </w:r>
      <w:r w:rsidR="009F7986" w:rsidRPr="00C90E7D">
        <w:rPr>
          <w:rFonts w:cstheme="minorHAnsi"/>
          <w:i/>
          <w:iCs/>
        </w:rPr>
        <w:t xml:space="preserve">; </w:t>
      </w:r>
      <w:r w:rsidR="009F7986">
        <w:rPr>
          <w:rFonts w:cstheme="minorHAnsi"/>
          <w:i/>
          <w:iCs/>
        </w:rPr>
        <w:t>HaH-HA, corresponds to the study population after propensity score matching (PSM);</w:t>
      </w:r>
      <w:r w:rsidR="009F7986" w:rsidRPr="00C90E7D">
        <w:rPr>
          <w:rFonts w:cstheme="minorHAnsi"/>
          <w:i/>
          <w:iCs/>
        </w:rPr>
        <w:t xml:space="preserve"> UC, Usual Car</w:t>
      </w:r>
      <w:r w:rsidR="009F7986">
        <w:rPr>
          <w:rFonts w:cstheme="minorHAnsi"/>
          <w:i/>
          <w:iCs/>
        </w:rPr>
        <w:t>e, after PSM</w:t>
      </w:r>
      <w:r w:rsidR="009F7986" w:rsidRPr="00C90E7D">
        <w:rPr>
          <w:rFonts w:cstheme="minorHAnsi"/>
          <w:i/>
          <w:iCs/>
        </w:rPr>
        <w:t>;</w:t>
      </w:r>
      <w:r w:rsidR="009F7986">
        <w:rPr>
          <w:rFonts w:cstheme="minorHAnsi"/>
          <w:i/>
          <w:iCs/>
        </w:rPr>
        <w:t xml:space="preserve"> MCDA, multiple criteria decision analysis;</w:t>
      </w:r>
      <w:r w:rsidR="009F7986" w:rsidRPr="00C90E7D">
        <w:rPr>
          <w:rFonts w:cstheme="minorHAnsi"/>
          <w:i/>
          <w:iCs/>
        </w:rPr>
        <w:t xml:space="preserve"> </w:t>
      </w:r>
      <w:r w:rsidR="009F7986">
        <w:rPr>
          <w:rFonts w:cstheme="minorHAnsi"/>
          <w:i/>
          <w:iCs/>
        </w:rPr>
        <w:t>HaH-HA_MCDA, intervention subset used for MCDA, after PSM; UC_MCDA, usual care subset used for MCDA, after PSM.</w:t>
      </w:r>
      <w:r w:rsidR="009F7986" w:rsidRPr="00C90E7D">
        <w:rPr>
          <w:rFonts w:cstheme="minorHAnsi"/>
          <w:i/>
          <w:iCs/>
        </w:rPr>
        <w:t xml:space="preserve"> </w:t>
      </w:r>
    </w:p>
    <w:p w14:paraId="5D714C1B" w14:textId="77777777" w:rsidR="00877BBD" w:rsidRDefault="00877BBD" w:rsidP="00877BBD">
      <w:pPr>
        <w:rPr>
          <w:b/>
          <w:lang w:val="en-GB"/>
        </w:rPr>
      </w:pPr>
    </w:p>
    <w:p w14:paraId="5E81A16A" w14:textId="77777777" w:rsidR="00BD3ACE" w:rsidRDefault="00BD3ACE" w:rsidP="00877BBD">
      <w:pPr>
        <w:rPr>
          <w:b/>
          <w:lang w:val="en-GB"/>
        </w:rPr>
      </w:pPr>
    </w:p>
    <w:p w14:paraId="2E1A5825" w14:textId="77777777" w:rsidR="00CD2184" w:rsidRDefault="00CD2184" w:rsidP="00CD2184">
      <w:pPr>
        <w:spacing w:after="0" w:line="240" w:lineRule="auto"/>
        <w:rPr>
          <w:rFonts w:cstheme="minorHAnsi"/>
          <w:b/>
        </w:rPr>
      </w:pPr>
    </w:p>
    <w:p w14:paraId="43B447DA" w14:textId="77777777" w:rsidR="00CD2184" w:rsidRDefault="00CD2184" w:rsidP="00CD2184">
      <w:pPr>
        <w:spacing w:after="0" w:line="240" w:lineRule="auto"/>
        <w:rPr>
          <w:rFonts w:cstheme="minorHAnsi"/>
          <w:b/>
        </w:rPr>
      </w:pPr>
    </w:p>
    <w:p w14:paraId="763549D0" w14:textId="77777777" w:rsidR="00CD2184" w:rsidRDefault="00CD2184" w:rsidP="00CD2184">
      <w:pPr>
        <w:spacing w:after="0" w:line="240" w:lineRule="auto"/>
        <w:rPr>
          <w:rFonts w:cstheme="minorHAnsi"/>
          <w:b/>
        </w:rPr>
      </w:pPr>
    </w:p>
    <w:p w14:paraId="755DA5AC" w14:textId="77777777" w:rsidR="00CD2184" w:rsidRDefault="00CD2184" w:rsidP="00CD2184">
      <w:pPr>
        <w:spacing w:after="0" w:line="240" w:lineRule="auto"/>
        <w:rPr>
          <w:rFonts w:cstheme="minorHAnsi"/>
          <w:b/>
        </w:rPr>
      </w:pPr>
    </w:p>
    <w:p w14:paraId="352EB0E5" w14:textId="77777777" w:rsidR="00E77F90" w:rsidRDefault="00E77F90" w:rsidP="00B11FB6">
      <w:pPr>
        <w:pStyle w:val="Sinespaciado"/>
        <w:rPr>
          <w:b/>
          <w:lang w:val="en-GB"/>
        </w:rPr>
      </w:pPr>
    </w:p>
    <w:p w14:paraId="05085522" w14:textId="77777777" w:rsidR="00E77F90" w:rsidRDefault="00E77F90" w:rsidP="00B11FB6">
      <w:pPr>
        <w:pStyle w:val="Sinespaciado"/>
        <w:rPr>
          <w:b/>
          <w:lang w:val="en-GB"/>
        </w:rPr>
      </w:pPr>
    </w:p>
    <w:p w14:paraId="2BB2C2A3" w14:textId="5CBCBEE1" w:rsidR="00B11FB6" w:rsidRDefault="00B11FB6" w:rsidP="00B11FB6">
      <w:pPr>
        <w:pStyle w:val="Sinespaciado"/>
        <w:rPr>
          <w:b/>
          <w:lang w:val="en-GB"/>
        </w:rPr>
      </w:pPr>
      <w:r w:rsidRPr="00BD3ACE">
        <w:rPr>
          <w:b/>
          <w:lang w:val="en-GB"/>
        </w:rPr>
        <w:lastRenderedPageBreak/>
        <w:t xml:space="preserve">Table </w:t>
      </w:r>
      <w:r w:rsidR="003E7438">
        <w:rPr>
          <w:b/>
          <w:lang w:val="en-GB"/>
        </w:rPr>
        <w:t>3</w:t>
      </w:r>
      <w:r w:rsidRPr="00BD3ACE">
        <w:rPr>
          <w:b/>
          <w:lang w:val="en-GB"/>
        </w:rPr>
        <w:t xml:space="preserve">S. Operational Cost (in €) during the acute episode and expenses during 30-days after discharge for the different study groups </w:t>
      </w:r>
    </w:p>
    <w:p w14:paraId="03E1AA81" w14:textId="77777777" w:rsidR="00B11FB6" w:rsidRDefault="00B11FB6" w:rsidP="00CD2184">
      <w:pPr>
        <w:spacing w:after="0" w:line="240" w:lineRule="auto"/>
        <w:rPr>
          <w:rFonts w:cstheme="minorHAnsi"/>
          <w:b/>
        </w:rPr>
      </w:pPr>
      <w:r w:rsidRPr="00B11FB6">
        <w:rPr>
          <w:noProof/>
          <w:lang w:val="es-ES" w:eastAsia="es-ES"/>
        </w:rPr>
        <w:drawing>
          <wp:inline distT="0" distB="0" distL="0" distR="0" wp14:anchorId="51391BA2" wp14:editId="16E5FCBB">
            <wp:extent cx="9686291" cy="57626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94"/>
                    <a:stretch/>
                  </pic:blipFill>
                  <pic:spPr bwMode="auto">
                    <a:xfrm>
                      <a:off x="0" y="0"/>
                      <a:ext cx="9686291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43F5C7" w14:textId="15EF6EAA" w:rsidR="000230E5" w:rsidRDefault="00B11FB6" w:rsidP="005748D4">
      <w:pPr>
        <w:spacing w:line="240" w:lineRule="auto"/>
        <w:jc w:val="both"/>
        <w:rPr>
          <w:rFonts w:cstheme="minorHAnsi"/>
          <w:i/>
          <w:iCs/>
        </w:rPr>
      </w:pPr>
      <w:r>
        <w:rPr>
          <w:rFonts w:cstheme="minorHAnsi"/>
          <w:b/>
          <w:bCs/>
          <w:i/>
          <w:iCs/>
        </w:rPr>
        <w:t>L</w:t>
      </w:r>
      <w:r w:rsidRPr="00C90E7D">
        <w:rPr>
          <w:rFonts w:cstheme="minorHAnsi"/>
          <w:b/>
          <w:bCs/>
          <w:i/>
          <w:iCs/>
        </w:rPr>
        <w:t xml:space="preserve">egend. </w:t>
      </w:r>
      <w:r w:rsidRPr="007703DB">
        <w:rPr>
          <w:rFonts w:cstheme="minorHAnsi"/>
          <w:bCs/>
          <w:i/>
          <w:iCs/>
        </w:rPr>
        <w:t>Study population: all patients included in Hospital at Home-Hospital Avoidance (</w:t>
      </w:r>
      <w:r w:rsidRPr="007703DB">
        <w:rPr>
          <w:rFonts w:cstheme="minorHAnsi"/>
          <w:i/>
          <w:iCs/>
        </w:rPr>
        <w:t>HaH-HA</w:t>
      </w:r>
      <w:r>
        <w:rPr>
          <w:rFonts w:cstheme="minorHAnsi"/>
          <w:i/>
          <w:iCs/>
        </w:rPr>
        <w:t>)</w:t>
      </w:r>
      <w:r w:rsidRPr="00C90E7D">
        <w:rPr>
          <w:rFonts w:cstheme="minorHAnsi"/>
          <w:i/>
          <w:iCs/>
        </w:rPr>
        <w:t xml:space="preserve">; </w:t>
      </w:r>
      <w:r>
        <w:rPr>
          <w:rFonts w:cstheme="minorHAnsi"/>
          <w:i/>
          <w:iCs/>
        </w:rPr>
        <w:t xml:space="preserve">HaH-Ha, corresponds to the study population after propensity score matching (PSM); </w:t>
      </w:r>
      <w:r w:rsidRPr="00C90E7D">
        <w:rPr>
          <w:rFonts w:cstheme="minorHAnsi"/>
          <w:i/>
          <w:iCs/>
        </w:rPr>
        <w:t>UC, Usual Care</w:t>
      </w:r>
      <w:r>
        <w:rPr>
          <w:rFonts w:cstheme="minorHAnsi"/>
          <w:i/>
          <w:iCs/>
        </w:rPr>
        <w:t>, after PSM</w:t>
      </w:r>
      <w:r w:rsidRPr="00C90E7D">
        <w:rPr>
          <w:rFonts w:cstheme="minorHAnsi"/>
          <w:i/>
          <w:iCs/>
        </w:rPr>
        <w:t xml:space="preserve">; </w:t>
      </w:r>
      <w:r>
        <w:rPr>
          <w:rFonts w:cstheme="minorHAnsi"/>
          <w:i/>
          <w:iCs/>
        </w:rPr>
        <w:t>HaH-HA_MCDA, intervention subset used for multiple criteria decision analysis (MCDA), after PSM; UC_MCDA, usual care subset used for MCDA, after PSM.</w:t>
      </w:r>
    </w:p>
    <w:tbl>
      <w:tblPr>
        <w:tblStyle w:val="Tablaconcuadrcula"/>
        <w:tblpPr w:leftFromText="141" w:rightFromText="141" w:vertAnchor="page" w:horzAnchor="margin" w:tblpY="1381"/>
        <w:tblW w:w="0" w:type="auto"/>
        <w:tblLook w:val="04A0" w:firstRow="1" w:lastRow="0" w:firstColumn="1" w:lastColumn="0" w:noHBand="0" w:noVBand="1"/>
      </w:tblPr>
      <w:tblGrid>
        <w:gridCol w:w="1869"/>
        <w:gridCol w:w="894"/>
        <w:gridCol w:w="893"/>
        <w:gridCol w:w="1091"/>
        <w:gridCol w:w="1009"/>
        <w:gridCol w:w="857"/>
        <w:gridCol w:w="961"/>
        <w:gridCol w:w="933"/>
        <w:gridCol w:w="961"/>
        <w:gridCol w:w="961"/>
        <w:gridCol w:w="1146"/>
        <w:gridCol w:w="1132"/>
        <w:gridCol w:w="1041"/>
        <w:gridCol w:w="933"/>
        <w:gridCol w:w="933"/>
      </w:tblGrid>
      <w:tr w:rsidR="000C37B6" w:rsidRPr="000F7BB5" w14:paraId="539F8160" w14:textId="77777777" w:rsidTr="000C37B6">
        <w:trPr>
          <w:trHeight w:val="315"/>
        </w:trPr>
        <w:tc>
          <w:tcPr>
            <w:tcW w:w="1869" w:type="dxa"/>
            <w:vMerge w:val="restart"/>
            <w:hideMark/>
          </w:tcPr>
          <w:p w14:paraId="32648A0E" w14:textId="77777777" w:rsidR="000C37B6" w:rsidRPr="000F7BB5" w:rsidRDefault="000C37B6" w:rsidP="000C37B6">
            <w:pPr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Criteria/Outcomes</w:t>
            </w:r>
          </w:p>
        </w:tc>
        <w:tc>
          <w:tcPr>
            <w:tcW w:w="1787" w:type="dxa"/>
            <w:gridSpan w:val="2"/>
            <w:vMerge w:val="restart"/>
            <w:hideMark/>
          </w:tcPr>
          <w:p w14:paraId="5610F9BA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Standardized performance</w:t>
            </w:r>
          </w:p>
        </w:tc>
        <w:tc>
          <w:tcPr>
            <w:tcW w:w="2957" w:type="dxa"/>
            <w:gridSpan w:val="3"/>
            <w:noWrap/>
            <w:hideMark/>
          </w:tcPr>
          <w:p w14:paraId="644928B7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Patients</w:t>
            </w:r>
          </w:p>
        </w:tc>
        <w:tc>
          <w:tcPr>
            <w:tcW w:w="2855" w:type="dxa"/>
            <w:gridSpan w:val="3"/>
            <w:noWrap/>
            <w:hideMark/>
          </w:tcPr>
          <w:p w14:paraId="65ABCDA5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Informal caregivers</w:t>
            </w:r>
          </w:p>
        </w:tc>
        <w:tc>
          <w:tcPr>
            <w:tcW w:w="3239" w:type="dxa"/>
            <w:gridSpan w:val="3"/>
            <w:noWrap/>
            <w:hideMark/>
          </w:tcPr>
          <w:p w14:paraId="0AFD12A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Professional care providers</w:t>
            </w:r>
          </w:p>
        </w:tc>
        <w:tc>
          <w:tcPr>
            <w:tcW w:w="2907" w:type="dxa"/>
            <w:gridSpan w:val="3"/>
            <w:noWrap/>
            <w:hideMark/>
          </w:tcPr>
          <w:p w14:paraId="29C05C3E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Payers &amp; Policy makers</w:t>
            </w:r>
          </w:p>
        </w:tc>
      </w:tr>
      <w:tr w:rsidR="000C37B6" w:rsidRPr="000F7BB5" w14:paraId="55CC406A" w14:textId="77777777" w:rsidTr="000C37B6">
        <w:trPr>
          <w:trHeight w:val="288"/>
        </w:trPr>
        <w:tc>
          <w:tcPr>
            <w:tcW w:w="1869" w:type="dxa"/>
            <w:vMerge/>
            <w:hideMark/>
          </w:tcPr>
          <w:p w14:paraId="29332B53" w14:textId="77777777" w:rsidR="000C37B6" w:rsidRPr="000F7BB5" w:rsidRDefault="000C37B6" w:rsidP="000C37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vMerge/>
            <w:hideMark/>
          </w:tcPr>
          <w:p w14:paraId="2B11D4C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hideMark/>
          </w:tcPr>
          <w:p w14:paraId="661C0CDC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Weights</w:t>
            </w:r>
          </w:p>
        </w:tc>
        <w:tc>
          <w:tcPr>
            <w:tcW w:w="1866" w:type="dxa"/>
            <w:gridSpan w:val="2"/>
            <w:noWrap/>
            <w:hideMark/>
          </w:tcPr>
          <w:p w14:paraId="5D2653D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Weighted aggregation</w:t>
            </w:r>
          </w:p>
        </w:tc>
        <w:tc>
          <w:tcPr>
            <w:tcW w:w="961" w:type="dxa"/>
            <w:vMerge w:val="restart"/>
            <w:hideMark/>
          </w:tcPr>
          <w:p w14:paraId="226AA1D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Weights</w:t>
            </w:r>
          </w:p>
        </w:tc>
        <w:tc>
          <w:tcPr>
            <w:tcW w:w="1894" w:type="dxa"/>
            <w:gridSpan w:val="2"/>
            <w:noWrap/>
            <w:hideMark/>
          </w:tcPr>
          <w:p w14:paraId="6FCE926F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Weighted aggregation</w:t>
            </w:r>
          </w:p>
        </w:tc>
        <w:tc>
          <w:tcPr>
            <w:tcW w:w="961" w:type="dxa"/>
            <w:vMerge w:val="restart"/>
            <w:hideMark/>
          </w:tcPr>
          <w:p w14:paraId="62D49F6A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Weights</w:t>
            </w:r>
          </w:p>
        </w:tc>
        <w:tc>
          <w:tcPr>
            <w:tcW w:w="2278" w:type="dxa"/>
            <w:gridSpan w:val="2"/>
            <w:noWrap/>
            <w:hideMark/>
          </w:tcPr>
          <w:p w14:paraId="11F47F5A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Weighted aggregation</w:t>
            </w:r>
          </w:p>
        </w:tc>
        <w:tc>
          <w:tcPr>
            <w:tcW w:w="1041" w:type="dxa"/>
            <w:vMerge w:val="restart"/>
            <w:hideMark/>
          </w:tcPr>
          <w:p w14:paraId="6BC64B00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Weights</w:t>
            </w:r>
          </w:p>
        </w:tc>
        <w:tc>
          <w:tcPr>
            <w:tcW w:w="1866" w:type="dxa"/>
            <w:gridSpan w:val="2"/>
            <w:noWrap/>
            <w:hideMark/>
          </w:tcPr>
          <w:p w14:paraId="31383EC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Weighted aggregation</w:t>
            </w:r>
          </w:p>
        </w:tc>
      </w:tr>
      <w:tr w:rsidR="000C37B6" w:rsidRPr="000F7BB5" w14:paraId="7227FF70" w14:textId="77777777" w:rsidTr="000C37B6">
        <w:trPr>
          <w:trHeight w:val="324"/>
        </w:trPr>
        <w:tc>
          <w:tcPr>
            <w:tcW w:w="1869" w:type="dxa"/>
            <w:vMerge/>
            <w:hideMark/>
          </w:tcPr>
          <w:p w14:paraId="17CFF53B" w14:textId="77777777" w:rsidR="000C37B6" w:rsidRPr="000F7BB5" w:rsidRDefault="000C37B6" w:rsidP="000C37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94" w:type="dxa"/>
            <w:hideMark/>
          </w:tcPr>
          <w:p w14:paraId="1FFFA04B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HaH-HA</w:t>
            </w:r>
          </w:p>
        </w:tc>
        <w:tc>
          <w:tcPr>
            <w:tcW w:w="893" w:type="dxa"/>
            <w:noWrap/>
            <w:hideMark/>
          </w:tcPr>
          <w:p w14:paraId="2CB51824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UC</w:t>
            </w:r>
          </w:p>
        </w:tc>
        <w:tc>
          <w:tcPr>
            <w:tcW w:w="1091" w:type="dxa"/>
            <w:vMerge/>
            <w:hideMark/>
          </w:tcPr>
          <w:p w14:paraId="3A6BEE14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hideMark/>
          </w:tcPr>
          <w:p w14:paraId="5999364D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HaH-HA</w:t>
            </w:r>
          </w:p>
        </w:tc>
        <w:tc>
          <w:tcPr>
            <w:tcW w:w="857" w:type="dxa"/>
            <w:noWrap/>
            <w:hideMark/>
          </w:tcPr>
          <w:p w14:paraId="65C51B49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UC</w:t>
            </w:r>
          </w:p>
        </w:tc>
        <w:tc>
          <w:tcPr>
            <w:tcW w:w="961" w:type="dxa"/>
            <w:vMerge/>
            <w:hideMark/>
          </w:tcPr>
          <w:p w14:paraId="55B4AE4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hideMark/>
          </w:tcPr>
          <w:p w14:paraId="0F8E2C04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HaH-HA</w:t>
            </w:r>
          </w:p>
        </w:tc>
        <w:tc>
          <w:tcPr>
            <w:tcW w:w="961" w:type="dxa"/>
            <w:noWrap/>
            <w:hideMark/>
          </w:tcPr>
          <w:p w14:paraId="5C3B499A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UC</w:t>
            </w:r>
          </w:p>
        </w:tc>
        <w:tc>
          <w:tcPr>
            <w:tcW w:w="961" w:type="dxa"/>
            <w:vMerge/>
            <w:hideMark/>
          </w:tcPr>
          <w:p w14:paraId="698382F7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hideMark/>
          </w:tcPr>
          <w:p w14:paraId="75443EC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HaH-HA</w:t>
            </w:r>
          </w:p>
        </w:tc>
        <w:tc>
          <w:tcPr>
            <w:tcW w:w="1132" w:type="dxa"/>
            <w:noWrap/>
            <w:hideMark/>
          </w:tcPr>
          <w:p w14:paraId="56286A1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UC</w:t>
            </w:r>
          </w:p>
        </w:tc>
        <w:tc>
          <w:tcPr>
            <w:tcW w:w="1041" w:type="dxa"/>
            <w:vMerge/>
            <w:hideMark/>
          </w:tcPr>
          <w:p w14:paraId="677A2D65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hideMark/>
          </w:tcPr>
          <w:p w14:paraId="552C7B5E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HaH-HA</w:t>
            </w:r>
          </w:p>
        </w:tc>
        <w:tc>
          <w:tcPr>
            <w:tcW w:w="933" w:type="dxa"/>
            <w:noWrap/>
            <w:hideMark/>
          </w:tcPr>
          <w:p w14:paraId="2685B2C5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F7BB5">
              <w:rPr>
                <w:rFonts w:cstheme="minorHAnsi"/>
                <w:b/>
                <w:bCs/>
                <w:sz w:val="20"/>
                <w:szCs w:val="20"/>
              </w:rPr>
              <w:t>UC</w:t>
            </w:r>
          </w:p>
        </w:tc>
      </w:tr>
      <w:tr w:rsidR="000C37B6" w:rsidRPr="000F7BB5" w14:paraId="62681F34" w14:textId="77777777" w:rsidTr="000C37B6">
        <w:trPr>
          <w:trHeight w:val="312"/>
        </w:trPr>
        <w:tc>
          <w:tcPr>
            <w:tcW w:w="1869" w:type="dxa"/>
            <w:hideMark/>
          </w:tcPr>
          <w:p w14:paraId="037F5DA8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Enjoyment of life</w:t>
            </w:r>
          </w:p>
        </w:tc>
        <w:tc>
          <w:tcPr>
            <w:tcW w:w="894" w:type="dxa"/>
            <w:noWrap/>
            <w:hideMark/>
          </w:tcPr>
          <w:p w14:paraId="4838B42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0,71</w:t>
            </w:r>
          </w:p>
        </w:tc>
        <w:tc>
          <w:tcPr>
            <w:tcW w:w="893" w:type="dxa"/>
            <w:noWrap/>
            <w:hideMark/>
          </w:tcPr>
          <w:p w14:paraId="4263DF8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0,71</w:t>
            </w:r>
          </w:p>
        </w:tc>
        <w:tc>
          <w:tcPr>
            <w:tcW w:w="1091" w:type="dxa"/>
            <w:noWrap/>
            <w:hideMark/>
          </w:tcPr>
          <w:p w14:paraId="0C835A6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0,21</w:t>
            </w:r>
          </w:p>
        </w:tc>
        <w:tc>
          <w:tcPr>
            <w:tcW w:w="1009" w:type="dxa"/>
            <w:noWrap/>
            <w:hideMark/>
          </w:tcPr>
          <w:p w14:paraId="263097E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857" w:type="dxa"/>
            <w:noWrap/>
            <w:hideMark/>
          </w:tcPr>
          <w:p w14:paraId="3141763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961" w:type="dxa"/>
            <w:noWrap/>
            <w:hideMark/>
          </w:tcPr>
          <w:p w14:paraId="3761771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0,23</w:t>
            </w:r>
          </w:p>
        </w:tc>
        <w:tc>
          <w:tcPr>
            <w:tcW w:w="933" w:type="dxa"/>
            <w:noWrap/>
            <w:hideMark/>
          </w:tcPr>
          <w:p w14:paraId="3121CBE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0,16</w:t>
            </w:r>
          </w:p>
        </w:tc>
        <w:tc>
          <w:tcPr>
            <w:tcW w:w="961" w:type="dxa"/>
            <w:noWrap/>
            <w:hideMark/>
          </w:tcPr>
          <w:p w14:paraId="78971E2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0,16</w:t>
            </w:r>
          </w:p>
        </w:tc>
        <w:tc>
          <w:tcPr>
            <w:tcW w:w="961" w:type="dxa"/>
            <w:noWrap/>
            <w:hideMark/>
          </w:tcPr>
          <w:p w14:paraId="586C867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0,21</w:t>
            </w:r>
          </w:p>
        </w:tc>
        <w:tc>
          <w:tcPr>
            <w:tcW w:w="1146" w:type="dxa"/>
            <w:noWrap/>
            <w:hideMark/>
          </w:tcPr>
          <w:p w14:paraId="566FB4B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1132" w:type="dxa"/>
            <w:noWrap/>
            <w:hideMark/>
          </w:tcPr>
          <w:p w14:paraId="167575E7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1041" w:type="dxa"/>
            <w:noWrap/>
            <w:hideMark/>
          </w:tcPr>
          <w:p w14:paraId="3338DE1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0,20</w:t>
            </w:r>
          </w:p>
        </w:tc>
        <w:tc>
          <w:tcPr>
            <w:tcW w:w="933" w:type="dxa"/>
            <w:noWrap/>
            <w:hideMark/>
          </w:tcPr>
          <w:p w14:paraId="27ACAA31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  <w:tc>
          <w:tcPr>
            <w:tcW w:w="933" w:type="dxa"/>
            <w:noWrap/>
            <w:hideMark/>
          </w:tcPr>
          <w:p w14:paraId="2609D61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</w:tr>
      <w:tr w:rsidR="000C37B6" w:rsidRPr="000F7BB5" w14:paraId="5A2D994B" w14:textId="77777777" w:rsidTr="000C37B6">
        <w:trPr>
          <w:trHeight w:val="312"/>
        </w:trPr>
        <w:tc>
          <w:tcPr>
            <w:tcW w:w="1869" w:type="dxa"/>
            <w:hideMark/>
          </w:tcPr>
          <w:p w14:paraId="4F81F3B8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Resilience</w:t>
            </w:r>
          </w:p>
        </w:tc>
        <w:tc>
          <w:tcPr>
            <w:tcW w:w="894" w:type="dxa"/>
            <w:noWrap/>
            <w:hideMark/>
          </w:tcPr>
          <w:p w14:paraId="476FADE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0,72</w:t>
            </w:r>
          </w:p>
        </w:tc>
        <w:tc>
          <w:tcPr>
            <w:tcW w:w="893" w:type="dxa"/>
            <w:noWrap/>
            <w:hideMark/>
          </w:tcPr>
          <w:p w14:paraId="226FBC3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0,69</w:t>
            </w:r>
          </w:p>
        </w:tc>
        <w:tc>
          <w:tcPr>
            <w:tcW w:w="1091" w:type="dxa"/>
            <w:noWrap/>
            <w:hideMark/>
          </w:tcPr>
          <w:p w14:paraId="3393FAB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  <w:tc>
          <w:tcPr>
            <w:tcW w:w="1009" w:type="dxa"/>
            <w:noWrap/>
            <w:hideMark/>
          </w:tcPr>
          <w:p w14:paraId="4F05566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857" w:type="dxa"/>
            <w:noWrap/>
            <w:hideMark/>
          </w:tcPr>
          <w:p w14:paraId="1AD0A22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61" w:type="dxa"/>
            <w:noWrap/>
            <w:hideMark/>
          </w:tcPr>
          <w:p w14:paraId="50E9B23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0,13</w:t>
            </w:r>
          </w:p>
        </w:tc>
        <w:tc>
          <w:tcPr>
            <w:tcW w:w="933" w:type="dxa"/>
            <w:noWrap/>
            <w:hideMark/>
          </w:tcPr>
          <w:p w14:paraId="3066F87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61" w:type="dxa"/>
            <w:noWrap/>
            <w:hideMark/>
          </w:tcPr>
          <w:p w14:paraId="7955E8A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61" w:type="dxa"/>
            <w:noWrap/>
            <w:hideMark/>
          </w:tcPr>
          <w:p w14:paraId="6FCC4F0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0,12</w:t>
            </w:r>
          </w:p>
        </w:tc>
        <w:tc>
          <w:tcPr>
            <w:tcW w:w="1146" w:type="dxa"/>
            <w:noWrap/>
            <w:hideMark/>
          </w:tcPr>
          <w:p w14:paraId="0C0178A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1132" w:type="dxa"/>
            <w:noWrap/>
            <w:hideMark/>
          </w:tcPr>
          <w:p w14:paraId="2F7F14F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041" w:type="dxa"/>
            <w:noWrap/>
            <w:hideMark/>
          </w:tcPr>
          <w:p w14:paraId="3953D6D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0,13</w:t>
            </w:r>
          </w:p>
        </w:tc>
        <w:tc>
          <w:tcPr>
            <w:tcW w:w="933" w:type="dxa"/>
            <w:noWrap/>
            <w:hideMark/>
          </w:tcPr>
          <w:p w14:paraId="6066D0A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33" w:type="dxa"/>
            <w:noWrap/>
            <w:hideMark/>
          </w:tcPr>
          <w:p w14:paraId="635F4D8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</w:tr>
      <w:tr w:rsidR="000C37B6" w:rsidRPr="000F7BB5" w14:paraId="72FB60F4" w14:textId="77777777" w:rsidTr="000C37B6">
        <w:trPr>
          <w:trHeight w:val="312"/>
        </w:trPr>
        <w:tc>
          <w:tcPr>
            <w:tcW w:w="1869" w:type="dxa"/>
            <w:hideMark/>
          </w:tcPr>
          <w:p w14:paraId="225EB202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Physical functioning</w:t>
            </w:r>
          </w:p>
        </w:tc>
        <w:tc>
          <w:tcPr>
            <w:tcW w:w="894" w:type="dxa"/>
            <w:noWrap/>
            <w:hideMark/>
          </w:tcPr>
          <w:p w14:paraId="25DFAF7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0,77</w:t>
            </w:r>
          </w:p>
        </w:tc>
        <w:tc>
          <w:tcPr>
            <w:tcW w:w="893" w:type="dxa"/>
            <w:noWrap/>
            <w:hideMark/>
          </w:tcPr>
          <w:p w14:paraId="115A958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0,64</w:t>
            </w:r>
          </w:p>
        </w:tc>
        <w:tc>
          <w:tcPr>
            <w:tcW w:w="1091" w:type="dxa"/>
            <w:noWrap/>
            <w:hideMark/>
          </w:tcPr>
          <w:p w14:paraId="5B26880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1009" w:type="dxa"/>
            <w:noWrap/>
            <w:hideMark/>
          </w:tcPr>
          <w:p w14:paraId="703E1CC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857" w:type="dxa"/>
            <w:noWrap/>
            <w:hideMark/>
          </w:tcPr>
          <w:p w14:paraId="19E412F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61" w:type="dxa"/>
            <w:noWrap/>
            <w:hideMark/>
          </w:tcPr>
          <w:p w14:paraId="5DB902A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33" w:type="dxa"/>
            <w:noWrap/>
            <w:hideMark/>
          </w:tcPr>
          <w:p w14:paraId="1DA8520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61" w:type="dxa"/>
            <w:noWrap/>
            <w:hideMark/>
          </w:tcPr>
          <w:p w14:paraId="5D5EE22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0,06</w:t>
            </w:r>
          </w:p>
        </w:tc>
        <w:tc>
          <w:tcPr>
            <w:tcW w:w="961" w:type="dxa"/>
            <w:noWrap/>
            <w:hideMark/>
          </w:tcPr>
          <w:p w14:paraId="1C17D52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1146" w:type="dxa"/>
            <w:noWrap/>
            <w:hideMark/>
          </w:tcPr>
          <w:p w14:paraId="595A10B7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132" w:type="dxa"/>
            <w:noWrap/>
            <w:hideMark/>
          </w:tcPr>
          <w:p w14:paraId="6F400F8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1041" w:type="dxa"/>
            <w:noWrap/>
            <w:hideMark/>
          </w:tcPr>
          <w:p w14:paraId="079F853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0,12</w:t>
            </w:r>
          </w:p>
        </w:tc>
        <w:tc>
          <w:tcPr>
            <w:tcW w:w="933" w:type="dxa"/>
            <w:noWrap/>
            <w:hideMark/>
          </w:tcPr>
          <w:p w14:paraId="0DC6F94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33" w:type="dxa"/>
            <w:noWrap/>
            <w:hideMark/>
          </w:tcPr>
          <w:p w14:paraId="2556189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</w:tr>
      <w:tr w:rsidR="000C37B6" w:rsidRPr="000F7BB5" w14:paraId="39AF3F63" w14:textId="77777777" w:rsidTr="000C37B6">
        <w:trPr>
          <w:trHeight w:val="312"/>
        </w:trPr>
        <w:tc>
          <w:tcPr>
            <w:tcW w:w="1869" w:type="dxa"/>
            <w:hideMark/>
          </w:tcPr>
          <w:p w14:paraId="30C35EA3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Continuity of care</w:t>
            </w:r>
          </w:p>
        </w:tc>
        <w:tc>
          <w:tcPr>
            <w:tcW w:w="894" w:type="dxa"/>
            <w:noWrap/>
            <w:hideMark/>
          </w:tcPr>
          <w:p w14:paraId="52125F91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0,75</w:t>
            </w:r>
          </w:p>
        </w:tc>
        <w:tc>
          <w:tcPr>
            <w:tcW w:w="893" w:type="dxa"/>
            <w:noWrap/>
            <w:hideMark/>
          </w:tcPr>
          <w:p w14:paraId="25E91B0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0,66</w:t>
            </w:r>
          </w:p>
        </w:tc>
        <w:tc>
          <w:tcPr>
            <w:tcW w:w="1091" w:type="dxa"/>
            <w:noWrap/>
            <w:hideMark/>
          </w:tcPr>
          <w:p w14:paraId="7ABF0E8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  <w:tc>
          <w:tcPr>
            <w:tcW w:w="1009" w:type="dxa"/>
            <w:noWrap/>
            <w:hideMark/>
          </w:tcPr>
          <w:p w14:paraId="0E9DE861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857" w:type="dxa"/>
            <w:noWrap/>
            <w:hideMark/>
          </w:tcPr>
          <w:p w14:paraId="5AE88AB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61" w:type="dxa"/>
            <w:noWrap/>
            <w:hideMark/>
          </w:tcPr>
          <w:p w14:paraId="261E27C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0,16</w:t>
            </w:r>
          </w:p>
        </w:tc>
        <w:tc>
          <w:tcPr>
            <w:tcW w:w="933" w:type="dxa"/>
            <w:noWrap/>
            <w:hideMark/>
          </w:tcPr>
          <w:p w14:paraId="6DE9F2C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0,12</w:t>
            </w:r>
          </w:p>
        </w:tc>
        <w:tc>
          <w:tcPr>
            <w:tcW w:w="961" w:type="dxa"/>
            <w:noWrap/>
            <w:hideMark/>
          </w:tcPr>
          <w:p w14:paraId="4314DB6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61" w:type="dxa"/>
            <w:noWrap/>
            <w:hideMark/>
          </w:tcPr>
          <w:p w14:paraId="1231969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1146" w:type="dxa"/>
            <w:noWrap/>
            <w:hideMark/>
          </w:tcPr>
          <w:p w14:paraId="136C1EF1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1132" w:type="dxa"/>
            <w:noWrap/>
            <w:hideMark/>
          </w:tcPr>
          <w:p w14:paraId="35EBBA7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1041" w:type="dxa"/>
            <w:noWrap/>
            <w:hideMark/>
          </w:tcPr>
          <w:p w14:paraId="2F5D9344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  <w:tc>
          <w:tcPr>
            <w:tcW w:w="933" w:type="dxa"/>
            <w:noWrap/>
            <w:hideMark/>
          </w:tcPr>
          <w:p w14:paraId="33E77357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33" w:type="dxa"/>
            <w:noWrap/>
            <w:hideMark/>
          </w:tcPr>
          <w:p w14:paraId="5140B01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</w:tr>
      <w:tr w:rsidR="000C37B6" w:rsidRPr="000F7BB5" w14:paraId="10EE5293" w14:textId="77777777" w:rsidTr="000C37B6">
        <w:trPr>
          <w:trHeight w:val="300"/>
        </w:trPr>
        <w:tc>
          <w:tcPr>
            <w:tcW w:w="1869" w:type="dxa"/>
            <w:hideMark/>
          </w:tcPr>
          <w:p w14:paraId="131F902F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Psychological well-being</w:t>
            </w:r>
          </w:p>
        </w:tc>
        <w:tc>
          <w:tcPr>
            <w:tcW w:w="894" w:type="dxa"/>
            <w:noWrap/>
            <w:hideMark/>
          </w:tcPr>
          <w:p w14:paraId="3CEB1F09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0,71</w:t>
            </w:r>
          </w:p>
        </w:tc>
        <w:tc>
          <w:tcPr>
            <w:tcW w:w="893" w:type="dxa"/>
            <w:noWrap/>
            <w:hideMark/>
          </w:tcPr>
          <w:p w14:paraId="23126C7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0,70</w:t>
            </w:r>
          </w:p>
        </w:tc>
        <w:tc>
          <w:tcPr>
            <w:tcW w:w="1091" w:type="dxa"/>
            <w:noWrap/>
            <w:hideMark/>
          </w:tcPr>
          <w:p w14:paraId="14D7128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0,13</w:t>
            </w:r>
          </w:p>
        </w:tc>
        <w:tc>
          <w:tcPr>
            <w:tcW w:w="1009" w:type="dxa"/>
            <w:noWrap/>
            <w:hideMark/>
          </w:tcPr>
          <w:p w14:paraId="19EE98F7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857" w:type="dxa"/>
            <w:noWrap/>
            <w:hideMark/>
          </w:tcPr>
          <w:p w14:paraId="716EFFF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61" w:type="dxa"/>
            <w:noWrap/>
            <w:hideMark/>
          </w:tcPr>
          <w:p w14:paraId="4A5F78F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933" w:type="dxa"/>
            <w:noWrap/>
            <w:hideMark/>
          </w:tcPr>
          <w:p w14:paraId="4BB0262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61" w:type="dxa"/>
            <w:noWrap/>
            <w:hideMark/>
          </w:tcPr>
          <w:p w14:paraId="3FB43CC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61" w:type="dxa"/>
            <w:noWrap/>
            <w:hideMark/>
          </w:tcPr>
          <w:p w14:paraId="008D326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0,14</w:t>
            </w:r>
          </w:p>
        </w:tc>
        <w:tc>
          <w:tcPr>
            <w:tcW w:w="1146" w:type="dxa"/>
            <w:noWrap/>
            <w:hideMark/>
          </w:tcPr>
          <w:p w14:paraId="43D3808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1132" w:type="dxa"/>
            <w:noWrap/>
            <w:hideMark/>
          </w:tcPr>
          <w:p w14:paraId="23F645C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1041" w:type="dxa"/>
            <w:noWrap/>
            <w:hideMark/>
          </w:tcPr>
          <w:p w14:paraId="39DF07C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0,15</w:t>
            </w:r>
          </w:p>
        </w:tc>
        <w:tc>
          <w:tcPr>
            <w:tcW w:w="933" w:type="dxa"/>
            <w:noWrap/>
            <w:hideMark/>
          </w:tcPr>
          <w:p w14:paraId="3C3B4BFE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933" w:type="dxa"/>
            <w:noWrap/>
            <w:hideMark/>
          </w:tcPr>
          <w:p w14:paraId="49DF272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</w:tr>
      <w:tr w:rsidR="000C37B6" w:rsidRPr="000F7BB5" w14:paraId="1DDD511C" w14:textId="77777777" w:rsidTr="000C37B6">
        <w:trPr>
          <w:trHeight w:val="300"/>
        </w:trPr>
        <w:tc>
          <w:tcPr>
            <w:tcW w:w="1869" w:type="dxa"/>
            <w:hideMark/>
          </w:tcPr>
          <w:p w14:paraId="21E27C7D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Social participation</w:t>
            </w:r>
          </w:p>
        </w:tc>
        <w:tc>
          <w:tcPr>
            <w:tcW w:w="894" w:type="dxa"/>
            <w:noWrap/>
            <w:hideMark/>
          </w:tcPr>
          <w:p w14:paraId="08CE8BE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0,72</w:t>
            </w:r>
          </w:p>
        </w:tc>
        <w:tc>
          <w:tcPr>
            <w:tcW w:w="893" w:type="dxa"/>
            <w:noWrap/>
            <w:hideMark/>
          </w:tcPr>
          <w:p w14:paraId="76D9AAC7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0,70</w:t>
            </w:r>
          </w:p>
        </w:tc>
        <w:tc>
          <w:tcPr>
            <w:tcW w:w="1091" w:type="dxa"/>
            <w:noWrap/>
            <w:hideMark/>
          </w:tcPr>
          <w:p w14:paraId="1779854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0,10</w:t>
            </w:r>
          </w:p>
        </w:tc>
        <w:tc>
          <w:tcPr>
            <w:tcW w:w="1009" w:type="dxa"/>
            <w:noWrap/>
            <w:hideMark/>
          </w:tcPr>
          <w:p w14:paraId="2BFB181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857" w:type="dxa"/>
            <w:noWrap/>
            <w:hideMark/>
          </w:tcPr>
          <w:p w14:paraId="5AD6EFC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61" w:type="dxa"/>
            <w:noWrap/>
            <w:hideMark/>
          </w:tcPr>
          <w:p w14:paraId="02B9C0E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933" w:type="dxa"/>
            <w:noWrap/>
            <w:hideMark/>
          </w:tcPr>
          <w:p w14:paraId="2B2ADB7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961" w:type="dxa"/>
            <w:noWrap/>
            <w:hideMark/>
          </w:tcPr>
          <w:p w14:paraId="2632A49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61" w:type="dxa"/>
            <w:noWrap/>
            <w:hideMark/>
          </w:tcPr>
          <w:p w14:paraId="7FE0704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1146" w:type="dxa"/>
            <w:noWrap/>
            <w:hideMark/>
          </w:tcPr>
          <w:p w14:paraId="6040E5B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132" w:type="dxa"/>
            <w:noWrap/>
            <w:hideMark/>
          </w:tcPr>
          <w:p w14:paraId="34BA13C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041" w:type="dxa"/>
            <w:noWrap/>
            <w:hideMark/>
          </w:tcPr>
          <w:p w14:paraId="6195486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933" w:type="dxa"/>
            <w:noWrap/>
            <w:hideMark/>
          </w:tcPr>
          <w:p w14:paraId="370871F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933" w:type="dxa"/>
            <w:noWrap/>
            <w:hideMark/>
          </w:tcPr>
          <w:p w14:paraId="5A08C794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</w:tr>
      <w:tr w:rsidR="000C37B6" w:rsidRPr="000F7BB5" w14:paraId="4B0877B8" w14:textId="77777777" w:rsidTr="000C37B6">
        <w:trPr>
          <w:trHeight w:val="312"/>
        </w:trPr>
        <w:tc>
          <w:tcPr>
            <w:tcW w:w="1869" w:type="dxa"/>
            <w:hideMark/>
          </w:tcPr>
          <w:p w14:paraId="4E7D5891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Person-centeredness</w:t>
            </w:r>
          </w:p>
        </w:tc>
        <w:tc>
          <w:tcPr>
            <w:tcW w:w="894" w:type="dxa"/>
            <w:noWrap/>
            <w:hideMark/>
          </w:tcPr>
          <w:p w14:paraId="39BB91C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0,74</w:t>
            </w:r>
          </w:p>
        </w:tc>
        <w:tc>
          <w:tcPr>
            <w:tcW w:w="893" w:type="dxa"/>
            <w:noWrap/>
            <w:hideMark/>
          </w:tcPr>
          <w:p w14:paraId="6BD3AC9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0,67</w:t>
            </w:r>
          </w:p>
        </w:tc>
        <w:tc>
          <w:tcPr>
            <w:tcW w:w="1091" w:type="dxa"/>
            <w:noWrap/>
            <w:hideMark/>
          </w:tcPr>
          <w:p w14:paraId="329048D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009" w:type="dxa"/>
            <w:noWrap/>
            <w:hideMark/>
          </w:tcPr>
          <w:p w14:paraId="6448087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0,06</w:t>
            </w:r>
          </w:p>
        </w:tc>
        <w:tc>
          <w:tcPr>
            <w:tcW w:w="857" w:type="dxa"/>
            <w:noWrap/>
            <w:hideMark/>
          </w:tcPr>
          <w:p w14:paraId="3A78E62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0,05</w:t>
            </w:r>
          </w:p>
        </w:tc>
        <w:tc>
          <w:tcPr>
            <w:tcW w:w="961" w:type="dxa"/>
            <w:noWrap/>
            <w:hideMark/>
          </w:tcPr>
          <w:p w14:paraId="4B22B08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33" w:type="dxa"/>
            <w:noWrap/>
            <w:hideMark/>
          </w:tcPr>
          <w:p w14:paraId="0CDBDC2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61" w:type="dxa"/>
            <w:noWrap/>
            <w:hideMark/>
          </w:tcPr>
          <w:p w14:paraId="6999903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0,06</w:t>
            </w:r>
          </w:p>
        </w:tc>
        <w:tc>
          <w:tcPr>
            <w:tcW w:w="961" w:type="dxa"/>
            <w:noWrap/>
            <w:hideMark/>
          </w:tcPr>
          <w:p w14:paraId="433E9C3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0,11</w:t>
            </w:r>
          </w:p>
        </w:tc>
        <w:tc>
          <w:tcPr>
            <w:tcW w:w="1146" w:type="dxa"/>
            <w:noWrap/>
            <w:hideMark/>
          </w:tcPr>
          <w:p w14:paraId="53FAFA9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0,08</w:t>
            </w:r>
          </w:p>
        </w:tc>
        <w:tc>
          <w:tcPr>
            <w:tcW w:w="1132" w:type="dxa"/>
            <w:noWrap/>
            <w:hideMark/>
          </w:tcPr>
          <w:p w14:paraId="5E6B3C54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1041" w:type="dxa"/>
            <w:noWrap/>
            <w:hideMark/>
          </w:tcPr>
          <w:p w14:paraId="52F6506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0,09</w:t>
            </w:r>
          </w:p>
        </w:tc>
        <w:tc>
          <w:tcPr>
            <w:tcW w:w="933" w:type="dxa"/>
            <w:noWrap/>
            <w:hideMark/>
          </w:tcPr>
          <w:p w14:paraId="4E789E12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33" w:type="dxa"/>
            <w:noWrap/>
            <w:hideMark/>
          </w:tcPr>
          <w:p w14:paraId="0454FA0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0,06</w:t>
            </w:r>
          </w:p>
        </w:tc>
      </w:tr>
      <w:tr w:rsidR="000C37B6" w:rsidRPr="000F7BB5" w14:paraId="783D44EF" w14:textId="77777777" w:rsidTr="000C37B6">
        <w:trPr>
          <w:trHeight w:val="324"/>
        </w:trPr>
        <w:tc>
          <w:tcPr>
            <w:tcW w:w="1869" w:type="dxa"/>
            <w:hideMark/>
          </w:tcPr>
          <w:p w14:paraId="1EE5A8E2" w14:textId="77777777" w:rsidR="000C37B6" w:rsidRPr="000F7BB5" w:rsidRDefault="000C37B6" w:rsidP="000C37B6">
            <w:pPr>
              <w:rPr>
                <w:rFonts w:cstheme="minorHAnsi"/>
              </w:rPr>
            </w:pPr>
            <w:r w:rsidRPr="000F7BB5">
              <w:rPr>
                <w:rFonts w:cstheme="minorHAnsi"/>
              </w:rPr>
              <w:t>Health care costs</w:t>
            </w:r>
          </w:p>
        </w:tc>
        <w:tc>
          <w:tcPr>
            <w:tcW w:w="894" w:type="dxa"/>
            <w:hideMark/>
          </w:tcPr>
          <w:p w14:paraId="6B8CB42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0,87</w:t>
            </w:r>
          </w:p>
        </w:tc>
        <w:tc>
          <w:tcPr>
            <w:tcW w:w="893" w:type="dxa"/>
            <w:hideMark/>
          </w:tcPr>
          <w:p w14:paraId="0FE9068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0,49</w:t>
            </w:r>
          </w:p>
        </w:tc>
        <w:tc>
          <w:tcPr>
            <w:tcW w:w="1091" w:type="dxa"/>
            <w:noWrap/>
            <w:hideMark/>
          </w:tcPr>
          <w:p w14:paraId="79AC3D56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0,04</w:t>
            </w:r>
          </w:p>
        </w:tc>
        <w:tc>
          <w:tcPr>
            <w:tcW w:w="1009" w:type="dxa"/>
            <w:noWrap/>
            <w:hideMark/>
          </w:tcPr>
          <w:p w14:paraId="5FB9F35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0,03</w:t>
            </w:r>
          </w:p>
        </w:tc>
        <w:tc>
          <w:tcPr>
            <w:tcW w:w="857" w:type="dxa"/>
            <w:noWrap/>
            <w:hideMark/>
          </w:tcPr>
          <w:p w14:paraId="7BB94E68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0,02</w:t>
            </w:r>
          </w:p>
        </w:tc>
        <w:tc>
          <w:tcPr>
            <w:tcW w:w="961" w:type="dxa"/>
            <w:noWrap/>
            <w:hideMark/>
          </w:tcPr>
          <w:p w14:paraId="0F01EB03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0,04</w:t>
            </w:r>
          </w:p>
        </w:tc>
        <w:tc>
          <w:tcPr>
            <w:tcW w:w="933" w:type="dxa"/>
            <w:noWrap/>
            <w:hideMark/>
          </w:tcPr>
          <w:p w14:paraId="57A1960C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0,04</w:t>
            </w:r>
          </w:p>
        </w:tc>
        <w:tc>
          <w:tcPr>
            <w:tcW w:w="961" w:type="dxa"/>
            <w:noWrap/>
            <w:hideMark/>
          </w:tcPr>
          <w:p w14:paraId="6D0640E5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0,02</w:t>
            </w:r>
          </w:p>
        </w:tc>
        <w:tc>
          <w:tcPr>
            <w:tcW w:w="961" w:type="dxa"/>
            <w:noWrap/>
            <w:hideMark/>
          </w:tcPr>
          <w:p w14:paraId="23F478AB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0,04</w:t>
            </w:r>
          </w:p>
        </w:tc>
        <w:tc>
          <w:tcPr>
            <w:tcW w:w="1146" w:type="dxa"/>
            <w:noWrap/>
            <w:hideMark/>
          </w:tcPr>
          <w:p w14:paraId="74C60C1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0,04</w:t>
            </w:r>
          </w:p>
        </w:tc>
        <w:tc>
          <w:tcPr>
            <w:tcW w:w="1132" w:type="dxa"/>
            <w:noWrap/>
            <w:hideMark/>
          </w:tcPr>
          <w:p w14:paraId="6CCBA620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0,02</w:t>
            </w:r>
          </w:p>
        </w:tc>
        <w:tc>
          <w:tcPr>
            <w:tcW w:w="1041" w:type="dxa"/>
            <w:noWrap/>
            <w:hideMark/>
          </w:tcPr>
          <w:p w14:paraId="5BB1018D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0,07</w:t>
            </w:r>
          </w:p>
        </w:tc>
        <w:tc>
          <w:tcPr>
            <w:tcW w:w="933" w:type="dxa"/>
            <w:noWrap/>
            <w:hideMark/>
          </w:tcPr>
          <w:p w14:paraId="309555AA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0,06</w:t>
            </w:r>
          </w:p>
        </w:tc>
        <w:tc>
          <w:tcPr>
            <w:tcW w:w="933" w:type="dxa"/>
            <w:noWrap/>
            <w:hideMark/>
          </w:tcPr>
          <w:p w14:paraId="6C04339F" w14:textId="77777777" w:rsidR="000C37B6" w:rsidRPr="000F7BB5" w:rsidRDefault="000C37B6" w:rsidP="000C37B6">
            <w:pPr>
              <w:jc w:val="center"/>
              <w:rPr>
                <w:rFonts w:cstheme="minorHAnsi"/>
              </w:rPr>
            </w:pPr>
            <w:r w:rsidRPr="000F7BB5">
              <w:rPr>
                <w:rFonts w:cstheme="minorHAnsi"/>
              </w:rPr>
              <w:t>0,03</w:t>
            </w:r>
          </w:p>
        </w:tc>
      </w:tr>
      <w:tr w:rsidR="000C37B6" w:rsidRPr="000F7BB5" w14:paraId="45D379C5" w14:textId="77777777" w:rsidTr="000C37B6">
        <w:trPr>
          <w:trHeight w:val="444"/>
        </w:trPr>
        <w:tc>
          <w:tcPr>
            <w:tcW w:w="3656" w:type="dxa"/>
            <w:gridSpan w:val="3"/>
            <w:hideMark/>
          </w:tcPr>
          <w:p w14:paraId="618A6D7F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Overall value score</w:t>
            </w:r>
          </w:p>
        </w:tc>
        <w:tc>
          <w:tcPr>
            <w:tcW w:w="1091" w:type="dxa"/>
            <w:vMerge w:val="restart"/>
            <w:hideMark/>
          </w:tcPr>
          <w:p w14:paraId="169797E7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009" w:type="dxa"/>
            <w:noWrap/>
            <w:hideMark/>
          </w:tcPr>
          <w:p w14:paraId="50AB2892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0,74</w:t>
            </w:r>
          </w:p>
        </w:tc>
        <w:tc>
          <w:tcPr>
            <w:tcW w:w="857" w:type="dxa"/>
            <w:noWrap/>
            <w:hideMark/>
          </w:tcPr>
          <w:p w14:paraId="514056F5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0,68</w:t>
            </w:r>
          </w:p>
        </w:tc>
        <w:tc>
          <w:tcPr>
            <w:tcW w:w="961" w:type="dxa"/>
            <w:vMerge w:val="restart"/>
            <w:noWrap/>
            <w:hideMark/>
          </w:tcPr>
          <w:p w14:paraId="2C54E0C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33" w:type="dxa"/>
            <w:noWrap/>
            <w:hideMark/>
          </w:tcPr>
          <w:p w14:paraId="4F3F073B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0,73</w:t>
            </w:r>
          </w:p>
        </w:tc>
        <w:tc>
          <w:tcPr>
            <w:tcW w:w="961" w:type="dxa"/>
            <w:noWrap/>
            <w:hideMark/>
          </w:tcPr>
          <w:p w14:paraId="40054856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0,67</w:t>
            </w:r>
          </w:p>
        </w:tc>
        <w:tc>
          <w:tcPr>
            <w:tcW w:w="961" w:type="dxa"/>
            <w:vMerge w:val="restart"/>
            <w:noWrap/>
            <w:hideMark/>
          </w:tcPr>
          <w:p w14:paraId="25B4E648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6" w:type="dxa"/>
            <w:noWrap/>
            <w:hideMark/>
          </w:tcPr>
          <w:p w14:paraId="27F3263C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0,73</w:t>
            </w:r>
          </w:p>
        </w:tc>
        <w:tc>
          <w:tcPr>
            <w:tcW w:w="1132" w:type="dxa"/>
            <w:noWrap/>
            <w:hideMark/>
          </w:tcPr>
          <w:p w14:paraId="360E899D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0,68</w:t>
            </w:r>
          </w:p>
        </w:tc>
        <w:tc>
          <w:tcPr>
            <w:tcW w:w="1041" w:type="dxa"/>
            <w:vMerge w:val="restart"/>
            <w:noWrap/>
            <w:hideMark/>
          </w:tcPr>
          <w:p w14:paraId="66C22041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33" w:type="dxa"/>
            <w:noWrap/>
            <w:hideMark/>
          </w:tcPr>
          <w:p w14:paraId="405C3DBF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0,74</w:t>
            </w:r>
          </w:p>
        </w:tc>
        <w:tc>
          <w:tcPr>
            <w:tcW w:w="933" w:type="dxa"/>
            <w:noWrap/>
            <w:hideMark/>
          </w:tcPr>
          <w:p w14:paraId="2DB9A3F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0,67</w:t>
            </w:r>
          </w:p>
        </w:tc>
      </w:tr>
      <w:tr w:rsidR="000C37B6" w:rsidRPr="000F7BB5" w14:paraId="57D69487" w14:textId="77777777" w:rsidTr="000C37B6">
        <w:trPr>
          <w:trHeight w:val="408"/>
        </w:trPr>
        <w:tc>
          <w:tcPr>
            <w:tcW w:w="3656" w:type="dxa"/>
            <w:gridSpan w:val="3"/>
            <w:noWrap/>
            <w:hideMark/>
          </w:tcPr>
          <w:p w14:paraId="5CF341E6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(95% UI)</w:t>
            </w:r>
          </w:p>
        </w:tc>
        <w:tc>
          <w:tcPr>
            <w:tcW w:w="1091" w:type="dxa"/>
            <w:vMerge/>
            <w:hideMark/>
          </w:tcPr>
          <w:p w14:paraId="7B33EB65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09" w:type="dxa"/>
            <w:noWrap/>
            <w:hideMark/>
          </w:tcPr>
          <w:p w14:paraId="11DA6F8A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(0.710-0.761)</w:t>
            </w:r>
          </w:p>
        </w:tc>
        <w:tc>
          <w:tcPr>
            <w:tcW w:w="857" w:type="dxa"/>
            <w:noWrap/>
            <w:hideMark/>
          </w:tcPr>
          <w:p w14:paraId="03F5BFB4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(0.645-0.703)</w:t>
            </w:r>
          </w:p>
        </w:tc>
        <w:tc>
          <w:tcPr>
            <w:tcW w:w="961" w:type="dxa"/>
            <w:vMerge/>
            <w:hideMark/>
          </w:tcPr>
          <w:p w14:paraId="05C80335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33" w:type="dxa"/>
            <w:noWrap/>
            <w:hideMark/>
          </w:tcPr>
          <w:p w14:paraId="652FBF2D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(0.713-0.757)</w:t>
            </w:r>
          </w:p>
        </w:tc>
        <w:tc>
          <w:tcPr>
            <w:tcW w:w="961" w:type="dxa"/>
            <w:noWrap/>
            <w:hideMark/>
          </w:tcPr>
          <w:p w14:paraId="73C600A7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(0.650-0.700)</w:t>
            </w:r>
          </w:p>
        </w:tc>
        <w:tc>
          <w:tcPr>
            <w:tcW w:w="961" w:type="dxa"/>
            <w:vMerge/>
            <w:hideMark/>
          </w:tcPr>
          <w:p w14:paraId="0E1408AC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146" w:type="dxa"/>
            <w:noWrap/>
            <w:hideMark/>
          </w:tcPr>
          <w:p w14:paraId="319D67A8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(0.715-0.755)</w:t>
            </w:r>
          </w:p>
        </w:tc>
        <w:tc>
          <w:tcPr>
            <w:tcW w:w="1132" w:type="dxa"/>
            <w:noWrap/>
            <w:hideMark/>
          </w:tcPr>
          <w:p w14:paraId="7E9E6235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(0.654-0.698)</w:t>
            </w:r>
          </w:p>
        </w:tc>
        <w:tc>
          <w:tcPr>
            <w:tcW w:w="1041" w:type="dxa"/>
            <w:vMerge/>
            <w:hideMark/>
          </w:tcPr>
          <w:p w14:paraId="1D2A84B7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33" w:type="dxa"/>
            <w:noWrap/>
            <w:hideMark/>
          </w:tcPr>
          <w:p w14:paraId="033224E5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(0.711-0.756)</w:t>
            </w:r>
          </w:p>
        </w:tc>
        <w:tc>
          <w:tcPr>
            <w:tcW w:w="933" w:type="dxa"/>
            <w:noWrap/>
            <w:hideMark/>
          </w:tcPr>
          <w:p w14:paraId="35BE1273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(0.651-0.702)</w:t>
            </w:r>
          </w:p>
        </w:tc>
      </w:tr>
      <w:tr w:rsidR="000C37B6" w:rsidRPr="000F7BB5" w14:paraId="21322418" w14:textId="77777777" w:rsidTr="000C37B6">
        <w:trPr>
          <w:trHeight w:val="444"/>
        </w:trPr>
        <w:tc>
          <w:tcPr>
            <w:tcW w:w="3656" w:type="dxa"/>
            <w:gridSpan w:val="3"/>
            <w:hideMark/>
          </w:tcPr>
          <w:p w14:paraId="5E0CEC36" w14:textId="77777777" w:rsidR="000C37B6" w:rsidRPr="000F7BB5" w:rsidRDefault="000C37B6" w:rsidP="000C37B6">
            <w:pPr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Percentage IC &gt; UC</w:t>
            </w:r>
          </w:p>
        </w:tc>
        <w:tc>
          <w:tcPr>
            <w:tcW w:w="2957" w:type="dxa"/>
            <w:gridSpan w:val="3"/>
            <w:noWrap/>
            <w:hideMark/>
          </w:tcPr>
          <w:p w14:paraId="30CEC669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98,8</w:t>
            </w:r>
          </w:p>
        </w:tc>
        <w:tc>
          <w:tcPr>
            <w:tcW w:w="2855" w:type="dxa"/>
            <w:gridSpan w:val="3"/>
            <w:noWrap/>
            <w:hideMark/>
          </w:tcPr>
          <w:p w14:paraId="079E681D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99,6</w:t>
            </w:r>
          </w:p>
        </w:tc>
        <w:tc>
          <w:tcPr>
            <w:tcW w:w="3239" w:type="dxa"/>
            <w:gridSpan w:val="3"/>
            <w:noWrap/>
            <w:hideMark/>
          </w:tcPr>
          <w:p w14:paraId="630CDC53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99,7</w:t>
            </w:r>
          </w:p>
        </w:tc>
        <w:tc>
          <w:tcPr>
            <w:tcW w:w="2907" w:type="dxa"/>
            <w:gridSpan w:val="3"/>
            <w:noWrap/>
            <w:hideMark/>
          </w:tcPr>
          <w:p w14:paraId="7F6D5A67" w14:textId="77777777" w:rsidR="000C37B6" w:rsidRPr="000F7BB5" w:rsidRDefault="000C37B6" w:rsidP="000C37B6">
            <w:pPr>
              <w:jc w:val="center"/>
              <w:rPr>
                <w:rFonts w:cstheme="minorHAnsi"/>
                <w:b/>
                <w:bCs/>
              </w:rPr>
            </w:pPr>
            <w:r w:rsidRPr="000F7BB5">
              <w:rPr>
                <w:rFonts w:cstheme="minorHAnsi"/>
                <w:b/>
                <w:bCs/>
              </w:rPr>
              <w:t>99,3</w:t>
            </w:r>
          </w:p>
        </w:tc>
      </w:tr>
    </w:tbl>
    <w:p w14:paraId="01F8D82F" w14:textId="3A1EA57F" w:rsidR="000A78AB" w:rsidRDefault="000F7BB5" w:rsidP="000F7BB5">
      <w:pPr>
        <w:pStyle w:val="Sinespaciado"/>
        <w:rPr>
          <w:rFonts w:ascii="Calibri" w:eastAsia="Times New Roman" w:hAnsi="Calibri" w:cs="Calibri"/>
          <w:sz w:val="24"/>
          <w:szCs w:val="24"/>
          <w:lang w:eastAsia="es-ES_tradnl"/>
        </w:rPr>
      </w:pPr>
      <w:r w:rsidRPr="00BD3ACE">
        <w:rPr>
          <w:b/>
          <w:lang w:val="en-GB"/>
        </w:rPr>
        <w:t xml:space="preserve">Table </w:t>
      </w:r>
      <w:r w:rsidR="00202C1D">
        <w:rPr>
          <w:b/>
          <w:lang w:val="en-GB"/>
        </w:rPr>
        <w:t>4</w:t>
      </w:r>
      <w:r w:rsidRPr="00BD3ACE">
        <w:rPr>
          <w:b/>
          <w:lang w:val="en-GB"/>
        </w:rPr>
        <w:t xml:space="preserve">S. </w:t>
      </w:r>
      <w:r w:rsidR="000A78AB">
        <w:rPr>
          <w:b/>
          <w:lang w:val="en-GB"/>
        </w:rPr>
        <w:t xml:space="preserve">Sensitivity analysis of MCDA from all stakeholders’ perspectives calculated using </w:t>
      </w:r>
      <w:r w:rsidR="000A78AB" w:rsidRPr="000A78AB">
        <w:rPr>
          <w:rFonts w:ascii="Calibri" w:eastAsia="Times New Roman" w:hAnsi="Calibri" w:cs="Calibri"/>
          <w:b/>
          <w:bCs/>
          <w:sz w:val="24"/>
          <w:szCs w:val="24"/>
          <w:lang w:eastAsia="es-ES_tradnl"/>
        </w:rPr>
        <w:t>Discrete Choice Experiments (DCE) weights</w:t>
      </w:r>
      <w:r w:rsidR="000A78AB">
        <w:rPr>
          <w:rFonts w:ascii="Calibri" w:eastAsia="Times New Roman" w:hAnsi="Calibri" w:cs="Calibri"/>
          <w:sz w:val="24"/>
          <w:szCs w:val="24"/>
          <w:lang w:eastAsia="es-ES_tradnl"/>
        </w:rPr>
        <w:t xml:space="preserve"> </w:t>
      </w:r>
    </w:p>
    <w:p w14:paraId="4E3761D7" w14:textId="30ACDB62" w:rsidR="00FE2908" w:rsidRPr="009B697D" w:rsidRDefault="00FE2908" w:rsidP="00FE2908">
      <w:pPr>
        <w:spacing w:after="120"/>
        <w:jc w:val="both"/>
        <w:rPr>
          <w:rFonts w:ascii="Calibri" w:eastAsia="Calibri" w:hAnsi="Calibri" w:cs="Calibri"/>
          <w:i/>
        </w:rPr>
      </w:pPr>
      <w:r w:rsidRPr="009B697D">
        <w:rPr>
          <w:rFonts w:ascii="Calibri" w:eastAsia="Calibri" w:hAnsi="Calibri" w:cs="Calibri"/>
          <w:b/>
          <w:i/>
        </w:rPr>
        <w:t>Legend.</w:t>
      </w:r>
      <w:r w:rsidRPr="009B697D">
        <w:rPr>
          <w:rFonts w:ascii="Calibri" w:eastAsia="Calibri" w:hAnsi="Calibri" w:cs="Calibri"/>
          <w:i/>
        </w:rPr>
        <w:t xml:space="preserve"> Criteria/Outcomes: 8 outcomes categories assessed in the MCDA at 30 days after discharge; </w:t>
      </w:r>
      <w:r w:rsidRPr="00FF2737">
        <w:rPr>
          <w:rFonts w:ascii="Calibri" w:eastAsia="Calibri" w:hAnsi="Calibri" w:cs="Calibri"/>
          <w:i/>
          <w:u w:val="single"/>
        </w:rPr>
        <w:t>Standardized performance</w:t>
      </w:r>
      <w:r w:rsidRPr="009B697D">
        <w:rPr>
          <w:rFonts w:ascii="Calibri" w:eastAsia="Calibri" w:hAnsi="Calibri" w:cs="Calibri"/>
          <w:i/>
        </w:rPr>
        <w:t>: Overall scoring for each outcome</w:t>
      </w:r>
      <w:r>
        <w:rPr>
          <w:rFonts w:ascii="Calibri" w:eastAsia="Calibri" w:hAnsi="Calibri" w:cs="Calibri"/>
          <w:i/>
        </w:rPr>
        <w:t xml:space="preserve"> for </w:t>
      </w:r>
      <w:r w:rsidR="00FF2737">
        <w:rPr>
          <w:rFonts w:ascii="Calibri" w:eastAsia="Calibri" w:hAnsi="Calibri" w:cs="Calibri"/>
          <w:i/>
        </w:rPr>
        <w:t xml:space="preserve">pooled data of </w:t>
      </w:r>
      <w:r>
        <w:rPr>
          <w:rFonts w:ascii="Calibri" w:eastAsia="Calibri" w:hAnsi="Calibri" w:cs="Calibri"/>
          <w:i/>
        </w:rPr>
        <w:t xml:space="preserve">all </w:t>
      </w:r>
      <w:r w:rsidR="00FF2737">
        <w:rPr>
          <w:rFonts w:ascii="Calibri" w:eastAsia="Calibri" w:hAnsi="Calibri" w:cs="Calibri"/>
          <w:i/>
        </w:rPr>
        <w:t xml:space="preserve">stakeholder </w:t>
      </w:r>
      <w:r>
        <w:rPr>
          <w:rFonts w:ascii="Calibri" w:eastAsia="Calibri" w:hAnsi="Calibri" w:cs="Calibri"/>
          <w:i/>
        </w:rPr>
        <w:t>groups</w:t>
      </w:r>
      <w:r w:rsidR="00FF2737">
        <w:rPr>
          <w:rFonts w:ascii="Calibri" w:eastAsia="Calibri" w:hAnsi="Calibri" w:cs="Calibri"/>
          <w:i/>
        </w:rPr>
        <w:t xml:space="preserve">. </w:t>
      </w:r>
      <w:r w:rsidR="00FF2737" w:rsidRPr="00FF2737">
        <w:rPr>
          <w:rFonts w:ascii="Calibri" w:eastAsia="Calibri" w:hAnsi="Calibri" w:cs="Calibri"/>
          <w:i/>
          <w:u w:val="single"/>
        </w:rPr>
        <w:t>Fo</w:t>
      </w:r>
      <w:r w:rsidRPr="00FF2737">
        <w:rPr>
          <w:rFonts w:ascii="Calibri" w:eastAsia="Calibri" w:hAnsi="Calibri" w:cs="Calibri"/>
          <w:i/>
          <w:u w:val="single"/>
        </w:rPr>
        <w:t>r each stakeholder group</w:t>
      </w:r>
      <w:r>
        <w:rPr>
          <w:rFonts w:ascii="Calibri" w:eastAsia="Calibri" w:hAnsi="Calibri" w:cs="Calibri"/>
          <w:i/>
        </w:rPr>
        <w:t>: Patients, Informal care givers, Professional care providers and Payers</w:t>
      </w:r>
      <w:r w:rsidR="00FF2737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&amp;</w:t>
      </w:r>
      <w:r w:rsidR="00FF2737">
        <w:rPr>
          <w:rFonts w:ascii="Calibri" w:eastAsia="Calibri" w:hAnsi="Calibri" w:cs="Calibri"/>
          <w:i/>
        </w:rPr>
        <w:t xml:space="preserve"> Policy makers, the columns indicate the relative weights and </w:t>
      </w:r>
      <w:r w:rsidR="00543134">
        <w:rPr>
          <w:rFonts w:ascii="Calibri" w:eastAsia="Calibri" w:hAnsi="Calibri" w:cs="Calibri"/>
          <w:i/>
        </w:rPr>
        <w:t>w</w:t>
      </w:r>
      <w:r w:rsidR="00543134" w:rsidRPr="009B697D">
        <w:rPr>
          <w:rFonts w:ascii="Calibri" w:eastAsia="Calibri" w:hAnsi="Calibri" w:cs="Calibri"/>
          <w:i/>
        </w:rPr>
        <w:t>eighted aggregation</w:t>
      </w:r>
      <w:r w:rsidR="00543134">
        <w:rPr>
          <w:rFonts w:ascii="Calibri" w:eastAsia="Calibri" w:hAnsi="Calibri" w:cs="Calibri"/>
          <w:i/>
        </w:rPr>
        <w:t>; that is s</w:t>
      </w:r>
      <w:r w:rsidR="00543134" w:rsidRPr="009B697D">
        <w:rPr>
          <w:rFonts w:ascii="Calibri" w:eastAsia="Calibri" w:hAnsi="Calibri" w:cs="Calibri"/>
          <w:i/>
        </w:rPr>
        <w:t>tandardized performance times corresponding relative weight.</w:t>
      </w:r>
      <w:r w:rsidR="00FF2737">
        <w:rPr>
          <w:rFonts w:ascii="Calibri" w:eastAsia="Calibri" w:hAnsi="Calibri" w:cs="Calibri"/>
          <w:i/>
        </w:rPr>
        <w:t xml:space="preserve"> </w:t>
      </w:r>
      <w:r w:rsidRPr="009B697D">
        <w:rPr>
          <w:rFonts w:ascii="Calibri" w:eastAsia="Calibri" w:hAnsi="Calibri" w:cs="Calibri"/>
          <w:i/>
        </w:rPr>
        <w:t>HaH-HA: Hospital at Home-Hospital Avoidance, UC: Usual Care; Overall value score: mean overall scores for HaH-HA and UC; 95% Uncertainty Interval; Percentage HaH-HA&gt;UC, percentage of iterations in the Monte Carlo simulation showing higher overall value scores in HaH-HA than UC.</w:t>
      </w:r>
    </w:p>
    <w:p w14:paraId="71F42D1E" w14:textId="3DB14E58" w:rsidR="006D673F" w:rsidRPr="002869F0" w:rsidRDefault="006D673F" w:rsidP="006D673F">
      <w:pPr>
        <w:jc w:val="both"/>
        <w:rPr>
          <w:sz w:val="20"/>
          <w:szCs w:val="20"/>
          <w:lang w:val="en-GB"/>
        </w:rPr>
      </w:pPr>
      <w:r>
        <w:rPr>
          <w:i/>
          <w:iCs/>
          <w:sz w:val="20"/>
          <w:lang w:val="en-GB"/>
        </w:rPr>
        <w:t>.</w:t>
      </w:r>
    </w:p>
    <w:p w14:paraId="08442A7D" w14:textId="3F73DEEB" w:rsidR="000F7BB5" w:rsidRPr="006D673F" w:rsidRDefault="000F7BB5" w:rsidP="006D673F">
      <w:pPr>
        <w:rPr>
          <w:b/>
          <w:lang w:val="en-GB"/>
        </w:rPr>
      </w:pPr>
    </w:p>
    <w:sectPr w:rsidR="000F7BB5" w:rsidRPr="006D673F" w:rsidSect="00E77F90">
      <w:pgSz w:w="16838" w:h="11906" w:orient="landscape"/>
      <w:pgMar w:top="85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00770" w14:textId="77777777" w:rsidR="009D097F" w:rsidRDefault="009D097F" w:rsidP="00515548">
      <w:pPr>
        <w:spacing w:after="0" w:line="240" w:lineRule="auto"/>
      </w:pPr>
      <w:r>
        <w:separator/>
      </w:r>
    </w:p>
  </w:endnote>
  <w:endnote w:type="continuationSeparator" w:id="0">
    <w:p w14:paraId="751AF9D5" w14:textId="77777777" w:rsidR="009D097F" w:rsidRDefault="009D097F" w:rsidP="0051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0CEAB" w14:textId="77777777" w:rsidR="009D097F" w:rsidRDefault="009D097F" w:rsidP="00515548">
      <w:pPr>
        <w:spacing w:after="0" w:line="240" w:lineRule="auto"/>
      </w:pPr>
      <w:r>
        <w:separator/>
      </w:r>
    </w:p>
  </w:footnote>
  <w:footnote w:type="continuationSeparator" w:id="0">
    <w:p w14:paraId="3E38A385" w14:textId="77777777" w:rsidR="009D097F" w:rsidRDefault="009D097F" w:rsidP="00515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3061"/>
    <w:multiLevelType w:val="hybridMultilevel"/>
    <w:tmpl w:val="6BA62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77DE"/>
    <w:multiLevelType w:val="hybridMultilevel"/>
    <w:tmpl w:val="C622977A"/>
    <w:lvl w:ilvl="0" w:tplc="B1B6408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33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FE072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2829F7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B5AA8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E02DB1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23EE94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C8C1D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E22B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463F2C27"/>
    <w:multiLevelType w:val="hybridMultilevel"/>
    <w:tmpl w:val="2FEA6C26"/>
    <w:lvl w:ilvl="0" w:tplc="749888D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8F657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6C619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976F6E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8D6F9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56E6C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A78822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5629D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91EE05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48C57B5A"/>
    <w:multiLevelType w:val="multilevel"/>
    <w:tmpl w:val="DCA6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73327"/>
    <w:multiLevelType w:val="hybridMultilevel"/>
    <w:tmpl w:val="54442FF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0F751C"/>
    <w:multiLevelType w:val="hybridMultilevel"/>
    <w:tmpl w:val="0DC6DB0C"/>
    <w:lvl w:ilvl="0" w:tplc="F2180FC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EA74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42A590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0A22F0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E645F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9A101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64C08F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EDA52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680FC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5FFF0BF0"/>
    <w:multiLevelType w:val="multilevel"/>
    <w:tmpl w:val="4B9E75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2105395"/>
    <w:multiLevelType w:val="multilevel"/>
    <w:tmpl w:val="8D90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B613E0"/>
    <w:multiLevelType w:val="hybridMultilevel"/>
    <w:tmpl w:val="662629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carme_ref12&lt;/item&gt;&lt;/Libraries&gt;&lt;/ENLibraries&gt;"/>
  </w:docVars>
  <w:rsids>
    <w:rsidRoot w:val="000B6A24"/>
    <w:rsid w:val="00001689"/>
    <w:rsid w:val="00003D1B"/>
    <w:rsid w:val="00011AC6"/>
    <w:rsid w:val="000131B2"/>
    <w:rsid w:val="000139E4"/>
    <w:rsid w:val="00016C03"/>
    <w:rsid w:val="000230E5"/>
    <w:rsid w:val="0003787C"/>
    <w:rsid w:val="0004020C"/>
    <w:rsid w:val="00046FE7"/>
    <w:rsid w:val="00073CBB"/>
    <w:rsid w:val="00074B18"/>
    <w:rsid w:val="000761ED"/>
    <w:rsid w:val="0009321B"/>
    <w:rsid w:val="000A127D"/>
    <w:rsid w:val="000A2446"/>
    <w:rsid w:val="000A78AB"/>
    <w:rsid w:val="000B1700"/>
    <w:rsid w:val="000B6A24"/>
    <w:rsid w:val="000C00E2"/>
    <w:rsid w:val="000C37B6"/>
    <w:rsid w:val="000C799E"/>
    <w:rsid w:val="000C7F42"/>
    <w:rsid w:val="000E3CC0"/>
    <w:rsid w:val="000F3EF0"/>
    <w:rsid w:val="000F7BB5"/>
    <w:rsid w:val="00103B4A"/>
    <w:rsid w:val="00105402"/>
    <w:rsid w:val="00114BE0"/>
    <w:rsid w:val="00136ED6"/>
    <w:rsid w:val="00152B5A"/>
    <w:rsid w:val="001547EE"/>
    <w:rsid w:val="00154B1F"/>
    <w:rsid w:val="00156E79"/>
    <w:rsid w:val="00175E19"/>
    <w:rsid w:val="00197CFF"/>
    <w:rsid w:val="001A2F3F"/>
    <w:rsid w:val="001B0601"/>
    <w:rsid w:val="001C500A"/>
    <w:rsid w:val="001D1C6C"/>
    <w:rsid w:val="001D55E7"/>
    <w:rsid w:val="001E267A"/>
    <w:rsid w:val="001E5FBD"/>
    <w:rsid w:val="00202C1D"/>
    <w:rsid w:val="00207BBE"/>
    <w:rsid w:val="00210FDE"/>
    <w:rsid w:val="00220A84"/>
    <w:rsid w:val="00224822"/>
    <w:rsid w:val="0024030C"/>
    <w:rsid w:val="00250B8B"/>
    <w:rsid w:val="00257C29"/>
    <w:rsid w:val="0026451E"/>
    <w:rsid w:val="00274132"/>
    <w:rsid w:val="00290102"/>
    <w:rsid w:val="002B3EFD"/>
    <w:rsid w:val="002B4337"/>
    <w:rsid w:val="002C1CD7"/>
    <w:rsid w:val="002C78CC"/>
    <w:rsid w:val="002D3737"/>
    <w:rsid w:val="002D5EDC"/>
    <w:rsid w:val="002F0881"/>
    <w:rsid w:val="003043D2"/>
    <w:rsid w:val="00305FC4"/>
    <w:rsid w:val="0031224F"/>
    <w:rsid w:val="003208E6"/>
    <w:rsid w:val="00322399"/>
    <w:rsid w:val="00322677"/>
    <w:rsid w:val="00333E63"/>
    <w:rsid w:val="00341CAF"/>
    <w:rsid w:val="00343CE7"/>
    <w:rsid w:val="00344470"/>
    <w:rsid w:val="003516BC"/>
    <w:rsid w:val="00352B91"/>
    <w:rsid w:val="00366C58"/>
    <w:rsid w:val="00375249"/>
    <w:rsid w:val="00377563"/>
    <w:rsid w:val="00382109"/>
    <w:rsid w:val="00387032"/>
    <w:rsid w:val="003964C3"/>
    <w:rsid w:val="003B04D9"/>
    <w:rsid w:val="003D0F92"/>
    <w:rsid w:val="003D327F"/>
    <w:rsid w:val="003D35FE"/>
    <w:rsid w:val="003D6F14"/>
    <w:rsid w:val="003E1C79"/>
    <w:rsid w:val="003E7438"/>
    <w:rsid w:val="003E769F"/>
    <w:rsid w:val="003F7B08"/>
    <w:rsid w:val="004078F2"/>
    <w:rsid w:val="004168EF"/>
    <w:rsid w:val="004217B4"/>
    <w:rsid w:val="00427B36"/>
    <w:rsid w:val="00437334"/>
    <w:rsid w:val="00446F50"/>
    <w:rsid w:val="004501FB"/>
    <w:rsid w:val="00450423"/>
    <w:rsid w:val="0047629D"/>
    <w:rsid w:val="004932E1"/>
    <w:rsid w:val="00496287"/>
    <w:rsid w:val="004A23E6"/>
    <w:rsid w:val="004A55F0"/>
    <w:rsid w:val="004B5E83"/>
    <w:rsid w:val="004C0ADF"/>
    <w:rsid w:val="004C127A"/>
    <w:rsid w:val="004C3AE2"/>
    <w:rsid w:val="004D17F7"/>
    <w:rsid w:val="004E1BEC"/>
    <w:rsid w:val="004F38ED"/>
    <w:rsid w:val="00515548"/>
    <w:rsid w:val="005203BB"/>
    <w:rsid w:val="00525640"/>
    <w:rsid w:val="00525E3A"/>
    <w:rsid w:val="00531982"/>
    <w:rsid w:val="00533E5F"/>
    <w:rsid w:val="00543134"/>
    <w:rsid w:val="0055029A"/>
    <w:rsid w:val="005738CC"/>
    <w:rsid w:val="005748D4"/>
    <w:rsid w:val="00577FAE"/>
    <w:rsid w:val="00584BE7"/>
    <w:rsid w:val="005A1EC8"/>
    <w:rsid w:val="005A45BD"/>
    <w:rsid w:val="005B2C31"/>
    <w:rsid w:val="005C3552"/>
    <w:rsid w:val="005C7A7F"/>
    <w:rsid w:val="005E2C41"/>
    <w:rsid w:val="005E61B9"/>
    <w:rsid w:val="00600733"/>
    <w:rsid w:val="006014E1"/>
    <w:rsid w:val="006021E9"/>
    <w:rsid w:val="00616DC5"/>
    <w:rsid w:val="0064794E"/>
    <w:rsid w:val="00656A85"/>
    <w:rsid w:val="00665CA1"/>
    <w:rsid w:val="006706C6"/>
    <w:rsid w:val="00672293"/>
    <w:rsid w:val="00674934"/>
    <w:rsid w:val="00690C61"/>
    <w:rsid w:val="00695A00"/>
    <w:rsid w:val="006A00A9"/>
    <w:rsid w:val="006B0EF9"/>
    <w:rsid w:val="006D673F"/>
    <w:rsid w:val="006D738B"/>
    <w:rsid w:val="006E23B3"/>
    <w:rsid w:val="006E7B33"/>
    <w:rsid w:val="006F2A29"/>
    <w:rsid w:val="0070062D"/>
    <w:rsid w:val="00700B10"/>
    <w:rsid w:val="00756C0B"/>
    <w:rsid w:val="007608DF"/>
    <w:rsid w:val="00767306"/>
    <w:rsid w:val="007703DB"/>
    <w:rsid w:val="00773F9E"/>
    <w:rsid w:val="00781176"/>
    <w:rsid w:val="007A4154"/>
    <w:rsid w:val="007B0005"/>
    <w:rsid w:val="007B1636"/>
    <w:rsid w:val="007C13E6"/>
    <w:rsid w:val="007C27F5"/>
    <w:rsid w:val="007C5771"/>
    <w:rsid w:val="007D00D1"/>
    <w:rsid w:val="007D3EF3"/>
    <w:rsid w:val="007D523B"/>
    <w:rsid w:val="007F7E3F"/>
    <w:rsid w:val="00803E1F"/>
    <w:rsid w:val="00810EAA"/>
    <w:rsid w:val="00824667"/>
    <w:rsid w:val="00827B03"/>
    <w:rsid w:val="008619E7"/>
    <w:rsid w:val="00863A2E"/>
    <w:rsid w:val="00865910"/>
    <w:rsid w:val="0086632B"/>
    <w:rsid w:val="00877BBD"/>
    <w:rsid w:val="008804A2"/>
    <w:rsid w:val="008812FE"/>
    <w:rsid w:val="0088400F"/>
    <w:rsid w:val="008845B2"/>
    <w:rsid w:val="00885B26"/>
    <w:rsid w:val="008A2D7B"/>
    <w:rsid w:val="008B050E"/>
    <w:rsid w:val="008B3138"/>
    <w:rsid w:val="008C685C"/>
    <w:rsid w:val="008D21AA"/>
    <w:rsid w:val="008E0C97"/>
    <w:rsid w:val="008E19AD"/>
    <w:rsid w:val="008F1637"/>
    <w:rsid w:val="00904F38"/>
    <w:rsid w:val="009120D7"/>
    <w:rsid w:val="00926308"/>
    <w:rsid w:val="00935AC2"/>
    <w:rsid w:val="00947412"/>
    <w:rsid w:val="009709DD"/>
    <w:rsid w:val="00973F8E"/>
    <w:rsid w:val="0098112F"/>
    <w:rsid w:val="009C48FD"/>
    <w:rsid w:val="009C702B"/>
    <w:rsid w:val="009D097F"/>
    <w:rsid w:val="009E3F56"/>
    <w:rsid w:val="009F3A3B"/>
    <w:rsid w:val="009F4B57"/>
    <w:rsid w:val="009F7986"/>
    <w:rsid w:val="00A00DFD"/>
    <w:rsid w:val="00A03996"/>
    <w:rsid w:val="00A03DF3"/>
    <w:rsid w:val="00A5525A"/>
    <w:rsid w:val="00A6073E"/>
    <w:rsid w:val="00A626BF"/>
    <w:rsid w:val="00A72F17"/>
    <w:rsid w:val="00A748FB"/>
    <w:rsid w:val="00A75682"/>
    <w:rsid w:val="00A82FB0"/>
    <w:rsid w:val="00A8500A"/>
    <w:rsid w:val="00AC103B"/>
    <w:rsid w:val="00AE010B"/>
    <w:rsid w:val="00AF3D93"/>
    <w:rsid w:val="00B1180A"/>
    <w:rsid w:val="00B11E8F"/>
    <w:rsid w:val="00B11FB6"/>
    <w:rsid w:val="00B22405"/>
    <w:rsid w:val="00B34EE9"/>
    <w:rsid w:val="00B84F6B"/>
    <w:rsid w:val="00B949D4"/>
    <w:rsid w:val="00BB0D6D"/>
    <w:rsid w:val="00BB3251"/>
    <w:rsid w:val="00BB63E2"/>
    <w:rsid w:val="00BC2AF8"/>
    <w:rsid w:val="00BC6CA2"/>
    <w:rsid w:val="00BD0589"/>
    <w:rsid w:val="00BD23E6"/>
    <w:rsid w:val="00BD3ACE"/>
    <w:rsid w:val="00BE53C5"/>
    <w:rsid w:val="00C145D6"/>
    <w:rsid w:val="00C170E8"/>
    <w:rsid w:val="00C30164"/>
    <w:rsid w:val="00C34623"/>
    <w:rsid w:val="00C35E2E"/>
    <w:rsid w:val="00C475D3"/>
    <w:rsid w:val="00C53243"/>
    <w:rsid w:val="00C57D4F"/>
    <w:rsid w:val="00C71CD2"/>
    <w:rsid w:val="00C77D38"/>
    <w:rsid w:val="00C846EB"/>
    <w:rsid w:val="00C90D19"/>
    <w:rsid w:val="00CC1839"/>
    <w:rsid w:val="00CC192A"/>
    <w:rsid w:val="00CC25A7"/>
    <w:rsid w:val="00CC586D"/>
    <w:rsid w:val="00CD2184"/>
    <w:rsid w:val="00CD6524"/>
    <w:rsid w:val="00CD6D34"/>
    <w:rsid w:val="00CF0FF5"/>
    <w:rsid w:val="00CF3107"/>
    <w:rsid w:val="00CF3D12"/>
    <w:rsid w:val="00CF704B"/>
    <w:rsid w:val="00D01124"/>
    <w:rsid w:val="00D1146C"/>
    <w:rsid w:val="00D11AF1"/>
    <w:rsid w:val="00D201A9"/>
    <w:rsid w:val="00D20B34"/>
    <w:rsid w:val="00D22FCE"/>
    <w:rsid w:val="00D62606"/>
    <w:rsid w:val="00D66CFE"/>
    <w:rsid w:val="00D707DB"/>
    <w:rsid w:val="00D708C5"/>
    <w:rsid w:val="00D726CD"/>
    <w:rsid w:val="00D84E6C"/>
    <w:rsid w:val="00DA0F2F"/>
    <w:rsid w:val="00DA2C9A"/>
    <w:rsid w:val="00DA3107"/>
    <w:rsid w:val="00DB3395"/>
    <w:rsid w:val="00DB7AD8"/>
    <w:rsid w:val="00DC04BD"/>
    <w:rsid w:val="00DC4AB5"/>
    <w:rsid w:val="00DC57B0"/>
    <w:rsid w:val="00DD0498"/>
    <w:rsid w:val="00E02CE2"/>
    <w:rsid w:val="00E06AA8"/>
    <w:rsid w:val="00E15F4B"/>
    <w:rsid w:val="00E257F8"/>
    <w:rsid w:val="00E27630"/>
    <w:rsid w:val="00E32BF7"/>
    <w:rsid w:val="00E3469F"/>
    <w:rsid w:val="00E4246D"/>
    <w:rsid w:val="00E42931"/>
    <w:rsid w:val="00E46973"/>
    <w:rsid w:val="00E51E58"/>
    <w:rsid w:val="00E52427"/>
    <w:rsid w:val="00E5666C"/>
    <w:rsid w:val="00E63DD3"/>
    <w:rsid w:val="00E64A98"/>
    <w:rsid w:val="00E64ACE"/>
    <w:rsid w:val="00E70DD1"/>
    <w:rsid w:val="00E77F90"/>
    <w:rsid w:val="00E8286B"/>
    <w:rsid w:val="00EA17A5"/>
    <w:rsid w:val="00EB2A8D"/>
    <w:rsid w:val="00EC7282"/>
    <w:rsid w:val="00ED092E"/>
    <w:rsid w:val="00ED1B09"/>
    <w:rsid w:val="00EF01D7"/>
    <w:rsid w:val="00EF6A86"/>
    <w:rsid w:val="00EF7E7D"/>
    <w:rsid w:val="00F050C7"/>
    <w:rsid w:val="00F20299"/>
    <w:rsid w:val="00F250F9"/>
    <w:rsid w:val="00F268BE"/>
    <w:rsid w:val="00F30096"/>
    <w:rsid w:val="00F361B0"/>
    <w:rsid w:val="00F4354F"/>
    <w:rsid w:val="00F43DCF"/>
    <w:rsid w:val="00F446B2"/>
    <w:rsid w:val="00F45084"/>
    <w:rsid w:val="00F4517C"/>
    <w:rsid w:val="00F45338"/>
    <w:rsid w:val="00F60E1A"/>
    <w:rsid w:val="00F8040D"/>
    <w:rsid w:val="00F96FD1"/>
    <w:rsid w:val="00FA0867"/>
    <w:rsid w:val="00FA2174"/>
    <w:rsid w:val="00FA2BFD"/>
    <w:rsid w:val="00FA6D4B"/>
    <w:rsid w:val="00FB66D4"/>
    <w:rsid w:val="00FC103E"/>
    <w:rsid w:val="00FE2908"/>
    <w:rsid w:val="00FF158E"/>
    <w:rsid w:val="00FF2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158AE"/>
  <w15:docId w15:val="{D99B29BF-6389-4E7B-BCAD-E15EBA5E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A24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62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0B6A24"/>
    <w:pPr>
      <w:keepNext/>
      <w:keepLines/>
      <w:spacing w:before="200" w:after="240"/>
      <w:outlineLvl w:val="1"/>
    </w:pPr>
    <w:rPr>
      <w:rFonts w:eastAsiaTheme="majorEastAsia" w:cstheme="minorHAnsi"/>
      <w:b/>
      <w:bCs/>
      <w:color w:val="4F81BD" w:themeColor="accent1"/>
      <w:sz w:val="26"/>
      <w:szCs w:val="26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1"/>
    <w:rsid w:val="000B6A24"/>
    <w:rPr>
      <w:rFonts w:eastAsiaTheme="majorEastAsia" w:cstheme="minorHAnsi"/>
      <w:b/>
      <w:bCs/>
      <w:color w:val="4F81BD" w:themeColor="accent1"/>
      <w:sz w:val="26"/>
      <w:szCs w:val="26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A24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99"/>
    <w:rsid w:val="000B6A2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Ttulo2"/>
    <w:uiPriority w:val="1"/>
    <w:qFormat/>
    <w:rsid w:val="000B6A24"/>
    <w:rPr>
      <w:color w:val="365F91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0B6A24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4962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35E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5E2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5E2E"/>
    <w:rPr>
      <w:rFonts w:ascii="Times New Roman" w:eastAsiaTheme="minorEastAsia" w:hAnsi="Times New Roman" w:cs="Times New Roman"/>
      <w:sz w:val="20"/>
      <w:szCs w:val="20"/>
      <w:lang w:val="es-ES_tradnl" w:eastAsia="es-ES_tradnl"/>
    </w:rPr>
  </w:style>
  <w:style w:type="table" w:customStyle="1" w:styleId="Tablaconcuadrcula3">
    <w:name w:val="Tabla con cuadrícula3"/>
    <w:basedOn w:val="Tablanormal"/>
    <w:next w:val="Tablaconcuadrcula"/>
    <w:uiPriority w:val="59"/>
    <w:rsid w:val="005B2C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B2A8D"/>
    <w:pPr>
      <w:ind w:left="720"/>
      <w:contextualSpacing/>
    </w:pPr>
    <w:rPr>
      <w:lang w:val="ca-ES"/>
    </w:rPr>
  </w:style>
  <w:style w:type="table" w:styleId="Cuadrculamedia1-nfasis1">
    <w:name w:val="Medium Grid 1 Accent 1"/>
    <w:basedOn w:val="Tablanormal"/>
    <w:uiPriority w:val="67"/>
    <w:rsid w:val="00EB2A8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15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5548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515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548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2931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2931"/>
    <w:rPr>
      <w:rFonts w:ascii="Times New Roman" w:eastAsiaTheme="minorEastAsia" w:hAnsi="Times New Roman" w:cs="Times New Roman"/>
      <w:b/>
      <w:bCs/>
      <w:sz w:val="20"/>
      <w:szCs w:val="20"/>
      <w:lang w:val="en-US" w:eastAsia="es-ES_tradnl"/>
    </w:rPr>
  </w:style>
  <w:style w:type="character" w:customStyle="1" w:styleId="hgkelc">
    <w:name w:val="hgkelc"/>
    <w:basedOn w:val="Fuentedeprrafopredeter"/>
    <w:rsid w:val="003964C3"/>
  </w:style>
  <w:style w:type="paragraph" w:styleId="NormalWeb">
    <w:name w:val="Normal (Web)"/>
    <w:basedOn w:val="Normal"/>
    <w:uiPriority w:val="99"/>
    <w:semiHidden/>
    <w:unhideWhenUsed/>
    <w:rsid w:val="0077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dentifier">
    <w:name w:val="identifier"/>
    <w:basedOn w:val="Fuentedeprrafopredeter"/>
    <w:rsid w:val="00377563"/>
  </w:style>
  <w:style w:type="character" w:customStyle="1" w:styleId="id-label">
    <w:name w:val="id-label"/>
    <w:basedOn w:val="Fuentedeprrafopredeter"/>
    <w:rsid w:val="00377563"/>
  </w:style>
  <w:style w:type="character" w:styleId="Textoennegrita">
    <w:name w:val="Strong"/>
    <w:basedOn w:val="Fuentedeprrafopredeter"/>
    <w:uiPriority w:val="22"/>
    <w:qFormat/>
    <w:rsid w:val="00377563"/>
    <w:rPr>
      <w:b/>
      <w:bCs/>
    </w:rPr>
  </w:style>
  <w:style w:type="paragraph" w:styleId="Sinespaciado">
    <w:name w:val="No Spacing"/>
    <w:uiPriority w:val="1"/>
    <w:qFormat/>
    <w:rsid w:val="00BD3AC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6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5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6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0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5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1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2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5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D2787-2180-4324-A1DD-303A4BC5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4686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Clinic de Barcelona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ROCA, JOSEP (ICR)</dc:creator>
  <cp:lastModifiedBy>HERRANZ, CARMEN (CAPSBE)</cp:lastModifiedBy>
  <cp:revision>2</cp:revision>
  <cp:lastPrinted>2020-10-13T10:26:00Z</cp:lastPrinted>
  <dcterms:created xsi:type="dcterms:W3CDTF">2022-04-24T09:51:00Z</dcterms:created>
  <dcterms:modified xsi:type="dcterms:W3CDTF">2022-04-24T09:51:00Z</dcterms:modified>
</cp:coreProperties>
</file>