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290" w:rsidRPr="00616385" w:rsidRDefault="00EE7290" w:rsidP="00EE7290">
      <w:pPr>
        <w:spacing w:line="480" w:lineRule="auto"/>
        <w:rPr>
          <w:b/>
        </w:rPr>
      </w:pPr>
      <w:r w:rsidRPr="008309BD">
        <w:rPr>
          <w:b/>
        </w:rPr>
        <w:t>Supplementary Table 1: Key constructs of Normalisation Process Theory</w:t>
      </w:r>
      <w:r>
        <w:rPr>
          <w:b/>
        </w:rPr>
        <w:t xml:space="preserve"> (21</w:t>
      </w:r>
      <w:proofErr w:type="gramStart"/>
      <w:r>
        <w:rPr>
          <w:b/>
        </w:rPr>
        <w:t>,24</w:t>
      </w:r>
      <w:proofErr w:type="gramEnd"/>
      <w:r>
        <w:rPr>
          <w:b/>
        </w:rPr>
        <w:t>)</w:t>
      </w:r>
    </w:p>
    <w:tbl>
      <w:tblPr>
        <w:tblStyle w:val="TableGrid"/>
        <w:tblW w:w="9009" w:type="dxa"/>
        <w:tblLook w:val="04A0" w:firstRow="1" w:lastRow="0" w:firstColumn="1" w:lastColumn="0" w:noHBand="0" w:noVBand="1"/>
      </w:tblPr>
      <w:tblGrid>
        <w:gridCol w:w="1359"/>
        <w:gridCol w:w="7650"/>
      </w:tblGrid>
      <w:tr w:rsidR="00EE7290" w:rsidTr="006A4502">
        <w:trPr>
          <w:trHeight w:val="269"/>
        </w:trPr>
        <w:tc>
          <w:tcPr>
            <w:tcW w:w="1321" w:type="dxa"/>
            <w:vMerge w:val="restart"/>
          </w:tcPr>
          <w:p w:rsidR="00EE7290" w:rsidRDefault="00EE7290" w:rsidP="006A4502">
            <w:r>
              <w:t>Coherence</w:t>
            </w:r>
          </w:p>
        </w:tc>
        <w:tc>
          <w:tcPr>
            <w:tcW w:w="7688" w:type="dxa"/>
          </w:tcPr>
          <w:p w:rsidR="00EE7290" w:rsidRDefault="00EE7290" w:rsidP="006A4502">
            <w:r>
              <w:t>Participants distinguish the intervention from current ways of working</w:t>
            </w:r>
          </w:p>
        </w:tc>
      </w:tr>
      <w:tr w:rsidR="00EE7290" w:rsidTr="006A4502">
        <w:trPr>
          <w:trHeight w:val="269"/>
        </w:trPr>
        <w:tc>
          <w:tcPr>
            <w:tcW w:w="1321" w:type="dxa"/>
            <w:vMerge/>
          </w:tcPr>
          <w:p w:rsidR="00EE7290" w:rsidRDefault="00EE7290" w:rsidP="006A4502"/>
        </w:tc>
        <w:tc>
          <w:tcPr>
            <w:tcW w:w="7688" w:type="dxa"/>
          </w:tcPr>
          <w:p w:rsidR="00EE7290" w:rsidRDefault="00EE7290" w:rsidP="006A4502">
            <w:r>
              <w:t>Participants collectively agree about the purpose of the intervention</w:t>
            </w:r>
          </w:p>
        </w:tc>
      </w:tr>
      <w:tr w:rsidR="00EE7290" w:rsidTr="006A4502">
        <w:trPr>
          <w:trHeight w:val="282"/>
        </w:trPr>
        <w:tc>
          <w:tcPr>
            <w:tcW w:w="1321" w:type="dxa"/>
            <w:vMerge/>
          </w:tcPr>
          <w:p w:rsidR="00EE7290" w:rsidRDefault="00EE7290" w:rsidP="006A4502"/>
        </w:tc>
        <w:tc>
          <w:tcPr>
            <w:tcW w:w="7688" w:type="dxa"/>
          </w:tcPr>
          <w:p w:rsidR="00EE7290" w:rsidRDefault="00EE7290" w:rsidP="006A4502">
            <w:r>
              <w:t>Participants individually understand what the intervention requires of them</w:t>
            </w:r>
          </w:p>
        </w:tc>
      </w:tr>
      <w:tr w:rsidR="00EE7290" w:rsidTr="006A4502">
        <w:trPr>
          <w:trHeight w:val="269"/>
        </w:trPr>
        <w:tc>
          <w:tcPr>
            <w:tcW w:w="1321" w:type="dxa"/>
            <w:vMerge/>
          </w:tcPr>
          <w:p w:rsidR="00EE7290" w:rsidRDefault="00EE7290" w:rsidP="006A4502"/>
        </w:tc>
        <w:tc>
          <w:tcPr>
            <w:tcW w:w="7688" w:type="dxa"/>
          </w:tcPr>
          <w:p w:rsidR="00EE7290" w:rsidRDefault="00EE7290" w:rsidP="006A4502">
            <w:r>
              <w:t>Participants construct the potential value of the intervention for their work</w:t>
            </w:r>
          </w:p>
        </w:tc>
      </w:tr>
      <w:tr w:rsidR="00EE7290" w:rsidTr="006A4502">
        <w:trPr>
          <w:trHeight w:val="269"/>
        </w:trPr>
        <w:tc>
          <w:tcPr>
            <w:tcW w:w="1321" w:type="dxa"/>
            <w:vMerge w:val="restart"/>
          </w:tcPr>
          <w:p w:rsidR="00EE7290" w:rsidRDefault="00EE7290" w:rsidP="006A4502">
            <w:r>
              <w:t>Cognitive participation</w:t>
            </w:r>
          </w:p>
        </w:tc>
        <w:tc>
          <w:tcPr>
            <w:tcW w:w="7688" w:type="dxa"/>
          </w:tcPr>
          <w:p w:rsidR="00EE7290" w:rsidRDefault="00EE7290" w:rsidP="006A4502">
            <w:r>
              <w:t>Key individuals drive the intervention forward</w:t>
            </w:r>
          </w:p>
        </w:tc>
      </w:tr>
      <w:tr w:rsidR="00EE7290" w:rsidTr="006A4502">
        <w:trPr>
          <w:trHeight w:val="269"/>
        </w:trPr>
        <w:tc>
          <w:tcPr>
            <w:tcW w:w="1321" w:type="dxa"/>
            <w:vMerge/>
          </w:tcPr>
          <w:p w:rsidR="00EE7290" w:rsidRDefault="00EE7290" w:rsidP="006A4502"/>
        </w:tc>
        <w:tc>
          <w:tcPr>
            <w:tcW w:w="7688" w:type="dxa"/>
          </w:tcPr>
          <w:p w:rsidR="00EE7290" w:rsidRDefault="00EE7290" w:rsidP="006A4502">
            <w:r>
              <w:t>Participants agree that the intervention should be part of their work</w:t>
            </w:r>
          </w:p>
        </w:tc>
      </w:tr>
      <w:tr w:rsidR="00EE7290" w:rsidTr="006A4502">
        <w:trPr>
          <w:trHeight w:val="282"/>
        </w:trPr>
        <w:tc>
          <w:tcPr>
            <w:tcW w:w="1321" w:type="dxa"/>
            <w:vMerge/>
          </w:tcPr>
          <w:p w:rsidR="00EE7290" w:rsidRDefault="00EE7290" w:rsidP="006A4502"/>
        </w:tc>
        <w:tc>
          <w:tcPr>
            <w:tcW w:w="7688" w:type="dxa"/>
          </w:tcPr>
          <w:p w:rsidR="00EE7290" w:rsidRDefault="00EE7290" w:rsidP="006A4502">
            <w:r>
              <w:t>Participants buy into the intervention</w:t>
            </w:r>
          </w:p>
        </w:tc>
      </w:tr>
      <w:tr w:rsidR="00EE7290" w:rsidTr="006A4502">
        <w:trPr>
          <w:trHeight w:val="269"/>
        </w:trPr>
        <w:tc>
          <w:tcPr>
            <w:tcW w:w="1321" w:type="dxa"/>
            <w:vMerge/>
          </w:tcPr>
          <w:p w:rsidR="00EE7290" w:rsidRDefault="00EE7290" w:rsidP="006A4502"/>
        </w:tc>
        <w:tc>
          <w:tcPr>
            <w:tcW w:w="7688" w:type="dxa"/>
          </w:tcPr>
          <w:p w:rsidR="00EE7290" w:rsidRDefault="00EE7290" w:rsidP="006A4502">
            <w:r>
              <w:t>Participants continue to support the intervention</w:t>
            </w:r>
          </w:p>
        </w:tc>
      </w:tr>
      <w:tr w:rsidR="00EE7290" w:rsidTr="006A4502">
        <w:trPr>
          <w:trHeight w:val="269"/>
        </w:trPr>
        <w:tc>
          <w:tcPr>
            <w:tcW w:w="1321" w:type="dxa"/>
            <w:vMerge w:val="restart"/>
          </w:tcPr>
          <w:p w:rsidR="00EE7290" w:rsidRDefault="00EE7290" w:rsidP="006A4502">
            <w:r>
              <w:t>Collective action</w:t>
            </w:r>
          </w:p>
        </w:tc>
        <w:tc>
          <w:tcPr>
            <w:tcW w:w="7688" w:type="dxa"/>
          </w:tcPr>
          <w:p w:rsidR="00EE7290" w:rsidRDefault="00EE7290" w:rsidP="006A4502">
            <w:r>
              <w:t>Participants perform the tasks required by the intervention</w:t>
            </w:r>
          </w:p>
        </w:tc>
      </w:tr>
      <w:tr w:rsidR="00EE7290" w:rsidTr="006A4502">
        <w:trPr>
          <w:trHeight w:val="538"/>
        </w:trPr>
        <w:tc>
          <w:tcPr>
            <w:tcW w:w="1321" w:type="dxa"/>
            <w:vMerge/>
          </w:tcPr>
          <w:p w:rsidR="00EE7290" w:rsidRDefault="00EE7290" w:rsidP="006A4502"/>
        </w:tc>
        <w:tc>
          <w:tcPr>
            <w:tcW w:w="7688" w:type="dxa"/>
          </w:tcPr>
          <w:p w:rsidR="00EE7290" w:rsidRDefault="00EE7290" w:rsidP="006A4502">
            <w:r>
              <w:t>Participants maintain their trust in each other’s work and expertise through the intervention</w:t>
            </w:r>
          </w:p>
        </w:tc>
      </w:tr>
      <w:tr w:rsidR="00EE7290" w:rsidTr="006A4502">
        <w:trPr>
          <w:trHeight w:val="269"/>
        </w:trPr>
        <w:tc>
          <w:tcPr>
            <w:tcW w:w="1321" w:type="dxa"/>
            <w:vMerge/>
          </w:tcPr>
          <w:p w:rsidR="00EE7290" w:rsidRDefault="00EE7290" w:rsidP="006A4502"/>
        </w:tc>
        <w:tc>
          <w:tcPr>
            <w:tcW w:w="7688" w:type="dxa"/>
          </w:tcPr>
          <w:p w:rsidR="00EE7290" w:rsidRDefault="00EE7290" w:rsidP="006A4502">
            <w:r>
              <w:t>The work of the intervention is appropriately allocated to participants</w:t>
            </w:r>
          </w:p>
        </w:tc>
      </w:tr>
      <w:tr w:rsidR="00EE7290" w:rsidTr="006A4502">
        <w:trPr>
          <w:trHeight w:val="282"/>
        </w:trPr>
        <w:tc>
          <w:tcPr>
            <w:tcW w:w="1321" w:type="dxa"/>
            <w:vMerge/>
          </w:tcPr>
          <w:p w:rsidR="00EE7290" w:rsidRDefault="00EE7290" w:rsidP="006A4502"/>
        </w:tc>
        <w:tc>
          <w:tcPr>
            <w:tcW w:w="7688" w:type="dxa"/>
          </w:tcPr>
          <w:p w:rsidR="00EE7290" w:rsidRDefault="00EE7290" w:rsidP="006A4502">
            <w:r>
              <w:t>The intervention is adequately supported by its host organisation</w:t>
            </w:r>
          </w:p>
        </w:tc>
      </w:tr>
      <w:tr w:rsidR="00EE7290" w:rsidTr="006A4502">
        <w:trPr>
          <w:trHeight w:val="255"/>
        </w:trPr>
        <w:tc>
          <w:tcPr>
            <w:tcW w:w="1321" w:type="dxa"/>
            <w:vMerge w:val="restart"/>
          </w:tcPr>
          <w:p w:rsidR="00EE7290" w:rsidRDefault="00EE7290" w:rsidP="006A4502">
            <w:r>
              <w:t>Reflexive monitoring</w:t>
            </w:r>
          </w:p>
        </w:tc>
        <w:tc>
          <w:tcPr>
            <w:tcW w:w="7688" w:type="dxa"/>
          </w:tcPr>
          <w:p w:rsidR="00EE7290" w:rsidRDefault="00EE7290" w:rsidP="006A4502">
            <w:r>
              <w:t>Participants access information about the effects of the intervention</w:t>
            </w:r>
          </w:p>
        </w:tc>
      </w:tr>
      <w:tr w:rsidR="00EE7290" w:rsidTr="006A4502">
        <w:trPr>
          <w:trHeight w:val="282"/>
        </w:trPr>
        <w:tc>
          <w:tcPr>
            <w:tcW w:w="1321" w:type="dxa"/>
            <w:vMerge/>
          </w:tcPr>
          <w:p w:rsidR="00EE7290" w:rsidRDefault="00EE7290" w:rsidP="006A4502"/>
        </w:tc>
        <w:tc>
          <w:tcPr>
            <w:tcW w:w="7688" w:type="dxa"/>
          </w:tcPr>
          <w:p w:rsidR="00EE7290" w:rsidRDefault="00EE7290" w:rsidP="006A4502">
            <w:r>
              <w:t>Participants collectively assess the intervention as worthwhile</w:t>
            </w:r>
          </w:p>
        </w:tc>
      </w:tr>
      <w:tr w:rsidR="00EE7290" w:rsidTr="006A4502">
        <w:trPr>
          <w:trHeight w:val="269"/>
        </w:trPr>
        <w:tc>
          <w:tcPr>
            <w:tcW w:w="1321" w:type="dxa"/>
            <w:vMerge/>
          </w:tcPr>
          <w:p w:rsidR="00EE7290" w:rsidRDefault="00EE7290" w:rsidP="006A4502"/>
        </w:tc>
        <w:tc>
          <w:tcPr>
            <w:tcW w:w="7688" w:type="dxa"/>
          </w:tcPr>
          <w:p w:rsidR="00EE7290" w:rsidRDefault="00EE7290" w:rsidP="006A4502">
            <w:r>
              <w:t>Participants individually assess the intervention as worthwhile</w:t>
            </w:r>
          </w:p>
        </w:tc>
      </w:tr>
      <w:tr w:rsidR="00EE7290" w:rsidTr="006A4502">
        <w:trPr>
          <w:trHeight w:val="282"/>
        </w:trPr>
        <w:tc>
          <w:tcPr>
            <w:tcW w:w="1321" w:type="dxa"/>
            <w:vMerge/>
          </w:tcPr>
          <w:p w:rsidR="00EE7290" w:rsidRDefault="00EE7290" w:rsidP="006A4502"/>
        </w:tc>
        <w:tc>
          <w:tcPr>
            <w:tcW w:w="7688" w:type="dxa"/>
          </w:tcPr>
          <w:p w:rsidR="00EE7290" w:rsidRDefault="00EE7290" w:rsidP="006A4502">
            <w:r>
              <w:t>Participants modify their work in response to their appraisal of the intervention</w:t>
            </w:r>
          </w:p>
        </w:tc>
      </w:tr>
    </w:tbl>
    <w:p w:rsidR="00EE7290" w:rsidRDefault="00EE7290" w:rsidP="00EE7290"/>
    <w:p w:rsidR="004B72EE" w:rsidRPr="003D0BB3" w:rsidRDefault="004B72EE" w:rsidP="004B72EE">
      <w:pPr>
        <w:spacing w:after="0" w:line="480" w:lineRule="auto"/>
        <w:rPr>
          <w:rFonts w:ascii="Calibri" w:eastAsia="Times New Roman" w:hAnsi="Calibri" w:cs="Times New Roman"/>
          <w:b/>
          <w:lang w:eastAsia="en-GB"/>
        </w:rPr>
      </w:pPr>
      <w:r>
        <w:rPr>
          <w:rFonts w:ascii="Calibri" w:eastAsia="Times New Roman" w:hAnsi="Calibri" w:cs="Times New Roman"/>
          <w:b/>
          <w:lang w:eastAsia="en-GB"/>
        </w:rPr>
        <w:t>Supplementary Table 2</w:t>
      </w:r>
      <w:r w:rsidRPr="003D0BB3">
        <w:rPr>
          <w:rFonts w:ascii="Calibri" w:eastAsia="Times New Roman" w:hAnsi="Calibri" w:cs="Times New Roman"/>
          <w:b/>
          <w:lang w:eastAsia="en-GB"/>
        </w:rPr>
        <w:t>: Example extracts from literature coded to NPT framework</w:t>
      </w:r>
    </w:p>
    <w:tbl>
      <w:tblPr>
        <w:tblStyle w:val="TableGrid"/>
        <w:tblW w:w="5133" w:type="pct"/>
        <w:tblInd w:w="-147" w:type="dxa"/>
        <w:tblLook w:val="04A0" w:firstRow="1" w:lastRow="0" w:firstColumn="1" w:lastColumn="0" w:noHBand="0" w:noVBand="1"/>
      </w:tblPr>
      <w:tblGrid>
        <w:gridCol w:w="1284"/>
        <w:gridCol w:w="8547"/>
      </w:tblGrid>
      <w:tr w:rsidR="004B72EE" w:rsidRPr="003D0BB3" w:rsidTr="006A4502">
        <w:tc>
          <w:tcPr>
            <w:tcW w:w="594" w:type="pct"/>
          </w:tcPr>
          <w:p w:rsidR="004B72EE" w:rsidRPr="003D0BB3" w:rsidRDefault="004B72EE" w:rsidP="006A4502">
            <w:pPr>
              <w:rPr>
                <w:rFonts w:ascii="Calibri" w:eastAsia="Calibri" w:hAnsi="Calibri" w:cs="Calibri"/>
                <w:sz w:val="20"/>
                <w:szCs w:val="20"/>
              </w:rPr>
            </w:pPr>
            <w:r w:rsidRPr="003D0BB3">
              <w:rPr>
                <w:rFonts w:ascii="Calibri" w:eastAsia="Calibri" w:hAnsi="Calibri" w:cs="Calibri"/>
                <w:sz w:val="20"/>
                <w:szCs w:val="20"/>
              </w:rPr>
              <w:t>NPT constructs</w:t>
            </w:r>
          </w:p>
        </w:tc>
        <w:tc>
          <w:tcPr>
            <w:tcW w:w="4406" w:type="pct"/>
          </w:tcPr>
          <w:p w:rsidR="004B72EE" w:rsidRPr="003D0BB3" w:rsidRDefault="004B72EE" w:rsidP="006A4502">
            <w:pPr>
              <w:rPr>
                <w:rFonts w:ascii="Calibri" w:eastAsia="Calibri" w:hAnsi="Calibri" w:cs="Calibri"/>
                <w:sz w:val="20"/>
                <w:szCs w:val="20"/>
              </w:rPr>
            </w:pPr>
            <w:r w:rsidRPr="003D0BB3">
              <w:rPr>
                <w:rFonts w:ascii="Calibri" w:eastAsia="Calibri" w:hAnsi="Calibri" w:cs="Calibri"/>
                <w:sz w:val="20"/>
                <w:szCs w:val="20"/>
              </w:rPr>
              <w:t xml:space="preserve">Selected example data </w:t>
            </w:r>
          </w:p>
        </w:tc>
      </w:tr>
      <w:tr w:rsidR="004B72EE" w:rsidRPr="003D0BB3" w:rsidTr="006A4502">
        <w:tc>
          <w:tcPr>
            <w:tcW w:w="594" w:type="pct"/>
          </w:tcPr>
          <w:p w:rsidR="004B72EE" w:rsidRPr="003D0BB3" w:rsidRDefault="004B72EE" w:rsidP="006A4502">
            <w:pPr>
              <w:rPr>
                <w:rFonts w:ascii="Calibri" w:eastAsia="Calibri" w:hAnsi="Calibri" w:cs="Calibri"/>
                <w:b/>
                <w:sz w:val="20"/>
                <w:szCs w:val="20"/>
              </w:rPr>
            </w:pPr>
            <w:r w:rsidRPr="003D0BB3">
              <w:rPr>
                <w:rFonts w:ascii="Calibri" w:eastAsia="Calibri" w:hAnsi="Calibri" w:cs="Calibri"/>
                <w:b/>
                <w:sz w:val="20"/>
                <w:szCs w:val="20"/>
              </w:rPr>
              <w:t xml:space="preserve">Coherence </w:t>
            </w:r>
          </w:p>
          <w:p w:rsidR="004B72EE" w:rsidRPr="003D0BB3" w:rsidRDefault="004B72EE" w:rsidP="006A4502">
            <w:pPr>
              <w:rPr>
                <w:rFonts w:ascii="Calibri" w:eastAsia="Calibri" w:hAnsi="Calibri" w:cs="Calibri"/>
                <w:sz w:val="20"/>
                <w:szCs w:val="20"/>
              </w:rPr>
            </w:pPr>
          </w:p>
        </w:tc>
        <w:tc>
          <w:tcPr>
            <w:tcW w:w="4406" w:type="pct"/>
          </w:tcPr>
          <w:p w:rsidR="004B72EE" w:rsidRPr="003D0BB3" w:rsidRDefault="004B72EE" w:rsidP="006A4502">
            <w:pPr>
              <w:widowControl w:val="0"/>
              <w:autoSpaceDE w:val="0"/>
              <w:autoSpaceDN w:val="0"/>
              <w:adjustRightInd w:val="0"/>
              <w:rPr>
                <w:rFonts w:ascii="Calibri" w:eastAsia="Calibri" w:hAnsi="Calibri" w:cs="Calibri"/>
                <w:i/>
                <w:sz w:val="20"/>
                <w:szCs w:val="20"/>
              </w:rPr>
            </w:pPr>
            <w:r w:rsidRPr="003D0BB3">
              <w:rPr>
                <w:rFonts w:ascii="Calibri" w:eastAsia="Calibri" w:hAnsi="Calibri" w:cs="Calibri"/>
                <w:i/>
                <w:sz w:val="20"/>
                <w:szCs w:val="20"/>
              </w:rPr>
              <w:t>Understanding and differentiation of the intervention from routine care</w:t>
            </w:r>
          </w:p>
          <w:p w:rsidR="004B72EE" w:rsidRPr="003D0BB3" w:rsidRDefault="004B72EE" w:rsidP="004B72EE">
            <w:pPr>
              <w:widowControl w:val="0"/>
              <w:numPr>
                <w:ilvl w:val="0"/>
                <w:numId w:val="1"/>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sz w:val="20"/>
                <w:szCs w:val="20"/>
              </w:rPr>
              <w:t>[The intervention] was perceived as potentially providing something distinct to current services, and delivery ‘closer to home’ was considered to be ‘much less daunting’. (3</w:t>
            </w:r>
            <w:r>
              <w:rPr>
                <w:rFonts w:ascii="Calibri" w:eastAsia="Calibri" w:hAnsi="Calibri" w:cs="Calibri"/>
                <w:sz w:val="20"/>
                <w:szCs w:val="20"/>
              </w:rPr>
              <w:t>9</w:t>
            </w:r>
            <w:r w:rsidRPr="003D0BB3">
              <w:rPr>
                <w:rFonts w:ascii="Calibri" w:eastAsia="Calibri" w:hAnsi="Calibri" w:cs="Calibri"/>
                <w:sz w:val="20"/>
                <w:szCs w:val="20"/>
              </w:rPr>
              <w:t xml:space="preserve">) </w:t>
            </w:r>
          </w:p>
          <w:p w:rsidR="004B72EE" w:rsidRPr="0007600F" w:rsidRDefault="004B72EE" w:rsidP="004B72EE">
            <w:pPr>
              <w:widowControl w:val="0"/>
              <w:numPr>
                <w:ilvl w:val="0"/>
                <w:numId w:val="1"/>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sz w:val="20"/>
                <w:szCs w:val="20"/>
              </w:rPr>
              <w:t>The CMs did find that the BA intervention encouraged them to develop joint plans with patients to a greater extent than in their usual practice. (</w:t>
            </w:r>
            <w:r>
              <w:rPr>
                <w:rFonts w:ascii="Calibri" w:eastAsia="Calibri" w:hAnsi="Calibri" w:cs="Calibri"/>
                <w:sz w:val="20"/>
                <w:szCs w:val="20"/>
              </w:rPr>
              <w:t>40</w:t>
            </w:r>
            <w:r w:rsidRPr="003D0BB3">
              <w:rPr>
                <w:rFonts w:ascii="Calibri" w:eastAsia="Calibri" w:hAnsi="Calibri" w:cs="Calibri"/>
                <w:sz w:val="20"/>
                <w:szCs w:val="20"/>
              </w:rPr>
              <w:t>)</w:t>
            </w:r>
          </w:p>
          <w:p w:rsidR="004B72EE" w:rsidRPr="003D0BB3" w:rsidRDefault="004B72EE" w:rsidP="004B72EE">
            <w:pPr>
              <w:widowControl w:val="0"/>
              <w:numPr>
                <w:ilvl w:val="0"/>
                <w:numId w:val="1"/>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sz w:val="20"/>
                <w:szCs w:val="20"/>
              </w:rPr>
              <w:t>In terms of making sense of the new innovation there appeared to be little differentiation made between self-management support and the [‘the intervention’] approach from normal practice. (</w:t>
            </w:r>
            <w:r>
              <w:rPr>
                <w:rFonts w:ascii="Calibri" w:eastAsia="Calibri" w:hAnsi="Calibri" w:cs="Calibri"/>
                <w:sz w:val="20"/>
                <w:szCs w:val="20"/>
              </w:rPr>
              <w:t>41</w:t>
            </w:r>
            <w:r w:rsidRPr="003D0BB3">
              <w:rPr>
                <w:rFonts w:ascii="Calibri" w:eastAsia="Calibri" w:hAnsi="Calibri" w:cs="Calibri"/>
                <w:sz w:val="20"/>
                <w:szCs w:val="20"/>
              </w:rPr>
              <w:t>)</w:t>
            </w:r>
          </w:p>
        </w:tc>
      </w:tr>
      <w:tr w:rsidR="004B72EE" w:rsidRPr="003D0BB3" w:rsidTr="006A4502">
        <w:tc>
          <w:tcPr>
            <w:tcW w:w="594" w:type="pct"/>
          </w:tcPr>
          <w:p w:rsidR="004B72EE" w:rsidRPr="003D0BB3" w:rsidRDefault="004B72EE" w:rsidP="006A4502">
            <w:pPr>
              <w:rPr>
                <w:rFonts w:ascii="Calibri" w:eastAsia="Calibri" w:hAnsi="Calibri" w:cs="Calibri"/>
                <w:b/>
                <w:sz w:val="20"/>
                <w:szCs w:val="20"/>
              </w:rPr>
            </w:pPr>
            <w:r w:rsidRPr="003D0BB3">
              <w:rPr>
                <w:rFonts w:ascii="Calibri" w:eastAsia="Calibri" w:hAnsi="Calibri" w:cs="Calibri"/>
                <w:b/>
                <w:sz w:val="20"/>
                <w:szCs w:val="20"/>
              </w:rPr>
              <w:t>Cognitive participation</w:t>
            </w:r>
          </w:p>
          <w:p w:rsidR="004B72EE" w:rsidRPr="003D0BB3" w:rsidRDefault="004B72EE" w:rsidP="006A4502">
            <w:pPr>
              <w:rPr>
                <w:rFonts w:ascii="Calibri" w:eastAsia="Calibri" w:hAnsi="Calibri" w:cs="Calibri"/>
                <w:sz w:val="20"/>
                <w:szCs w:val="20"/>
              </w:rPr>
            </w:pPr>
          </w:p>
        </w:tc>
        <w:tc>
          <w:tcPr>
            <w:tcW w:w="4406" w:type="pct"/>
          </w:tcPr>
          <w:p w:rsidR="004B72EE" w:rsidRPr="003D0BB3" w:rsidRDefault="004B72EE" w:rsidP="006A4502">
            <w:pPr>
              <w:rPr>
                <w:rFonts w:ascii="Calibri" w:eastAsia="Calibri" w:hAnsi="Calibri" w:cs="Calibri"/>
                <w:i/>
                <w:sz w:val="20"/>
                <w:szCs w:val="20"/>
              </w:rPr>
            </w:pPr>
            <w:r w:rsidRPr="003D0BB3">
              <w:rPr>
                <w:rFonts w:ascii="Calibri" w:eastAsia="Calibri" w:hAnsi="Calibri" w:cs="Calibri"/>
                <w:i/>
                <w:sz w:val="20"/>
                <w:szCs w:val="20"/>
              </w:rPr>
              <w:lastRenderedPageBreak/>
              <w:t>Engagement with the intervention</w:t>
            </w:r>
          </w:p>
          <w:p w:rsidR="004B72EE" w:rsidRPr="003D0BB3" w:rsidRDefault="004B72EE" w:rsidP="004B72EE">
            <w:pPr>
              <w:widowControl w:val="0"/>
              <w:numPr>
                <w:ilvl w:val="0"/>
                <w:numId w:val="2"/>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color w:val="000000"/>
                <w:sz w:val="20"/>
                <w:szCs w:val="20"/>
                <w:shd w:val="clear" w:color="auto" w:fill="FFFFFF"/>
              </w:rPr>
              <w:t xml:space="preserve">Professional buy-in to the concept of providing [the intervention] for </w:t>
            </w:r>
            <w:proofErr w:type="gramStart"/>
            <w:r w:rsidRPr="003D0BB3">
              <w:rPr>
                <w:rFonts w:ascii="Calibri" w:eastAsia="Calibri" w:hAnsi="Calibri" w:cs="Calibri"/>
                <w:color w:val="000000"/>
                <w:sz w:val="20"/>
                <w:szCs w:val="20"/>
                <w:shd w:val="clear" w:color="auto" w:fill="FFFFFF"/>
              </w:rPr>
              <w:t>people with severe COPD was</w:t>
            </w:r>
            <w:proofErr w:type="gramEnd"/>
            <w:r w:rsidRPr="003D0BB3">
              <w:rPr>
                <w:rFonts w:ascii="Calibri" w:eastAsia="Calibri" w:hAnsi="Calibri" w:cs="Calibri"/>
                <w:color w:val="000000"/>
                <w:sz w:val="20"/>
                <w:szCs w:val="20"/>
                <w:shd w:val="clear" w:color="auto" w:fill="FFFFFF"/>
              </w:rPr>
              <w:t xml:space="preserve"> </w:t>
            </w:r>
            <w:r w:rsidRPr="003D0BB3">
              <w:rPr>
                <w:rFonts w:ascii="Calibri" w:eastAsia="Calibri" w:hAnsi="Calibri" w:cs="Calibri"/>
                <w:color w:val="000000"/>
                <w:sz w:val="20"/>
                <w:szCs w:val="20"/>
                <w:shd w:val="clear" w:color="auto" w:fill="FFFFFF"/>
              </w:rPr>
              <w:lastRenderedPageBreak/>
              <w:t>evident. Members of the community teams described having attended ‘introduction to palliative care’ courses or perceived their role to include advanced care planning. (</w:t>
            </w:r>
            <w:r>
              <w:rPr>
                <w:rFonts w:ascii="Calibri" w:eastAsia="Calibri" w:hAnsi="Calibri" w:cs="Calibri"/>
                <w:color w:val="000000"/>
                <w:sz w:val="20"/>
                <w:szCs w:val="20"/>
                <w:shd w:val="clear" w:color="auto" w:fill="FFFFFF"/>
              </w:rPr>
              <w:t>4</w:t>
            </w:r>
            <w:r w:rsidRPr="003D0BB3">
              <w:rPr>
                <w:rFonts w:ascii="Calibri" w:eastAsia="Calibri" w:hAnsi="Calibri" w:cs="Calibri"/>
                <w:color w:val="000000"/>
                <w:sz w:val="20"/>
                <w:szCs w:val="20"/>
                <w:shd w:val="clear" w:color="auto" w:fill="FFFFFF"/>
              </w:rPr>
              <w:t>3)</w:t>
            </w:r>
          </w:p>
          <w:p w:rsidR="004B72EE" w:rsidRPr="003D0BB3" w:rsidRDefault="004B72EE" w:rsidP="004B72EE">
            <w:pPr>
              <w:widowControl w:val="0"/>
              <w:numPr>
                <w:ilvl w:val="0"/>
                <w:numId w:val="2"/>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color w:val="333333"/>
                <w:sz w:val="20"/>
                <w:szCs w:val="20"/>
                <w:shd w:val="clear" w:color="auto" w:fill="FFFFFF"/>
              </w:rPr>
              <w:t>Practice buy-in to the concept of using the [the intervention] tool for supporting the self-management process was evident … The main driver of the intervention within the practice was the nurse, as it was he/she who would deliver the intervention. Their pre-study enthusiasm was apparent, as they perceived their role in asthma management to include self-management advice and action planning. (4</w:t>
            </w:r>
            <w:r>
              <w:rPr>
                <w:rFonts w:ascii="Calibri" w:eastAsia="Calibri" w:hAnsi="Calibri" w:cs="Calibri"/>
                <w:color w:val="333333"/>
                <w:sz w:val="20"/>
                <w:szCs w:val="20"/>
                <w:shd w:val="clear" w:color="auto" w:fill="FFFFFF"/>
              </w:rPr>
              <w:t>7</w:t>
            </w:r>
            <w:r w:rsidRPr="003D0BB3">
              <w:rPr>
                <w:rFonts w:ascii="Calibri" w:eastAsia="Calibri" w:hAnsi="Calibri" w:cs="Calibri"/>
                <w:color w:val="333333"/>
                <w:sz w:val="20"/>
                <w:szCs w:val="20"/>
                <w:shd w:val="clear" w:color="auto" w:fill="FFFFFF"/>
              </w:rPr>
              <w:t>)</w:t>
            </w:r>
          </w:p>
          <w:p w:rsidR="004B72EE" w:rsidRPr="003D0BB3" w:rsidRDefault="004B72EE" w:rsidP="004B72EE">
            <w:pPr>
              <w:widowControl w:val="0"/>
              <w:numPr>
                <w:ilvl w:val="0"/>
                <w:numId w:val="2"/>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color w:val="333333"/>
                <w:sz w:val="20"/>
                <w:szCs w:val="20"/>
                <w:shd w:val="clear" w:color="auto" w:fill="FFFFFF"/>
              </w:rPr>
              <w:t xml:space="preserve">The mode of delivery of [the intervention] was considered to be </w:t>
            </w:r>
            <w:proofErr w:type="gramStart"/>
            <w:r w:rsidRPr="003D0BB3">
              <w:rPr>
                <w:rFonts w:ascii="Calibri" w:eastAsia="Calibri" w:hAnsi="Calibri" w:cs="Calibri"/>
                <w:color w:val="333333"/>
                <w:sz w:val="20"/>
                <w:szCs w:val="20"/>
                <w:shd w:val="clear" w:color="auto" w:fill="FFFFFF"/>
              </w:rPr>
              <w:t>key</w:t>
            </w:r>
            <w:proofErr w:type="gramEnd"/>
            <w:r w:rsidRPr="003D0BB3">
              <w:rPr>
                <w:rFonts w:ascii="Calibri" w:eastAsia="Calibri" w:hAnsi="Calibri" w:cs="Calibri"/>
                <w:color w:val="333333"/>
                <w:sz w:val="20"/>
                <w:szCs w:val="20"/>
                <w:shd w:val="clear" w:color="auto" w:fill="FFFFFF"/>
              </w:rPr>
              <w:t xml:space="preserve"> to their potential value because stakeholders were well aware of the challenges that present, especially when trying to get busy GPs on board. For example, stakeholders in England were concerned about getting GPs to commit to a full day of training and a GP stakeholder in Greece reported real concerns about fitting training into his/her schedule.</w:t>
            </w:r>
            <w:r w:rsidRPr="003D0BB3">
              <w:rPr>
                <w:rFonts w:ascii="Calibri" w:eastAsia="Calibri" w:hAnsi="Calibri" w:cs="Calibri"/>
                <w:sz w:val="20"/>
                <w:szCs w:val="20"/>
              </w:rPr>
              <w:t xml:space="preserve"> (</w:t>
            </w:r>
            <w:r>
              <w:rPr>
                <w:rFonts w:ascii="Calibri" w:eastAsia="Calibri" w:hAnsi="Calibri" w:cs="Calibri"/>
                <w:sz w:val="20"/>
                <w:szCs w:val="20"/>
              </w:rPr>
              <w:t>52</w:t>
            </w:r>
            <w:r w:rsidRPr="003D0BB3">
              <w:rPr>
                <w:rFonts w:ascii="Calibri" w:eastAsia="Calibri" w:hAnsi="Calibri" w:cs="Calibri"/>
                <w:sz w:val="20"/>
                <w:szCs w:val="20"/>
              </w:rPr>
              <w:t xml:space="preserve">) </w:t>
            </w:r>
          </w:p>
        </w:tc>
      </w:tr>
      <w:tr w:rsidR="004B72EE" w:rsidRPr="003D0BB3" w:rsidTr="006A4502">
        <w:tc>
          <w:tcPr>
            <w:tcW w:w="594" w:type="pct"/>
          </w:tcPr>
          <w:p w:rsidR="004B72EE" w:rsidRPr="003D0BB3" w:rsidRDefault="004B72EE" w:rsidP="006A4502">
            <w:pPr>
              <w:rPr>
                <w:rFonts w:ascii="Calibri" w:eastAsia="Calibri" w:hAnsi="Calibri" w:cs="Calibri"/>
                <w:b/>
                <w:sz w:val="20"/>
                <w:szCs w:val="20"/>
              </w:rPr>
            </w:pPr>
            <w:r w:rsidRPr="003D0BB3">
              <w:rPr>
                <w:rFonts w:ascii="Calibri" w:eastAsia="Calibri" w:hAnsi="Calibri" w:cs="Calibri"/>
                <w:b/>
                <w:sz w:val="20"/>
                <w:szCs w:val="20"/>
              </w:rPr>
              <w:lastRenderedPageBreak/>
              <w:t xml:space="preserve">Collective Action </w:t>
            </w:r>
          </w:p>
          <w:p w:rsidR="004B72EE" w:rsidRPr="003D0BB3" w:rsidRDefault="004B72EE" w:rsidP="006A4502">
            <w:pPr>
              <w:rPr>
                <w:rFonts w:ascii="Calibri" w:eastAsia="Calibri" w:hAnsi="Calibri" w:cs="Calibri"/>
                <w:sz w:val="20"/>
                <w:szCs w:val="20"/>
              </w:rPr>
            </w:pPr>
          </w:p>
        </w:tc>
        <w:tc>
          <w:tcPr>
            <w:tcW w:w="4406" w:type="pct"/>
          </w:tcPr>
          <w:p w:rsidR="004B72EE" w:rsidRPr="003D0BB3" w:rsidRDefault="004B72EE" w:rsidP="006A4502">
            <w:pPr>
              <w:rPr>
                <w:rFonts w:ascii="Calibri" w:eastAsia="Calibri" w:hAnsi="Calibri" w:cs="Calibri"/>
                <w:i/>
                <w:sz w:val="20"/>
                <w:szCs w:val="20"/>
              </w:rPr>
            </w:pPr>
            <w:r w:rsidRPr="003D0BB3">
              <w:rPr>
                <w:rFonts w:ascii="Calibri" w:eastAsia="Calibri" w:hAnsi="Calibri" w:cs="Calibri"/>
                <w:i/>
                <w:sz w:val="20"/>
                <w:szCs w:val="20"/>
              </w:rPr>
              <w:t>Undertaking the work of the intervention</w:t>
            </w:r>
          </w:p>
          <w:p w:rsidR="004B72EE" w:rsidRPr="003D0BB3" w:rsidRDefault="004B72EE" w:rsidP="004B72EE">
            <w:pPr>
              <w:widowControl w:val="0"/>
              <w:numPr>
                <w:ilvl w:val="0"/>
                <w:numId w:val="3"/>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sz w:val="20"/>
                <w:szCs w:val="20"/>
                <w:shd w:val="clear" w:color="auto" w:fill="FFFFFF"/>
              </w:rPr>
              <w:t>Not briefing locum doctors (and it was latterly revealed new salaried GPs too) or notifying the study team that new staff potentially needed training meant that the intervention was not fully communicated and “collective action” (thus delivery) was not always achieved. (</w:t>
            </w:r>
            <w:r>
              <w:rPr>
                <w:rFonts w:ascii="Calibri" w:eastAsia="Calibri" w:hAnsi="Calibri" w:cs="Calibri"/>
                <w:sz w:val="20"/>
                <w:szCs w:val="20"/>
                <w:shd w:val="clear" w:color="auto" w:fill="FFFFFF"/>
              </w:rPr>
              <w:t>53</w:t>
            </w:r>
            <w:r w:rsidRPr="003D0BB3">
              <w:rPr>
                <w:rFonts w:ascii="Calibri" w:eastAsia="Calibri" w:hAnsi="Calibri" w:cs="Calibri"/>
                <w:sz w:val="20"/>
                <w:szCs w:val="20"/>
                <w:shd w:val="clear" w:color="auto" w:fill="FFFFFF"/>
              </w:rPr>
              <w:t>)</w:t>
            </w:r>
          </w:p>
          <w:p w:rsidR="004B72EE" w:rsidRPr="003D0BB3" w:rsidRDefault="004B72EE" w:rsidP="004B72EE">
            <w:pPr>
              <w:widowControl w:val="0"/>
              <w:numPr>
                <w:ilvl w:val="0"/>
                <w:numId w:val="3"/>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sz w:val="20"/>
                <w:szCs w:val="20"/>
              </w:rPr>
              <w:t>C</w:t>
            </w:r>
            <w:r w:rsidRPr="003D0BB3">
              <w:rPr>
                <w:rFonts w:ascii="Calibri" w:eastAsia="Calibri" w:hAnsi="Calibri" w:cs="Calibri"/>
                <w:color w:val="333333"/>
                <w:sz w:val="20"/>
                <w:szCs w:val="20"/>
                <w:shd w:val="clear" w:color="auto" w:fill="FFFFFF"/>
              </w:rPr>
              <w:t>omponents designed to focus the whole general practice’s attention on [the intervention] were frequently reported as successful. Computer prompts were reported by many as important in helping staff remember to make the offer. (5</w:t>
            </w:r>
            <w:r>
              <w:rPr>
                <w:rFonts w:ascii="Calibri" w:eastAsia="Calibri" w:hAnsi="Calibri" w:cs="Calibri"/>
                <w:color w:val="333333"/>
                <w:sz w:val="20"/>
                <w:szCs w:val="20"/>
                <w:shd w:val="clear" w:color="auto" w:fill="FFFFFF"/>
              </w:rPr>
              <w:t>7</w:t>
            </w:r>
            <w:r w:rsidRPr="003D0BB3">
              <w:rPr>
                <w:rFonts w:ascii="Calibri" w:eastAsia="Calibri" w:hAnsi="Calibri" w:cs="Calibri"/>
                <w:color w:val="333333"/>
                <w:sz w:val="20"/>
                <w:szCs w:val="20"/>
                <w:shd w:val="clear" w:color="auto" w:fill="FFFFFF"/>
              </w:rPr>
              <w:t>)</w:t>
            </w:r>
            <w:r w:rsidRPr="003D0BB3" w:rsidDel="003F476D">
              <w:rPr>
                <w:rFonts w:ascii="Arial" w:eastAsia="Calibri" w:hAnsi="Arial" w:cs="Calibri"/>
                <w:sz w:val="20"/>
                <w:szCs w:val="20"/>
              </w:rPr>
              <w:t xml:space="preserve"> </w:t>
            </w:r>
          </w:p>
          <w:p w:rsidR="004B72EE" w:rsidRPr="003D0BB3" w:rsidRDefault="004B72EE" w:rsidP="004B72EE">
            <w:pPr>
              <w:widowControl w:val="0"/>
              <w:numPr>
                <w:ilvl w:val="0"/>
                <w:numId w:val="3"/>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sz w:val="20"/>
                <w:szCs w:val="20"/>
              </w:rPr>
              <w:t>Some respondents described the impact of external constraints on their capacity to implement the skills and expertise of generalist practice: “You’ve always got the targets coming out at you from the computer ... I think the problem is time.” (Interview group, experienced GP). (4</w:t>
            </w:r>
            <w:r>
              <w:rPr>
                <w:rFonts w:ascii="Calibri" w:eastAsia="Calibri" w:hAnsi="Calibri" w:cs="Calibri"/>
                <w:sz w:val="20"/>
                <w:szCs w:val="20"/>
              </w:rPr>
              <w:t>4</w:t>
            </w:r>
            <w:r w:rsidRPr="003D0BB3">
              <w:rPr>
                <w:rFonts w:ascii="Calibri" w:eastAsia="Calibri" w:hAnsi="Calibri" w:cs="Calibri"/>
                <w:sz w:val="20"/>
                <w:szCs w:val="20"/>
              </w:rPr>
              <w:t>)</w:t>
            </w:r>
          </w:p>
        </w:tc>
      </w:tr>
      <w:tr w:rsidR="004B72EE" w:rsidRPr="003D0BB3" w:rsidTr="006A4502">
        <w:tc>
          <w:tcPr>
            <w:tcW w:w="594" w:type="pct"/>
          </w:tcPr>
          <w:p w:rsidR="004B72EE" w:rsidRPr="003D0BB3" w:rsidRDefault="004B72EE" w:rsidP="006A4502">
            <w:pPr>
              <w:rPr>
                <w:rFonts w:ascii="Calibri" w:eastAsia="Calibri" w:hAnsi="Calibri" w:cs="Calibri"/>
                <w:b/>
                <w:sz w:val="20"/>
                <w:szCs w:val="20"/>
              </w:rPr>
            </w:pPr>
            <w:r w:rsidRPr="003D0BB3">
              <w:rPr>
                <w:rFonts w:ascii="Calibri" w:eastAsia="Calibri" w:hAnsi="Calibri" w:cs="Calibri"/>
                <w:b/>
                <w:sz w:val="20"/>
                <w:szCs w:val="20"/>
              </w:rPr>
              <w:t>Reflexive monitoring</w:t>
            </w:r>
          </w:p>
          <w:p w:rsidR="004B72EE" w:rsidRPr="003D0BB3" w:rsidRDefault="004B72EE" w:rsidP="006A4502">
            <w:pPr>
              <w:rPr>
                <w:rFonts w:ascii="Calibri" w:eastAsia="Calibri" w:hAnsi="Calibri" w:cs="Calibri"/>
                <w:sz w:val="20"/>
                <w:szCs w:val="20"/>
              </w:rPr>
            </w:pPr>
          </w:p>
        </w:tc>
        <w:tc>
          <w:tcPr>
            <w:tcW w:w="4406" w:type="pct"/>
          </w:tcPr>
          <w:p w:rsidR="004B72EE" w:rsidRPr="003D0BB3" w:rsidRDefault="004B72EE" w:rsidP="006A4502">
            <w:pPr>
              <w:rPr>
                <w:rFonts w:ascii="Calibri" w:eastAsia="Calibri" w:hAnsi="Calibri" w:cs="Calibri"/>
                <w:i/>
                <w:sz w:val="20"/>
                <w:szCs w:val="20"/>
              </w:rPr>
            </w:pPr>
            <w:bookmarkStart w:id="0" w:name="_Hlk72309046"/>
            <w:r w:rsidRPr="003D0BB3">
              <w:rPr>
                <w:rFonts w:ascii="Calibri" w:eastAsia="Calibri" w:hAnsi="Calibri" w:cs="Calibri"/>
                <w:i/>
                <w:sz w:val="20"/>
                <w:szCs w:val="20"/>
              </w:rPr>
              <w:t>Understanding and evaluating the work of the intervention</w:t>
            </w:r>
          </w:p>
          <w:bookmarkEnd w:id="0"/>
          <w:p w:rsidR="004B72EE" w:rsidRPr="003D0BB3" w:rsidRDefault="004B72EE" w:rsidP="004B72EE">
            <w:pPr>
              <w:widowControl w:val="0"/>
              <w:numPr>
                <w:ilvl w:val="0"/>
                <w:numId w:val="5"/>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color w:val="333333"/>
                <w:sz w:val="20"/>
                <w:szCs w:val="20"/>
                <w:shd w:val="clear" w:color="auto" w:fill="FFFFFF"/>
              </w:rPr>
              <w:t>Some GPs did report receiving positive feedback from the patients about their experience with the CMs and of the intervention (BA, MM), which led the GPs to believe there was some value in the intervention. (4</w:t>
            </w:r>
            <w:r>
              <w:rPr>
                <w:rFonts w:ascii="Calibri" w:eastAsia="Calibri" w:hAnsi="Calibri" w:cs="Calibri"/>
                <w:color w:val="333333"/>
                <w:sz w:val="20"/>
                <w:szCs w:val="20"/>
                <w:shd w:val="clear" w:color="auto" w:fill="FFFFFF"/>
              </w:rPr>
              <w:t>4</w:t>
            </w:r>
            <w:r w:rsidRPr="003D0BB3">
              <w:rPr>
                <w:rFonts w:ascii="Calibri" w:eastAsia="Calibri" w:hAnsi="Calibri" w:cs="Calibri"/>
                <w:color w:val="333333"/>
                <w:sz w:val="20"/>
                <w:szCs w:val="20"/>
                <w:shd w:val="clear" w:color="auto" w:fill="FFFFFF"/>
              </w:rPr>
              <w:t>)</w:t>
            </w:r>
          </w:p>
          <w:p w:rsidR="004B72EE" w:rsidRPr="003D0BB3" w:rsidRDefault="004B72EE" w:rsidP="004B72EE">
            <w:pPr>
              <w:widowControl w:val="0"/>
              <w:numPr>
                <w:ilvl w:val="0"/>
                <w:numId w:val="4"/>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color w:val="333333"/>
                <w:sz w:val="20"/>
                <w:szCs w:val="20"/>
                <w:shd w:val="clear" w:color="auto" w:fill="FFFFFF"/>
              </w:rPr>
              <w:t>Patients believed that the intervention made them pay greater attention to their asthma/health, affirming the importance of good self-management and motivating them to take an active part in managing their health. (4</w:t>
            </w:r>
            <w:r>
              <w:rPr>
                <w:rFonts w:ascii="Calibri" w:eastAsia="Calibri" w:hAnsi="Calibri" w:cs="Calibri"/>
                <w:color w:val="333333"/>
                <w:sz w:val="20"/>
                <w:szCs w:val="20"/>
                <w:shd w:val="clear" w:color="auto" w:fill="FFFFFF"/>
              </w:rPr>
              <w:t>7</w:t>
            </w:r>
            <w:r w:rsidRPr="003D0BB3">
              <w:rPr>
                <w:rFonts w:ascii="Calibri" w:eastAsia="Calibri" w:hAnsi="Calibri" w:cs="Calibri"/>
                <w:color w:val="333333"/>
                <w:sz w:val="20"/>
                <w:szCs w:val="20"/>
                <w:shd w:val="clear" w:color="auto" w:fill="FFFFFF"/>
              </w:rPr>
              <w:t>)</w:t>
            </w:r>
          </w:p>
          <w:p w:rsidR="004B72EE" w:rsidRPr="003D0BB3" w:rsidRDefault="004B72EE" w:rsidP="004B72EE">
            <w:pPr>
              <w:widowControl w:val="0"/>
              <w:numPr>
                <w:ilvl w:val="0"/>
                <w:numId w:val="4"/>
              </w:numPr>
              <w:autoSpaceDE w:val="0"/>
              <w:autoSpaceDN w:val="0"/>
              <w:adjustRightInd w:val="0"/>
              <w:spacing w:after="0" w:line="240" w:lineRule="auto"/>
              <w:rPr>
                <w:rFonts w:ascii="Calibri" w:eastAsia="Calibri" w:hAnsi="Calibri" w:cs="Calibri"/>
                <w:sz w:val="20"/>
                <w:szCs w:val="20"/>
              </w:rPr>
            </w:pPr>
            <w:r w:rsidRPr="003D0BB3">
              <w:rPr>
                <w:rFonts w:ascii="Calibri" w:eastAsia="Calibri" w:hAnsi="Calibri" w:cs="Calibri"/>
                <w:sz w:val="20"/>
                <w:szCs w:val="20"/>
              </w:rPr>
              <w:t>There was a perception of a mismatch between the monitoring required by external systems and that to support EGP. With a sense that those outside of General Practice failed to understand or value the EGP approach (only 19% of survey participants thought that their Primary Care Trust thought EGP was worthwhile). (5</w:t>
            </w:r>
            <w:r>
              <w:rPr>
                <w:rFonts w:ascii="Calibri" w:eastAsia="Calibri" w:hAnsi="Calibri" w:cs="Calibri"/>
                <w:sz w:val="20"/>
                <w:szCs w:val="20"/>
              </w:rPr>
              <w:t>7</w:t>
            </w:r>
            <w:r w:rsidRPr="003D0BB3">
              <w:rPr>
                <w:rFonts w:ascii="Calibri" w:eastAsia="Calibri" w:hAnsi="Calibri" w:cs="Calibri"/>
                <w:sz w:val="20"/>
                <w:szCs w:val="20"/>
              </w:rPr>
              <w:t>)</w:t>
            </w:r>
          </w:p>
        </w:tc>
      </w:tr>
    </w:tbl>
    <w:p w:rsidR="004B72EE" w:rsidRDefault="004B72EE" w:rsidP="004B72EE">
      <w:pPr>
        <w:rPr>
          <w:rFonts w:ascii="Calibri" w:eastAsia="Times New Roman" w:hAnsi="Calibri" w:cs="Times New Roman"/>
          <w:lang w:eastAsia="en-GB"/>
        </w:rPr>
      </w:pPr>
    </w:p>
    <w:p w:rsidR="004B72EE" w:rsidRDefault="004B72EE">
      <w:bookmarkStart w:id="1" w:name="_GoBack"/>
      <w:bookmarkEnd w:id="1"/>
    </w:p>
    <w:sectPr w:rsidR="004B72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3691F"/>
    <w:multiLevelType w:val="hybridMultilevel"/>
    <w:tmpl w:val="2CA2A2B2"/>
    <w:lvl w:ilvl="0" w:tplc="D8CEEDB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943643C"/>
    <w:multiLevelType w:val="hybridMultilevel"/>
    <w:tmpl w:val="1D4C6DA6"/>
    <w:lvl w:ilvl="0" w:tplc="44364DA4">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EDC259E"/>
    <w:multiLevelType w:val="hybridMultilevel"/>
    <w:tmpl w:val="6334602C"/>
    <w:lvl w:ilvl="0" w:tplc="78CE137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4A7442B"/>
    <w:multiLevelType w:val="hybridMultilevel"/>
    <w:tmpl w:val="FEAE1598"/>
    <w:lvl w:ilvl="0" w:tplc="2206B748">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6620D70"/>
    <w:multiLevelType w:val="hybridMultilevel"/>
    <w:tmpl w:val="18FA80B0"/>
    <w:lvl w:ilvl="0" w:tplc="9DFC6D5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290"/>
    <w:rsid w:val="000474AC"/>
    <w:rsid w:val="004B72EE"/>
    <w:rsid w:val="007D7D16"/>
    <w:rsid w:val="008D1FC4"/>
    <w:rsid w:val="00BB458B"/>
    <w:rsid w:val="00EE729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290"/>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729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290"/>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729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E754054</dc:creator>
  <cp:lastModifiedBy>E754054</cp:lastModifiedBy>
  <cp:revision>2</cp:revision>
  <dcterms:created xsi:type="dcterms:W3CDTF">2022-09-14T20:21:00Z</dcterms:created>
  <dcterms:modified xsi:type="dcterms:W3CDTF">2022-09-14T20:21:00Z</dcterms:modified>
</cp:coreProperties>
</file>