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CA1" w:rsidRPr="003248BC" w:rsidRDefault="00263CA1" w:rsidP="00E02C33">
      <w:pPr>
        <w:keepNext/>
        <w:keepLines/>
        <w:spacing w:after="0" w:line="360" w:lineRule="auto"/>
        <w:jc w:val="center"/>
        <w:outlineLvl w:val="0"/>
        <w:rPr>
          <w:rFonts w:ascii="Times New Roman" w:eastAsia="Calibri" w:hAnsi="Times New Roman" w:cs="Times New Roman"/>
          <w:b/>
          <w:bCs/>
          <w:sz w:val="24"/>
          <w:szCs w:val="28"/>
        </w:rPr>
      </w:pPr>
      <w:bookmarkStart w:id="0" w:name="_Toc521918256"/>
      <w:bookmarkStart w:id="1" w:name="_Toc522355338"/>
      <w:bookmarkStart w:id="2" w:name="_Toc522355614"/>
      <w:bookmarkStart w:id="3" w:name="_Toc522550936"/>
      <w:bookmarkStart w:id="4" w:name="_Toc522551108"/>
      <w:r w:rsidRPr="003248BC">
        <w:rPr>
          <w:rFonts w:ascii="Times New Roman" w:eastAsia="Calibri" w:hAnsi="Times New Roman" w:cs="Times New Roman"/>
          <w:b/>
          <w:bCs/>
          <w:sz w:val="24"/>
          <w:szCs w:val="28"/>
        </w:rPr>
        <w:t>Appendix I</w:t>
      </w:r>
    </w:p>
    <w:p w:rsidR="00263CA1" w:rsidRPr="003248BC" w:rsidRDefault="00263CA1" w:rsidP="00E02C33">
      <w:pPr>
        <w:keepNext/>
        <w:keepLines/>
        <w:spacing w:line="360" w:lineRule="auto"/>
        <w:jc w:val="center"/>
        <w:outlineLvl w:val="0"/>
        <w:rPr>
          <w:rFonts w:ascii="Times New Roman" w:eastAsia="Calibri" w:hAnsi="Times New Roman" w:cs="Times New Roman"/>
          <w:b/>
          <w:bCs/>
          <w:sz w:val="24"/>
          <w:szCs w:val="28"/>
        </w:rPr>
      </w:pPr>
      <w:r w:rsidRPr="003248BC">
        <w:rPr>
          <w:rFonts w:ascii="Times New Roman" w:eastAsia="Calibri" w:hAnsi="Times New Roman" w:cs="Times New Roman"/>
          <w:b/>
          <w:bCs/>
          <w:sz w:val="24"/>
          <w:szCs w:val="28"/>
        </w:rPr>
        <w:t>Tracer Items and Domains for PHC Facility NCD Service Readiness Assessment</w:t>
      </w:r>
      <w:bookmarkEnd w:id="0"/>
      <w:bookmarkEnd w:id="1"/>
      <w:bookmarkEnd w:id="2"/>
      <w:bookmarkEnd w:id="3"/>
      <w:bookmarkEnd w:id="4"/>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
        <w:gridCol w:w="1256"/>
        <w:gridCol w:w="1800"/>
        <w:gridCol w:w="270"/>
        <w:gridCol w:w="1710"/>
        <w:gridCol w:w="270"/>
        <w:gridCol w:w="1710"/>
        <w:gridCol w:w="506"/>
        <w:gridCol w:w="1620"/>
      </w:tblGrid>
      <w:tr w:rsidR="002E66BB" w:rsidRPr="003248BC" w:rsidTr="00C730AD">
        <w:trPr>
          <w:trHeight w:val="438"/>
        </w:trPr>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263CA1" w:rsidRPr="003248BC" w:rsidRDefault="00263CA1"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 xml:space="preserve">s/n </w:t>
            </w:r>
          </w:p>
        </w:tc>
        <w:tc>
          <w:tcPr>
            <w:tcW w:w="1256" w:type="dxa"/>
            <w:tcBorders>
              <w:top w:val="single" w:sz="4" w:space="0" w:color="auto"/>
              <w:left w:val="single" w:sz="4" w:space="0" w:color="auto"/>
              <w:bottom w:val="single" w:sz="4" w:space="0" w:color="auto"/>
              <w:right w:val="single" w:sz="4" w:space="0" w:color="auto"/>
            </w:tcBorders>
            <w:shd w:val="clear" w:color="auto" w:fill="auto"/>
            <w:hideMark/>
          </w:tcPr>
          <w:p w:rsidR="00263CA1" w:rsidRPr="003248BC" w:rsidRDefault="00263CA1" w:rsidP="00263CA1">
            <w:pPr>
              <w:spacing w:after="0" w:line="240" w:lineRule="auto"/>
              <w:rPr>
                <w:rFonts w:ascii="Times New Roman" w:eastAsia="Calibri" w:hAnsi="Times New Roman" w:cs="Times New Roman"/>
                <w:b/>
              </w:rPr>
            </w:pPr>
            <w:r w:rsidRPr="003248BC">
              <w:rPr>
                <w:rFonts w:ascii="Times New Roman" w:eastAsia="Calibri" w:hAnsi="Times New Roman" w:cs="Times New Roman"/>
                <w:b/>
              </w:rPr>
              <w:t>Domain</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hideMark/>
          </w:tcPr>
          <w:p w:rsidR="00263CA1" w:rsidRPr="003248BC" w:rsidRDefault="00263CA1" w:rsidP="00263CA1">
            <w:pPr>
              <w:spacing w:after="0" w:line="240" w:lineRule="auto"/>
              <w:rPr>
                <w:rFonts w:ascii="Times New Roman" w:eastAsia="Calibri" w:hAnsi="Times New Roman" w:cs="Times New Roman"/>
                <w:b/>
              </w:rPr>
            </w:pPr>
            <w:r w:rsidRPr="003248BC">
              <w:rPr>
                <w:rFonts w:ascii="Times New Roman" w:eastAsia="Calibri" w:hAnsi="Times New Roman" w:cs="Times New Roman"/>
                <w:b/>
              </w:rPr>
              <w:t>Diabetes</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hideMark/>
          </w:tcPr>
          <w:p w:rsidR="00263CA1" w:rsidRPr="003248BC" w:rsidRDefault="00263CA1" w:rsidP="00263CA1">
            <w:pPr>
              <w:spacing w:after="0" w:line="240" w:lineRule="auto"/>
              <w:rPr>
                <w:rFonts w:ascii="Times New Roman" w:eastAsia="Calibri" w:hAnsi="Times New Roman" w:cs="Times New Roman"/>
                <w:b/>
              </w:rPr>
            </w:pPr>
            <w:r w:rsidRPr="003248BC">
              <w:rPr>
                <w:rFonts w:ascii="Times New Roman" w:eastAsia="Calibri" w:hAnsi="Times New Roman" w:cs="Times New Roman"/>
                <w:b/>
              </w:rPr>
              <w:t>Hypertension (Cardiovascular disease)</w:t>
            </w:r>
          </w:p>
        </w:tc>
        <w:tc>
          <w:tcPr>
            <w:tcW w:w="2216" w:type="dxa"/>
            <w:gridSpan w:val="2"/>
            <w:tcBorders>
              <w:top w:val="single" w:sz="4" w:space="0" w:color="auto"/>
              <w:left w:val="single" w:sz="4" w:space="0" w:color="auto"/>
              <w:bottom w:val="single" w:sz="4" w:space="0" w:color="auto"/>
              <w:right w:val="single" w:sz="4" w:space="0" w:color="auto"/>
            </w:tcBorders>
            <w:shd w:val="clear" w:color="auto" w:fill="auto"/>
            <w:hideMark/>
          </w:tcPr>
          <w:p w:rsidR="00263CA1" w:rsidRPr="003248BC" w:rsidRDefault="00263CA1" w:rsidP="00263CA1">
            <w:pPr>
              <w:spacing w:after="0" w:line="240" w:lineRule="auto"/>
              <w:rPr>
                <w:rFonts w:ascii="Times New Roman" w:eastAsia="Calibri" w:hAnsi="Times New Roman" w:cs="Times New Roman"/>
                <w:b/>
              </w:rPr>
            </w:pPr>
            <w:r w:rsidRPr="003248BC">
              <w:rPr>
                <w:rFonts w:ascii="Times New Roman" w:eastAsia="Calibri" w:hAnsi="Times New Roman" w:cs="Times New Roman"/>
                <w:b/>
              </w:rPr>
              <w:t>Chronic respiratory disease</w:t>
            </w: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rsidR="00263CA1" w:rsidRPr="003248BC" w:rsidRDefault="00263CA1" w:rsidP="00263CA1">
            <w:pPr>
              <w:spacing w:after="0" w:line="240" w:lineRule="auto"/>
              <w:rPr>
                <w:rFonts w:ascii="Times New Roman" w:eastAsia="Calibri" w:hAnsi="Times New Roman" w:cs="Times New Roman"/>
                <w:b/>
              </w:rPr>
            </w:pPr>
            <w:r w:rsidRPr="003248BC">
              <w:rPr>
                <w:rFonts w:ascii="Times New Roman" w:eastAsia="Calibri" w:hAnsi="Times New Roman" w:cs="Times New Roman"/>
                <w:b/>
              </w:rPr>
              <w:t>Overall facility readiness</w:t>
            </w:r>
          </w:p>
        </w:tc>
      </w:tr>
      <w:tr w:rsidR="00C730AD" w:rsidRPr="003248BC" w:rsidTr="00C730AD">
        <w:trPr>
          <w:trHeight w:val="213"/>
        </w:trPr>
        <w:tc>
          <w:tcPr>
            <w:tcW w:w="44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1</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b/>
              </w:rPr>
            </w:pPr>
            <w:r w:rsidRPr="003248BC">
              <w:rPr>
                <w:rFonts w:ascii="Times New Roman" w:eastAsia="Calibri" w:hAnsi="Times New Roman" w:cs="Times New Roman"/>
                <w:b/>
              </w:rPr>
              <w:t>Staff &amp; Training</w:t>
            </w:r>
          </w:p>
        </w:tc>
        <w:tc>
          <w:tcPr>
            <w:tcW w:w="180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Trained staff</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Trained staff</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Trained staff</w:t>
            </w:r>
          </w:p>
        </w:tc>
        <w:tc>
          <w:tcPr>
            <w:tcW w:w="506"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620" w:type="dxa"/>
            <w:vMerge w:val="restart"/>
            <w:tcBorders>
              <w:top w:val="single" w:sz="4" w:space="0" w:color="auto"/>
              <w:left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C730AD" w:rsidRPr="003248BC" w:rsidTr="00C730AD">
        <w:trPr>
          <w:trHeight w:val="129"/>
        </w:trPr>
        <w:tc>
          <w:tcPr>
            <w:tcW w:w="44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b/>
              </w:rPr>
            </w:pPr>
          </w:p>
        </w:tc>
        <w:tc>
          <w:tcPr>
            <w:tcW w:w="180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IEC</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IEC</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IEC</w:t>
            </w:r>
          </w:p>
        </w:tc>
        <w:tc>
          <w:tcPr>
            <w:tcW w:w="506"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620" w:type="dxa"/>
            <w:vMerge/>
            <w:tcBorders>
              <w:left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C730AD" w:rsidRPr="003248BC" w:rsidTr="00C730AD">
        <w:trPr>
          <w:trHeight w:val="129"/>
        </w:trPr>
        <w:tc>
          <w:tcPr>
            <w:tcW w:w="44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b/>
              </w:rPr>
            </w:pPr>
          </w:p>
        </w:tc>
        <w:tc>
          <w:tcPr>
            <w:tcW w:w="180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 xml:space="preserve">Guidelines </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 xml:space="preserve">Guidelines </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 xml:space="preserve">Guidelines </w:t>
            </w:r>
          </w:p>
        </w:tc>
        <w:tc>
          <w:tcPr>
            <w:tcW w:w="506"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620" w:type="dxa"/>
            <w:vMerge/>
            <w:tcBorders>
              <w:left w:val="single" w:sz="4" w:space="0" w:color="auto"/>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C730AD" w:rsidRPr="003248BC" w:rsidTr="00C730AD">
        <w:trPr>
          <w:trHeight w:val="213"/>
        </w:trPr>
        <w:tc>
          <w:tcPr>
            <w:tcW w:w="44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2</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b/>
              </w:rPr>
            </w:pPr>
            <w:r w:rsidRPr="003248BC">
              <w:rPr>
                <w:rFonts w:ascii="Times New Roman" w:eastAsia="Calibri" w:hAnsi="Times New Roman" w:cs="Times New Roman"/>
                <w:b/>
              </w:rPr>
              <w:t>Basic equipment</w:t>
            </w:r>
          </w:p>
        </w:tc>
        <w:tc>
          <w:tcPr>
            <w:tcW w:w="180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Adult scale</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Adult scale</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 xml:space="preserve">Peak flow </w:t>
            </w:r>
            <w:proofErr w:type="spellStart"/>
            <w:r w:rsidRPr="003248BC">
              <w:rPr>
                <w:rFonts w:ascii="Times New Roman" w:eastAsia="Calibri" w:hAnsi="Times New Roman" w:cs="Times New Roman"/>
              </w:rPr>
              <w:t>metre</w:t>
            </w:r>
            <w:proofErr w:type="spellEnd"/>
          </w:p>
        </w:tc>
        <w:tc>
          <w:tcPr>
            <w:tcW w:w="506"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620" w:type="dxa"/>
            <w:vMerge w:val="restart"/>
            <w:tcBorders>
              <w:top w:val="single" w:sz="4" w:space="0" w:color="auto"/>
              <w:left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C730AD" w:rsidRPr="003248BC" w:rsidTr="00C730AD">
        <w:trPr>
          <w:trHeight w:val="129"/>
        </w:trPr>
        <w:tc>
          <w:tcPr>
            <w:tcW w:w="44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b/>
              </w:rPr>
            </w:pPr>
          </w:p>
        </w:tc>
        <w:tc>
          <w:tcPr>
            <w:tcW w:w="1800" w:type="dxa"/>
            <w:tcBorders>
              <w:top w:val="single" w:sz="4" w:space="0" w:color="auto"/>
              <w:left w:val="single" w:sz="4" w:space="0" w:color="auto"/>
              <w:bottom w:val="single" w:sz="4" w:space="0" w:color="auto"/>
              <w:right w:val="nil"/>
            </w:tcBorders>
            <w:shd w:val="clear" w:color="auto" w:fill="auto"/>
            <w:hideMark/>
          </w:tcPr>
          <w:p w:rsidR="006273F2" w:rsidRPr="003248BC" w:rsidRDefault="003248BC"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 xml:space="preserve">Tape </w:t>
            </w:r>
            <w:r w:rsidR="006273F2" w:rsidRPr="003248BC">
              <w:rPr>
                <w:rFonts w:ascii="Times New Roman" w:eastAsia="Calibri" w:hAnsi="Times New Roman" w:cs="Times New Roman"/>
              </w:rPr>
              <w:t>(</w:t>
            </w:r>
            <w:proofErr w:type="spellStart"/>
            <w:r w:rsidR="006273F2" w:rsidRPr="003248BC">
              <w:rPr>
                <w:rFonts w:ascii="Times New Roman" w:eastAsia="Calibri" w:hAnsi="Times New Roman" w:cs="Times New Roman"/>
              </w:rPr>
              <w:t>Stadiometre</w:t>
            </w:r>
            <w:proofErr w:type="spellEnd"/>
            <w:r w:rsidR="006273F2" w:rsidRPr="003248BC">
              <w:rPr>
                <w:rFonts w:ascii="Times New Roman" w:eastAsia="Calibri" w:hAnsi="Times New Roman" w:cs="Times New Roman"/>
              </w:rPr>
              <w:t>/ Height board)</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Stethoscope</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Stethoscope</w:t>
            </w:r>
          </w:p>
        </w:tc>
        <w:tc>
          <w:tcPr>
            <w:tcW w:w="506"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620" w:type="dxa"/>
            <w:vMerge/>
            <w:tcBorders>
              <w:left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C730AD" w:rsidRPr="003248BC" w:rsidTr="00C730AD">
        <w:trPr>
          <w:trHeight w:val="129"/>
        </w:trPr>
        <w:tc>
          <w:tcPr>
            <w:tcW w:w="44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b/>
              </w:rPr>
            </w:pPr>
          </w:p>
        </w:tc>
        <w:tc>
          <w:tcPr>
            <w:tcW w:w="180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Blood Pressure apparatus</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Blood Pressure apparatus</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Spacer for inhaler or nebulizer</w:t>
            </w:r>
          </w:p>
        </w:tc>
        <w:tc>
          <w:tcPr>
            <w:tcW w:w="506"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620" w:type="dxa"/>
            <w:vMerge/>
            <w:tcBorders>
              <w:left w:val="single" w:sz="4" w:space="0" w:color="auto"/>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6273F2" w:rsidRPr="003248BC" w:rsidTr="00C730AD">
        <w:trPr>
          <w:trHeight w:val="213"/>
        </w:trPr>
        <w:tc>
          <w:tcPr>
            <w:tcW w:w="44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3</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b/>
              </w:rPr>
            </w:pPr>
            <w:r w:rsidRPr="003248BC">
              <w:rPr>
                <w:rFonts w:ascii="Times New Roman" w:eastAsia="Calibri" w:hAnsi="Times New Roman" w:cs="Times New Roman"/>
                <w:b/>
              </w:rPr>
              <w:t>Basic Diagnostics</w:t>
            </w:r>
          </w:p>
        </w:tc>
        <w:tc>
          <w:tcPr>
            <w:tcW w:w="180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Blood Glucose</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4196"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620" w:type="dxa"/>
            <w:vMerge w:val="restart"/>
            <w:tcBorders>
              <w:top w:val="single" w:sz="4" w:space="0" w:color="auto"/>
              <w:left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6273F2" w:rsidRPr="003248BC" w:rsidTr="00C730AD">
        <w:trPr>
          <w:trHeight w:val="129"/>
        </w:trPr>
        <w:tc>
          <w:tcPr>
            <w:tcW w:w="44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b/>
              </w:rPr>
            </w:pPr>
          </w:p>
        </w:tc>
        <w:tc>
          <w:tcPr>
            <w:tcW w:w="180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Urine dipstick protein</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4196" w:type="dxa"/>
            <w:gridSpan w:val="4"/>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620" w:type="dxa"/>
            <w:vMerge/>
            <w:tcBorders>
              <w:left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6273F2" w:rsidRPr="003248BC" w:rsidTr="00C730AD">
        <w:trPr>
          <w:trHeight w:val="129"/>
        </w:trPr>
        <w:tc>
          <w:tcPr>
            <w:tcW w:w="44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b/>
              </w:rPr>
            </w:pPr>
          </w:p>
        </w:tc>
        <w:tc>
          <w:tcPr>
            <w:tcW w:w="180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Urine dipstick ketones</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4196" w:type="dxa"/>
            <w:gridSpan w:val="4"/>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620" w:type="dxa"/>
            <w:vMerge/>
            <w:tcBorders>
              <w:left w:val="single" w:sz="4" w:space="0" w:color="auto"/>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C730AD" w:rsidRPr="003248BC" w:rsidTr="00C730AD">
        <w:trPr>
          <w:trHeight w:val="223"/>
        </w:trPr>
        <w:tc>
          <w:tcPr>
            <w:tcW w:w="449" w:type="dxa"/>
            <w:vMerge w:val="restart"/>
            <w:tcBorders>
              <w:top w:val="single" w:sz="4" w:space="0" w:color="auto"/>
              <w:left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4</w:t>
            </w:r>
          </w:p>
        </w:tc>
        <w:tc>
          <w:tcPr>
            <w:tcW w:w="1256" w:type="dxa"/>
            <w:vMerge w:val="restart"/>
            <w:tcBorders>
              <w:top w:val="single" w:sz="4" w:space="0" w:color="auto"/>
              <w:left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b/>
              </w:rPr>
            </w:pPr>
            <w:r w:rsidRPr="003248BC">
              <w:rPr>
                <w:rFonts w:ascii="Times New Roman" w:eastAsia="Calibri" w:hAnsi="Times New Roman" w:cs="Times New Roman"/>
                <w:b/>
              </w:rPr>
              <w:t>Essential medicines</w:t>
            </w:r>
          </w:p>
        </w:tc>
        <w:tc>
          <w:tcPr>
            <w:tcW w:w="180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Metformin</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ACE inhibitors</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Salbutamol</w:t>
            </w:r>
          </w:p>
        </w:tc>
        <w:tc>
          <w:tcPr>
            <w:tcW w:w="506"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620" w:type="dxa"/>
            <w:vMerge w:val="restart"/>
            <w:tcBorders>
              <w:top w:val="single" w:sz="4" w:space="0" w:color="auto"/>
              <w:lef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C730AD" w:rsidRPr="003248BC" w:rsidTr="00C730AD">
        <w:trPr>
          <w:trHeight w:val="129"/>
        </w:trPr>
        <w:tc>
          <w:tcPr>
            <w:tcW w:w="449" w:type="dxa"/>
            <w:vMerge/>
            <w:tcBorders>
              <w:left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256" w:type="dxa"/>
            <w:vMerge/>
            <w:tcBorders>
              <w:left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b/>
              </w:rPr>
            </w:pPr>
          </w:p>
        </w:tc>
        <w:tc>
          <w:tcPr>
            <w:tcW w:w="180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 xml:space="preserve">2nd gen </w:t>
            </w:r>
            <w:proofErr w:type="spellStart"/>
            <w:r w:rsidRPr="003248BC">
              <w:rPr>
                <w:rFonts w:ascii="Times New Roman" w:eastAsia="Calibri" w:hAnsi="Times New Roman" w:cs="Times New Roman"/>
              </w:rPr>
              <w:t>Sulphonylureas</w:t>
            </w:r>
            <w:proofErr w:type="spellEnd"/>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Thiazides</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nil"/>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proofErr w:type="spellStart"/>
            <w:r w:rsidRPr="003248BC">
              <w:rPr>
                <w:rFonts w:ascii="Times New Roman" w:eastAsia="Calibri" w:hAnsi="Times New Roman" w:cs="Times New Roman"/>
              </w:rPr>
              <w:t>Beclomethasone</w:t>
            </w:r>
            <w:proofErr w:type="spellEnd"/>
          </w:p>
        </w:tc>
        <w:tc>
          <w:tcPr>
            <w:tcW w:w="506" w:type="dxa"/>
            <w:tcBorders>
              <w:top w:val="nil"/>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620" w:type="dxa"/>
            <w:vMerge/>
            <w:tcBorders>
              <w:lef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C730AD" w:rsidRPr="003248BC" w:rsidTr="00C730AD">
        <w:trPr>
          <w:trHeight w:val="129"/>
        </w:trPr>
        <w:tc>
          <w:tcPr>
            <w:tcW w:w="449" w:type="dxa"/>
            <w:vMerge/>
            <w:tcBorders>
              <w:left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256" w:type="dxa"/>
            <w:vMerge/>
            <w:tcBorders>
              <w:left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b/>
              </w:rPr>
            </w:pPr>
          </w:p>
        </w:tc>
        <w:tc>
          <w:tcPr>
            <w:tcW w:w="180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Daily insulin</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Beta blockers</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nil"/>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proofErr w:type="spellStart"/>
            <w:r w:rsidRPr="003248BC">
              <w:rPr>
                <w:rFonts w:ascii="Times New Roman" w:eastAsia="Calibri" w:hAnsi="Times New Roman" w:cs="Times New Roman"/>
              </w:rPr>
              <w:t>Predinisolone</w:t>
            </w:r>
            <w:proofErr w:type="spellEnd"/>
          </w:p>
        </w:tc>
        <w:tc>
          <w:tcPr>
            <w:tcW w:w="506" w:type="dxa"/>
            <w:tcBorders>
              <w:top w:val="nil"/>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620" w:type="dxa"/>
            <w:vMerge/>
            <w:tcBorders>
              <w:lef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C730AD" w:rsidRPr="003248BC" w:rsidTr="00C730AD">
        <w:trPr>
          <w:trHeight w:val="129"/>
        </w:trPr>
        <w:tc>
          <w:tcPr>
            <w:tcW w:w="449" w:type="dxa"/>
            <w:vMerge/>
            <w:tcBorders>
              <w:left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256" w:type="dxa"/>
            <w:vMerge/>
            <w:tcBorders>
              <w:left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b/>
              </w:rPr>
            </w:pPr>
          </w:p>
        </w:tc>
        <w:tc>
          <w:tcPr>
            <w:tcW w:w="1800" w:type="dxa"/>
            <w:vMerge w:val="restart"/>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Glucose solution</w:t>
            </w:r>
          </w:p>
        </w:tc>
        <w:tc>
          <w:tcPr>
            <w:tcW w:w="270" w:type="dxa"/>
            <w:tcBorders>
              <w:top w:val="single" w:sz="4" w:space="0" w:color="auto"/>
              <w:left w:val="nil"/>
              <w:bottom w:val="nil"/>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Calcium channel blockers</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vMerge w:val="restart"/>
            <w:tcBorders>
              <w:top w:val="nil"/>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Hydrocortisone</w:t>
            </w:r>
          </w:p>
        </w:tc>
        <w:tc>
          <w:tcPr>
            <w:tcW w:w="506" w:type="dxa"/>
            <w:vMerge w:val="restart"/>
            <w:tcBorders>
              <w:top w:val="nil"/>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620" w:type="dxa"/>
            <w:vMerge/>
            <w:tcBorders>
              <w:lef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C730AD" w:rsidRPr="003248BC" w:rsidTr="00C730AD">
        <w:trPr>
          <w:trHeight w:val="129"/>
        </w:trPr>
        <w:tc>
          <w:tcPr>
            <w:tcW w:w="449" w:type="dxa"/>
            <w:vMerge/>
            <w:tcBorders>
              <w:left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256" w:type="dxa"/>
            <w:vMerge/>
            <w:tcBorders>
              <w:left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b/>
              </w:rPr>
            </w:pPr>
          </w:p>
        </w:tc>
        <w:tc>
          <w:tcPr>
            <w:tcW w:w="1800" w:type="dxa"/>
            <w:vMerge/>
            <w:tcBorders>
              <w:top w:val="single" w:sz="4" w:space="0" w:color="auto"/>
              <w:left w:val="single" w:sz="4" w:space="0" w:color="auto"/>
              <w:bottom w:val="single" w:sz="4" w:space="0" w:color="auto"/>
              <w:right w:val="nil"/>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270" w:type="dxa"/>
            <w:tcBorders>
              <w:top w:val="nil"/>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tcBorders>
              <w:top w:val="single" w:sz="4" w:space="0" w:color="auto"/>
              <w:left w:val="single" w:sz="4" w:space="0" w:color="auto"/>
              <w:bottom w:val="single" w:sz="4" w:space="0" w:color="auto"/>
              <w:right w:val="nil"/>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Aspirin</w:t>
            </w:r>
          </w:p>
        </w:tc>
        <w:tc>
          <w:tcPr>
            <w:tcW w:w="270" w:type="dxa"/>
            <w:tcBorders>
              <w:top w:val="single" w:sz="4" w:space="0" w:color="auto"/>
              <w:left w:val="nil"/>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710" w:type="dxa"/>
            <w:vMerge/>
            <w:tcBorders>
              <w:top w:val="nil"/>
              <w:left w:val="single" w:sz="4" w:space="0" w:color="auto"/>
              <w:bottom w:val="single" w:sz="4" w:space="0" w:color="auto"/>
              <w:right w:val="nil"/>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506" w:type="dxa"/>
            <w:vMerge/>
            <w:tcBorders>
              <w:top w:val="nil"/>
              <w:left w:val="nil"/>
              <w:bottom w:val="single" w:sz="4" w:space="0" w:color="auto"/>
              <w:right w:val="single" w:sz="4" w:space="0" w:color="auto"/>
            </w:tcBorders>
            <w:shd w:val="clear" w:color="auto" w:fill="auto"/>
            <w:vAlign w:val="center"/>
            <w:hideMark/>
          </w:tcPr>
          <w:p w:rsidR="006273F2" w:rsidRPr="003248BC" w:rsidRDefault="006273F2" w:rsidP="00263CA1">
            <w:pPr>
              <w:spacing w:after="0" w:line="240" w:lineRule="auto"/>
              <w:rPr>
                <w:rFonts w:ascii="Times New Roman" w:eastAsia="Calibri" w:hAnsi="Times New Roman" w:cs="Times New Roman"/>
              </w:rPr>
            </w:pPr>
          </w:p>
        </w:tc>
        <w:tc>
          <w:tcPr>
            <w:tcW w:w="1620" w:type="dxa"/>
            <w:vMerge/>
            <w:tcBorders>
              <w:left w:val="single" w:sz="4" w:space="0" w:color="auto"/>
              <w:bottom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r>
      <w:tr w:rsidR="006273F2" w:rsidRPr="003248BC" w:rsidTr="00C730AD">
        <w:trPr>
          <w:trHeight w:val="659"/>
        </w:trPr>
        <w:tc>
          <w:tcPr>
            <w:tcW w:w="449" w:type="dxa"/>
            <w:tcBorders>
              <w:top w:val="single" w:sz="4" w:space="0" w:color="auto"/>
              <w:left w:val="single" w:sz="4" w:space="0" w:color="auto"/>
              <w:bottom w:val="single" w:sz="4" w:space="0" w:color="auto"/>
              <w:right w:val="single" w:sz="4" w:space="0" w:color="auto"/>
            </w:tcBorders>
            <w:shd w:val="clear" w:color="auto" w:fill="auto"/>
          </w:tcPr>
          <w:p w:rsidR="006273F2" w:rsidRPr="003248BC" w:rsidRDefault="006273F2" w:rsidP="00263CA1">
            <w:pPr>
              <w:spacing w:after="0" w:line="240" w:lineRule="auto"/>
              <w:rPr>
                <w:rFonts w:ascii="Times New Roman" w:eastAsia="Calibri" w:hAnsi="Times New Roman" w:cs="Times New Roman"/>
              </w:rPr>
            </w:pPr>
          </w:p>
        </w:tc>
        <w:tc>
          <w:tcPr>
            <w:tcW w:w="1256" w:type="dxa"/>
            <w:tcBorders>
              <w:top w:val="single" w:sz="4" w:space="0" w:color="auto"/>
              <w:left w:val="single" w:sz="4" w:space="0" w:color="auto"/>
              <w:bottom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b/>
              </w:rPr>
            </w:pPr>
            <w:r w:rsidRPr="003248BC">
              <w:rPr>
                <w:rFonts w:ascii="Times New Roman" w:eastAsia="Calibri" w:hAnsi="Times New Roman" w:cs="Times New Roman"/>
                <w:b/>
              </w:rPr>
              <w:t>Readiness summary</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 across all domains</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 across all domains</w:t>
            </w:r>
          </w:p>
        </w:tc>
        <w:tc>
          <w:tcPr>
            <w:tcW w:w="2216" w:type="dxa"/>
            <w:gridSpan w:val="2"/>
            <w:tcBorders>
              <w:top w:val="single" w:sz="4" w:space="0" w:color="auto"/>
              <w:left w:val="single" w:sz="4" w:space="0" w:color="auto"/>
              <w:bottom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 across all domains</w:t>
            </w: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rsidR="006273F2" w:rsidRPr="003248BC" w:rsidRDefault="006273F2" w:rsidP="00263CA1">
            <w:pPr>
              <w:spacing w:after="0" w:line="240" w:lineRule="auto"/>
              <w:rPr>
                <w:rFonts w:ascii="Times New Roman" w:eastAsia="Calibri" w:hAnsi="Times New Roman" w:cs="Times New Roman"/>
              </w:rPr>
            </w:pPr>
            <w:r w:rsidRPr="003248BC">
              <w:rPr>
                <w:rFonts w:ascii="Times New Roman" w:eastAsia="Calibri" w:hAnsi="Times New Roman" w:cs="Times New Roman"/>
              </w:rPr>
              <w:t>% across all the diseases</w:t>
            </w:r>
          </w:p>
        </w:tc>
      </w:tr>
    </w:tbl>
    <w:p w:rsidR="00263CA1" w:rsidRPr="003248BC" w:rsidRDefault="00263CA1" w:rsidP="00263CA1">
      <w:pPr>
        <w:tabs>
          <w:tab w:val="left" w:pos="5655"/>
        </w:tabs>
        <w:spacing w:after="0" w:line="240" w:lineRule="auto"/>
        <w:rPr>
          <w:rFonts w:ascii="Times New Roman" w:eastAsia="Calibri" w:hAnsi="Times New Roman" w:cs="Times New Roman"/>
          <w:color w:val="000000"/>
          <w:szCs w:val="18"/>
        </w:rPr>
      </w:pPr>
      <w:r w:rsidRPr="003248BC">
        <w:rPr>
          <w:rFonts w:ascii="Times New Roman" w:eastAsia="Calibri" w:hAnsi="Times New Roman" w:cs="Times New Roman"/>
          <w:color w:val="000000"/>
          <w:szCs w:val="18"/>
        </w:rPr>
        <w:tab/>
      </w:r>
    </w:p>
    <w:p w:rsidR="00263CA1" w:rsidRPr="003248BC" w:rsidRDefault="00263CA1" w:rsidP="00263CA1">
      <w:pPr>
        <w:spacing w:after="0" w:line="360" w:lineRule="auto"/>
        <w:rPr>
          <w:rFonts w:ascii="Times New Roman" w:eastAsia="Times New Roman" w:hAnsi="Times New Roman" w:cs="Times New Roman"/>
          <w:b/>
          <w:bCs/>
          <w:sz w:val="24"/>
          <w:szCs w:val="28"/>
        </w:rPr>
      </w:pPr>
      <w:r w:rsidRPr="003248BC">
        <w:rPr>
          <w:rFonts w:ascii="Times New Roman" w:eastAsia="Calibri" w:hAnsi="Times New Roman" w:cs="Times New Roman"/>
          <w:color w:val="000000"/>
          <w:szCs w:val="18"/>
        </w:rPr>
        <w:t>*</w:t>
      </w:r>
      <w:r w:rsidRPr="003248BC">
        <w:rPr>
          <w:rFonts w:ascii="Times New Roman" w:eastAsia="Calibri" w:hAnsi="Times New Roman" w:cs="Times New Roman"/>
          <w:i/>
          <w:color w:val="000000"/>
          <w:szCs w:val="18"/>
        </w:rPr>
        <w:t>A score of 1 was assigned to each item in the component domains and the mean score express as percentage</w:t>
      </w:r>
    </w:p>
    <w:p w:rsidR="00233F44" w:rsidRPr="003248BC" w:rsidRDefault="000D6C8A">
      <w:pPr>
        <w:rPr>
          <w:rFonts w:ascii="Times New Roman" w:hAnsi="Times New Roman" w:cs="Times New Roman"/>
        </w:rPr>
      </w:pPr>
      <w:r w:rsidRPr="003248BC">
        <w:rPr>
          <w:rFonts w:ascii="Times New Roman" w:hAnsi="Times New Roman" w:cs="Times New Roman"/>
        </w:rPr>
        <w:t>IEC- Information, education and communication materials displayed; NCD- Non-communicable disease</w:t>
      </w:r>
    </w:p>
    <w:p w:rsidR="000D14A8" w:rsidRPr="003248BC" w:rsidRDefault="000D14A8">
      <w:pPr>
        <w:rPr>
          <w:rFonts w:ascii="Times New Roman" w:hAnsi="Times New Roman" w:cs="Times New Roman"/>
        </w:rPr>
      </w:pPr>
    </w:p>
    <w:p w:rsidR="000D14A8" w:rsidRPr="003248BC" w:rsidRDefault="000D14A8">
      <w:pPr>
        <w:rPr>
          <w:rFonts w:ascii="Times New Roman" w:hAnsi="Times New Roman" w:cs="Times New Roman"/>
        </w:rPr>
      </w:pPr>
    </w:p>
    <w:p w:rsidR="000D14A8" w:rsidRPr="003248BC" w:rsidRDefault="000D14A8">
      <w:pPr>
        <w:rPr>
          <w:rFonts w:ascii="Times New Roman" w:hAnsi="Times New Roman" w:cs="Times New Roman"/>
        </w:rPr>
      </w:pPr>
    </w:p>
    <w:p w:rsidR="000D14A8" w:rsidRPr="003248BC" w:rsidRDefault="000D14A8">
      <w:pPr>
        <w:rPr>
          <w:rFonts w:ascii="Times New Roman" w:hAnsi="Times New Roman" w:cs="Times New Roman"/>
        </w:rPr>
      </w:pPr>
    </w:p>
    <w:p w:rsidR="00E02C33" w:rsidRDefault="00E02C33" w:rsidP="000D14A8">
      <w:pPr>
        <w:tabs>
          <w:tab w:val="left" w:pos="8220"/>
        </w:tabs>
        <w:spacing w:after="0" w:line="480" w:lineRule="auto"/>
        <w:jc w:val="both"/>
        <w:rPr>
          <w:rFonts w:ascii="Times New Roman" w:eastAsia="Times New Roman" w:hAnsi="Times New Roman" w:cs="Times New Roman"/>
          <w:b/>
          <w:bCs/>
          <w:color w:val="000000" w:themeColor="text1"/>
          <w:sz w:val="24"/>
          <w:szCs w:val="28"/>
        </w:rPr>
      </w:pPr>
    </w:p>
    <w:p w:rsidR="00E02C33" w:rsidRDefault="00E02C33" w:rsidP="000D14A8">
      <w:pPr>
        <w:tabs>
          <w:tab w:val="left" w:pos="8220"/>
        </w:tabs>
        <w:spacing w:after="0" w:line="480" w:lineRule="auto"/>
        <w:jc w:val="both"/>
        <w:rPr>
          <w:rFonts w:ascii="Times New Roman" w:eastAsia="Times New Roman" w:hAnsi="Times New Roman" w:cs="Times New Roman"/>
          <w:b/>
          <w:bCs/>
          <w:color w:val="000000" w:themeColor="text1"/>
          <w:sz w:val="24"/>
          <w:szCs w:val="28"/>
        </w:rPr>
      </w:pPr>
    </w:p>
    <w:p w:rsidR="00E02C33" w:rsidRDefault="00E02C33" w:rsidP="00E02C33">
      <w:pPr>
        <w:tabs>
          <w:tab w:val="left" w:pos="8220"/>
        </w:tabs>
        <w:spacing w:after="0" w:line="360" w:lineRule="auto"/>
        <w:jc w:val="both"/>
        <w:rPr>
          <w:rFonts w:ascii="Times New Roman" w:eastAsia="Times New Roman" w:hAnsi="Times New Roman" w:cs="Times New Roman"/>
          <w:b/>
          <w:bCs/>
          <w:color w:val="000000" w:themeColor="text1"/>
          <w:sz w:val="24"/>
          <w:szCs w:val="28"/>
        </w:rPr>
      </w:pPr>
    </w:p>
    <w:p w:rsidR="00E02C33" w:rsidRDefault="000D14A8" w:rsidP="00E02C33">
      <w:pPr>
        <w:tabs>
          <w:tab w:val="left" w:pos="8220"/>
        </w:tabs>
        <w:spacing w:after="0" w:line="360" w:lineRule="auto"/>
        <w:jc w:val="center"/>
        <w:rPr>
          <w:rFonts w:ascii="Times New Roman" w:eastAsia="Times New Roman" w:hAnsi="Times New Roman" w:cs="Times New Roman"/>
          <w:b/>
          <w:bCs/>
          <w:color w:val="000000" w:themeColor="text1"/>
          <w:sz w:val="24"/>
          <w:szCs w:val="28"/>
        </w:rPr>
      </w:pPr>
      <w:r w:rsidRPr="003248BC">
        <w:rPr>
          <w:rFonts w:ascii="Times New Roman" w:eastAsia="Times New Roman" w:hAnsi="Times New Roman" w:cs="Times New Roman"/>
          <w:b/>
          <w:bCs/>
          <w:color w:val="000000" w:themeColor="text1"/>
          <w:sz w:val="24"/>
          <w:szCs w:val="28"/>
        </w:rPr>
        <w:lastRenderedPageBreak/>
        <w:t>Appendix 2:</w:t>
      </w:r>
    </w:p>
    <w:p w:rsidR="000D14A8" w:rsidRPr="003248BC" w:rsidRDefault="000D14A8" w:rsidP="00E02C33">
      <w:pPr>
        <w:tabs>
          <w:tab w:val="left" w:pos="8220"/>
        </w:tabs>
        <w:spacing w:after="0" w:line="276" w:lineRule="auto"/>
        <w:jc w:val="both"/>
        <w:rPr>
          <w:rFonts w:ascii="Times New Roman" w:eastAsia="Times New Roman" w:hAnsi="Times New Roman" w:cs="Times New Roman"/>
          <w:b/>
          <w:bCs/>
          <w:color w:val="000000" w:themeColor="text1"/>
          <w:sz w:val="24"/>
          <w:szCs w:val="28"/>
        </w:rPr>
      </w:pPr>
      <w:r w:rsidRPr="003248BC">
        <w:rPr>
          <w:rFonts w:ascii="Times New Roman" w:eastAsia="Times New Roman" w:hAnsi="Times New Roman" w:cs="Times New Roman"/>
          <w:b/>
          <w:bCs/>
          <w:color w:val="000000" w:themeColor="text1"/>
          <w:sz w:val="24"/>
          <w:szCs w:val="28"/>
        </w:rPr>
        <w:t>Comparison of availability of trained staff, IEC materials and guidelines in rural and urban PHC facilities for implementation of essential NCD interventions</w:t>
      </w:r>
    </w:p>
    <w:tbl>
      <w:tblPr>
        <w:tblpPr w:leftFromText="180" w:rightFromText="180" w:bottomFromText="200" w:vertAnchor="text" w:horzAnchor="margin" w:tblpY="236"/>
        <w:tblOverlap w:val="neve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8"/>
        <w:gridCol w:w="1821"/>
        <w:gridCol w:w="1417"/>
        <w:gridCol w:w="542"/>
        <w:gridCol w:w="1530"/>
      </w:tblGrid>
      <w:tr w:rsidR="000D14A8" w:rsidRPr="003248BC" w:rsidTr="00E02C33">
        <w:trPr>
          <w:trHeight w:val="437"/>
        </w:trPr>
        <w:tc>
          <w:tcPr>
            <w:tcW w:w="3708" w:type="dxa"/>
            <w:vMerge w:val="restart"/>
            <w:tcBorders>
              <w:top w:val="single" w:sz="4" w:space="0" w:color="auto"/>
              <w:left w:val="nil"/>
              <w:bottom w:val="single" w:sz="4" w:space="0" w:color="auto"/>
              <w:right w:val="nil"/>
            </w:tcBorders>
          </w:tcPr>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b/>
              </w:rPr>
              <w:t>Availability of  a trained staff,  IEC material and guideline in PHC facilities</w:t>
            </w:r>
          </w:p>
        </w:tc>
        <w:tc>
          <w:tcPr>
            <w:tcW w:w="3780" w:type="dxa"/>
            <w:gridSpan w:val="3"/>
            <w:tcBorders>
              <w:left w:val="nil"/>
              <w:bottom w:val="single" w:sz="4" w:space="0" w:color="auto"/>
              <w:right w:val="nil"/>
            </w:tcBorders>
          </w:tcPr>
          <w:p w:rsidR="000D14A8" w:rsidRPr="003248BC" w:rsidRDefault="000D14A8" w:rsidP="00C262A6">
            <w:pPr>
              <w:spacing w:after="0" w:line="276" w:lineRule="auto"/>
              <w:jc w:val="center"/>
              <w:rPr>
                <w:rFonts w:ascii="Times New Roman" w:eastAsia="Calibri" w:hAnsi="Times New Roman" w:cs="Times New Roman"/>
                <w:b/>
              </w:rPr>
            </w:pPr>
            <w:r w:rsidRPr="003248BC">
              <w:rPr>
                <w:rFonts w:ascii="Times New Roman" w:eastAsia="Calibri" w:hAnsi="Times New Roman" w:cs="Times New Roman"/>
                <w:b/>
              </w:rPr>
              <w:t xml:space="preserve">Location </w:t>
            </w:r>
          </w:p>
        </w:tc>
        <w:tc>
          <w:tcPr>
            <w:tcW w:w="1530" w:type="dxa"/>
            <w:vMerge w:val="restart"/>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b/>
              </w:rPr>
            </w:pPr>
            <w:r w:rsidRPr="003248BC">
              <w:rPr>
                <w:rFonts w:ascii="Times New Roman" w:eastAsia="Calibri" w:hAnsi="Times New Roman" w:cs="Times New Roman"/>
                <w:b/>
              </w:rPr>
              <w:t>Statistics</w:t>
            </w:r>
          </w:p>
          <w:p w:rsidR="000D14A8" w:rsidRPr="003248BC" w:rsidRDefault="000D14A8" w:rsidP="00C262A6">
            <w:pPr>
              <w:spacing w:after="0" w:line="276" w:lineRule="auto"/>
              <w:jc w:val="both"/>
              <w:rPr>
                <w:rFonts w:ascii="Times New Roman" w:eastAsia="Calibri" w:hAnsi="Times New Roman" w:cs="Times New Roman"/>
                <w:b/>
              </w:rPr>
            </w:pPr>
          </w:p>
          <w:p w:rsidR="000D14A8" w:rsidRPr="003248BC" w:rsidRDefault="000D14A8" w:rsidP="00C262A6">
            <w:pPr>
              <w:spacing w:after="0" w:line="276" w:lineRule="auto"/>
              <w:jc w:val="center"/>
              <w:rPr>
                <w:rFonts w:ascii="Times New Roman" w:eastAsia="Calibri" w:hAnsi="Times New Roman" w:cs="Times New Roman"/>
                <w:b/>
              </w:rPr>
            </w:pPr>
            <w:r w:rsidRPr="003248BC">
              <w:rPr>
                <w:rFonts w:ascii="Times New Roman" w:eastAsia="Calibri" w:hAnsi="Times New Roman" w:cs="Times New Roman"/>
                <w:b/>
              </w:rPr>
              <w:t>χ2</w:t>
            </w:r>
          </w:p>
        </w:tc>
      </w:tr>
      <w:tr w:rsidR="000D14A8" w:rsidRPr="003248BC" w:rsidTr="00E02C33">
        <w:trPr>
          <w:trHeight w:val="608"/>
        </w:trPr>
        <w:tc>
          <w:tcPr>
            <w:tcW w:w="3708" w:type="dxa"/>
            <w:vMerge/>
            <w:tcBorders>
              <w:top w:val="nil"/>
              <w:left w:val="nil"/>
              <w:bottom w:val="single" w:sz="4" w:space="0" w:color="auto"/>
              <w:right w:val="nil"/>
            </w:tcBorders>
          </w:tcPr>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p>
        </w:tc>
        <w:tc>
          <w:tcPr>
            <w:tcW w:w="1821" w:type="dxa"/>
            <w:tcBorders>
              <w:top w:val="single" w:sz="4" w:space="0" w:color="auto"/>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b/>
              </w:rPr>
            </w:pPr>
            <w:r w:rsidRPr="003248BC">
              <w:rPr>
                <w:rFonts w:ascii="Times New Roman" w:eastAsia="Calibri" w:hAnsi="Times New Roman" w:cs="Times New Roman"/>
                <w:b/>
              </w:rPr>
              <w:t>Rural</w:t>
            </w:r>
          </w:p>
          <w:p w:rsidR="000D14A8" w:rsidRPr="003248BC" w:rsidRDefault="000D14A8" w:rsidP="00C262A6">
            <w:pPr>
              <w:spacing w:after="0" w:line="276" w:lineRule="auto"/>
              <w:jc w:val="both"/>
              <w:rPr>
                <w:rFonts w:ascii="Times New Roman" w:eastAsia="Calibri" w:hAnsi="Times New Roman" w:cs="Times New Roman"/>
                <w:b/>
              </w:rPr>
            </w:pPr>
            <w:r w:rsidRPr="003248BC">
              <w:rPr>
                <w:rFonts w:ascii="Times New Roman" w:eastAsia="Calibri" w:hAnsi="Times New Roman" w:cs="Times New Roman"/>
                <w:b/>
              </w:rPr>
              <w:t>n = 33 (%)</w:t>
            </w:r>
          </w:p>
        </w:tc>
        <w:tc>
          <w:tcPr>
            <w:tcW w:w="1417"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b/>
              </w:rPr>
            </w:pPr>
            <w:r w:rsidRPr="003248BC">
              <w:rPr>
                <w:rFonts w:ascii="Times New Roman" w:eastAsia="Calibri" w:hAnsi="Times New Roman" w:cs="Times New Roman"/>
                <w:b/>
              </w:rPr>
              <w:t>Urban</w:t>
            </w:r>
          </w:p>
          <w:p w:rsidR="000D14A8" w:rsidRPr="003248BC" w:rsidRDefault="000D14A8" w:rsidP="00C262A6">
            <w:pPr>
              <w:spacing w:after="0" w:line="276" w:lineRule="auto"/>
              <w:jc w:val="both"/>
              <w:rPr>
                <w:rFonts w:ascii="Times New Roman" w:eastAsia="Calibri" w:hAnsi="Times New Roman" w:cs="Times New Roman"/>
                <w:b/>
              </w:rPr>
            </w:pPr>
            <w:r w:rsidRPr="003248BC">
              <w:rPr>
                <w:rFonts w:ascii="Times New Roman" w:eastAsia="Calibri" w:hAnsi="Times New Roman" w:cs="Times New Roman"/>
                <w:b/>
              </w:rPr>
              <w:t>n =33 (%)</w:t>
            </w:r>
          </w:p>
        </w:tc>
        <w:tc>
          <w:tcPr>
            <w:tcW w:w="542" w:type="dxa"/>
            <w:tcBorders>
              <w:top w:val="nil"/>
              <w:left w:val="nil"/>
              <w:bottom w:val="single" w:sz="4" w:space="0" w:color="auto"/>
              <w:right w:val="nil"/>
            </w:tcBorders>
          </w:tcPr>
          <w:p w:rsidR="000D14A8" w:rsidRPr="003248BC" w:rsidRDefault="000D14A8" w:rsidP="00C262A6">
            <w:pPr>
              <w:spacing w:after="0" w:line="240" w:lineRule="auto"/>
              <w:jc w:val="both"/>
              <w:rPr>
                <w:rFonts w:ascii="Times New Roman" w:eastAsia="Calibri" w:hAnsi="Times New Roman" w:cs="Times New Roman"/>
                <w:b/>
              </w:rPr>
            </w:pPr>
          </w:p>
        </w:tc>
        <w:tc>
          <w:tcPr>
            <w:tcW w:w="1530" w:type="dxa"/>
            <w:vMerge/>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b/>
              </w:rPr>
            </w:pPr>
          </w:p>
        </w:tc>
      </w:tr>
      <w:tr w:rsidR="000D14A8" w:rsidRPr="003248BC" w:rsidTr="00E02C33">
        <w:trPr>
          <w:trHeight w:val="355"/>
        </w:trPr>
        <w:tc>
          <w:tcPr>
            <w:tcW w:w="3708" w:type="dxa"/>
            <w:tcBorders>
              <w:top w:val="single" w:sz="4" w:space="0" w:color="auto"/>
              <w:left w:val="nil"/>
              <w:bottom w:val="nil"/>
              <w:right w:val="nil"/>
            </w:tcBorders>
            <w:hideMark/>
          </w:tcPr>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b/>
              </w:rPr>
              <w:t xml:space="preserve">Trained Staff </w:t>
            </w:r>
          </w:p>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b/>
              </w:rPr>
              <w:t xml:space="preserve">   Hypertension</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Staff training in the last 2 years</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No recent training</w:t>
            </w:r>
          </w:p>
        </w:tc>
        <w:tc>
          <w:tcPr>
            <w:tcW w:w="1821" w:type="dxa"/>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 (9.1)</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30 (90.9)</w:t>
            </w:r>
          </w:p>
        </w:tc>
        <w:tc>
          <w:tcPr>
            <w:tcW w:w="1417" w:type="dxa"/>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6 (18.2)</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27 (81.2)</w:t>
            </w:r>
          </w:p>
        </w:tc>
        <w:tc>
          <w:tcPr>
            <w:tcW w:w="542" w:type="dxa"/>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tc>
        <w:tc>
          <w:tcPr>
            <w:tcW w:w="1530" w:type="dxa"/>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vertAlign w:val="superscript"/>
              </w:rPr>
            </w:pPr>
            <w:r w:rsidRPr="003248BC">
              <w:rPr>
                <w:rFonts w:ascii="Times New Roman" w:eastAsia="Calibri" w:hAnsi="Times New Roman" w:cs="Times New Roman"/>
              </w:rPr>
              <w:t>1.158</w:t>
            </w:r>
            <w:r w:rsidRPr="003248BC">
              <w:rPr>
                <w:rFonts w:ascii="Times New Roman" w:eastAsia="Calibri" w:hAnsi="Times New Roman" w:cs="Times New Roman"/>
                <w:b/>
                <w:vertAlign w:val="superscript"/>
              </w:rPr>
              <w:t>+</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p=  0.475</w:t>
            </w:r>
          </w:p>
        </w:tc>
      </w:tr>
      <w:tr w:rsidR="000D14A8" w:rsidRPr="003248BC" w:rsidTr="00E02C33">
        <w:trPr>
          <w:trHeight w:val="360"/>
        </w:trPr>
        <w:tc>
          <w:tcPr>
            <w:tcW w:w="3708" w:type="dxa"/>
            <w:tcBorders>
              <w:top w:val="nil"/>
              <w:left w:val="nil"/>
              <w:bottom w:val="nil"/>
              <w:right w:val="nil"/>
            </w:tcBorders>
            <w:hideMark/>
          </w:tcPr>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b/>
              </w:rPr>
              <w:t xml:space="preserve">   Diabetes mellitus</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Staff training in the last 2 years</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No recent training</w:t>
            </w:r>
          </w:p>
        </w:tc>
        <w:tc>
          <w:tcPr>
            <w:tcW w:w="1821"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5 (15.2)</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28 (84.8)</w:t>
            </w:r>
          </w:p>
        </w:tc>
        <w:tc>
          <w:tcPr>
            <w:tcW w:w="1417"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9 (27.3)</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24 (72.7)</w:t>
            </w:r>
          </w:p>
        </w:tc>
        <w:tc>
          <w:tcPr>
            <w:tcW w:w="542"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tc>
        <w:tc>
          <w:tcPr>
            <w:tcW w:w="1530"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1.451</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p= 0.228</w:t>
            </w:r>
          </w:p>
        </w:tc>
      </w:tr>
      <w:tr w:rsidR="000D14A8" w:rsidRPr="003248BC" w:rsidTr="00E02C33">
        <w:trPr>
          <w:trHeight w:val="589"/>
        </w:trPr>
        <w:tc>
          <w:tcPr>
            <w:tcW w:w="3708" w:type="dxa"/>
            <w:tcBorders>
              <w:top w:val="nil"/>
              <w:left w:val="nil"/>
              <w:bottom w:val="single" w:sz="4" w:space="0" w:color="auto"/>
              <w:right w:val="nil"/>
            </w:tcBorders>
            <w:hideMark/>
          </w:tcPr>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b/>
              </w:rPr>
              <w:t xml:space="preserve">   Chronic respiratory diseases</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Staff training in the last 2 years</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No recent training</w:t>
            </w:r>
          </w:p>
        </w:tc>
        <w:tc>
          <w:tcPr>
            <w:tcW w:w="1821"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1 (3.0)</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32 (97.0)</w:t>
            </w:r>
          </w:p>
        </w:tc>
        <w:tc>
          <w:tcPr>
            <w:tcW w:w="1417"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2 (6.1)</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31 (93.9)</w:t>
            </w:r>
          </w:p>
        </w:tc>
        <w:tc>
          <w:tcPr>
            <w:tcW w:w="542"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tc>
        <w:tc>
          <w:tcPr>
            <w:tcW w:w="1530"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0.349</w:t>
            </w:r>
            <w:r w:rsidRPr="003248BC">
              <w:rPr>
                <w:rFonts w:ascii="Times New Roman" w:eastAsia="Calibri" w:hAnsi="Times New Roman" w:cs="Times New Roman"/>
                <w:b/>
                <w:vertAlign w:val="superscript"/>
              </w:rPr>
              <w:t>+</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p=  1.000</w:t>
            </w:r>
          </w:p>
        </w:tc>
      </w:tr>
      <w:tr w:rsidR="000D14A8" w:rsidRPr="003248BC" w:rsidTr="00E02C33">
        <w:trPr>
          <w:trHeight w:val="630"/>
        </w:trPr>
        <w:tc>
          <w:tcPr>
            <w:tcW w:w="3708" w:type="dxa"/>
            <w:tcBorders>
              <w:top w:val="single" w:sz="4" w:space="0" w:color="auto"/>
              <w:left w:val="nil"/>
              <w:bottom w:val="nil"/>
              <w:right w:val="nil"/>
            </w:tcBorders>
          </w:tcPr>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b/>
              </w:rPr>
              <w:t>Guideline</w:t>
            </w:r>
          </w:p>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b/>
              </w:rPr>
              <w:t xml:space="preserve">     Hypertension</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Available</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Not available  </w:t>
            </w:r>
          </w:p>
        </w:tc>
        <w:tc>
          <w:tcPr>
            <w:tcW w:w="1821" w:type="dxa"/>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4 (12.1)</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29 (87.9)</w:t>
            </w:r>
          </w:p>
        </w:tc>
        <w:tc>
          <w:tcPr>
            <w:tcW w:w="1417" w:type="dxa"/>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4 (12.1)</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29 (87.9)</w:t>
            </w:r>
          </w:p>
        </w:tc>
        <w:tc>
          <w:tcPr>
            <w:tcW w:w="542" w:type="dxa"/>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tc>
        <w:tc>
          <w:tcPr>
            <w:tcW w:w="1530" w:type="dxa"/>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0.000</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p= 1.000</w:t>
            </w:r>
          </w:p>
        </w:tc>
      </w:tr>
      <w:tr w:rsidR="000D14A8" w:rsidRPr="003248BC" w:rsidTr="00E02C33">
        <w:trPr>
          <w:trHeight w:val="630"/>
        </w:trPr>
        <w:tc>
          <w:tcPr>
            <w:tcW w:w="3708" w:type="dxa"/>
            <w:tcBorders>
              <w:top w:val="nil"/>
              <w:left w:val="nil"/>
              <w:bottom w:val="nil"/>
              <w:right w:val="nil"/>
            </w:tcBorders>
          </w:tcPr>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b/>
              </w:rPr>
              <w:t xml:space="preserve">    Diabetes mellitus</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Available</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Not available  </w:t>
            </w:r>
          </w:p>
        </w:tc>
        <w:tc>
          <w:tcPr>
            <w:tcW w:w="1821"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1 (3.0)</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32 (97.0)</w:t>
            </w:r>
          </w:p>
        </w:tc>
        <w:tc>
          <w:tcPr>
            <w:tcW w:w="1417"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2 (6.1)</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31 (93.9)</w:t>
            </w:r>
          </w:p>
        </w:tc>
        <w:tc>
          <w:tcPr>
            <w:tcW w:w="542"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tc>
        <w:tc>
          <w:tcPr>
            <w:tcW w:w="1530"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0.349</w:t>
            </w:r>
            <w:r w:rsidRPr="003248BC">
              <w:rPr>
                <w:rFonts w:ascii="Times New Roman" w:eastAsia="Calibri" w:hAnsi="Times New Roman" w:cs="Times New Roman"/>
                <w:b/>
                <w:vertAlign w:val="superscript"/>
              </w:rPr>
              <w:t>+</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p= 1.000</w:t>
            </w:r>
          </w:p>
        </w:tc>
      </w:tr>
      <w:tr w:rsidR="000D14A8" w:rsidRPr="003248BC" w:rsidTr="00E02C33">
        <w:trPr>
          <w:trHeight w:val="630"/>
        </w:trPr>
        <w:tc>
          <w:tcPr>
            <w:tcW w:w="3708" w:type="dxa"/>
            <w:tcBorders>
              <w:top w:val="nil"/>
              <w:left w:val="nil"/>
              <w:bottom w:val="single" w:sz="4" w:space="0" w:color="auto"/>
              <w:right w:val="nil"/>
            </w:tcBorders>
          </w:tcPr>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b/>
              </w:rPr>
              <w:t xml:space="preserve">    Chronic respiratory diseases</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Available</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Not available  </w:t>
            </w:r>
          </w:p>
        </w:tc>
        <w:tc>
          <w:tcPr>
            <w:tcW w:w="1821"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 (9.1)</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30 (90.9)</w:t>
            </w:r>
          </w:p>
        </w:tc>
        <w:tc>
          <w:tcPr>
            <w:tcW w:w="1417"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(0 (0.0)</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33 (100.0)</w:t>
            </w:r>
          </w:p>
        </w:tc>
        <w:tc>
          <w:tcPr>
            <w:tcW w:w="542"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tc>
        <w:tc>
          <w:tcPr>
            <w:tcW w:w="1530"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3.143</w:t>
            </w:r>
            <w:r w:rsidRPr="003248BC">
              <w:rPr>
                <w:rFonts w:ascii="Times New Roman" w:eastAsia="Calibri" w:hAnsi="Times New Roman" w:cs="Times New Roman"/>
                <w:b/>
                <w:vertAlign w:val="superscript"/>
              </w:rPr>
              <w:t>+</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p=  0.238</w:t>
            </w:r>
          </w:p>
        </w:tc>
      </w:tr>
      <w:tr w:rsidR="000D14A8" w:rsidRPr="003248BC" w:rsidTr="00E02C33">
        <w:trPr>
          <w:trHeight w:val="630"/>
        </w:trPr>
        <w:tc>
          <w:tcPr>
            <w:tcW w:w="3708" w:type="dxa"/>
            <w:tcBorders>
              <w:top w:val="single" w:sz="4" w:space="0" w:color="auto"/>
              <w:left w:val="nil"/>
              <w:bottom w:val="nil"/>
              <w:right w:val="nil"/>
            </w:tcBorders>
          </w:tcPr>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b/>
              </w:rPr>
            </w:pPr>
            <w:r w:rsidRPr="003248BC">
              <w:rPr>
                <w:rFonts w:ascii="Times New Roman" w:eastAsia="Calibri" w:hAnsi="Times New Roman" w:cs="Times New Roman"/>
                <w:b/>
              </w:rPr>
              <w:t>IEC Material</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b/>
              </w:rPr>
            </w:pPr>
            <w:r w:rsidRPr="003248BC">
              <w:rPr>
                <w:rFonts w:ascii="Times New Roman" w:eastAsia="Calibri" w:hAnsi="Times New Roman" w:cs="Times New Roman"/>
                <w:b/>
              </w:rPr>
              <w:t xml:space="preserve">    Hypertension</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Available</w:t>
            </w:r>
          </w:p>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rPr>
            </w:pPr>
            <w:r w:rsidRPr="003248BC">
              <w:rPr>
                <w:rFonts w:ascii="Times New Roman" w:eastAsia="Calibri" w:hAnsi="Times New Roman" w:cs="Times New Roman"/>
              </w:rPr>
              <w:t xml:space="preserve">        Not available  </w:t>
            </w:r>
          </w:p>
        </w:tc>
        <w:tc>
          <w:tcPr>
            <w:tcW w:w="1821" w:type="dxa"/>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0 (0.0)</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33 (100.0)</w:t>
            </w:r>
          </w:p>
        </w:tc>
        <w:tc>
          <w:tcPr>
            <w:tcW w:w="1417" w:type="dxa"/>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 (9.1)</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154 (77.0)</w:t>
            </w:r>
          </w:p>
        </w:tc>
        <w:tc>
          <w:tcPr>
            <w:tcW w:w="542" w:type="dxa"/>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tc>
        <w:tc>
          <w:tcPr>
            <w:tcW w:w="1530" w:type="dxa"/>
            <w:tcBorders>
              <w:top w:val="single" w:sz="4" w:space="0" w:color="auto"/>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3.143</w:t>
            </w:r>
            <w:r w:rsidRPr="003248BC">
              <w:rPr>
                <w:rFonts w:ascii="Times New Roman" w:eastAsia="Calibri" w:hAnsi="Times New Roman" w:cs="Times New Roman"/>
                <w:b/>
                <w:vertAlign w:val="superscript"/>
              </w:rPr>
              <w:t>+</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p=  0.238</w:t>
            </w:r>
          </w:p>
        </w:tc>
      </w:tr>
      <w:tr w:rsidR="000D14A8" w:rsidRPr="003248BC" w:rsidTr="00E02C33">
        <w:trPr>
          <w:trHeight w:val="630"/>
        </w:trPr>
        <w:tc>
          <w:tcPr>
            <w:tcW w:w="3708" w:type="dxa"/>
            <w:tcBorders>
              <w:top w:val="nil"/>
              <w:left w:val="nil"/>
              <w:bottom w:val="nil"/>
              <w:right w:val="nil"/>
            </w:tcBorders>
          </w:tcPr>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b/>
              </w:rPr>
              <w:t xml:space="preserve">    Diabetes mellitus</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Available</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Not available  </w:t>
            </w:r>
          </w:p>
        </w:tc>
        <w:tc>
          <w:tcPr>
            <w:tcW w:w="1821"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(0 (0.0)</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33 (100.0)</w:t>
            </w:r>
          </w:p>
        </w:tc>
        <w:tc>
          <w:tcPr>
            <w:tcW w:w="1417"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7 (21.2)</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26 (78.8)</w:t>
            </w:r>
          </w:p>
        </w:tc>
        <w:tc>
          <w:tcPr>
            <w:tcW w:w="542"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tc>
        <w:tc>
          <w:tcPr>
            <w:tcW w:w="1530"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7.831</w:t>
            </w:r>
            <w:r w:rsidRPr="003248BC">
              <w:rPr>
                <w:rFonts w:ascii="Times New Roman" w:eastAsia="Calibri" w:hAnsi="Times New Roman" w:cs="Times New Roman"/>
                <w:b/>
                <w:vertAlign w:val="superscript"/>
              </w:rPr>
              <w:t>+</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p= 0.011*</w:t>
            </w:r>
          </w:p>
        </w:tc>
      </w:tr>
      <w:tr w:rsidR="000D14A8" w:rsidRPr="003248BC" w:rsidTr="00E02C33">
        <w:trPr>
          <w:trHeight w:val="630"/>
        </w:trPr>
        <w:tc>
          <w:tcPr>
            <w:tcW w:w="3708" w:type="dxa"/>
            <w:tcBorders>
              <w:top w:val="nil"/>
              <w:left w:val="nil"/>
              <w:bottom w:val="nil"/>
              <w:right w:val="nil"/>
            </w:tcBorders>
          </w:tcPr>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b/>
              </w:rPr>
              <w:t xml:space="preserve">    Chronic respiratory diseases</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Available</w:t>
            </w:r>
          </w:p>
          <w:p w:rsidR="000D14A8" w:rsidRPr="003248BC" w:rsidRDefault="000D14A8" w:rsidP="00C262A6">
            <w:pPr>
              <w:widowControl w:val="0"/>
              <w:autoSpaceDE w:val="0"/>
              <w:autoSpaceDN w:val="0"/>
              <w:adjustRightInd w:val="0"/>
              <w:spacing w:after="0" w:line="276" w:lineRule="auto"/>
              <w:jc w:val="both"/>
              <w:rPr>
                <w:rFonts w:ascii="Times New Roman" w:eastAsia="Calibri" w:hAnsi="Times New Roman" w:cs="Times New Roman"/>
              </w:rPr>
            </w:pPr>
            <w:r w:rsidRPr="003248BC">
              <w:rPr>
                <w:rFonts w:ascii="Times New Roman" w:eastAsia="Calibri" w:hAnsi="Times New Roman" w:cs="Times New Roman"/>
              </w:rPr>
              <w:t xml:space="preserve">       Not available  </w:t>
            </w:r>
          </w:p>
        </w:tc>
        <w:tc>
          <w:tcPr>
            <w:tcW w:w="1821"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(0 (0.0)</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33 (100.0)</w:t>
            </w:r>
          </w:p>
        </w:tc>
        <w:tc>
          <w:tcPr>
            <w:tcW w:w="1417"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1 (3.0)</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32 (97.0)</w:t>
            </w:r>
          </w:p>
        </w:tc>
        <w:tc>
          <w:tcPr>
            <w:tcW w:w="542"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tc>
        <w:tc>
          <w:tcPr>
            <w:tcW w:w="1530" w:type="dxa"/>
            <w:tcBorders>
              <w:top w:val="nil"/>
              <w:left w:val="nil"/>
              <w:bottom w:val="nil"/>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1.015</w:t>
            </w:r>
            <w:r w:rsidRPr="003248BC">
              <w:rPr>
                <w:rFonts w:ascii="Times New Roman" w:eastAsia="Calibri" w:hAnsi="Times New Roman" w:cs="Times New Roman"/>
                <w:b/>
                <w:vertAlign w:val="superscript"/>
              </w:rPr>
              <w:t>+</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p=  1.000</w:t>
            </w:r>
          </w:p>
        </w:tc>
      </w:tr>
      <w:tr w:rsidR="000D14A8" w:rsidRPr="003248BC" w:rsidTr="00E02C33">
        <w:trPr>
          <w:trHeight w:val="630"/>
        </w:trPr>
        <w:tc>
          <w:tcPr>
            <w:tcW w:w="3708" w:type="dxa"/>
            <w:tcBorders>
              <w:top w:val="nil"/>
              <w:left w:val="nil"/>
              <w:bottom w:val="single" w:sz="4" w:space="0" w:color="auto"/>
              <w:right w:val="nil"/>
            </w:tcBorders>
          </w:tcPr>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b/>
              </w:rPr>
              <w:t xml:space="preserve">    Shared risk factors# </w:t>
            </w:r>
          </w:p>
          <w:p w:rsidR="000D14A8" w:rsidRPr="003248BC" w:rsidRDefault="000D14A8" w:rsidP="00C262A6">
            <w:pPr>
              <w:widowControl w:val="0"/>
              <w:autoSpaceDE w:val="0"/>
              <w:autoSpaceDN w:val="0"/>
              <w:adjustRightInd w:val="0"/>
              <w:spacing w:after="0" w:line="276" w:lineRule="auto"/>
              <w:rPr>
                <w:rFonts w:ascii="Times New Roman" w:eastAsia="Calibri" w:hAnsi="Times New Roman" w:cs="Times New Roman"/>
              </w:rPr>
            </w:pPr>
            <w:r w:rsidRPr="003248BC">
              <w:rPr>
                <w:rFonts w:ascii="Times New Roman" w:eastAsia="Calibri" w:hAnsi="Times New Roman" w:cs="Times New Roman"/>
                <w:b/>
              </w:rPr>
              <w:t xml:space="preserve">       </w:t>
            </w:r>
            <w:r w:rsidRPr="003248BC">
              <w:rPr>
                <w:rFonts w:ascii="Times New Roman" w:eastAsia="Calibri" w:hAnsi="Times New Roman" w:cs="Times New Roman"/>
              </w:rPr>
              <w:t>Available</w:t>
            </w:r>
          </w:p>
          <w:p w:rsidR="000D14A8" w:rsidRPr="003248BC" w:rsidRDefault="000D14A8" w:rsidP="00C262A6">
            <w:pPr>
              <w:widowControl w:val="0"/>
              <w:tabs>
                <w:tab w:val="left" w:pos="2190"/>
              </w:tabs>
              <w:autoSpaceDE w:val="0"/>
              <w:autoSpaceDN w:val="0"/>
              <w:adjustRightInd w:val="0"/>
              <w:spacing w:after="0" w:line="276" w:lineRule="auto"/>
              <w:rPr>
                <w:rFonts w:ascii="Times New Roman" w:eastAsia="Calibri" w:hAnsi="Times New Roman" w:cs="Times New Roman"/>
                <w:b/>
              </w:rPr>
            </w:pPr>
            <w:r w:rsidRPr="003248BC">
              <w:rPr>
                <w:rFonts w:ascii="Times New Roman" w:eastAsia="Calibri" w:hAnsi="Times New Roman" w:cs="Times New Roman"/>
              </w:rPr>
              <w:t xml:space="preserve">       Not available</w:t>
            </w:r>
            <w:r w:rsidRPr="003248BC">
              <w:rPr>
                <w:rFonts w:ascii="Times New Roman" w:eastAsia="Calibri" w:hAnsi="Times New Roman" w:cs="Times New Roman"/>
              </w:rPr>
              <w:tab/>
            </w:r>
          </w:p>
        </w:tc>
        <w:tc>
          <w:tcPr>
            <w:tcW w:w="1821"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6 (18.8)</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27 (81.8)</w:t>
            </w:r>
          </w:p>
        </w:tc>
        <w:tc>
          <w:tcPr>
            <w:tcW w:w="1417"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10 (30.3)</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23 (69.7)</w:t>
            </w:r>
          </w:p>
        </w:tc>
        <w:tc>
          <w:tcPr>
            <w:tcW w:w="542"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p>
        </w:tc>
        <w:tc>
          <w:tcPr>
            <w:tcW w:w="1530" w:type="dxa"/>
            <w:tcBorders>
              <w:top w:val="nil"/>
              <w:left w:val="nil"/>
              <w:bottom w:val="single" w:sz="4" w:space="0" w:color="auto"/>
              <w:right w:val="nil"/>
            </w:tcBorders>
          </w:tcPr>
          <w:p w:rsidR="000D14A8" w:rsidRPr="003248BC" w:rsidRDefault="000D14A8" w:rsidP="00C262A6">
            <w:pPr>
              <w:spacing w:after="0" w:line="276" w:lineRule="auto"/>
              <w:jc w:val="both"/>
              <w:rPr>
                <w:rFonts w:ascii="Times New Roman" w:eastAsia="Calibri" w:hAnsi="Times New Roman" w:cs="Times New Roman"/>
              </w:rPr>
            </w:pP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1.320</w:t>
            </w:r>
          </w:p>
          <w:p w:rsidR="000D14A8" w:rsidRPr="003248BC" w:rsidRDefault="000D14A8" w:rsidP="00C262A6">
            <w:pPr>
              <w:spacing w:after="0" w:line="276" w:lineRule="auto"/>
              <w:jc w:val="both"/>
              <w:rPr>
                <w:rFonts w:ascii="Times New Roman" w:eastAsia="Calibri" w:hAnsi="Times New Roman" w:cs="Times New Roman"/>
              </w:rPr>
            </w:pPr>
            <w:r w:rsidRPr="003248BC">
              <w:rPr>
                <w:rFonts w:ascii="Times New Roman" w:eastAsia="Calibri" w:hAnsi="Times New Roman" w:cs="Times New Roman"/>
              </w:rPr>
              <w:t>P= 0.251</w:t>
            </w:r>
          </w:p>
        </w:tc>
      </w:tr>
    </w:tbl>
    <w:p w:rsidR="000D14A8" w:rsidRPr="003248BC" w:rsidRDefault="000D14A8" w:rsidP="000D14A8">
      <w:pPr>
        <w:tabs>
          <w:tab w:val="left" w:pos="8220"/>
        </w:tabs>
        <w:spacing w:after="0" w:line="240" w:lineRule="auto"/>
        <w:jc w:val="both"/>
        <w:rPr>
          <w:rFonts w:ascii="Times New Roman" w:eastAsia="Calibri" w:hAnsi="Times New Roman" w:cs="Times New Roman"/>
          <w:sz w:val="24"/>
          <w:szCs w:val="24"/>
        </w:rPr>
      </w:pPr>
      <w:r w:rsidRPr="003248BC">
        <w:rPr>
          <w:rFonts w:ascii="Times New Roman" w:eastAsia="Calibri" w:hAnsi="Times New Roman" w:cs="Times New Roman"/>
          <w:b/>
          <w:sz w:val="24"/>
          <w:szCs w:val="24"/>
        </w:rPr>
        <w:t>+</w:t>
      </w:r>
      <w:r w:rsidRPr="003248BC">
        <w:rPr>
          <w:rFonts w:ascii="Times New Roman" w:eastAsia="Calibri" w:hAnsi="Times New Roman" w:cs="Times New Roman"/>
          <w:sz w:val="24"/>
          <w:szCs w:val="24"/>
        </w:rPr>
        <w:t xml:space="preserve"> Fisher’s exact test; </w:t>
      </w:r>
      <w:r w:rsidRPr="003248BC">
        <w:rPr>
          <w:rFonts w:ascii="Times New Roman" w:eastAsia="Calibri" w:hAnsi="Times New Roman" w:cs="Times New Roman"/>
        </w:rPr>
        <w:t>* statistically significant at p value &lt; 0.05</w:t>
      </w:r>
      <w:r w:rsidRPr="003248BC">
        <w:rPr>
          <w:rFonts w:ascii="Times New Roman" w:eastAsia="Calibri" w:hAnsi="Times New Roman" w:cs="Times New Roman"/>
          <w:sz w:val="24"/>
          <w:szCs w:val="24"/>
        </w:rPr>
        <w:t xml:space="preserve"> </w:t>
      </w:r>
    </w:p>
    <w:p w:rsidR="000D14A8" w:rsidRPr="003248BC" w:rsidRDefault="000D14A8" w:rsidP="000D14A8">
      <w:pPr>
        <w:spacing w:after="0" w:line="276" w:lineRule="auto"/>
        <w:rPr>
          <w:rFonts w:ascii="Times New Roman" w:eastAsia="Calibri" w:hAnsi="Times New Roman" w:cs="Times New Roman"/>
        </w:rPr>
      </w:pPr>
      <w:r w:rsidRPr="003248BC">
        <w:rPr>
          <w:rFonts w:ascii="Times New Roman" w:eastAsia="Calibri" w:hAnsi="Times New Roman" w:cs="Times New Roman"/>
        </w:rPr>
        <w:t xml:space="preserve"># </w:t>
      </w:r>
      <w:proofErr w:type="gramStart"/>
      <w:r w:rsidRPr="003248BC">
        <w:rPr>
          <w:rFonts w:ascii="Times New Roman" w:eastAsia="Calibri" w:hAnsi="Times New Roman" w:cs="Times New Roman"/>
        </w:rPr>
        <w:t>Shared</w:t>
      </w:r>
      <w:proofErr w:type="gramEnd"/>
      <w:r w:rsidRPr="003248BC">
        <w:rPr>
          <w:rFonts w:ascii="Times New Roman" w:eastAsia="Calibri" w:hAnsi="Times New Roman" w:cs="Times New Roman"/>
        </w:rPr>
        <w:t xml:space="preserve"> risk factors include tobacco use, unhealthy diet, physical inactivity and harmful use of alcohol.</w:t>
      </w:r>
    </w:p>
    <w:p w:rsidR="000D14A8" w:rsidRPr="003248BC" w:rsidRDefault="000D14A8" w:rsidP="000D14A8">
      <w:pPr>
        <w:keepNext/>
        <w:keepLines/>
        <w:spacing w:after="0" w:line="480" w:lineRule="auto"/>
        <w:jc w:val="both"/>
        <w:outlineLvl w:val="0"/>
        <w:rPr>
          <w:rFonts w:ascii="Times New Roman" w:eastAsia="Times New Roman" w:hAnsi="Times New Roman" w:cs="Times New Roman"/>
          <w:bCs/>
          <w:sz w:val="24"/>
          <w:szCs w:val="28"/>
        </w:rPr>
      </w:pPr>
      <w:r w:rsidRPr="003248BC">
        <w:rPr>
          <w:rFonts w:ascii="Times New Roman" w:eastAsia="Times New Roman" w:hAnsi="Times New Roman" w:cs="Times New Roman"/>
          <w:bCs/>
          <w:sz w:val="24"/>
          <w:szCs w:val="28"/>
        </w:rPr>
        <w:lastRenderedPageBreak/>
        <w:t xml:space="preserve">The comparison of </w:t>
      </w:r>
      <w:bookmarkStart w:id="5" w:name="_GoBack"/>
      <w:bookmarkEnd w:id="5"/>
      <w:r w:rsidRPr="003248BC">
        <w:rPr>
          <w:rFonts w:ascii="Times New Roman" w:eastAsia="Times New Roman" w:hAnsi="Times New Roman" w:cs="Times New Roman"/>
          <w:bCs/>
          <w:sz w:val="24"/>
          <w:szCs w:val="28"/>
        </w:rPr>
        <w:t>tracer items for staff training domain (trained staff, IEC materials and guidelines) in rural and urban PHC facilities for implementation of essential NCD interventions is shown in Table 7.  The PHC facilities in urban and rural LGAs had more staff attended training in last 2 years on diabetes mellitus (DM) and IEC materials on DM. Twenty seven percent of the PHC facilities in urban LGAs had staff trained on DM in last two years more than 5 (15.2%) of the PHC facilities in the rural LGAs. The difference was not statistically significant, p= 0.228. The information, education and communication (IEC) materials for diabetes mellitus were available in 7 (21.2%) of PHC facilities in urban LGAs and none was available in the rural areas. This difference was statistically significant, Fisher’s exact test = 7.831, p = 0.011. The guidelines for management of the 3 NCDs were not available in majority of the PHC facilities in both rural and urban LGAs settings.</w:t>
      </w:r>
    </w:p>
    <w:p w:rsidR="000D14A8" w:rsidRPr="003248BC" w:rsidRDefault="000D14A8">
      <w:pPr>
        <w:rPr>
          <w:rFonts w:ascii="Times New Roman" w:hAnsi="Times New Roman" w:cs="Times New Roman"/>
        </w:rPr>
      </w:pPr>
    </w:p>
    <w:sectPr w:rsidR="000D14A8" w:rsidRPr="00324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CA1"/>
    <w:rsid w:val="000A1FB2"/>
    <w:rsid w:val="000D14A8"/>
    <w:rsid w:val="000D6C8A"/>
    <w:rsid w:val="00233F44"/>
    <w:rsid w:val="00263CA1"/>
    <w:rsid w:val="002E66BB"/>
    <w:rsid w:val="003248BC"/>
    <w:rsid w:val="00614189"/>
    <w:rsid w:val="006273F2"/>
    <w:rsid w:val="00AF1655"/>
    <w:rsid w:val="00C730AD"/>
    <w:rsid w:val="00E02C33"/>
    <w:rsid w:val="00F55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1292</TotalTime>
  <Pages>3</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2021-12-30T03:32:00Z</dcterms:created>
  <dcterms:modified xsi:type="dcterms:W3CDTF">2022-02-07T20:04:00Z</dcterms:modified>
</cp:coreProperties>
</file>