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C1EADB" w14:textId="77777777" w:rsidR="00E0467F" w:rsidRDefault="00E0467F" w:rsidP="00E0467F">
      <w:pPr>
        <w:spacing w:line="256" w:lineRule="auto"/>
        <w:rPr>
          <w:rFonts w:cstheme="minorHAnsi"/>
          <w:b/>
          <w:sz w:val="20"/>
          <w:szCs w:val="20"/>
          <w:u w:val="single"/>
        </w:rPr>
      </w:pPr>
      <w:bookmarkStart w:id="0" w:name="_GoBack"/>
      <w:r>
        <w:rPr>
          <w:rFonts w:cstheme="minorHAnsi"/>
          <w:b/>
          <w:sz w:val="20"/>
          <w:szCs w:val="20"/>
          <w:u w:val="single"/>
        </w:rPr>
        <w:t>Appendices</w:t>
      </w:r>
    </w:p>
    <w:p w14:paraId="045B89BC" w14:textId="77777777" w:rsidR="00E0467F" w:rsidRDefault="00E0467F" w:rsidP="00E0467F">
      <w:pPr>
        <w:spacing w:line="256" w:lineRule="auto"/>
        <w:rPr>
          <w:rFonts w:cstheme="minorHAnsi"/>
          <w:b/>
          <w:sz w:val="20"/>
          <w:szCs w:val="20"/>
          <w:u w:val="single"/>
        </w:rPr>
      </w:pPr>
      <w:r>
        <w:rPr>
          <w:rFonts w:cstheme="minorHAnsi"/>
          <w:b/>
          <w:sz w:val="20"/>
          <w:szCs w:val="20"/>
        </w:rPr>
        <w:t>Appendix 1 – Full search strategy</w:t>
      </w:r>
    </w:p>
    <w:p w14:paraId="46BFB149" w14:textId="77777777" w:rsidR="00E0467F" w:rsidRDefault="00E0467F" w:rsidP="00E0467F">
      <w:pPr>
        <w:spacing w:line="256" w:lineRule="auto"/>
        <w:rPr>
          <w:rFonts w:cstheme="minorHAnsi"/>
          <w:b/>
          <w:sz w:val="20"/>
          <w:szCs w:val="20"/>
        </w:rPr>
      </w:pPr>
      <w:r>
        <w:rPr>
          <w:rFonts w:cstheme="minorHAnsi"/>
          <w:b/>
          <w:sz w:val="20"/>
          <w:szCs w:val="20"/>
        </w:rPr>
        <w:t>Appendix 2 – BCTs full codes from papers</w:t>
      </w:r>
    </w:p>
    <w:p w14:paraId="43011C01" w14:textId="77777777" w:rsidR="00E0467F" w:rsidRDefault="00E0467F" w:rsidP="00E0467F">
      <w:pPr>
        <w:spacing w:line="256" w:lineRule="auto"/>
        <w:rPr>
          <w:rFonts w:cstheme="minorHAnsi"/>
          <w:b/>
          <w:sz w:val="20"/>
          <w:szCs w:val="20"/>
        </w:rPr>
      </w:pPr>
      <w:r>
        <w:rPr>
          <w:rFonts w:cstheme="minorHAnsi"/>
          <w:b/>
          <w:sz w:val="20"/>
          <w:szCs w:val="20"/>
        </w:rPr>
        <w:t>Appendix 3 – BCTs full codes from abstracts</w:t>
      </w:r>
    </w:p>
    <w:p w14:paraId="1C9C2E14" w14:textId="77777777" w:rsidR="00E0467F" w:rsidRDefault="00E0467F" w:rsidP="00E0467F">
      <w:pPr>
        <w:spacing w:line="256" w:lineRule="auto"/>
        <w:rPr>
          <w:rFonts w:cstheme="minorHAnsi"/>
          <w:b/>
          <w:sz w:val="20"/>
          <w:szCs w:val="20"/>
        </w:rPr>
      </w:pPr>
      <w:r>
        <w:rPr>
          <w:rFonts w:cstheme="minorHAnsi"/>
          <w:b/>
          <w:sz w:val="20"/>
          <w:szCs w:val="20"/>
        </w:rPr>
        <w:t>Appendix 4 – Risk of bias information</w:t>
      </w:r>
    </w:p>
    <w:p w14:paraId="2EA07555" w14:textId="77777777" w:rsidR="00E0467F" w:rsidRDefault="00E0467F" w:rsidP="00E0467F">
      <w:pPr>
        <w:spacing w:line="256" w:lineRule="auto"/>
        <w:rPr>
          <w:rFonts w:cstheme="minorHAnsi"/>
          <w:b/>
          <w:sz w:val="20"/>
          <w:szCs w:val="20"/>
        </w:rPr>
      </w:pPr>
      <w:r>
        <w:rPr>
          <w:rFonts w:cstheme="minorHAnsi"/>
          <w:b/>
          <w:sz w:val="20"/>
          <w:szCs w:val="20"/>
        </w:rPr>
        <w:t>Appendix 5 – Risk of bias more detailed table</w:t>
      </w:r>
    </w:p>
    <w:p w14:paraId="5CC1FCF8" w14:textId="77777777" w:rsidR="00E0467F" w:rsidRDefault="00E0467F" w:rsidP="00E0467F">
      <w:pPr>
        <w:spacing w:line="256" w:lineRule="auto"/>
        <w:rPr>
          <w:rFonts w:cstheme="minorHAnsi"/>
          <w:b/>
          <w:sz w:val="20"/>
          <w:szCs w:val="20"/>
        </w:rPr>
      </w:pPr>
      <w:r>
        <w:rPr>
          <w:rFonts w:cstheme="minorHAnsi"/>
          <w:b/>
          <w:sz w:val="20"/>
          <w:szCs w:val="20"/>
        </w:rPr>
        <w:t>Appendix 6 – TiDIER table</w:t>
      </w:r>
    </w:p>
    <w:p w14:paraId="080A15DF" w14:textId="77777777" w:rsidR="00E0467F" w:rsidRDefault="00E0467F">
      <w:pPr>
        <w:rPr>
          <w:rFonts w:cstheme="minorHAnsi"/>
          <w:b/>
          <w:bCs/>
        </w:rPr>
      </w:pPr>
      <w:r>
        <w:rPr>
          <w:rFonts w:cstheme="minorHAnsi"/>
          <w:b/>
          <w:bCs/>
        </w:rPr>
        <w:br w:type="page"/>
      </w:r>
    </w:p>
    <w:p w14:paraId="001F47B0" w14:textId="4833D89F" w:rsidR="00D018F7" w:rsidRPr="00D018F7" w:rsidRDefault="00D018F7" w:rsidP="00D018F7">
      <w:pPr>
        <w:ind w:left="-709"/>
        <w:rPr>
          <w:rFonts w:cstheme="minorHAnsi"/>
          <w:b/>
          <w:bCs/>
        </w:rPr>
      </w:pPr>
      <w:r w:rsidRPr="00D018F7">
        <w:rPr>
          <w:rFonts w:cstheme="minorHAnsi"/>
          <w:b/>
          <w:bCs/>
        </w:rPr>
        <w:lastRenderedPageBreak/>
        <w:t>Appendix 1 – Full search strategy</w:t>
      </w:r>
    </w:p>
    <w:tbl>
      <w:tblPr>
        <w:tblpPr w:leftFromText="180" w:rightFromText="180" w:vertAnchor="text" w:horzAnchor="margin" w:tblpXSpec="center" w:tblpY="263"/>
        <w:tblW w:w="10260" w:type="dxa"/>
        <w:tblCellMar>
          <w:top w:w="15" w:type="dxa"/>
          <w:bottom w:w="15" w:type="dxa"/>
        </w:tblCellMar>
        <w:tblLook w:val="04A0" w:firstRow="1" w:lastRow="0" w:firstColumn="1" w:lastColumn="0" w:noHBand="0" w:noVBand="1"/>
      </w:tblPr>
      <w:tblGrid>
        <w:gridCol w:w="3340"/>
        <w:gridCol w:w="4180"/>
        <w:gridCol w:w="2740"/>
      </w:tblGrid>
      <w:tr w:rsidR="00D018F7" w:rsidRPr="00D018F7" w14:paraId="074DC324" w14:textId="77777777" w:rsidTr="00D018F7">
        <w:trPr>
          <w:trHeight w:val="315"/>
        </w:trPr>
        <w:tc>
          <w:tcPr>
            <w:tcW w:w="3340" w:type="dxa"/>
            <w:tcBorders>
              <w:top w:val="nil"/>
              <w:left w:val="nil"/>
              <w:bottom w:val="nil"/>
              <w:right w:val="nil"/>
            </w:tcBorders>
            <w:noWrap/>
            <w:vAlign w:val="center"/>
            <w:hideMark/>
          </w:tcPr>
          <w:p w14:paraId="6AF57238" w14:textId="77777777" w:rsidR="00D018F7" w:rsidRPr="00D018F7" w:rsidRDefault="00D018F7" w:rsidP="00D018F7">
            <w:pPr>
              <w:spacing w:after="0" w:line="240" w:lineRule="auto"/>
              <w:rPr>
                <w:rFonts w:eastAsia="Times New Roman" w:cstheme="minorHAnsi"/>
                <w:b/>
                <w:bCs/>
                <w:color w:val="000000"/>
                <w:lang w:eastAsia="en-AU"/>
              </w:rPr>
            </w:pPr>
            <w:r w:rsidRPr="00D018F7">
              <w:rPr>
                <w:rFonts w:eastAsia="Times New Roman" w:cstheme="minorHAnsi"/>
                <w:b/>
                <w:bCs/>
                <w:color w:val="000000"/>
                <w:lang w:eastAsia="en-AU"/>
              </w:rPr>
              <w:t>SCOPUS</w:t>
            </w:r>
          </w:p>
        </w:tc>
        <w:tc>
          <w:tcPr>
            <w:tcW w:w="4180" w:type="dxa"/>
            <w:tcBorders>
              <w:top w:val="nil"/>
              <w:left w:val="nil"/>
              <w:bottom w:val="nil"/>
              <w:right w:val="nil"/>
            </w:tcBorders>
            <w:noWrap/>
            <w:hideMark/>
          </w:tcPr>
          <w:p w14:paraId="652BBDAF" w14:textId="77777777" w:rsidR="00D018F7" w:rsidRPr="00D018F7" w:rsidRDefault="00D018F7" w:rsidP="00D018F7">
            <w:pPr>
              <w:spacing w:after="0" w:line="240" w:lineRule="auto"/>
              <w:rPr>
                <w:rFonts w:eastAsia="Times New Roman" w:cstheme="minorHAnsi"/>
                <w:b/>
                <w:bCs/>
                <w:color w:val="000000"/>
                <w:lang w:eastAsia="en-AU"/>
              </w:rPr>
            </w:pPr>
          </w:p>
        </w:tc>
        <w:tc>
          <w:tcPr>
            <w:tcW w:w="2740" w:type="dxa"/>
            <w:tcBorders>
              <w:top w:val="nil"/>
              <w:left w:val="nil"/>
              <w:bottom w:val="nil"/>
              <w:right w:val="nil"/>
            </w:tcBorders>
            <w:noWrap/>
            <w:hideMark/>
          </w:tcPr>
          <w:p w14:paraId="5A18DFC7" w14:textId="77777777" w:rsidR="00D018F7" w:rsidRPr="00D018F7" w:rsidRDefault="00D018F7" w:rsidP="00D018F7">
            <w:pPr>
              <w:spacing w:after="0" w:line="240" w:lineRule="auto"/>
              <w:rPr>
                <w:rFonts w:eastAsia="Times New Roman" w:cstheme="minorHAnsi"/>
                <w:lang w:eastAsia="en-AU"/>
              </w:rPr>
            </w:pPr>
          </w:p>
        </w:tc>
      </w:tr>
      <w:tr w:rsidR="00D018F7" w:rsidRPr="00D018F7" w14:paraId="673796FA" w14:textId="77777777" w:rsidTr="00D018F7">
        <w:trPr>
          <w:trHeight w:val="3090"/>
        </w:trPr>
        <w:tc>
          <w:tcPr>
            <w:tcW w:w="3340" w:type="dxa"/>
            <w:tcBorders>
              <w:top w:val="single" w:sz="8" w:space="0" w:color="auto"/>
              <w:left w:val="single" w:sz="8" w:space="0" w:color="auto"/>
              <w:bottom w:val="single" w:sz="8" w:space="0" w:color="auto"/>
              <w:right w:val="single" w:sz="8" w:space="0" w:color="auto"/>
            </w:tcBorders>
            <w:vAlign w:val="center"/>
            <w:hideMark/>
          </w:tcPr>
          <w:p w14:paraId="4D43FA7E" w14:textId="77777777" w:rsidR="00D018F7" w:rsidRPr="00D018F7" w:rsidRDefault="00D018F7" w:rsidP="00D018F7">
            <w:pPr>
              <w:spacing w:after="0" w:line="240" w:lineRule="auto"/>
              <w:rPr>
                <w:rFonts w:eastAsia="Times New Roman" w:cstheme="minorHAnsi"/>
                <w:color w:val="000000"/>
                <w:lang w:eastAsia="en-AU"/>
              </w:rPr>
            </w:pPr>
            <w:r w:rsidRPr="00D018F7">
              <w:rPr>
                <w:rFonts w:eastAsia="Times New Roman" w:cstheme="minorHAnsi"/>
                <w:color w:val="000000"/>
                <w:lang w:eastAsia="en-AU"/>
              </w:rPr>
              <w:t>(emission* W/10 (environment* OR "greenhouse gas*" OR carbon OR gas OR gases OR pollut* OR CO2)) OR "carbon footprint" OR "greenhouse gas" OR "greenhouse gases" OR (environment* W/1 impact*) OR "climate change" OR "climate friendly" OR "climate-friendly" OR "CO2e" OR "carbon dioxide equivalents"</w:t>
            </w:r>
          </w:p>
        </w:tc>
        <w:tc>
          <w:tcPr>
            <w:tcW w:w="4180" w:type="dxa"/>
            <w:tcBorders>
              <w:top w:val="single" w:sz="8" w:space="0" w:color="auto"/>
              <w:left w:val="nil"/>
              <w:bottom w:val="single" w:sz="8" w:space="0" w:color="auto"/>
              <w:right w:val="single" w:sz="8" w:space="0" w:color="auto"/>
            </w:tcBorders>
            <w:vAlign w:val="center"/>
            <w:hideMark/>
          </w:tcPr>
          <w:p w14:paraId="43ED9960" w14:textId="77777777" w:rsidR="00D018F7" w:rsidRPr="00D018F7" w:rsidRDefault="00D018F7" w:rsidP="00D018F7">
            <w:pPr>
              <w:spacing w:after="0" w:line="240" w:lineRule="auto"/>
              <w:rPr>
                <w:rFonts w:eastAsia="Times New Roman" w:cstheme="minorHAnsi"/>
                <w:color w:val="000000"/>
                <w:lang w:eastAsia="en-AU"/>
              </w:rPr>
            </w:pPr>
            <w:r w:rsidRPr="00D018F7">
              <w:rPr>
                <w:rFonts w:eastAsia="Times New Roman" w:cstheme="minorHAnsi"/>
                <w:color w:val="000000"/>
                <w:lang w:eastAsia="en-AU"/>
              </w:rPr>
              <w:t xml:space="preserve">doctor OR doctors OR nurse OR nursing OR nurses OR dentist* OR an*esthe* OR "health professional*" OR surgery OR surgeries OR surgical OR (health OR hospital W/3 (staff OR provider)) OR (imaging W/3 (medical OR nuclear OR diagnostic OR radiological OR ultrasound)) OR "magnetic resonance imaging" OR MRI OR "computed tomography" OR radiograph* OR radiologist* OR radiographer* OR clinician* OR physician* OR (asthma W/10 inhal*) OR pathology </w:t>
            </w:r>
          </w:p>
        </w:tc>
        <w:tc>
          <w:tcPr>
            <w:tcW w:w="2740" w:type="dxa"/>
            <w:tcBorders>
              <w:top w:val="single" w:sz="8" w:space="0" w:color="auto"/>
              <w:left w:val="nil"/>
              <w:bottom w:val="single" w:sz="8" w:space="0" w:color="auto"/>
              <w:right w:val="single" w:sz="8" w:space="0" w:color="auto"/>
            </w:tcBorders>
            <w:vAlign w:val="center"/>
            <w:hideMark/>
          </w:tcPr>
          <w:p w14:paraId="0D21DD68" w14:textId="77777777" w:rsidR="00D018F7" w:rsidRPr="00D018F7" w:rsidRDefault="00D018F7" w:rsidP="00D018F7">
            <w:pPr>
              <w:spacing w:after="0" w:line="240" w:lineRule="auto"/>
              <w:rPr>
                <w:rFonts w:eastAsia="Times New Roman" w:cstheme="minorHAnsi"/>
                <w:color w:val="000000"/>
                <w:lang w:eastAsia="en-AU"/>
              </w:rPr>
            </w:pPr>
            <w:r w:rsidRPr="00D018F7">
              <w:rPr>
                <w:rFonts w:eastAsia="Times New Roman" w:cstheme="minorHAnsi"/>
                <w:color w:val="000000"/>
                <w:lang w:eastAsia="en-AU"/>
              </w:rPr>
              <w:t>intervent* OR behavio* OR incentiv* OR strateg* OR messaging OR educat* OR program* OR training OR implement* OR communicat* OR nudg* OR choice* OR e-nudge OR "decision support" OR audit OR feedback</w:t>
            </w:r>
          </w:p>
        </w:tc>
      </w:tr>
      <w:tr w:rsidR="00D018F7" w:rsidRPr="00D018F7" w14:paraId="7B6044E6" w14:textId="77777777" w:rsidTr="00D018F7">
        <w:trPr>
          <w:trHeight w:val="300"/>
        </w:trPr>
        <w:tc>
          <w:tcPr>
            <w:tcW w:w="3340" w:type="dxa"/>
            <w:tcBorders>
              <w:top w:val="nil"/>
              <w:left w:val="nil"/>
              <w:bottom w:val="nil"/>
              <w:right w:val="nil"/>
            </w:tcBorders>
            <w:noWrap/>
            <w:hideMark/>
          </w:tcPr>
          <w:p w14:paraId="5AA7D780" w14:textId="77777777" w:rsidR="00D018F7" w:rsidRPr="00D018F7" w:rsidRDefault="00D018F7" w:rsidP="00D018F7">
            <w:pPr>
              <w:spacing w:after="0" w:line="240" w:lineRule="auto"/>
              <w:rPr>
                <w:rFonts w:eastAsia="Times New Roman" w:cstheme="minorHAnsi"/>
                <w:color w:val="000000"/>
                <w:lang w:eastAsia="en-AU"/>
              </w:rPr>
            </w:pPr>
          </w:p>
        </w:tc>
        <w:tc>
          <w:tcPr>
            <w:tcW w:w="4180" w:type="dxa"/>
            <w:tcBorders>
              <w:top w:val="nil"/>
              <w:left w:val="nil"/>
              <w:bottom w:val="nil"/>
              <w:right w:val="nil"/>
            </w:tcBorders>
            <w:noWrap/>
            <w:hideMark/>
          </w:tcPr>
          <w:p w14:paraId="74032BCE" w14:textId="77777777" w:rsidR="00D018F7" w:rsidRPr="00D018F7" w:rsidRDefault="00D018F7" w:rsidP="00D018F7">
            <w:pPr>
              <w:spacing w:after="0" w:line="240" w:lineRule="auto"/>
              <w:rPr>
                <w:rFonts w:eastAsia="Times New Roman" w:cstheme="minorHAnsi"/>
                <w:lang w:eastAsia="en-AU"/>
              </w:rPr>
            </w:pPr>
          </w:p>
        </w:tc>
        <w:tc>
          <w:tcPr>
            <w:tcW w:w="2740" w:type="dxa"/>
            <w:tcBorders>
              <w:top w:val="nil"/>
              <w:left w:val="nil"/>
              <w:bottom w:val="nil"/>
              <w:right w:val="nil"/>
            </w:tcBorders>
            <w:noWrap/>
            <w:hideMark/>
          </w:tcPr>
          <w:p w14:paraId="38B463AA" w14:textId="77777777" w:rsidR="00D018F7" w:rsidRPr="00D018F7" w:rsidRDefault="00D018F7" w:rsidP="00D018F7">
            <w:pPr>
              <w:spacing w:after="0" w:line="240" w:lineRule="auto"/>
              <w:rPr>
                <w:rFonts w:eastAsia="Times New Roman" w:cstheme="minorHAnsi"/>
                <w:lang w:eastAsia="en-AU"/>
              </w:rPr>
            </w:pPr>
          </w:p>
        </w:tc>
      </w:tr>
      <w:tr w:rsidR="00D018F7" w:rsidRPr="00D018F7" w14:paraId="7461A858" w14:textId="77777777" w:rsidTr="00D018F7">
        <w:trPr>
          <w:trHeight w:val="315"/>
        </w:trPr>
        <w:tc>
          <w:tcPr>
            <w:tcW w:w="3340" w:type="dxa"/>
            <w:tcBorders>
              <w:top w:val="nil"/>
              <w:left w:val="nil"/>
              <w:bottom w:val="nil"/>
              <w:right w:val="nil"/>
            </w:tcBorders>
            <w:noWrap/>
            <w:vAlign w:val="center"/>
            <w:hideMark/>
          </w:tcPr>
          <w:p w14:paraId="37402B15" w14:textId="77777777" w:rsidR="00D018F7" w:rsidRPr="00D018F7" w:rsidRDefault="00D018F7" w:rsidP="00D018F7">
            <w:pPr>
              <w:spacing w:after="0" w:line="240" w:lineRule="auto"/>
              <w:rPr>
                <w:rFonts w:eastAsia="Times New Roman" w:cstheme="minorHAnsi"/>
                <w:b/>
                <w:bCs/>
                <w:color w:val="000000"/>
                <w:lang w:eastAsia="en-AU"/>
              </w:rPr>
            </w:pPr>
            <w:r w:rsidRPr="00D018F7">
              <w:rPr>
                <w:rFonts w:eastAsia="Times New Roman" w:cstheme="minorHAnsi"/>
                <w:b/>
                <w:bCs/>
                <w:color w:val="000000"/>
                <w:lang w:eastAsia="en-AU"/>
              </w:rPr>
              <w:t>OVID</w:t>
            </w:r>
          </w:p>
        </w:tc>
        <w:tc>
          <w:tcPr>
            <w:tcW w:w="4180" w:type="dxa"/>
            <w:tcBorders>
              <w:top w:val="nil"/>
              <w:left w:val="nil"/>
              <w:bottom w:val="nil"/>
              <w:right w:val="nil"/>
            </w:tcBorders>
            <w:noWrap/>
            <w:hideMark/>
          </w:tcPr>
          <w:p w14:paraId="33C1A477" w14:textId="77777777" w:rsidR="00D018F7" w:rsidRPr="00D018F7" w:rsidRDefault="00D018F7" w:rsidP="00D018F7">
            <w:pPr>
              <w:spacing w:after="0" w:line="240" w:lineRule="auto"/>
              <w:rPr>
                <w:rFonts w:eastAsia="Times New Roman" w:cstheme="minorHAnsi"/>
                <w:b/>
                <w:bCs/>
                <w:color w:val="000000"/>
                <w:lang w:eastAsia="en-AU"/>
              </w:rPr>
            </w:pPr>
          </w:p>
        </w:tc>
        <w:tc>
          <w:tcPr>
            <w:tcW w:w="2740" w:type="dxa"/>
            <w:tcBorders>
              <w:top w:val="nil"/>
              <w:left w:val="nil"/>
              <w:bottom w:val="nil"/>
              <w:right w:val="nil"/>
            </w:tcBorders>
            <w:noWrap/>
            <w:hideMark/>
          </w:tcPr>
          <w:p w14:paraId="26CF28EC" w14:textId="77777777" w:rsidR="00D018F7" w:rsidRPr="00D018F7" w:rsidRDefault="00D018F7" w:rsidP="00D018F7">
            <w:pPr>
              <w:spacing w:after="0" w:line="240" w:lineRule="auto"/>
              <w:rPr>
                <w:rFonts w:eastAsia="Times New Roman" w:cstheme="minorHAnsi"/>
                <w:lang w:eastAsia="en-AU"/>
              </w:rPr>
            </w:pPr>
          </w:p>
        </w:tc>
      </w:tr>
      <w:tr w:rsidR="00D018F7" w:rsidRPr="00D018F7" w14:paraId="75510E51" w14:textId="77777777" w:rsidTr="00D018F7">
        <w:trPr>
          <w:trHeight w:val="3090"/>
        </w:trPr>
        <w:tc>
          <w:tcPr>
            <w:tcW w:w="3340" w:type="dxa"/>
            <w:tcBorders>
              <w:top w:val="single" w:sz="8" w:space="0" w:color="auto"/>
              <w:left w:val="single" w:sz="8" w:space="0" w:color="auto"/>
              <w:bottom w:val="single" w:sz="8" w:space="0" w:color="auto"/>
              <w:right w:val="single" w:sz="8" w:space="0" w:color="auto"/>
            </w:tcBorders>
            <w:vAlign w:val="center"/>
            <w:hideMark/>
          </w:tcPr>
          <w:p w14:paraId="6184242A" w14:textId="77777777" w:rsidR="00D018F7" w:rsidRPr="00D018F7" w:rsidRDefault="00D018F7" w:rsidP="00D018F7">
            <w:pPr>
              <w:spacing w:after="0" w:line="240" w:lineRule="auto"/>
              <w:rPr>
                <w:rFonts w:eastAsia="Times New Roman" w:cstheme="minorHAnsi"/>
                <w:color w:val="000000"/>
                <w:lang w:eastAsia="en-AU"/>
              </w:rPr>
            </w:pPr>
            <w:r w:rsidRPr="00D018F7">
              <w:rPr>
                <w:rFonts w:eastAsia="Times New Roman" w:cstheme="minorHAnsi"/>
                <w:color w:val="000000"/>
                <w:lang w:eastAsia="en-AU"/>
              </w:rPr>
              <w:t>(emission* ADJ10 (environment* OR "greenhouse gas*" OR carbon OR gas OR gases OR pollut* OR CO2)) OR "carbon footprint" OR "greenhouse gas" OR "greenhouse gases" OR (environment* ADJ impact*) OR "climate change" OR "climate friendly" OR "climate-friendly" OR "CO2e" OR "carbon dioxide equivalents"</w:t>
            </w:r>
          </w:p>
        </w:tc>
        <w:tc>
          <w:tcPr>
            <w:tcW w:w="4180" w:type="dxa"/>
            <w:tcBorders>
              <w:top w:val="single" w:sz="8" w:space="0" w:color="auto"/>
              <w:left w:val="nil"/>
              <w:bottom w:val="single" w:sz="8" w:space="0" w:color="auto"/>
              <w:right w:val="single" w:sz="8" w:space="0" w:color="auto"/>
            </w:tcBorders>
            <w:vAlign w:val="center"/>
            <w:hideMark/>
          </w:tcPr>
          <w:p w14:paraId="256C4430" w14:textId="77777777" w:rsidR="00D018F7" w:rsidRPr="00D018F7" w:rsidRDefault="00D018F7" w:rsidP="00D018F7">
            <w:pPr>
              <w:spacing w:after="0" w:line="240" w:lineRule="auto"/>
              <w:rPr>
                <w:rFonts w:eastAsia="Times New Roman" w:cstheme="minorHAnsi"/>
                <w:color w:val="000000"/>
                <w:lang w:eastAsia="en-AU"/>
              </w:rPr>
            </w:pPr>
            <w:r w:rsidRPr="00D018F7">
              <w:rPr>
                <w:rFonts w:eastAsia="Times New Roman" w:cstheme="minorHAnsi"/>
                <w:color w:val="000000"/>
                <w:lang w:eastAsia="en-AU"/>
              </w:rPr>
              <w:t xml:space="preserve">doctor OR doctors OR nurse OR nursing OR nurses OR dentist* OR an?esthe* OR "health professional*" OR surgery OR surgeries OR surgical OR (health OR hospital ADJ3 (staff OR provider)) OR (imaging ADJ3 (medical OR nuclear OR diagnostic OR radiological OR ultrasound)) OR "magnetic resonance imaging" OR MRI OR "computed tomography" OR radiograph* OR radiologist* OR radiographer* OR clinician* OR physician* OR (asthma ADJ10 inhal*) OR pathology </w:t>
            </w:r>
          </w:p>
        </w:tc>
        <w:tc>
          <w:tcPr>
            <w:tcW w:w="2740" w:type="dxa"/>
            <w:tcBorders>
              <w:top w:val="single" w:sz="8" w:space="0" w:color="auto"/>
              <w:left w:val="nil"/>
              <w:bottom w:val="single" w:sz="8" w:space="0" w:color="auto"/>
              <w:right w:val="single" w:sz="8" w:space="0" w:color="auto"/>
            </w:tcBorders>
            <w:vAlign w:val="center"/>
            <w:hideMark/>
          </w:tcPr>
          <w:p w14:paraId="4580B29D" w14:textId="77777777" w:rsidR="00D018F7" w:rsidRPr="00D018F7" w:rsidRDefault="00D018F7" w:rsidP="00D018F7">
            <w:pPr>
              <w:spacing w:after="0" w:line="240" w:lineRule="auto"/>
              <w:rPr>
                <w:rFonts w:eastAsia="Times New Roman" w:cstheme="minorHAnsi"/>
                <w:color w:val="000000"/>
                <w:lang w:eastAsia="en-AU"/>
              </w:rPr>
            </w:pPr>
            <w:r w:rsidRPr="00D018F7">
              <w:rPr>
                <w:rFonts w:eastAsia="Times New Roman" w:cstheme="minorHAnsi"/>
                <w:color w:val="000000"/>
                <w:lang w:eastAsia="en-AU"/>
              </w:rPr>
              <w:t>intervent* OR behavio* OR incentiv* OR strateg* OR messaging OR educat* OR program* OR training OR implement* OR communicat* OR nudg* OR choice* OR e-nudge OR "decision support" OR audit OR feedback</w:t>
            </w:r>
          </w:p>
        </w:tc>
      </w:tr>
      <w:tr w:rsidR="00D018F7" w:rsidRPr="00D018F7" w14:paraId="7FC5028B" w14:textId="77777777" w:rsidTr="00D018F7">
        <w:trPr>
          <w:trHeight w:val="300"/>
        </w:trPr>
        <w:tc>
          <w:tcPr>
            <w:tcW w:w="3340" w:type="dxa"/>
            <w:tcBorders>
              <w:top w:val="nil"/>
              <w:left w:val="nil"/>
              <w:bottom w:val="nil"/>
              <w:right w:val="nil"/>
            </w:tcBorders>
            <w:noWrap/>
            <w:hideMark/>
          </w:tcPr>
          <w:p w14:paraId="419F3F19" w14:textId="77777777" w:rsidR="00D018F7" w:rsidRPr="00D018F7" w:rsidRDefault="00D018F7" w:rsidP="00D018F7">
            <w:pPr>
              <w:spacing w:after="0" w:line="240" w:lineRule="auto"/>
              <w:rPr>
                <w:rFonts w:eastAsia="Times New Roman" w:cstheme="minorHAnsi"/>
                <w:color w:val="000000"/>
                <w:lang w:eastAsia="en-AU"/>
              </w:rPr>
            </w:pPr>
          </w:p>
        </w:tc>
        <w:tc>
          <w:tcPr>
            <w:tcW w:w="4180" w:type="dxa"/>
            <w:tcBorders>
              <w:top w:val="nil"/>
              <w:left w:val="nil"/>
              <w:bottom w:val="nil"/>
              <w:right w:val="nil"/>
            </w:tcBorders>
            <w:noWrap/>
            <w:hideMark/>
          </w:tcPr>
          <w:p w14:paraId="15447DB9" w14:textId="77777777" w:rsidR="00D018F7" w:rsidRPr="00D018F7" w:rsidRDefault="00D018F7" w:rsidP="00D018F7">
            <w:pPr>
              <w:spacing w:after="0" w:line="240" w:lineRule="auto"/>
              <w:rPr>
                <w:rFonts w:eastAsia="Times New Roman" w:cstheme="minorHAnsi"/>
                <w:lang w:eastAsia="en-AU"/>
              </w:rPr>
            </w:pPr>
          </w:p>
        </w:tc>
        <w:tc>
          <w:tcPr>
            <w:tcW w:w="2740" w:type="dxa"/>
            <w:tcBorders>
              <w:top w:val="nil"/>
              <w:left w:val="nil"/>
              <w:bottom w:val="nil"/>
              <w:right w:val="nil"/>
            </w:tcBorders>
            <w:noWrap/>
            <w:hideMark/>
          </w:tcPr>
          <w:p w14:paraId="7F97DB4D" w14:textId="77777777" w:rsidR="00D018F7" w:rsidRPr="00D018F7" w:rsidRDefault="00D018F7" w:rsidP="00D018F7">
            <w:pPr>
              <w:spacing w:after="0" w:line="240" w:lineRule="auto"/>
              <w:rPr>
                <w:rFonts w:eastAsia="Times New Roman" w:cstheme="minorHAnsi"/>
                <w:lang w:eastAsia="en-AU"/>
              </w:rPr>
            </w:pPr>
          </w:p>
        </w:tc>
      </w:tr>
      <w:tr w:rsidR="00D018F7" w:rsidRPr="00D018F7" w14:paraId="5153A018" w14:textId="77777777" w:rsidTr="00D018F7">
        <w:trPr>
          <w:trHeight w:val="315"/>
        </w:trPr>
        <w:tc>
          <w:tcPr>
            <w:tcW w:w="3340" w:type="dxa"/>
            <w:tcBorders>
              <w:top w:val="nil"/>
              <w:left w:val="nil"/>
              <w:bottom w:val="nil"/>
              <w:right w:val="nil"/>
            </w:tcBorders>
            <w:noWrap/>
            <w:vAlign w:val="center"/>
            <w:hideMark/>
          </w:tcPr>
          <w:p w14:paraId="43FF8C27" w14:textId="77777777" w:rsidR="00D018F7" w:rsidRPr="00D018F7" w:rsidRDefault="00D018F7" w:rsidP="00D018F7">
            <w:pPr>
              <w:spacing w:after="0" w:line="240" w:lineRule="auto"/>
              <w:rPr>
                <w:rFonts w:eastAsia="Times New Roman" w:cstheme="minorHAnsi"/>
                <w:b/>
                <w:bCs/>
                <w:color w:val="000000"/>
                <w:lang w:eastAsia="en-AU"/>
              </w:rPr>
            </w:pPr>
            <w:r w:rsidRPr="00D018F7">
              <w:rPr>
                <w:rFonts w:eastAsia="Times New Roman" w:cstheme="minorHAnsi"/>
                <w:b/>
                <w:bCs/>
                <w:color w:val="000000"/>
                <w:lang w:eastAsia="en-AU"/>
              </w:rPr>
              <w:t>CINAHL</w:t>
            </w:r>
          </w:p>
        </w:tc>
        <w:tc>
          <w:tcPr>
            <w:tcW w:w="4180" w:type="dxa"/>
            <w:tcBorders>
              <w:top w:val="nil"/>
              <w:left w:val="nil"/>
              <w:bottom w:val="nil"/>
              <w:right w:val="nil"/>
            </w:tcBorders>
            <w:noWrap/>
            <w:hideMark/>
          </w:tcPr>
          <w:p w14:paraId="3DB07F2C" w14:textId="77777777" w:rsidR="00D018F7" w:rsidRPr="00D018F7" w:rsidRDefault="00D018F7" w:rsidP="00D018F7">
            <w:pPr>
              <w:spacing w:after="0" w:line="240" w:lineRule="auto"/>
              <w:rPr>
                <w:rFonts w:eastAsia="Times New Roman" w:cstheme="minorHAnsi"/>
                <w:b/>
                <w:bCs/>
                <w:color w:val="000000"/>
                <w:lang w:eastAsia="en-AU"/>
              </w:rPr>
            </w:pPr>
          </w:p>
        </w:tc>
        <w:tc>
          <w:tcPr>
            <w:tcW w:w="2740" w:type="dxa"/>
            <w:tcBorders>
              <w:top w:val="nil"/>
              <w:left w:val="nil"/>
              <w:bottom w:val="nil"/>
              <w:right w:val="nil"/>
            </w:tcBorders>
            <w:noWrap/>
            <w:hideMark/>
          </w:tcPr>
          <w:p w14:paraId="370B8E01" w14:textId="77777777" w:rsidR="00D018F7" w:rsidRPr="00D018F7" w:rsidRDefault="00D018F7" w:rsidP="00D018F7">
            <w:pPr>
              <w:spacing w:after="0" w:line="240" w:lineRule="auto"/>
              <w:rPr>
                <w:rFonts w:eastAsia="Times New Roman" w:cstheme="minorHAnsi"/>
                <w:lang w:eastAsia="en-AU"/>
              </w:rPr>
            </w:pPr>
          </w:p>
        </w:tc>
      </w:tr>
      <w:tr w:rsidR="00D018F7" w:rsidRPr="00D018F7" w14:paraId="526FE7DC" w14:textId="77777777" w:rsidTr="00D018F7">
        <w:trPr>
          <w:trHeight w:val="2820"/>
        </w:trPr>
        <w:tc>
          <w:tcPr>
            <w:tcW w:w="3340" w:type="dxa"/>
            <w:tcBorders>
              <w:top w:val="single" w:sz="8" w:space="0" w:color="auto"/>
              <w:left w:val="single" w:sz="8" w:space="0" w:color="auto"/>
              <w:bottom w:val="single" w:sz="8" w:space="0" w:color="auto"/>
              <w:right w:val="single" w:sz="8" w:space="0" w:color="auto"/>
            </w:tcBorders>
            <w:vAlign w:val="center"/>
            <w:hideMark/>
          </w:tcPr>
          <w:p w14:paraId="1031897F" w14:textId="77777777" w:rsidR="00D018F7" w:rsidRPr="00D018F7" w:rsidRDefault="00D018F7" w:rsidP="00D018F7">
            <w:pPr>
              <w:spacing w:after="0" w:line="240" w:lineRule="auto"/>
              <w:rPr>
                <w:rFonts w:eastAsia="Times New Roman" w:cstheme="minorHAnsi"/>
                <w:color w:val="000000"/>
                <w:lang w:eastAsia="en-AU"/>
              </w:rPr>
            </w:pPr>
            <w:r w:rsidRPr="00D018F7">
              <w:rPr>
                <w:rFonts w:eastAsia="Times New Roman" w:cstheme="minorHAnsi"/>
                <w:color w:val="000000"/>
                <w:lang w:eastAsia="en-AU"/>
              </w:rPr>
              <w:t>(emission* N10 (environment* OR "greenhouse gas*" OR carbon OR gas OR gases OR pollut* OR CO2)) OR "carbon footprint" OR "greenhouse gas" OR "greenhouse gases" OR (environment* N1 impact*) OR "climate change" OR "climate friendly" OR "climate-friendly" OR "CO2e"OR "carbon dioxide equivalents"</w:t>
            </w:r>
          </w:p>
        </w:tc>
        <w:tc>
          <w:tcPr>
            <w:tcW w:w="4180" w:type="dxa"/>
            <w:tcBorders>
              <w:top w:val="single" w:sz="8" w:space="0" w:color="auto"/>
              <w:left w:val="nil"/>
              <w:bottom w:val="single" w:sz="8" w:space="0" w:color="auto"/>
              <w:right w:val="single" w:sz="8" w:space="0" w:color="auto"/>
            </w:tcBorders>
            <w:vAlign w:val="center"/>
            <w:hideMark/>
          </w:tcPr>
          <w:p w14:paraId="57747945" w14:textId="77777777" w:rsidR="00D018F7" w:rsidRPr="00D018F7" w:rsidRDefault="00D018F7" w:rsidP="00D018F7">
            <w:pPr>
              <w:spacing w:after="0" w:line="240" w:lineRule="auto"/>
              <w:rPr>
                <w:rFonts w:eastAsia="Times New Roman" w:cstheme="minorHAnsi"/>
                <w:color w:val="000000"/>
                <w:lang w:eastAsia="en-AU"/>
              </w:rPr>
            </w:pPr>
            <w:r w:rsidRPr="00D018F7">
              <w:rPr>
                <w:rFonts w:eastAsia="Times New Roman" w:cstheme="minorHAnsi"/>
                <w:color w:val="000000"/>
                <w:lang w:eastAsia="en-AU"/>
              </w:rPr>
              <w:t xml:space="preserve">doctor OR doctors OR nurse OR nursing OR nurses OR dentist* OR an#esthe* OR "health professional*" OR surgery OR surgeries OR surgical OR (health OR hospital N3 (staff OR provider)) OR (imaging N3 (medical OR nuclear OR diagnostic OR radiological OR ultrasound)) OR "magnetic resonance imaging" OR MRI OR "computed tomography" OR radiograph* OR radiologist* OR radiographer* OR clinician* OR physician* OR (asthma N10 inhal*) OR pathology </w:t>
            </w:r>
          </w:p>
        </w:tc>
        <w:tc>
          <w:tcPr>
            <w:tcW w:w="2740" w:type="dxa"/>
            <w:tcBorders>
              <w:top w:val="single" w:sz="8" w:space="0" w:color="auto"/>
              <w:left w:val="nil"/>
              <w:bottom w:val="single" w:sz="8" w:space="0" w:color="auto"/>
              <w:right w:val="single" w:sz="8" w:space="0" w:color="auto"/>
            </w:tcBorders>
            <w:vAlign w:val="center"/>
            <w:hideMark/>
          </w:tcPr>
          <w:p w14:paraId="2A5D2562" w14:textId="77777777" w:rsidR="00D018F7" w:rsidRPr="00D018F7" w:rsidRDefault="00D018F7" w:rsidP="00D018F7">
            <w:pPr>
              <w:spacing w:after="0" w:line="240" w:lineRule="auto"/>
              <w:rPr>
                <w:rFonts w:eastAsia="Times New Roman" w:cstheme="minorHAnsi"/>
                <w:color w:val="000000"/>
                <w:lang w:eastAsia="en-AU"/>
              </w:rPr>
            </w:pPr>
            <w:r w:rsidRPr="00D018F7">
              <w:rPr>
                <w:rFonts w:eastAsia="Times New Roman" w:cstheme="minorHAnsi"/>
                <w:color w:val="000000"/>
                <w:lang w:eastAsia="en-AU"/>
              </w:rPr>
              <w:t>intervent* OR behavio* OR incentiv* OR strateg* OR messaging OR educat* OR program* OR training OR implement* OR communicat* OR nudg* OR choice* OR e-nudge OR "decision support" OR audit OR feedback</w:t>
            </w:r>
          </w:p>
        </w:tc>
      </w:tr>
      <w:tr w:rsidR="00D018F7" w:rsidRPr="00D018F7" w14:paraId="2E529871" w14:textId="77777777" w:rsidTr="00D018F7">
        <w:trPr>
          <w:trHeight w:val="300"/>
        </w:trPr>
        <w:tc>
          <w:tcPr>
            <w:tcW w:w="3340" w:type="dxa"/>
            <w:tcBorders>
              <w:top w:val="nil"/>
              <w:left w:val="nil"/>
              <w:bottom w:val="nil"/>
              <w:right w:val="nil"/>
            </w:tcBorders>
            <w:noWrap/>
            <w:hideMark/>
          </w:tcPr>
          <w:p w14:paraId="3AA8B2AB" w14:textId="77777777" w:rsidR="00D018F7" w:rsidRDefault="00D018F7" w:rsidP="00D018F7">
            <w:pPr>
              <w:spacing w:after="0" w:line="240" w:lineRule="auto"/>
              <w:rPr>
                <w:rFonts w:eastAsia="Times New Roman" w:cstheme="minorHAnsi"/>
                <w:color w:val="000000"/>
                <w:lang w:eastAsia="en-AU"/>
              </w:rPr>
            </w:pPr>
          </w:p>
          <w:p w14:paraId="13D77EDF" w14:textId="77777777" w:rsidR="00D018F7" w:rsidRDefault="00D018F7" w:rsidP="00D018F7">
            <w:pPr>
              <w:spacing w:after="0" w:line="240" w:lineRule="auto"/>
              <w:rPr>
                <w:rFonts w:eastAsia="Times New Roman" w:cstheme="minorHAnsi"/>
                <w:color w:val="000000"/>
                <w:lang w:eastAsia="en-AU"/>
              </w:rPr>
            </w:pPr>
          </w:p>
          <w:p w14:paraId="0518B838" w14:textId="77777777" w:rsidR="00D018F7" w:rsidRDefault="00D018F7" w:rsidP="00D018F7">
            <w:pPr>
              <w:spacing w:after="0" w:line="240" w:lineRule="auto"/>
              <w:rPr>
                <w:rFonts w:eastAsia="Times New Roman" w:cstheme="minorHAnsi"/>
                <w:color w:val="000000"/>
                <w:lang w:eastAsia="en-AU"/>
              </w:rPr>
            </w:pPr>
          </w:p>
          <w:p w14:paraId="1BBF5A1E" w14:textId="77777777" w:rsidR="00D018F7" w:rsidRDefault="00D018F7" w:rsidP="00D018F7">
            <w:pPr>
              <w:spacing w:after="0" w:line="240" w:lineRule="auto"/>
              <w:rPr>
                <w:rFonts w:eastAsia="Times New Roman" w:cstheme="minorHAnsi"/>
                <w:color w:val="000000"/>
                <w:lang w:eastAsia="en-AU"/>
              </w:rPr>
            </w:pPr>
          </w:p>
          <w:p w14:paraId="2A1EB2CC" w14:textId="205FF178" w:rsidR="00D018F7" w:rsidRPr="00D018F7" w:rsidRDefault="00D018F7" w:rsidP="00D018F7">
            <w:pPr>
              <w:spacing w:after="0" w:line="240" w:lineRule="auto"/>
              <w:rPr>
                <w:rFonts w:eastAsia="Times New Roman" w:cstheme="minorHAnsi"/>
                <w:color w:val="000000"/>
                <w:lang w:eastAsia="en-AU"/>
              </w:rPr>
            </w:pPr>
          </w:p>
        </w:tc>
        <w:tc>
          <w:tcPr>
            <w:tcW w:w="4180" w:type="dxa"/>
            <w:tcBorders>
              <w:top w:val="nil"/>
              <w:left w:val="nil"/>
              <w:bottom w:val="nil"/>
              <w:right w:val="nil"/>
            </w:tcBorders>
            <w:noWrap/>
            <w:hideMark/>
          </w:tcPr>
          <w:p w14:paraId="76BE07B6" w14:textId="77777777" w:rsidR="00D018F7" w:rsidRPr="00D018F7" w:rsidRDefault="00D018F7" w:rsidP="00D018F7">
            <w:pPr>
              <w:spacing w:after="0" w:line="240" w:lineRule="auto"/>
              <w:rPr>
                <w:rFonts w:eastAsia="Times New Roman" w:cstheme="minorHAnsi"/>
                <w:lang w:eastAsia="en-AU"/>
              </w:rPr>
            </w:pPr>
          </w:p>
        </w:tc>
        <w:tc>
          <w:tcPr>
            <w:tcW w:w="2740" w:type="dxa"/>
            <w:tcBorders>
              <w:top w:val="nil"/>
              <w:left w:val="nil"/>
              <w:bottom w:val="nil"/>
              <w:right w:val="nil"/>
            </w:tcBorders>
            <w:noWrap/>
            <w:hideMark/>
          </w:tcPr>
          <w:p w14:paraId="733AB585" w14:textId="77777777" w:rsidR="00D018F7" w:rsidRPr="00D018F7" w:rsidRDefault="00D018F7" w:rsidP="00D018F7">
            <w:pPr>
              <w:spacing w:after="0" w:line="240" w:lineRule="auto"/>
              <w:rPr>
                <w:rFonts w:eastAsia="Times New Roman" w:cstheme="minorHAnsi"/>
                <w:lang w:eastAsia="en-AU"/>
              </w:rPr>
            </w:pPr>
          </w:p>
        </w:tc>
      </w:tr>
      <w:tr w:rsidR="00D018F7" w:rsidRPr="00D018F7" w14:paraId="6B5D4FD4" w14:textId="77777777" w:rsidTr="00D018F7">
        <w:trPr>
          <w:trHeight w:val="315"/>
        </w:trPr>
        <w:tc>
          <w:tcPr>
            <w:tcW w:w="3340" w:type="dxa"/>
            <w:tcBorders>
              <w:top w:val="nil"/>
              <w:left w:val="nil"/>
              <w:bottom w:val="nil"/>
              <w:right w:val="nil"/>
            </w:tcBorders>
            <w:vAlign w:val="center"/>
            <w:hideMark/>
          </w:tcPr>
          <w:p w14:paraId="31AEFAE6" w14:textId="4D371943" w:rsidR="00D018F7" w:rsidRPr="00D018F7" w:rsidRDefault="00D018F7" w:rsidP="00D018F7">
            <w:pPr>
              <w:spacing w:after="0" w:line="240" w:lineRule="auto"/>
              <w:rPr>
                <w:rFonts w:eastAsia="Times New Roman" w:cstheme="minorHAnsi"/>
                <w:b/>
                <w:bCs/>
                <w:color w:val="000000"/>
                <w:lang w:eastAsia="en-AU"/>
              </w:rPr>
            </w:pPr>
            <w:r w:rsidRPr="00D018F7">
              <w:rPr>
                <w:rFonts w:eastAsia="Times New Roman" w:cstheme="minorHAnsi"/>
                <w:b/>
                <w:bCs/>
                <w:color w:val="000000"/>
                <w:lang w:eastAsia="en-AU"/>
              </w:rPr>
              <w:lastRenderedPageBreak/>
              <w:t>WEB OF SCIENCE/PROQUEST</w:t>
            </w:r>
          </w:p>
        </w:tc>
        <w:tc>
          <w:tcPr>
            <w:tcW w:w="4180" w:type="dxa"/>
            <w:tcBorders>
              <w:top w:val="nil"/>
              <w:left w:val="nil"/>
              <w:bottom w:val="nil"/>
              <w:right w:val="nil"/>
            </w:tcBorders>
            <w:noWrap/>
            <w:hideMark/>
          </w:tcPr>
          <w:p w14:paraId="20DC06D9" w14:textId="77777777" w:rsidR="00D018F7" w:rsidRPr="00D018F7" w:rsidRDefault="00D018F7" w:rsidP="00D018F7">
            <w:pPr>
              <w:spacing w:after="0" w:line="240" w:lineRule="auto"/>
              <w:rPr>
                <w:rFonts w:eastAsia="Times New Roman" w:cstheme="minorHAnsi"/>
                <w:b/>
                <w:bCs/>
                <w:color w:val="000000"/>
                <w:lang w:eastAsia="en-AU"/>
              </w:rPr>
            </w:pPr>
          </w:p>
        </w:tc>
        <w:tc>
          <w:tcPr>
            <w:tcW w:w="2740" w:type="dxa"/>
            <w:tcBorders>
              <w:top w:val="nil"/>
              <w:left w:val="nil"/>
              <w:bottom w:val="nil"/>
              <w:right w:val="nil"/>
            </w:tcBorders>
            <w:noWrap/>
            <w:hideMark/>
          </w:tcPr>
          <w:p w14:paraId="33FF7CA3" w14:textId="77777777" w:rsidR="00D018F7" w:rsidRPr="00D018F7" w:rsidRDefault="00D018F7" w:rsidP="00D018F7">
            <w:pPr>
              <w:spacing w:after="0" w:line="240" w:lineRule="auto"/>
              <w:rPr>
                <w:rFonts w:eastAsia="Times New Roman" w:cstheme="minorHAnsi"/>
                <w:lang w:eastAsia="en-AU"/>
              </w:rPr>
            </w:pPr>
          </w:p>
        </w:tc>
      </w:tr>
      <w:tr w:rsidR="00D018F7" w:rsidRPr="00D018F7" w14:paraId="5DF4DC05" w14:textId="77777777" w:rsidTr="00D018F7">
        <w:trPr>
          <w:trHeight w:val="3090"/>
        </w:trPr>
        <w:tc>
          <w:tcPr>
            <w:tcW w:w="3340" w:type="dxa"/>
            <w:tcBorders>
              <w:top w:val="single" w:sz="8" w:space="0" w:color="auto"/>
              <w:left w:val="single" w:sz="8" w:space="0" w:color="auto"/>
              <w:bottom w:val="single" w:sz="8" w:space="0" w:color="auto"/>
              <w:right w:val="single" w:sz="8" w:space="0" w:color="auto"/>
            </w:tcBorders>
            <w:vAlign w:val="center"/>
            <w:hideMark/>
          </w:tcPr>
          <w:p w14:paraId="75CC7751" w14:textId="77777777" w:rsidR="00D018F7" w:rsidRPr="00D018F7" w:rsidRDefault="00D018F7" w:rsidP="00D018F7">
            <w:pPr>
              <w:spacing w:after="0" w:line="240" w:lineRule="auto"/>
              <w:rPr>
                <w:rFonts w:eastAsia="Times New Roman" w:cstheme="minorHAnsi"/>
                <w:color w:val="000000"/>
                <w:lang w:eastAsia="en-AU"/>
              </w:rPr>
            </w:pPr>
            <w:r w:rsidRPr="00D018F7">
              <w:rPr>
                <w:rFonts w:eastAsia="Times New Roman" w:cstheme="minorHAnsi"/>
                <w:color w:val="000000"/>
                <w:lang w:eastAsia="en-AU"/>
              </w:rPr>
              <w:t>(emission* NEAR/10 (environment* OR "greenhouse gas*" OR carbon OR gas or gases OR pollut* OR CO2)) OR "carbon footprint" OR "greenhouse gas" OR "greenhouse gases" OR (environment* NEAR/1 impact*) OR "climate change" OR "climate friendly" OR "climate-friendly" OR "CO2e" OR "carbon dioxide equivalents"</w:t>
            </w:r>
          </w:p>
        </w:tc>
        <w:tc>
          <w:tcPr>
            <w:tcW w:w="4180" w:type="dxa"/>
            <w:tcBorders>
              <w:top w:val="single" w:sz="8" w:space="0" w:color="auto"/>
              <w:left w:val="nil"/>
              <w:bottom w:val="single" w:sz="8" w:space="0" w:color="auto"/>
              <w:right w:val="single" w:sz="8" w:space="0" w:color="auto"/>
            </w:tcBorders>
            <w:vAlign w:val="center"/>
            <w:hideMark/>
          </w:tcPr>
          <w:p w14:paraId="400A4FA5" w14:textId="77777777" w:rsidR="00D018F7" w:rsidRPr="00D018F7" w:rsidRDefault="00D018F7" w:rsidP="00D018F7">
            <w:pPr>
              <w:spacing w:after="0" w:line="240" w:lineRule="auto"/>
              <w:rPr>
                <w:rFonts w:eastAsia="Times New Roman" w:cstheme="minorHAnsi"/>
                <w:color w:val="000000"/>
                <w:lang w:eastAsia="en-AU"/>
              </w:rPr>
            </w:pPr>
            <w:r w:rsidRPr="00D018F7">
              <w:rPr>
                <w:rFonts w:eastAsia="Times New Roman" w:cstheme="minorHAnsi"/>
                <w:color w:val="000000"/>
                <w:lang w:eastAsia="en-AU"/>
              </w:rPr>
              <w:t xml:space="preserve">doctor OR doctors OR nurse OR nursing OR nurses OR dentist* OR an*esthe* OR "health professional*" OR surgery OR surgeries OR surgical OR ((health OR hospital) NEAR/3 (staff OR provider)) OR (imaging NEAR/3 (medical OR nuclear OR diagnostic OR radiological OR ultrasound)) OR "magnetic resonance imaging" OR MRI OR "computed tomography" OR radiograph* OR radiologist* OR radiographer* OR clinician* OR physician* OR (asthma NEAR/10 inhal*) OR pathology </w:t>
            </w:r>
          </w:p>
        </w:tc>
        <w:tc>
          <w:tcPr>
            <w:tcW w:w="2740" w:type="dxa"/>
            <w:tcBorders>
              <w:top w:val="single" w:sz="8" w:space="0" w:color="auto"/>
              <w:left w:val="nil"/>
              <w:bottom w:val="single" w:sz="8" w:space="0" w:color="auto"/>
              <w:right w:val="single" w:sz="8" w:space="0" w:color="auto"/>
            </w:tcBorders>
            <w:vAlign w:val="center"/>
            <w:hideMark/>
          </w:tcPr>
          <w:p w14:paraId="669E3219" w14:textId="77777777" w:rsidR="00D018F7" w:rsidRPr="00D018F7" w:rsidRDefault="00D018F7" w:rsidP="00D018F7">
            <w:pPr>
              <w:spacing w:after="0" w:line="240" w:lineRule="auto"/>
              <w:rPr>
                <w:rFonts w:eastAsia="Times New Roman" w:cstheme="minorHAnsi"/>
                <w:color w:val="000000"/>
                <w:lang w:eastAsia="en-AU"/>
              </w:rPr>
            </w:pPr>
            <w:r w:rsidRPr="00D018F7">
              <w:rPr>
                <w:rFonts w:eastAsia="Times New Roman" w:cstheme="minorHAnsi"/>
                <w:color w:val="000000"/>
                <w:lang w:eastAsia="en-AU"/>
              </w:rPr>
              <w:t>intervent* OR behavio* OR incentiv* OR strateg* OR messaging OR educat* OR program* OR training OR implement* OR communicat* OR nudg* OR choice* OR e-nudge OR "decision support" OR audit OR feedback</w:t>
            </w:r>
          </w:p>
        </w:tc>
      </w:tr>
    </w:tbl>
    <w:p w14:paraId="6A448D78" w14:textId="77777777" w:rsidR="007A2B06" w:rsidRDefault="007A2B06">
      <w:pPr>
        <w:rPr>
          <w:rFonts w:cstheme="minorHAnsi"/>
        </w:rPr>
        <w:sectPr w:rsidR="007A2B06">
          <w:pgSz w:w="12240" w:h="15840"/>
          <w:pgMar w:top="1440" w:right="1440" w:bottom="1440" w:left="1440" w:header="720" w:footer="720" w:gutter="0"/>
          <w:cols w:space="720"/>
        </w:sectPr>
      </w:pPr>
    </w:p>
    <w:p w14:paraId="608AF166" w14:textId="2FAD8390" w:rsidR="0097134B" w:rsidRDefault="00D018F7">
      <w:pPr>
        <w:rPr>
          <w:rFonts w:cstheme="minorHAnsi"/>
        </w:rPr>
      </w:pPr>
      <w:r w:rsidRPr="004906D4">
        <w:rPr>
          <w:rFonts w:cstheme="minorHAnsi"/>
          <w:b/>
          <w:bCs/>
        </w:rPr>
        <w:lastRenderedPageBreak/>
        <w:t>Appendix 2 – Behaviour change techniques - full codes from papers</w:t>
      </w:r>
    </w:p>
    <w:tbl>
      <w:tblPr>
        <w:tblW w:w="15194" w:type="dxa"/>
        <w:tblInd w:w="-1144" w:type="dxa"/>
        <w:tblLook w:val="04A0" w:firstRow="1" w:lastRow="0" w:firstColumn="1" w:lastColumn="0" w:noHBand="0" w:noVBand="1"/>
      </w:tblPr>
      <w:tblGrid>
        <w:gridCol w:w="761"/>
        <w:gridCol w:w="810"/>
        <w:gridCol w:w="904"/>
        <w:gridCol w:w="967"/>
        <w:gridCol w:w="1069"/>
        <w:gridCol w:w="1718"/>
        <w:gridCol w:w="1078"/>
        <w:gridCol w:w="1065"/>
        <w:gridCol w:w="1052"/>
        <w:gridCol w:w="1160"/>
        <w:gridCol w:w="1135"/>
        <w:gridCol w:w="869"/>
        <w:gridCol w:w="986"/>
        <w:gridCol w:w="953"/>
        <w:gridCol w:w="667"/>
      </w:tblGrid>
      <w:tr w:rsidR="00D760B5" w:rsidRPr="00D760B5" w14:paraId="01F3ED02" w14:textId="77777777" w:rsidTr="00D760B5">
        <w:trPr>
          <w:trHeight w:val="300"/>
        </w:trPr>
        <w:tc>
          <w:tcPr>
            <w:tcW w:w="76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8AF0F41" w14:textId="77777777" w:rsidR="00D760B5" w:rsidRPr="00D760B5" w:rsidRDefault="00D760B5" w:rsidP="00D760B5">
            <w:pPr>
              <w:spacing w:after="0" w:line="240" w:lineRule="auto"/>
              <w:jc w:val="center"/>
              <w:rPr>
                <w:rFonts w:ascii="Calibri" w:eastAsia="Times New Roman" w:hAnsi="Calibri" w:cs="Calibri"/>
                <w:b/>
                <w:bCs/>
                <w:color w:val="000000"/>
                <w:sz w:val="14"/>
                <w:szCs w:val="14"/>
                <w:lang w:eastAsia="en-AU"/>
              </w:rPr>
            </w:pPr>
            <w:r w:rsidRPr="00D760B5">
              <w:rPr>
                <w:rFonts w:ascii="Calibri" w:eastAsia="Times New Roman" w:hAnsi="Calibri" w:cs="Calibri"/>
                <w:b/>
                <w:bCs/>
                <w:color w:val="000000"/>
                <w:sz w:val="14"/>
                <w:szCs w:val="14"/>
                <w:lang w:eastAsia="en-AU"/>
              </w:rPr>
              <w:t>Author (year)</w:t>
            </w:r>
          </w:p>
        </w:tc>
        <w:tc>
          <w:tcPr>
            <w:tcW w:w="13766" w:type="dxa"/>
            <w:gridSpan w:val="13"/>
            <w:tcBorders>
              <w:top w:val="single" w:sz="8" w:space="0" w:color="auto"/>
              <w:left w:val="nil"/>
              <w:bottom w:val="single" w:sz="8" w:space="0" w:color="auto"/>
              <w:right w:val="single" w:sz="8" w:space="0" w:color="000000"/>
            </w:tcBorders>
            <w:shd w:val="clear" w:color="auto" w:fill="auto"/>
            <w:vAlign w:val="center"/>
            <w:hideMark/>
          </w:tcPr>
          <w:p w14:paraId="3EE8F52C" w14:textId="77777777" w:rsidR="00D760B5" w:rsidRPr="00D760B5" w:rsidRDefault="00D760B5" w:rsidP="00D760B5">
            <w:pPr>
              <w:spacing w:after="0" w:line="240" w:lineRule="auto"/>
              <w:jc w:val="center"/>
              <w:rPr>
                <w:rFonts w:ascii="Calibri" w:eastAsia="Times New Roman" w:hAnsi="Calibri" w:cs="Calibri"/>
                <w:b/>
                <w:bCs/>
                <w:color w:val="000000"/>
                <w:sz w:val="14"/>
                <w:szCs w:val="14"/>
                <w:lang w:eastAsia="en-AU"/>
              </w:rPr>
            </w:pPr>
            <w:r w:rsidRPr="00D760B5">
              <w:rPr>
                <w:rFonts w:ascii="Calibri" w:eastAsia="Times New Roman" w:hAnsi="Calibri" w:cs="Calibri"/>
                <w:b/>
                <w:bCs/>
                <w:color w:val="000000"/>
                <w:sz w:val="14"/>
                <w:szCs w:val="14"/>
                <w:lang w:eastAsia="en-AU"/>
              </w:rPr>
              <w:t>Behaviour Change Techniques (BCTs)</w:t>
            </w:r>
          </w:p>
        </w:tc>
        <w:tc>
          <w:tcPr>
            <w:tcW w:w="66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A127A8B"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Total number of BCTs used</w:t>
            </w:r>
          </w:p>
        </w:tc>
      </w:tr>
      <w:tr w:rsidR="00D760B5" w:rsidRPr="00D760B5" w14:paraId="1517CFF1" w14:textId="77777777" w:rsidTr="00D760B5">
        <w:trPr>
          <w:trHeight w:val="210"/>
        </w:trPr>
        <w:tc>
          <w:tcPr>
            <w:tcW w:w="761" w:type="dxa"/>
            <w:vMerge/>
            <w:tcBorders>
              <w:top w:val="single" w:sz="8" w:space="0" w:color="auto"/>
              <w:left w:val="single" w:sz="8" w:space="0" w:color="auto"/>
              <w:bottom w:val="single" w:sz="8" w:space="0" w:color="000000"/>
              <w:right w:val="single" w:sz="8" w:space="0" w:color="auto"/>
            </w:tcBorders>
            <w:vAlign w:val="center"/>
            <w:hideMark/>
          </w:tcPr>
          <w:p w14:paraId="05D81649" w14:textId="77777777" w:rsidR="00D760B5" w:rsidRPr="00D760B5" w:rsidRDefault="00D760B5" w:rsidP="00D760B5">
            <w:pPr>
              <w:spacing w:after="0" w:line="240" w:lineRule="auto"/>
              <w:rPr>
                <w:rFonts w:ascii="Calibri" w:eastAsia="Times New Roman" w:hAnsi="Calibri" w:cs="Calibri"/>
                <w:b/>
                <w:bCs/>
                <w:color w:val="000000"/>
                <w:sz w:val="14"/>
                <w:szCs w:val="14"/>
                <w:lang w:eastAsia="en-AU"/>
              </w:rPr>
            </w:pPr>
          </w:p>
        </w:tc>
        <w:tc>
          <w:tcPr>
            <w:tcW w:w="810" w:type="dxa"/>
            <w:tcBorders>
              <w:top w:val="nil"/>
              <w:left w:val="nil"/>
              <w:bottom w:val="single" w:sz="8" w:space="0" w:color="auto"/>
              <w:right w:val="single" w:sz="8" w:space="0" w:color="auto"/>
            </w:tcBorders>
            <w:shd w:val="clear" w:color="auto" w:fill="auto"/>
            <w:vAlign w:val="center"/>
            <w:hideMark/>
          </w:tcPr>
          <w:p w14:paraId="4DDB969C" w14:textId="77777777" w:rsidR="00D760B5" w:rsidRPr="00D760B5" w:rsidRDefault="00D760B5" w:rsidP="00D760B5">
            <w:pPr>
              <w:spacing w:after="0" w:line="240" w:lineRule="auto"/>
              <w:jc w:val="center"/>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1.3</w:t>
            </w:r>
          </w:p>
        </w:tc>
        <w:tc>
          <w:tcPr>
            <w:tcW w:w="904" w:type="dxa"/>
            <w:tcBorders>
              <w:top w:val="nil"/>
              <w:left w:val="nil"/>
              <w:bottom w:val="single" w:sz="8" w:space="0" w:color="auto"/>
              <w:right w:val="single" w:sz="8" w:space="0" w:color="auto"/>
            </w:tcBorders>
            <w:shd w:val="clear" w:color="auto" w:fill="auto"/>
            <w:vAlign w:val="center"/>
            <w:hideMark/>
          </w:tcPr>
          <w:p w14:paraId="7C2DAFF5" w14:textId="77777777" w:rsidR="00D760B5" w:rsidRPr="00D760B5" w:rsidRDefault="00D760B5" w:rsidP="00D760B5">
            <w:pPr>
              <w:spacing w:after="0" w:line="240" w:lineRule="auto"/>
              <w:jc w:val="center"/>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1.6</w:t>
            </w:r>
          </w:p>
        </w:tc>
        <w:tc>
          <w:tcPr>
            <w:tcW w:w="967" w:type="dxa"/>
            <w:tcBorders>
              <w:top w:val="nil"/>
              <w:left w:val="nil"/>
              <w:bottom w:val="single" w:sz="8" w:space="0" w:color="auto"/>
              <w:right w:val="single" w:sz="8" w:space="0" w:color="auto"/>
            </w:tcBorders>
            <w:shd w:val="clear" w:color="auto" w:fill="auto"/>
            <w:vAlign w:val="center"/>
            <w:hideMark/>
          </w:tcPr>
          <w:p w14:paraId="7FC43DFD" w14:textId="77777777" w:rsidR="00D760B5" w:rsidRPr="00D760B5" w:rsidRDefault="00D760B5" w:rsidP="00D760B5">
            <w:pPr>
              <w:spacing w:after="0" w:line="240" w:lineRule="auto"/>
              <w:jc w:val="center"/>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2.1</w:t>
            </w:r>
          </w:p>
        </w:tc>
        <w:tc>
          <w:tcPr>
            <w:tcW w:w="1069" w:type="dxa"/>
            <w:tcBorders>
              <w:top w:val="nil"/>
              <w:left w:val="nil"/>
              <w:bottom w:val="single" w:sz="8" w:space="0" w:color="auto"/>
              <w:right w:val="single" w:sz="8" w:space="0" w:color="auto"/>
            </w:tcBorders>
            <w:shd w:val="clear" w:color="auto" w:fill="auto"/>
            <w:vAlign w:val="center"/>
            <w:hideMark/>
          </w:tcPr>
          <w:p w14:paraId="268B1A02" w14:textId="77777777" w:rsidR="00D760B5" w:rsidRPr="00D760B5" w:rsidRDefault="00D760B5" w:rsidP="00D760B5">
            <w:pPr>
              <w:spacing w:after="0" w:line="240" w:lineRule="auto"/>
              <w:jc w:val="center"/>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2.7</w:t>
            </w:r>
          </w:p>
        </w:tc>
        <w:tc>
          <w:tcPr>
            <w:tcW w:w="1718" w:type="dxa"/>
            <w:tcBorders>
              <w:top w:val="nil"/>
              <w:left w:val="nil"/>
              <w:bottom w:val="single" w:sz="8" w:space="0" w:color="auto"/>
              <w:right w:val="single" w:sz="8" w:space="0" w:color="auto"/>
            </w:tcBorders>
            <w:shd w:val="clear" w:color="auto" w:fill="auto"/>
            <w:vAlign w:val="center"/>
            <w:hideMark/>
          </w:tcPr>
          <w:p w14:paraId="41718562" w14:textId="77777777" w:rsidR="00D760B5" w:rsidRPr="00D760B5" w:rsidRDefault="00D760B5" w:rsidP="00D760B5">
            <w:pPr>
              <w:spacing w:after="0" w:line="240" w:lineRule="auto"/>
              <w:jc w:val="center"/>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3.1</w:t>
            </w:r>
          </w:p>
        </w:tc>
        <w:tc>
          <w:tcPr>
            <w:tcW w:w="1078" w:type="dxa"/>
            <w:tcBorders>
              <w:top w:val="nil"/>
              <w:left w:val="nil"/>
              <w:bottom w:val="single" w:sz="8" w:space="0" w:color="auto"/>
              <w:right w:val="single" w:sz="8" w:space="0" w:color="auto"/>
            </w:tcBorders>
            <w:shd w:val="clear" w:color="auto" w:fill="auto"/>
            <w:vAlign w:val="center"/>
            <w:hideMark/>
          </w:tcPr>
          <w:p w14:paraId="3B16E575" w14:textId="77777777" w:rsidR="00D760B5" w:rsidRPr="00D760B5" w:rsidRDefault="00D760B5" w:rsidP="00D760B5">
            <w:pPr>
              <w:spacing w:after="0" w:line="240" w:lineRule="auto"/>
              <w:jc w:val="center"/>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4.1</w:t>
            </w:r>
          </w:p>
        </w:tc>
        <w:tc>
          <w:tcPr>
            <w:tcW w:w="1065" w:type="dxa"/>
            <w:tcBorders>
              <w:top w:val="nil"/>
              <w:left w:val="nil"/>
              <w:bottom w:val="single" w:sz="8" w:space="0" w:color="auto"/>
              <w:right w:val="single" w:sz="8" w:space="0" w:color="auto"/>
            </w:tcBorders>
            <w:shd w:val="clear" w:color="auto" w:fill="auto"/>
            <w:vAlign w:val="center"/>
            <w:hideMark/>
          </w:tcPr>
          <w:p w14:paraId="786D7FB5" w14:textId="77777777" w:rsidR="00D760B5" w:rsidRPr="00D760B5" w:rsidRDefault="00D760B5" w:rsidP="00D760B5">
            <w:pPr>
              <w:spacing w:after="0" w:line="240" w:lineRule="auto"/>
              <w:jc w:val="center"/>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5.2</w:t>
            </w:r>
          </w:p>
        </w:tc>
        <w:tc>
          <w:tcPr>
            <w:tcW w:w="1052" w:type="dxa"/>
            <w:tcBorders>
              <w:top w:val="nil"/>
              <w:left w:val="nil"/>
              <w:bottom w:val="single" w:sz="8" w:space="0" w:color="auto"/>
              <w:right w:val="single" w:sz="8" w:space="0" w:color="auto"/>
            </w:tcBorders>
            <w:shd w:val="clear" w:color="auto" w:fill="auto"/>
            <w:vAlign w:val="center"/>
            <w:hideMark/>
          </w:tcPr>
          <w:p w14:paraId="1BC94A87" w14:textId="77777777" w:rsidR="00D760B5" w:rsidRPr="00D760B5" w:rsidRDefault="00D760B5" w:rsidP="00D760B5">
            <w:pPr>
              <w:spacing w:after="0" w:line="240" w:lineRule="auto"/>
              <w:jc w:val="center"/>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5.3</w:t>
            </w:r>
          </w:p>
        </w:tc>
        <w:tc>
          <w:tcPr>
            <w:tcW w:w="1160" w:type="dxa"/>
            <w:tcBorders>
              <w:top w:val="nil"/>
              <w:left w:val="nil"/>
              <w:bottom w:val="single" w:sz="8" w:space="0" w:color="auto"/>
              <w:right w:val="single" w:sz="8" w:space="0" w:color="auto"/>
            </w:tcBorders>
            <w:shd w:val="clear" w:color="auto" w:fill="auto"/>
            <w:vAlign w:val="center"/>
            <w:hideMark/>
          </w:tcPr>
          <w:p w14:paraId="143CD59E" w14:textId="77777777" w:rsidR="00D760B5" w:rsidRPr="00D760B5" w:rsidRDefault="00D760B5" w:rsidP="00D760B5">
            <w:pPr>
              <w:spacing w:after="0" w:line="240" w:lineRule="auto"/>
              <w:jc w:val="center"/>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7.1</w:t>
            </w:r>
          </w:p>
        </w:tc>
        <w:tc>
          <w:tcPr>
            <w:tcW w:w="1135" w:type="dxa"/>
            <w:tcBorders>
              <w:top w:val="nil"/>
              <w:left w:val="nil"/>
              <w:bottom w:val="single" w:sz="8" w:space="0" w:color="auto"/>
              <w:right w:val="single" w:sz="8" w:space="0" w:color="auto"/>
            </w:tcBorders>
            <w:shd w:val="clear" w:color="auto" w:fill="auto"/>
            <w:vAlign w:val="center"/>
            <w:hideMark/>
          </w:tcPr>
          <w:p w14:paraId="7CDBC731" w14:textId="77777777" w:rsidR="00D760B5" w:rsidRPr="00D760B5" w:rsidRDefault="00D760B5" w:rsidP="00D760B5">
            <w:pPr>
              <w:spacing w:after="0" w:line="240" w:lineRule="auto"/>
              <w:jc w:val="center"/>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9.1</w:t>
            </w:r>
          </w:p>
        </w:tc>
        <w:tc>
          <w:tcPr>
            <w:tcW w:w="869" w:type="dxa"/>
            <w:tcBorders>
              <w:top w:val="nil"/>
              <w:left w:val="nil"/>
              <w:bottom w:val="single" w:sz="8" w:space="0" w:color="auto"/>
              <w:right w:val="single" w:sz="8" w:space="0" w:color="auto"/>
            </w:tcBorders>
            <w:shd w:val="clear" w:color="auto" w:fill="auto"/>
            <w:vAlign w:val="center"/>
            <w:hideMark/>
          </w:tcPr>
          <w:p w14:paraId="167596DE" w14:textId="77777777" w:rsidR="00D760B5" w:rsidRPr="00D760B5" w:rsidRDefault="00D760B5" w:rsidP="00D760B5">
            <w:pPr>
              <w:spacing w:after="0" w:line="240" w:lineRule="auto"/>
              <w:jc w:val="center"/>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10.8</w:t>
            </w:r>
          </w:p>
        </w:tc>
        <w:tc>
          <w:tcPr>
            <w:tcW w:w="986" w:type="dxa"/>
            <w:tcBorders>
              <w:top w:val="nil"/>
              <w:left w:val="nil"/>
              <w:bottom w:val="single" w:sz="8" w:space="0" w:color="auto"/>
              <w:right w:val="single" w:sz="8" w:space="0" w:color="auto"/>
            </w:tcBorders>
            <w:shd w:val="clear" w:color="auto" w:fill="auto"/>
            <w:vAlign w:val="center"/>
            <w:hideMark/>
          </w:tcPr>
          <w:p w14:paraId="38298410" w14:textId="77777777" w:rsidR="00D760B5" w:rsidRPr="00D760B5" w:rsidRDefault="00D760B5" w:rsidP="00D760B5">
            <w:pPr>
              <w:spacing w:after="0" w:line="240" w:lineRule="auto"/>
              <w:jc w:val="center"/>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12.1</w:t>
            </w:r>
          </w:p>
        </w:tc>
        <w:tc>
          <w:tcPr>
            <w:tcW w:w="953" w:type="dxa"/>
            <w:tcBorders>
              <w:top w:val="nil"/>
              <w:left w:val="nil"/>
              <w:bottom w:val="single" w:sz="8" w:space="0" w:color="auto"/>
              <w:right w:val="single" w:sz="8" w:space="0" w:color="auto"/>
            </w:tcBorders>
            <w:shd w:val="clear" w:color="auto" w:fill="auto"/>
            <w:vAlign w:val="center"/>
            <w:hideMark/>
          </w:tcPr>
          <w:p w14:paraId="2BBC233E" w14:textId="77777777" w:rsidR="00D760B5" w:rsidRPr="00D760B5" w:rsidRDefault="00D760B5" w:rsidP="00D760B5">
            <w:pPr>
              <w:spacing w:after="0" w:line="240" w:lineRule="auto"/>
              <w:jc w:val="center"/>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12.5</w:t>
            </w:r>
          </w:p>
        </w:tc>
        <w:tc>
          <w:tcPr>
            <w:tcW w:w="667" w:type="dxa"/>
            <w:vMerge/>
            <w:tcBorders>
              <w:top w:val="single" w:sz="8" w:space="0" w:color="auto"/>
              <w:left w:val="single" w:sz="8" w:space="0" w:color="auto"/>
              <w:bottom w:val="single" w:sz="8" w:space="0" w:color="000000"/>
              <w:right w:val="single" w:sz="8" w:space="0" w:color="auto"/>
            </w:tcBorders>
            <w:vAlign w:val="center"/>
            <w:hideMark/>
          </w:tcPr>
          <w:p w14:paraId="6BA0DBA9"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p>
        </w:tc>
      </w:tr>
      <w:tr w:rsidR="00D760B5" w:rsidRPr="00D760B5" w14:paraId="0114B59F" w14:textId="77777777" w:rsidTr="00D760B5">
        <w:trPr>
          <w:trHeight w:val="1755"/>
        </w:trPr>
        <w:tc>
          <w:tcPr>
            <w:tcW w:w="761" w:type="dxa"/>
            <w:vMerge/>
            <w:tcBorders>
              <w:top w:val="single" w:sz="8" w:space="0" w:color="auto"/>
              <w:left w:val="single" w:sz="8" w:space="0" w:color="auto"/>
              <w:bottom w:val="single" w:sz="8" w:space="0" w:color="000000"/>
              <w:right w:val="single" w:sz="8" w:space="0" w:color="auto"/>
            </w:tcBorders>
            <w:vAlign w:val="center"/>
            <w:hideMark/>
          </w:tcPr>
          <w:p w14:paraId="4D91199B" w14:textId="77777777" w:rsidR="00D760B5" w:rsidRPr="00D760B5" w:rsidRDefault="00D760B5" w:rsidP="00D760B5">
            <w:pPr>
              <w:spacing w:after="0" w:line="240" w:lineRule="auto"/>
              <w:rPr>
                <w:rFonts w:ascii="Calibri" w:eastAsia="Times New Roman" w:hAnsi="Calibri" w:cs="Calibri"/>
                <w:b/>
                <w:bCs/>
                <w:color w:val="000000"/>
                <w:sz w:val="14"/>
                <w:szCs w:val="14"/>
                <w:lang w:eastAsia="en-AU"/>
              </w:rPr>
            </w:pPr>
          </w:p>
        </w:tc>
        <w:tc>
          <w:tcPr>
            <w:tcW w:w="810" w:type="dxa"/>
            <w:tcBorders>
              <w:top w:val="nil"/>
              <w:left w:val="nil"/>
              <w:bottom w:val="single" w:sz="8" w:space="0" w:color="auto"/>
              <w:right w:val="single" w:sz="8" w:space="0" w:color="auto"/>
            </w:tcBorders>
            <w:shd w:val="clear" w:color="auto" w:fill="auto"/>
            <w:vAlign w:val="center"/>
            <w:hideMark/>
          </w:tcPr>
          <w:p w14:paraId="52902CF8"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Goal setting (outcome)</w:t>
            </w:r>
          </w:p>
        </w:tc>
        <w:tc>
          <w:tcPr>
            <w:tcW w:w="904" w:type="dxa"/>
            <w:tcBorders>
              <w:top w:val="nil"/>
              <w:left w:val="nil"/>
              <w:bottom w:val="single" w:sz="8" w:space="0" w:color="auto"/>
              <w:right w:val="single" w:sz="8" w:space="0" w:color="auto"/>
            </w:tcBorders>
            <w:shd w:val="clear" w:color="auto" w:fill="auto"/>
            <w:vAlign w:val="center"/>
            <w:hideMark/>
          </w:tcPr>
          <w:p w14:paraId="001A01E3"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Discrepancy between current behaviour and goal</w:t>
            </w:r>
          </w:p>
        </w:tc>
        <w:tc>
          <w:tcPr>
            <w:tcW w:w="967" w:type="dxa"/>
            <w:tcBorders>
              <w:top w:val="nil"/>
              <w:left w:val="nil"/>
              <w:bottom w:val="single" w:sz="8" w:space="0" w:color="auto"/>
              <w:right w:val="single" w:sz="8" w:space="0" w:color="auto"/>
            </w:tcBorders>
            <w:shd w:val="clear" w:color="auto" w:fill="auto"/>
            <w:vAlign w:val="center"/>
            <w:hideMark/>
          </w:tcPr>
          <w:p w14:paraId="00C70223"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Monitoring of behaviour by others without feedback</w:t>
            </w:r>
          </w:p>
        </w:tc>
        <w:tc>
          <w:tcPr>
            <w:tcW w:w="1069" w:type="dxa"/>
            <w:tcBorders>
              <w:top w:val="nil"/>
              <w:left w:val="nil"/>
              <w:bottom w:val="single" w:sz="8" w:space="0" w:color="auto"/>
              <w:right w:val="single" w:sz="8" w:space="0" w:color="auto"/>
            </w:tcBorders>
            <w:shd w:val="clear" w:color="auto" w:fill="auto"/>
            <w:vAlign w:val="center"/>
            <w:hideMark/>
          </w:tcPr>
          <w:p w14:paraId="6DA9B3AF"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Feedback on outcome(s) of behaviour</w:t>
            </w:r>
          </w:p>
        </w:tc>
        <w:tc>
          <w:tcPr>
            <w:tcW w:w="1718" w:type="dxa"/>
            <w:tcBorders>
              <w:top w:val="nil"/>
              <w:left w:val="nil"/>
              <w:bottom w:val="single" w:sz="8" w:space="0" w:color="auto"/>
              <w:right w:val="single" w:sz="8" w:space="0" w:color="auto"/>
            </w:tcBorders>
            <w:shd w:val="clear" w:color="auto" w:fill="auto"/>
            <w:vAlign w:val="center"/>
            <w:hideMark/>
          </w:tcPr>
          <w:p w14:paraId="225F26EA"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Social support (unspecified)</w:t>
            </w:r>
          </w:p>
        </w:tc>
        <w:tc>
          <w:tcPr>
            <w:tcW w:w="1078" w:type="dxa"/>
            <w:tcBorders>
              <w:top w:val="nil"/>
              <w:left w:val="nil"/>
              <w:bottom w:val="single" w:sz="8" w:space="0" w:color="auto"/>
              <w:right w:val="single" w:sz="8" w:space="0" w:color="auto"/>
            </w:tcBorders>
            <w:shd w:val="clear" w:color="auto" w:fill="auto"/>
            <w:vAlign w:val="center"/>
            <w:hideMark/>
          </w:tcPr>
          <w:p w14:paraId="3764B241"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Instruction on how to perform a behaviour</w:t>
            </w:r>
          </w:p>
        </w:tc>
        <w:tc>
          <w:tcPr>
            <w:tcW w:w="1065" w:type="dxa"/>
            <w:tcBorders>
              <w:top w:val="nil"/>
              <w:left w:val="nil"/>
              <w:bottom w:val="single" w:sz="8" w:space="0" w:color="auto"/>
              <w:right w:val="single" w:sz="8" w:space="0" w:color="auto"/>
            </w:tcBorders>
            <w:shd w:val="clear" w:color="auto" w:fill="auto"/>
            <w:vAlign w:val="center"/>
            <w:hideMark/>
          </w:tcPr>
          <w:p w14:paraId="2D1739E3"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Salience of consequences</w:t>
            </w:r>
          </w:p>
        </w:tc>
        <w:tc>
          <w:tcPr>
            <w:tcW w:w="1052" w:type="dxa"/>
            <w:tcBorders>
              <w:top w:val="nil"/>
              <w:left w:val="nil"/>
              <w:bottom w:val="single" w:sz="8" w:space="0" w:color="auto"/>
              <w:right w:val="single" w:sz="8" w:space="0" w:color="auto"/>
            </w:tcBorders>
            <w:shd w:val="clear" w:color="auto" w:fill="auto"/>
            <w:vAlign w:val="center"/>
            <w:hideMark/>
          </w:tcPr>
          <w:p w14:paraId="6F147DDF"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Information about social and environmental consequences</w:t>
            </w:r>
          </w:p>
        </w:tc>
        <w:tc>
          <w:tcPr>
            <w:tcW w:w="1160" w:type="dxa"/>
            <w:tcBorders>
              <w:top w:val="nil"/>
              <w:left w:val="nil"/>
              <w:bottom w:val="single" w:sz="8" w:space="0" w:color="auto"/>
              <w:right w:val="single" w:sz="8" w:space="0" w:color="auto"/>
            </w:tcBorders>
            <w:shd w:val="clear" w:color="auto" w:fill="auto"/>
            <w:vAlign w:val="center"/>
            <w:hideMark/>
          </w:tcPr>
          <w:p w14:paraId="002DCE00"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Prompts / cues</w:t>
            </w:r>
          </w:p>
        </w:tc>
        <w:tc>
          <w:tcPr>
            <w:tcW w:w="1135" w:type="dxa"/>
            <w:tcBorders>
              <w:top w:val="nil"/>
              <w:left w:val="nil"/>
              <w:bottom w:val="single" w:sz="8" w:space="0" w:color="auto"/>
              <w:right w:val="single" w:sz="8" w:space="0" w:color="auto"/>
            </w:tcBorders>
            <w:shd w:val="clear" w:color="auto" w:fill="auto"/>
            <w:vAlign w:val="center"/>
            <w:hideMark/>
          </w:tcPr>
          <w:p w14:paraId="78447E62"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Credible source</w:t>
            </w:r>
          </w:p>
        </w:tc>
        <w:tc>
          <w:tcPr>
            <w:tcW w:w="869" w:type="dxa"/>
            <w:tcBorders>
              <w:top w:val="nil"/>
              <w:left w:val="nil"/>
              <w:bottom w:val="single" w:sz="8" w:space="0" w:color="auto"/>
              <w:right w:val="single" w:sz="8" w:space="0" w:color="auto"/>
            </w:tcBorders>
            <w:shd w:val="clear" w:color="auto" w:fill="auto"/>
            <w:vAlign w:val="center"/>
            <w:hideMark/>
          </w:tcPr>
          <w:p w14:paraId="76B17221"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Incentive (outcome)</w:t>
            </w:r>
          </w:p>
        </w:tc>
        <w:tc>
          <w:tcPr>
            <w:tcW w:w="986" w:type="dxa"/>
            <w:tcBorders>
              <w:top w:val="nil"/>
              <w:left w:val="nil"/>
              <w:bottom w:val="single" w:sz="8" w:space="0" w:color="auto"/>
              <w:right w:val="single" w:sz="8" w:space="0" w:color="auto"/>
            </w:tcBorders>
            <w:shd w:val="clear" w:color="auto" w:fill="auto"/>
            <w:vAlign w:val="center"/>
            <w:hideMark/>
          </w:tcPr>
          <w:p w14:paraId="1074663C"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Restructuring the physical environment</w:t>
            </w:r>
          </w:p>
        </w:tc>
        <w:tc>
          <w:tcPr>
            <w:tcW w:w="953" w:type="dxa"/>
            <w:tcBorders>
              <w:top w:val="nil"/>
              <w:left w:val="nil"/>
              <w:bottom w:val="single" w:sz="8" w:space="0" w:color="auto"/>
              <w:right w:val="single" w:sz="8" w:space="0" w:color="auto"/>
            </w:tcBorders>
            <w:shd w:val="clear" w:color="auto" w:fill="auto"/>
            <w:vAlign w:val="center"/>
            <w:hideMark/>
          </w:tcPr>
          <w:p w14:paraId="5C82C437"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Adding objects to the environment</w:t>
            </w:r>
          </w:p>
        </w:tc>
        <w:tc>
          <w:tcPr>
            <w:tcW w:w="667" w:type="dxa"/>
            <w:vMerge/>
            <w:tcBorders>
              <w:top w:val="single" w:sz="8" w:space="0" w:color="auto"/>
              <w:left w:val="single" w:sz="8" w:space="0" w:color="auto"/>
              <w:bottom w:val="single" w:sz="8" w:space="0" w:color="000000"/>
              <w:right w:val="single" w:sz="8" w:space="0" w:color="auto"/>
            </w:tcBorders>
            <w:vAlign w:val="center"/>
            <w:hideMark/>
          </w:tcPr>
          <w:p w14:paraId="1FAE6991"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p>
        </w:tc>
      </w:tr>
      <w:tr w:rsidR="00D760B5" w:rsidRPr="00D760B5" w14:paraId="7DC3C10B" w14:textId="77777777" w:rsidTr="00D760B5">
        <w:trPr>
          <w:trHeight w:val="4200"/>
        </w:trPr>
        <w:tc>
          <w:tcPr>
            <w:tcW w:w="761" w:type="dxa"/>
            <w:tcBorders>
              <w:top w:val="nil"/>
              <w:left w:val="single" w:sz="8" w:space="0" w:color="auto"/>
              <w:bottom w:val="single" w:sz="8" w:space="0" w:color="auto"/>
              <w:right w:val="single" w:sz="8" w:space="0" w:color="auto"/>
            </w:tcBorders>
            <w:shd w:val="clear" w:color="auto" w:fill="auto"/>
            <w:vAlign w:val="center"/>
            <w:hideMark/>
          </w:tcPr>
          <w:p w14:paraId="1288555A"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Epstein et al, 2016</w:t>
            </w:r>
          </w:p>
        </w:tc>
        <w:tc>
          <w:tcPr>
            <w:tcW w:w="810" w:type="dxa"/>
            <w:tcBorders>
              <w:top w:val="nil"/>
              <w:left w:val="nil"/>
              <w:bottom w:val="single" w:sz="8" w:space="0" w:color="auto"/>
              <w:right w:val="single" w:sz="8" w:space="0" w:color="auto"/>
            </w:tcBorders>
            <w:shd w:val="clear" w:color="000000" w:fill="D0CECE"/>
            <w:vAlign w:val="center"/>
            <w:hideMark/>
          </w:tcPr>
          <w:p w14:paraId="133F2734"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 </w:t>
            </w:r>
          </w:p>
        </w:tc>
        <w:tc>
          <w:tcPr>
            <w:tcW w:w="904" w:type="dxa"/>
            <w:tcBorders>
              <w:top w:val="nil"/>
              <w:left w:val="nil"/>
              <w:bottom w:val="single" w:sz="8" w:space="0" w:color="auto"/>
              <w:right w:val="single" w:sz="8" w:space="0" w:color="auto"/>
            </w:tcBorders>
            <w:shd w:val="clear" w:color="auto" w:fill="auto"/>
            <w:vAlign w:val="center"/>
            <w:hideMark/>
          </w:tcPr>
          <w:p w14:paraId="78CFBC22"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Percent deviations from target FGF values were provided along with a reminder of the desired FGF for each agent</w:t>
            </w:r>
          </w:p>
        </w:tc>
        <w:tc>
          <w:tcPr>
            <w:tcW w:w="967" w:type="dxa"/>
            <w:tcBorders>
              <w:top w:val="nil"/>
              <w:left w:val="nil"/>
              <w:bottom w:val="single" w:sz="8" w:space="0" w:color="auto"/>
              <w:right w:val="single" w:sz="8" w:space="0" w:color="auto"/>
            </w:tcBorders>
            <w:shd w:val="clear" w:color="000000" w:fill="D0CECE"/>
            <w:vAlign w:val="center"/>
            <w:hideMark/>
          </w:tcPr>
          <w:p w14:paraId="54715C6C"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 </w:t>
            </w:r>
          </w:p>
        </w:tc>
        <w:tc>
          <w:tcPr>
            <w:tcW w:w="1069" w:type="dxa"/>
            <w:tcBorders>
              <w:top w:val="nil"/>
              <w:left w:val="nil"/>
              <w:bottom w:val="single" w:sz="8" w:space="0" w:color="auto"/>
              <w:right w:val="single" w:sz="8" w:space="0" w:color="auto"/>
            </w:tcBorders>
            <w:shd w:val="clear" w:color="auto" w:fill="auto"/>
            <w:vAlign w:val="center"/>
            <w:hideMark/>
          </w:tcPr>
          <w:p w14:paraId="1BF38B68"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Every fourth Monday an email was sent to every provider listing the average intraoperative FGF for their most recent 10 cases with each volatile agent</w:t>
            </w:r>
          </w:p>
        </w:tc>
        <w:tc>
          <w:tcPr>
            <w:tcW w:w="1718" w:type="dxa"/>
            <w:tcBorders>
              <w:top w:val="nil"/>
              <w:left w:val="nil"/>
              <w:bottom w:val="single" w:sz="8" w:space="0" w:color="auto"/>
              <w:right w:val="single" w:sz="8" w:space="0" w:color="auto"/>
            </w:tcBorders>
            <w:shd w:val="clear" w:color="000000" w:fill="D0CECE"/>
            <w:vAlign w:val="center"/>
            <w:hideMark/>
          </w:tcPr>
          <w:p w14:paraId="6937C508"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 </w:t>
            </w:r>
          </w:p>
        </w:tc>
        <w:tc>
          <w:tcPr>
            <w:tcW w:w="1078" w:type="dxa"/>
            <w:tcBorders>
              <w:top w:val="nil"/>
              <w:left w:val="nil"/>
              <w:bottom w:val="single" w:sz="8" w:space="0" w:color="auto"/>
              <w:right w:val="single" w:sz="8" w:space="0" w:color="auto"/>
            </w:tcBorders>
            <w:shd w:val="clear" w:color="auto" w:fill="auto"/>
            <w:vAlign w:val="center"/>
            <w:hideMark/>
          </w:tcPr>
          <w:p w14:paraId="1B8EC336"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Email to providers encouraging them to maintain 1L/min FGF during the maintenance of sevoflurane administration instead of increasing the FGF to 2L/min</w:t>
            </w:r>
          </w:p>
        </w:tc>
        <w:tc>
          <w:tcPr>
            <w:tcW w:w="1065" w:type="dxa"/>
            <w:tcBorders>
              <w:top w:val="nil"/>
              <w:left w:val="nil"/>
              <w:bottom w:val="single" w:sz="8" w:space="0" w:color="auto"/>
              <w:right w:val="single" w:sz="8" w:space="0" w:color="auto"/>
            </w:tcBorders>
            <w:shd w:val="clear" w:color="000000" w:fill="D0CECE"/>
            <w:vAlign w:val="center"/>
            <w:hideMark/>
          </w:tcPr>
          <w:p w14:paraId="4EE3B965"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 </w:t>
            </w:r>
          </w:p>
        </w:tc>
        <w:tc>
          <w:tcPr>
            <w:tcW w:w="1052" w:type="dxa"/>
            <w:tcBorders>
              <w:top w:val="nil"/>
              <w:left w:val="nil"/>
              <w:bottom w:val="single" w:sz="8" w:space="0" w:color="auto"/>
              <w:right w:val="single" w:sz="8" w:space="0" w:color="auto"/>
            </w:tcBorders>
            <w:shd w:val="clear" w:color="000000" w:fill="D0CECE"/>
            <w:vAlign w:val="center"/>
            <w:hideMark/>
          </w:tcPr>
          <w:p w14:paraId="114C3C2C"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 </w:t>
            </w:r>
          </w:p>
        </w:tc>
        <w:tc>
          <w:tcPr>
            <w:tcW w:w="1160" w:type="dxa"/>
            <w:tcBorders>
              <w:top w:val="nil"/>
              <w:left w:val="nil"/>
              <w:bottom w:val="single" w:sz="8" w:space="0" w:color="auto"/>
              <w:right w:val="single" w:sz="8" w:space="0" w:color="auto"/>
            </w:tcBorders>
            <w:shd w:val="clear" w:color="auto" w:fill="auto"/>
            <w:vAlign w:val="center"/>
            <w:hideMark/>
          </w:tcPr>
          <w:p w14:paraId="34AD2DB7"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Notified by email. Added a notification to change the absorbent to the text message to turn over the operating room. Added an alert to the technicians to check the absorbent</w:t>
            </w:r>
          </w:p>
        </w:tc>
        <w:tc>
          <w:tcPr>
            <w:tcW w:w="1135" w:type="dxa"/>
            <w:tcBorders>
              <w:top w:val="nil"/>
              <w:left w:val="nil"/>
              <w:bottom w:val="single" w:sz="8" w:space="0" w:color="auto"/>
              <w:right w:val="single" w:sz="8" w:space="0" w:color="auto"/>
            </w:tcBorders>
            <w:shd w:val="clear" w:color="auto" w:fill="auto"/>
            <w:vAlign w:val="center"/>
            <w:hideMark/>
          </w:tcPr>
          <w:p w14:paraId="72BF9520"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Change in policy was approved and endorsed by the chair and vice chair of the department</w:t>
            </w:r>
          </w:p>
        </w:tc>
        <w:tc>
          <w:tcPr>
            <w:tcW w:w="869" w:type="dxa"/>
            <w:tcBorders>
              <w:top w:val="nil"/>
              <w:left w:val="nil"/>
              <w:bottom w:val="single" w:sz="8" w:space="0" w:color="auto"/>
              <w:right w:val="single" w:sz="8" w:space="0" w:color="auto"/>
            </w:tcBorders>
            <w:shd w:val="clear" w:color="000000" w:fill="D0CECE"/>
            <w:vAlign w:val="center"/>
            <w:hideMark/>
          </w:tcPr>
          <w:p w14:paraId="3AC8F00D"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 </w:t>
            </w:r>
          </w:p>
        </w:tc>
        <w:tc>
          <w:tcPr>
            <w:tcW w:w="986" w:type="dxa"/>
            <w:tcBorders>
              <w:top w:val="nil"/>
              <w:left w:val="nil"/>
              <w:bottom w:val="single" w:sz="8" w:space="0" w:color="auto"/>
              <w:right w:val="single" w:sz="8" w:space="0" w:color="auto"/>
            </w:tcBorders>
            <w:shd w:val="clear" w:color="auto" w:fill="auto"/>
            <w:vAlign w:val="center"/>
            <w:hideMark/>
          </w:tcPr>
          <w:p w14:paraId="49ADED47"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Canisters containing exhausted soda lime were refilled with the nonreactive absorbent</w:t>
            </w:r>
          </w:p>
        </w:tc>
        <w:tc>
          <w:tcPr>
            <w:tcW w:w="953" w:type="dxa"/>
            <w:tcBorders>
              <w:top w:val="nil"/>
              <w:left w:val="nil"/>
              <w:bottom w:val="single" w:sz="8" w:space="0" w:color="auto"/>
              <w:right w:val="single" w:sz="8" w:space="0" w:color="auto"/>
            </w:tcBorders>
            <w:shd w:val="clear" w:color="auto" w:fill="auto"/>
            <w:vAlign w:val="center"/>
            <w:hideMark/>
          </w:tcPr>
          <w:p w14:paraId="30748C5E"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Place a note on the anaesthesia machine requesting the absorbent to be changed</w:t>
            </w:r>
          </w:p>
        </w:tc>
        <w:tc>
          <w:tcPr>
            <w:tcW w:w="667" w:type="dxa"/>
            <w:tcBorders>
              <w:top w:val="nil"/>
              <w:left w:val="nil"/>
              <w:bottom w:val="single" w:sz="8" w:space="0" w:color="auto"/>
              <w:right w:val="single" w:sz="8" w:space="0" w:color="auto"/>
            </w:tcBorders>
            <w:shd w:val="clear" w:color="auto" w:fill="auto"/>
            <w:noWrap/>
            <w:vAlign w:val="center"/>
            <w:hideMark/>
          </w:tcPr>
          <w:p w14:paraId="0239C83F" w14:textId="77777777" w:rsidR="00D760B5" w:rsidRPr="00D760B5" w:rsidRDefault="00D760B5" w:rsidP="00D760B5">
            <w:pPr>
              <w:spacing w:after="0" w:line="240" w:lineRule="auto"/>
              <w:jc w:val="center"/>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7</w:t>
            </w:r>
          </w:p>
        </w:tc>
      </w:tr>
      <w:tr w:rsidR="00D760B5" w:rsidRPr="00D760B5" w14:paraId="49DE8189" w14:textId="77777777" w:rsidTr="00D760B5">
        <w:trPr>
          <w:trHeight w:val="3165"/>
        </w:trPr>
        <w:tc>
          <w:tcPr>
            <w:tcW w:w="761" w:type="dxa"/>
            <w:tcBorders>
              <w:top w:val="nil"/>
              <w:left w:val="single" w:sz="8" w:space="0" w:color="auto"/>
              <w:bottom w:val="single" w:sz="8" w:space="0" w:color="auto"/>
              <w:right w:val="single" w:sz="8" w:space="0" w:color="auto"/>
            </w:tcBorders>
            <w:shd w:val="clear" w:color="auto" w:fill="auto"/>
            <w:vAlign w:val="center"/>
            <w:hideMark/>
          </w:tcPr>
          <w:p w14:paraId="59D1D0FC"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lastRenderedPageBreak/>
              <w:t>Regan et al, 2018</w:t>
            </w:r>
          </w:p>
        </w:tc>
        <w:tc>
          <w:tcPr>
            <w:tcW w:w="810" w:type="dxa"/>
            <w:tcBorders>
              <w:top w:val="nil"/>
              <w:left w:val="nil"/>
              <w:bottom w:val="single" w:sz="8" w:space="0" w:color="auto"/>
              <w:right w:val="single" w:sz="8" w:space="0" w:color="auto"/>
            </w:tcBorders>
            <w:shd w:val="clear" w:color="auto" w:fill="auto"/>
            <w:vAlign w:val="center"/>
            <w:hideMark/>
          </w:tcPr>
          <w:p w14:paraId="614B4C68"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Target reduction</w:t>
            </w:r>
          </w:p>
        </w:tc>
        <w:tc>
          <w:tcPr>
            <w:tcW w:w="904" w:type="dxa"/>
            <w:tcBorders>
              <w:top w:val="nil"/>
              <w:left w:val="nil"/>
              <w:bottom w:val="single" w:sz="8" w:space="0" w:color="auto"/>
              <w:right w:val="single" w:sz="8" w:space="0" w:color="auto"/>
            </w:tcBorders>
            <w:shd w:val="clear" w:color="000000" w:fill="D0CECE"/>
            <w:vAlign w:val="center"/>
            <w:hideMark/>
          </w:tcPr>
          <w:p w14:paraId="20BF0B19"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 </w:t>
            </w:r>
          </w:p>
        </w:tc>
        <w:tc>
          <w:tcPr>
            <w:tcW w:w="967" w:type="dxa"/>
            <w:tcBorders>
              <w:top w:val="nil"/>
              <w:left w:val="nil"/>
              <w:bottom w:val="single" w:sz="8" w:space="0" w:color="auto"/>
              <w:right w:val="single" w:sz="8" w:space="0" w:color="auto"/>
            </w:tcBorders>
            <w:shd w:val="clear" w:color="000000" w:fill="D0CECE"/>
            <w:vAlign w:val="center"/>
            <w:hideMark/>
          </w:tcPr>
          <w:p w14:paraId="5C198556"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 </w:t>
            </w:r>
          </w:p>
        </w:tc>
        <w:tc>
          <w:tcPr>
            <w:tcW w:w="1069" w:type="dxa"/>
            <w:tcBorders>
              <w:top w:val="nil"/>
              <w:left w:val="nil"/>
              <w:bottom w:val="single" w:sz="8" w:space="0" w:color="auto"/>
              <w:right w:val="single" w:sz="8" w:space="0" w:color="auto"/>
            </w:tcBorders>
            <w:shd w:val="clear" w:color="auto" w:fill="auto"/>
            <w:vAlign w:val="center"/>
            <w:hideMark/>
          </w:tcPr>
          <w:p w14:paraId="5A1D2A7A"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Initial results were communicated to the team. Illustrating the financial and carbon savings achieved to date</w:t>
            </w:r>
          </w:p>
        </w:tc>
        <w:tc>
          <w:tcPr>
            <w:tcW w:w="1718" w:type="dxa"/>
            <w:tcBorders>
              <w:top w:val="nil"/>
              <w:left w:val="nil"/>
              <w:bottom w:val="single" w:sz="8" w:space="0" w:color="auto"/>
              <w:right w:val="single" w:sz="8" w:space="0" w:color="auto"/>
            </w:tcBorders>
            <w:shd w:val="clear" w:color="auto" w:fill="auto"/>
            <w:vAlign w:val="center"/>
            <w:hideMark/>
          </w:tcPr>
          <w:p w14:paraId="2BF37C4A"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A progress report was published and communicated to the ward team thanking them for a positive engagement with the project</w:t>
            </w:r>
          </w:p>
        </w:tc>
        <w:tc>
          <w:tcPr>
            <w:tcW w:w="1078" w:type="dxa"/>
            <w:tcBorders>
              <w:top w:val="nil"/>
              <w:left w:val="nil"/>
              <w:bottom w:val="single" w:sz="8" w:space="0" w:color="auto"/>
              <w:right w:val="single" w:sz="8" w:space="0" w:color="auto"/>
            </w:tcBorders>
            <w:shd w:val="clear" w:color="auto" w:fill="auto"/>
            <w:vAlign w:val="center"/>
            <w:hideMark/>
          </w:tcPr>
          <w:p w14:paraId="36F3E0ED"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Educational poster provided a practical guide to selecting the common C005 test required on the computer system</w:t>
            </w:r>
          </w:p>
        </w:tc>
        <w:tc>
          <w:tcPr>
            <w:tcW w:w="1065" w:type="dxa"/>
            <w:tcBorders>
              <w:top w:val="nil"/>
              <w:left w:val="nil"/>
              <w:bottom w:val="single" w:sz="8" w:space="0" w:color="auto"/>
              <w:right w:val="single" w:sz="8" w:space="0" w:color="auto"/>
            </w:tcBorders>
            <w:shd w:val="clear" w:color="auto" w:fill="auto"/>
            <w:vAlign w:val="center"/>
            <w:hideMark/>
          </w:tcPr>
          <w:p w14:paraId="4508A6DC"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 xml:space="preserve">Cartoon-based stickers. </w:t>
            </w:r>
          </w:p>
        </w:tc>
        <w:tc>
          <w:tcPr>
            <w:tcW w:w="1052" w:type="dxa"/>
            <w:tcBorders>
              <w:top w:val="nil"/>
              <w:left w:val="nil"/>
              <w:bottom w:val="single" w:sz="8" w:space="0" w:color="auto"/>
              <w:right w:val="single" w:sz="8" w:space="0" w:color="auto"/>
            </w:tcBorders>
            <w:shd w:val="clear" w:color="auto" w:fill="auto"/>
            <w:vAlign w:val="center"/>
            <w:hideMark/>
          </w:tcPr>
          <w:p w14:paraId="77F619B0"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The poster illustrated the issues of resource use within the NHS and the wider environmental implications of wasteful practices</w:t>
            </w:r>
          </w:p>
        </w:tc>
        <w:tc>
          <w:tcPr>
            <w:tcW w:w="1160" w:type="dxa"/>
            <w:tcBorders>
              <w:top w:val="nil"/>
              <w:left w:val="nil"/>
              <w:bottom w:val="single" w:sz="8" w:space="0" w:color="auto"/>
              <w:right w:val="single" w:sz="8" w:space="0" w:color="auto"/>
            </w:tcBorders>
            <w:shd w:val="clear" w:color="auto" w:fill="auto"/>
            <w:vAlign w:val="center"/>
            <w:hideMark/>
          </w:tcPr>
          <w:p w14:paraId="374477FD"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Stickers fixed onto computer screens. Posters. Progress reports</w:t>
            </w:r>
          </w:p>
        </w:tc>
        <w:tc>
          <w:tcPr>
            <w:tcW w:w="1135" w:type="dxa"/>
            <w:tcBorders>
              <w:top w:val="nil"/>
              <w:left w:val="nil"/>
              <w:bottom w:val="single" w:sz="8" w:space="0" w:color="auto"/>
              <w:right w:val="single" w:sz="8" w:space="0" w:color="auto"/>
            </w:tcBorders>
            <w:shd w:val="clear" w:color="auto" w:fill="auto"/>
            <w:vAlign w:val="center"/>
            <w:hideMark/>
          </w:tcPr>
          <w:p w14:paraId="58BBF2E9"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Intervention created by the department</w:t>
            </w:r>
          </w:p>
        </w:tc>
        <w:tc>
          <w:tcPr>
            <w:tcW w:w="869" w:type="dxa"/>
            <w:tcBorders>
              <w:top w:val="nil"/>
              <w:left w:val="nil"/>
              <w:bottom w:val="single" w:sz="8" w:space="0" w:color="auto"/>
              <w:right w:val="single" w:sz="8" w:space="0" w:color="auto"/>
            </w:tcBorders>
            <w:shd w:val="clear" w:color="auto" w:fill="auto"/>
            <w:vAlign w:val="center"/>
            <w:hideMark/>
          </w:tcPr>
          <w:p w14:paraId="3D62B1DB"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Incentive of a celebratory tea trolley for staff if the reduction target was met and maintained</w:t>
            </w:r>
          </w:p>
        </w:tc>
        <w:tc>
          <w:tcPr>
            <w:tcW w:w="986" w:type="dxa"/>
            <w:tcBorders>
              <w:top w:val="nil"/>
              <w:left w:val="nil"/>
              <w:bottom w:val="single" w:sz="8" w:space="0" w:color="auto"/>
              <w:right w:val="single" w:sz="8" w:space="0" w:color="auto"/>
            </w:tcBorders>
            <w:shd w:val="clear" w:color="000000" w:fill="D0CECE"/>
            <w:vAlign w:val="center"/>
            <w:hideMark/>
          </w:tcPr>
          <w:p w14:paraId="0E4DF6E7"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 </w:t>
            </w:r>
          </w:p>
        </w:tc>
        <w:tc>
          <w:tcPr>
            <w:tcW w:w="953" w:type="dxa"/>
            <w:tcBorders>
              <w:top w:val="nil"/>
              <w:left w:val="nil"/>
              <w:bottom w:val="single" w:sz="8" w:space="0" w:color="auto"/>
              <w:right w:val="single" w:sz="8" w:space="0" w:color="auto"/>
            </w:tcBorders>
            <w:shd w:val="clear" w:color="auto" w:fill="auto"/>
            <w:vAlign w:val="center"/>
            <w:hideMark/>
          </w:tcPr>
          <w:p w14:paraId="6005B550"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Educational poster placed throughout the ward in clinical and rest areas and cartoon based stickers fixed onto the computer screens</w:t>
            </w:r>
          </w:p>
        </w:tc>
        <w:tc>
          <w:tcPr>
            <w:tcW w:w="667" w:type="dxa"/>
            <w:tcBorders>
              <w:top w:val="nil"/>
              <w:left w:val="nil"/>
              <w:bottom w:val="single" w:sz="8" w:space="0" w:color="auto"/>
              <w:right w:val="single" w:sz="8" w:space="0" w:color="auto"/>
            </w:tcBorders>
            <w:shd w:val="clear" w:color="auto" w:fill="auto"/>
            <w:noWrap/>
            <w:vAlign w:val="center"/>
            <w:hideMark/>
          </w:tcPr>
          <w:p w14:paraId="56099D25" w14:textId="77777777" w:rsidR="00D760B5" w:rsidRPr="00D760B5" w:rsidRDefault="00D760B5" w:rsidP="00D760B5">
            <w:pPr>
              <w:spacing w:after="0" w:line="240" w:lineRule="auto"/>
              <w:jc w:val="center"/>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10</w:t>
            </w:r>
          </w:p>
        </w:tc>
      </w:tr>
      <w:tr w:rsidR="00D760B5" w:rsidRPr="00D760B5" w14:paraId="3613C6E0" w14:textId="77777777" w:rsidTr="00D760B5">
        <w:trPr>
          <w:trHeight w:val="4290"/>
        </w:trPr>
        <w:tc>
          <w:tcPr>
            <w:tcW w:w="761" w:type="dxa"/>
            <w:tcBorders>
              <w:top w:val="nil"/>
              <w:left w:val="single" w:sz="8" w:space="0" w:color="auto"/>
              <w:bottom w:val="single" w:sz="8" w:space="0" w:color="auto"/>
              <w:right w:val="single" w:sz="8" w:space="0" w:color="auto"/>
            </w:tcBorders>
            <w:shd w:val="clear" w:color="auto" w:fill="auto"/>
            <w:vAlign w:val="center"/>
            <w:hideMark/>
          </w:tcPr>
          <w:p w14:paraId="781C5097"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Carter et al, 2019</w:t>
            </w:r>
          </w:p>
        </w:tc>
        <w:tc>
          <w:tcPr>
            <w:tcW w:w="810" w:type="dxa"/>
            <w:tcBorders>
              <w:top w:val="nil"/>
              <w:left w:val="nil"/>
              <w:bottom w:val="single" w:sz="8" w:space="0" w:color="auto"/>
              <w:right w:val="single" w:sz="8" w:space="0" w:color="auto"/>
            </w:tcBorders>
            <w:shd w:val="clear" w:color="000000" w:fill="D0CECE"/>
            <w:vAlign w:val="center"/>
            <w:hideMark/>
          </w:tcPr>
          <w:p w14:paraId="714C994E"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 </w:t>
            </w:r>
          </w:p>
        </w:tc>
        <w:tc>
          <w:tcPr>
            <w:tcW w:w="904" w:type="dxa"/>
            <w:tcBorders>
              <w:top w:val="nil"/>
              <w:left w:val="nil"/>
              <w:bottom w:val="single" w:sz="8" w:space="0" w:color="auto"/>
              <w:right w:val="single" w:sz="8" w:space="0" w:color="auto"/>
            </w:tcBorders>
            <w:shd w:val="clear" w:color="000000" w:fill="D0CECE"/>
            <w:vAlign w:val="center"/>
            <w:hideMark/>
          </w:tcPr>
          <w:p w14:paraId="22A22745"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 </w:t>
            </w:r>
          </w:p>
        </w:tc>
        <w:tc>
          <w:tcPr>
            <w:tcW w:w="967" w:type="dxa"/>
            <w:tcBorders>
              <w:top w:val="nil"/>
              <w:left w:val="nil"/>
              <w:bottom w:val="single" w:sz="8" w:space="0" w:color="auto"/>
              <w:right w:val="single" w:sz="8" w:space="0" w:color="auto"/>
            </w:tcBorders>
            <w:shd w:val="clear" w:color="000000" w:fill="D0CECE"/>
            <w:vAlign w:val="center"/>
            <w:hideMark/>
          </w:tcPr>
          <w:p w14:paraId="41C94521"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 </w:t>
            </w:r>
          </w:p>
        </w:tc>
        <w:tc>
          <w:tcPr>
            <w:tcW w:w="1069" w:type="dxa"/>
            <w:tcBorders>
              <w:top w:val="nil"/>
              <w:left w:val="nil"/>
              <w:bottom w:val="single" w:sz="8" w:space="0" w:color="auto"/>
              <w:right w:val="single" w:sz="8" w:space="0" w:color="auto"/>
            </w:tcBorders>
            <w:shd w:val="clear" w:color="auto" w:fill="auto"/>
            <w:vAlign w:val="center"/>
            <w:hideMark/>
          </w:tcPr>
          <w:p w14:paraId="616DCC44"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Feedback on actual costing figures based on information from pharmacy about monthly spending. Monthly spot audits of gas flow rates. Feedback on the latest spot audit findings at weekly anaesthetic departmental meetings</w:t>
            </w:r>
          </w:p>
        </w:tc>
        <w:tc>
          <w:tcPr>
            <w:tcW w:w="1718" w:type="dxa"/>
            <w:tcBorders>
              <w:top w:val="nil"/>
              <w:left w:val="nil"/>
              <w:bottom w:val="single" w:sz="8" w:space="0" w:color="auto"/>
              <w:right w:val="single" w:sz="8" w:space="0" w:color="auto"/>
            </w:tcBorders>
            <w:shd w:val="clear" w:color="auto" w:fill="auto"/>
            <w:vAlign w:val="center"/>
            <w:hideMark/>
          </w:tcPr>
          <w:p w14:paraId="4C423F45"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Email updates highlighting improvements we had made as a group to encourage continued engagement</w:t>
            </w:r>
          </w:p>
        </w:tc>
        <w:tc>
          <w:tcPr>
            <w:tcW w:w="1078" w:type="dxa"/>
            <w:tcBorders>
              <w:top w:val="nil"/>
              <w:left w:val="nil"/>
              <w:bottom w:val="single" w:sz="8" w:space="0" w:color="auto"/>
              <w:right w:val="single" w:sz="8" w:space="0" w:color="auto"/>
            </w:tcBorders>
            <w:shd w:val="clear" w:color="auto" w:fill="auto"/>
            <w:vAlign w:val="center"/>
            <w:hideMark/>
          </w:tcPr>
          <w:p w14:paraId="2482097E"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Representative from the department to advise as to the optimal use of desflurane</w:t>
            </w:r>
          </w:p>
        </w:tc>
        <w:tc>
          <w:tcPr>
            <w:tcW w:w="1065" w:type="dxa"/>
            <w:tcBorders>
              <w:top w:val="nil"/>
              <w:left w:val="nil"/>
              <w:bottom w:val="single" w:sz="8" w:space="0" w:color="auto"/>
              <w:right w:val="single" w:sz="8" w:space="0" w:color="auto"/>
            </w:tcBorders>
            <w:shd w:val="clear" w:color="auto" w:fill="auto"/>
            <w:vAlign w:val="center"/>
            <w:hideMark/>
          </w:tcPr>
          <w:p w14:paraId="2BB2EEEE"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'Low flow board' highlighted project aims alongside pictorial and graphical representation of monthly progression</w:t>
            </w:r>
          </w:p>
        </w:tc>
        <w:tc>
          <w:tcPr>
            <w:tcW w:w="1052" w:type="dxa"/>
            <w:tcBorders>
              <w:top w:val="nil"/>
              <w:left w:val="nil"/>
              <w:bottom w:val="single" w:sz="8" w:space="0" w:color="auto"/>
              <w:right w:val="single" w:sz="8" w:space="0" w:color="auto"/>
            </w:tcBorders>
            <w:shd w:val="clear" w:color="auto" w:fill="auto"/>
            <w:vAlign w:val="center"/>
            <w:hideMark/>
          </w:tcPr>
          <w:p w14:paraId="0A84F73B"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Presented these data together with their environmental and economic impact at our weekly departmental meeting</w:t>
            </w:r>
          </w:p>
        </w:tc>
        <w:tc>
          <w:tcPr>
            <w:tcW w:w="1160" w:type="dxa"/>
            <w:tcBorders>
              <w:top w:val="nil"/>
              <w:left w:val="nil"/>
              <w:bottom w:val="single" w:sz="8" w:space="0" w:color="auto"/>
              <w:right w:val="single" w:sz="8" w:space="0" w:color="auto"/>
            </w:tcBorders>
            <w:shd w:val="clear" w:color="auto" w:fill="auto"/>
            <w:vAlign w:val="center"/>
            <w:hideMark/>
          </w:tcPr>
          <w:p w14:paraId="2A0D52F3"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Regular email updates to the anaesthetic body</w:t>
            </w:r>
          </w:p>
        </w:tc>
        <w:tc>
          <w:tcPr>
            <w:tcW w:w="1135" w:type="dxa"/>
            <w:tcBorders>
              <w:top w:val="nil"/>
              <w:left w:val="nil"/>
              <w:bottom w:val="single" w:sz="8" w:space="0" w:color="auto"/>
              <w:right w:val="single" w:sz="8" w:space="0" w:color="auto"/>
            </w:tcBorders>
            <w:shd w:val="clear" w:color="auto" w:fill="auto"/>
            <w:vAlign w:val="center"/>
            <w:hideMark/>
          </w:tcPr>
          <w:p w14:paraId="5C33F6D0"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Support from departmental lead clinician</w:t>
            </w:r>
          </w:p>
        </w:tc>
        <w:tc>
          <w:tcPr>
            <w:tcW w:w="869" w:type="dxa"/>
            <w:tcBorders>
              <w:top w:val="nil"/>
              <w:left w:val="nil"/>
              <w:bottom w:val="single" w:sz="8" w:space="0" w:color="auto"/>
              <w:right w:val="single" w:sz="8" w:space="0" w:color="auto"/>
            </w:tcBorders>
            <w:shd w:val="clear" w:color="000000" w:fill="D0CECE"/>
            <w:vAlign w:val="center"/>
            <w:hideMark/>
          </w:tcPr>
          <w:p w14:paraId="50906ECA"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 </w:t>
            </w:r>
          </w:p>
        </w:tc>
        <w:tc>
          <w:tcPr>
            <w:tcW w:w="986" w:type="dxa"/>
            <w:tcBorders>
              <w:top w:val="nil"/>
              <w:left w:val="nil"/>
              <w:bottom w:val="single" w:sz="8" w:space="0" w:color="auto"/>
              <w:right w:val="single" w:sz="8" w:space="0" w:color="auto"/>
            </w:tcBorders>
            <w:shd w:val="clear" w:color="auto" w:fill="auto"/>
            <w:vAlign w:val="center"/>
            <w:hideMark/>
          </w:tcPr>
          <w:p w14:paraId="4FF7246E"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Making isoflurane vaporisers available in all anaesthetic rooms and inside theatres and removing sevoflurane vaporisers from inside all theatres</w:t>
            </w:r>
          </w:p>
        </w:tc>
        <w:tc>
          <w:tcPr>
            <w:tcW w:w="953" w:type="dxa"/>
            <w:tcBorders>
              <w:top w:val="nil"/>
              <w:left w:val="nil"/>
              <w:bottom w:val="single" w:sz="8" w:space="0" w:color="auto"/>
              <w:right w:val="single" w:sz="8" w:space="0" w:color="auto"/>
            </w:tcBorders>
            <w:shd w:val="clear" w:color="auto" w:fill="auto"/>
            <w:vAlign w:val="center"/>
            <w:hideMark/>
          </w:tcPr>
          <w:p w14:paraId="573D8320"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Low flow board' placed on the wall in the anaesthetic department</w:t>
            </w:r>
          </w:p>
        </w:tc>
        <w:tc>
          <w:tcPr>
            <w:tcW w:w="667" w:type="dxa"/>
            <w:tcBorders>
              <w:top w:val="nil"/>
              <w:left w:val="nil"/>
              <w:bottom w:val="single" w:sz="8" w:space="0" w:color="auto"/>
              <w:right w:val="single" w:sz="8" w:space="0" w:color="auto"/>
            </w:tcBorders>
            <w:shd w:val="clear" w:color="auto" w:fill="auto"/>
            <w:noWrap/>
            <w:vAlign w:val="center"/>
            <w:hideMark/>
          </w:tcPr>
          <w:p w14:paraId="6DDC436E" w14:textId="77777777" w:rsidR="00D760B5" w:rsidRPr="00D760B5" w:rsidRDefault="00D760B5" w:rsidP="00D760B5">
            <w:pPr>
              <w:spacing w:after="0" w:line="240" w:lineRule="auto"/>
              <w:jc w:val="center"/>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9</w:t>
            </w:r>
          </w:p>
        </w:tc>
      </w:tr>
      <w:tr w:rsidR="00D760B5" w:rsidRPr="00D760B5" w14:paraId="08FD9D27" w14:textId="77777777" w:rsidTr="00D760B5">
        <w:trPr>
          <w:trHeight w:val="3810"/>
        </w:trPr>
        <w:tc>
          <w:tcPr>
            <w:tcW w:w="761" w:type="dxa"/>
            <w:tcBorders>
              <w:top w:val="nil"/>
              <w:left w:val="single" w:sz="8" w:space="0" w:color="auto"/>
              <w:bottom w:val="single" w:sz="8" w:space="0" w:color="auto"/>
              <w:right w:val="single" w:sz="8" w:space="0" w:color="auto"/>
            </w:tcBorders>
            <w:shd w:val="clear" w:color="auto" w:fill="auto"/>
            <w:vAlign w:val="center"/>
            <w:hideMark/>
          </w:tcPr>
          <w:p w14:paraId="2FC15937"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lastRenderedPageBreak/>
              <w:t>Zuegge et al, 2019</w:t>
            </w:r>
          </w:p>
        </w:tc>
        <w:tc>
          <w:tcPr>
            <w:tcW w:w="810" w:type="dxa"/>
            <w:tcBorders>
              <w:top w:val="nil"/>
              <w:left w:val="nil"/>
              <w:bottom w:val="single" w:sz="8" w:space="0" w:color="auto"/>
              <w:right w:val="single" w:sz="8" w:space="0" w:color="auto"/>
            </w:tcBorders>
            <w:shd w:val="clear" w:color="000000" w:fill="D0CECE"/>
            <w:vAlign w:val="center"/>
            <w:hideMark/>
          </w:tcPr>
          <w:p w14:paraId="278864A7"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 </w:t>
            </w:r>
          </w:p>
        </w:tc>
        <w:tc>
          <w:tcPr>
            <w:tcW w:w="904" w:type="dxa"/>
            <w:tcBorders>
              <w:top w:val="nil"/>
              <w:left w:val="nil"/>
              <w:bottom w:val="single" w:sz="8" w:space="0" w:color="auto"/>
              <w:right w:val="single" w:sz="8" w:space="0" w:color="auto"/>
            </w:tcBorders>
            <w:shd w:val="clear" w:color="000000" w:fill="D0CECE"/>
            <w:vAlign w:val="center"/>
            <w:hideMark/>
          </w:tcPr>
          <w:p w14:paraId="368A340F"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 </w:t>
            </w:r>
          </w:p>
        </w:tc>
        <w:tc>
          <w:tcPr>
            <w:tcW w:w="967" w:type="dxa"/>
            <w:tcBorders>
              <w:top w:val="nil"/>
              <w:left w:val="nil"/>
              <w:bottom w:val="single" w:sz="8" w:space="0" w:color="auto"/>
              <w:right w:val="single" w:sz="8" w:space="0" w:color="auto"/>
            </w:tcBorders>
            <w:shd w:val="clear" w:color="000000" w:fill="D0CECE"/>
            <w:vAlign w:val="center"/>
            <w:hideMark/>
          </w:tcPr>
          <w:p w14:paraId="6EFBF1AC"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 </w:t>
            </w:r>
          </w:p>
        </w:tc>
        <w:tc>
          <w:tcPr>
            <w:tcW w:w="1069" w:type="dxa"/>
            <w:tcBorders>
              <w:top w:val="nil"/>
              <w:left w:val="nil"/>
              <w:bottom w:val="single" w:sz="8" w:space="0" w:color="auto"/>
              <w:right w:val="single" w:sz="8" w:space="0" w:color="auto"/>
            </w:tcBorders>
            <w:shd w:val="clear" w:color="000000" w:fill="D0CECE"/>
            <w:vAlign w:val="center"/>
            <w:hideMark/>
          </w:tcPr>
          <w:p w14:paraId="52734599"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 </w:t>
            </w:r>
          </w:p>
        </w:tc>
        <w:tc>
          <w:tcPr>
            <w:tcW w:w="1718" w:type="dxa"/>
            <w:tcBorders>
              <w:top w:val="nil"/>
              <w:left w:val="nil"/>
              <w:bottom w:val="single" w:sz="8" w:space="0" w:color="auto"/>
              <w:right w:val="single" w:sz="8" w:space="0" w:color="auto"/>
            </w:tcBorders>
            <w:shd w:val="clear" w:color="auto" w:fill="auto"/>
            <w:vAlign w:val="center"/>
            <w:hideMark/>
          </w:tcPr>
          <w:p w14:paraId="2B41F100"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Efforts were made via outreach relationship building and one-on-one conversations…addressing any concerns as well as empowering local passionate champions</w:t>
            </w:r>
          </w:p>
        </w:tc>
        <w:tc>
          <w:tcPr>
            <w:tcW w:w="1078" w:type="dxa"/>
            <w:tcBorders>
              <w:top w:val="nil"/>
              <w:left w:val="nil"/>
              <w:bottom w:val="single" w:sz="8" w:space="0" w:color="auto"/>
              <w:right w:val="single" w:sz="8" w:space="0" w:color="auto"/>
            </w:tcBorders>
            <w:shd w:val="clear" w:color="auto" w:fill="auto"/>
            <w:vAlign w:val="center"/>
            <w:hideMark/>
          </w:tcPr>
          <w:p w14:paraId="1BC74E7D"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Provider information regarding volatile agent waste was incorporated into the annual waste reduction and green practices lecture. A specific new employee training presentation was developed</w:t>
            </w:r>
          </w:p>
        </w:tc>
        <w:tc>
          <w:tcPr>
            <w:tcW w:w="1065" w:type="dxa"/>
            <w:tcBorders>
              <w:top w:val="nil"/>
              <w:left w:val="nil"/>
              <w:bottom w:val="single" w:sz="8" w:space="0" w:color="auto"/>
              <w:right w:val="single" w:sz="8" w:space="0" w:color="auto"/>
            </w:tcBorders>
            <w:shd w:val="clear" w:color="auto" w:fill="auto"/>
            <w:vAlign w:val="center"/>
            <w:hideMark/>
          </w:tcPr>
          <w:p w14:paraId="481AE1CF"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A graphic designer was employed to create labels with images intended to elicit an emotional response</w:t>
            </w:r>
          </w:p>
        </w:tc>
        <w:tc>
          <w:tcPr>
            <w:tcW w:w="1052" w:type="dxa"/>
            <w:tcBorders>
              <w:top w:val="nil"/>
              <w:left w:val="nil"/>
              <w:bottom w:val="single" w:sz="8" w:space="0" w:color="auto"/>
              <w:right w:val="single" w:sz="8" w:space="0" w:color="auto"/>
            </w:tcBorders>
            <w:shd w:val="clear" w:color="auto" w:fill="auto"/>
            <w:vAlign w:val="center"/>
            <w:hideMark/>
          </w:tcPr>
          <w:p w14:paraId="4A559837"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A specific new employee training presentation was developed that included volatile agent waste and environmental harm</w:t>
            </w:r>
          </w:p>
        </w:tc>
        <w:tc>
          <w:tcPr>
            <w:tcW w:w="1160" w:type="dxa"/>
            <w:tcBorders>
              <w:top w:val="nil"/>
              <w:left w:val="nil"/>
              <w:bottom w:val="single" w:sz="8" w:space="0" w:color="auto"/>
              <w:right w:val="single" w:sz="8" w:space="0" w:color="auto"/>
            </w:tcBorders>
            <w:shd w:val="clear" w:color="auto" w:fill="auto"/>
            <w:vAlign w:val="center"/>
            <w:hideMark/>
          </w:tcPr>
          <w:p w14:paraId="50BD63E6"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Email communications distributed every few months. Labels added</w:t>
            </w:r>
          </w:p>
        </w:tc>
        <w:tc>
          <w:tcPr>
            <w:tcW w:w="1135" w:type="dxa"/>
            <w:tcBorders>
              <w:top w:val="nil"/>
              <w:left w:val="nil"/>
              <w:bottom w:val="single" w:sz="8" w:space="0" w:color="auto"/>
              <w:right w:val="single" w:sz="8" w:space="0" w:color="auto"/>
            </w:tcBorders>
            <w:shd w:val="clear" w:color="auto" w:fill="auto"/>
            <w:vAlign w:val="center"/>
            <w:hideMark/>
          </w:tcPr>
          <w:p w14:paraId="0CAE5A4E"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Intervention created by the department</w:t>
            </w:r>
          </w:p>
        </w:tc>
        <w:tc>
          <w:tcPr>
            <w:tcW w:w="869" w:type="dxa"/>
            <w:tcBorders>
              <w:top w:val="nil"/>
              <w:left w:val="nil"/>
              <w:bottom w:val="single" w:sz="8" w:space="0" w:color="auto"/>
              <w:right w:val="single" w:sz="8" w:space="0" w:color="auto"/>
            </w:tcBorders>
            <w:shd w:val="clear" w:color="000000" w:fill="D0CECE"/>
            <w:vAlign w:val="center"/>
            <w:hideMark/>
          </w:tcPr>
          <w:p w14:paraId="17CB1D75"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 </w:t>
            </w:r>
          </w:p>
        </w:tc>
        <w:tc>
          <w:tcPr>
            <w:tcW w:w="986" w:type="dxa"/>
            <w:tcBorders>
              <w:top w:val="nil"/>
              <w:left w:val="nil"/>
              <w:bottom w:val="single" w:sz="8" w:space="0" w:color="auto"/>
              <w:right w:val="single" w:sz="8" w:space="0" w:color="auto"/>
            </w:tcBorders>
            <w:shd w:val="clear" w:color="000000" w:fill="D0CECE"/>
            <w:vAlign w:val="center"/>
            <w:hideMark/>
          </w:tcPr>
          <w:p w14:paraId="6635D10B"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 </w:t>
            </w:r>
          </w:p>
        </w:tc>
        <w:tc>
          <w:tcPr>
            <w:tcW w:w="953" w:type="dxa"/>
            <w:tcBorders>
              <w:top w:val="nil"/>
              <w:left w:val="nil"/>
              <w:bottom w:val="single" w:sz="8" w:space="0" w:color="auto"/>
              <w:right w:val="single" w:sz="8" w:space="0" w:color="auto"/>
            </w:tcBorders>
            <w:shd w:val="clear" w:color="auto" w:fill="auto"/>
            <w:vAlign w:val="center"/>
            <w:hideMark/>
          </w:tcPr>
          <w:p w14:paraId="39A16E09"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Vaporiser labels were developed to guide providers at the point of decision making</w:t>
            </w:r>
          </w:p>
        </w:tc>
        <w:tc>
          <w:tcPr>
            <w:tcW w:w="667" w:type="dxa"/>
            <w:tcBorders>
              <w:top w:val="nil"/>
              <w:left w:val="nil"/>
              <w:bottom w:val="single" w:sz="8" w:space="0" w:color="auto"/>
              <w:right w:val="single" w:sz="8" w:space="0" w:color="auto"/>
            </w:tcBorders>
            <w:shd w:val="clear" w:color="auto" w:fill="auto"/>
            <w:noWrap/>
            <w:vAlign w:val="center"/>
            <w:hideMark/>
          </w:tcPr>
          <w:p w14:paraId="01071D59" w14:textId="77777777" w:rsidR="00D760B5" w:rsidRPr="00D760B5" w:rsidRDefault="00D760B5" w:rsidP="00D760B5">
            <w:pPr>
              <w:spacing w:after="0" w:line="240" w:lineRule="auto"/>
              <w:jc w:val="center"/>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7</w:t>
            </w:r>
          </w:p>
        </w:tc>
      </w:tr>
      <w:tr w:rsidR="00D760B5" w:rsidRPr="00D760B5" w14:paraId="723C50E0" w14:textId="77777777" w:rsidTr="00D760B5">
        <w:trPr>
          <w:trHeight w:val="3330"/>
        </w:trPr>
        <w:tc>
          <w:tcPr>
            <w:tcW w:w="761" w:type="dxa"/>
            <w:tcBorders>
              <w:top w:val="nil"/>
              <w:left w:val="single" w:sz="8" w:space="0" w:color="auto"/>
              <w:bottom w:val="single" w:sz="8" w:space="0" w:color="auto"/>
              <w:right w:val="single" w:sz="8" w:space="0" w:color="auto"/>
            </w:tcBorders>
            <w:shd w:val="clear" w:color="auto" w:fill="auto"/>
            <w:vAlign w:val="center"/>
            <w:hideMark/>
          </w:tcPr>
          <w:p w14:paraId="04828F07"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Glenski et al, 2020</w:t>
            </w:r>
          </w:p>
        </w:tc>
        <w:tc>
          <w:tcPr>
            <w:tcW w:w="810" w:type="dxa"/>
            <w:tcBorders>
              <w:top w:val="nil"/>
              <w:left w:val="nil"/>
              <w:bottom w:val="single" w:sz="8" w:space="0" w:color="auto"/>
              <w:right w:val="single" w:sz="8" w:space="0" w:color="auto"/>
            </w:tcBorders>
            <w:shd w:val="clear" w:color="000000" w:fill="D0CECE"/>
            <w:vAlign w:val="center"/>
            <w:hideMark/>
          </w:tcPr>
          <w:p w14:paraId="1FB5C4D1"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 </w:t>
            </w:r>
          </w:p>
        </w:tc>
        <w:tc>
          <w:tcPr>
            <w:tcW w:w="904" w:type="dxa"/>
            <w:tcBorders>
              <w:top w:val="nil"/>
              <w:left w:val="nil"/>
              <w:bottom w:val="single" w:sz="8" w:space="0" w:color="auto"/>
              <w:right w:val="single" w:sz="8" w:space="0" w:color="auto"/>
            </w:tcBorders>
            <w:shd w:val="clear" w:color="auto" w:fill="auto"/>
            <w:vAlign w:val="center"/>
            <w:hideMark/>
          </w:tcPr>
          <w:p w14:paraId="1B4C49C7"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The low flow wizard displays the required FGF and the user's current flows</w:t>
            </w:r>
          </w:p>
        </w:tc>
        <w:tc>
          <w:tcPr>
            <w:tcW w:w="967" w:type="dxa"/>
            <w:tcBorders>
              <w:top w:val="nil"/>
              <w:left w:val="nil"/>
              <w:bottom w:val="single" w:sz="8" w:space="0" w:color="auto"/>
              <w:right w:val="single" w:sz="8" w:space="0" w:color="auto"/>
            </w:tcBorders>
            <w:shd w:val="clear" w:color="auto" w:fill="auto"/>
            <w:vAlign w:val="center"/>
            <w:hideMark/>
          </w:tcPr>
          <w:p w14:paraId="58B709D5"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Confirmation rounds were performed on a random basis. This involved checking to see whether the provider was utilising the low flow wizard</w:t>
            </w:r>
          </w:p>
        </w:tc>
        <w:tc>
          <w:tcPr>
            <w:tcW w:w="1069" w:type="dxa"/>
            <w:tcBorders>
              <w:top w:val="nil"/>
              <w:left w:val="nil"/>
              <w:bottom w:val="single" w:sz="8" w:space="0" w:color="auto"/>
              <w:right w:val="single" w:sz="8" w:space="0" w:color="auto"/>
            </w:tcBorders>
            <w:shd w:val="clear" w:color="auto" w:fill="auto"/>
            <w:vAlign w:val="center"/>
            <w:hideMark/>
          </w:tcPr>
          <w:p w14:paraId="01010ADC"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Every Friday an update would occur regarding the confirmation rounds, the decrease in sevoflurane used per anaesthetic and the environmental impact of the project</w:t>
            </w:r>
          </w:p>
        </w:tc>
        <w:tc>
          <w:tcPr>
            <w:tcW w:w="1718" w:type="dxa"/>
            <w:tcBorders>
              <w:top w:val="nil"/>
              <w:left w:val="nil"/>
              <w:bottom w:val="single" w:sz="8" w:space="0" w:color="auto"/>
              <w:right w:val="single" w:sz="8" w:space="0" w:color="auto"/>
            </w:tcBorders>
            <w:shd w:val="clear" w:color="auto" w:fill="auto"/>
            <w:vAlign w:val="center"/>
            <w:hideMark/>
          </w:tcPr>
          <w:p w14:paraId="200A46E2"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Gather around the huddle board each morning. Forum to answer questions, educate and present project progress</w:t>
            </w:r>
          </w:p>
        </w:tc>
        <w:tc>
          <w:tcPr>
            <w:tcW w:w="1078" w:type="dxa"/>
            <w:tcBorders>
              <w:top w:val="nil"/>
              <w:left w:val="nil"/>
              <w:bottom w:val="single" w:sz="8" w:space="0" w:color="auto"/>
              <w:right w:val="single" w:sz="8" w:space="0" w:color="auto"/>
            </w:tcBorders>
            <w:shd w:val="clear" w:color="auto" w:fill="auto"/>
            <w:vAlign w:val="center"/>
            <w:hideMark/>
          </w:tcPr>
          <w:p w14:paraId="454DFEFB"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Multiple educational items were presented to all anaesthesia providers in the department which included how to use the low flow wizard on our machines</w:t>
            </w:r>
          </w:p>
        </w:tc>
        <w:tc>
          <w:tcPr>
            <w:tcW w:w="1065" w:type="dxa"/>
            <w:tcBorders>
              <w:top w:val="nil"/>
              <w:left w:val="nil"/>
              <w:bottom w:val="single" w:sz="8" w:space="0" w:color="auto"/>
              <w:right w:val="single" w:sz="8" w:space="0" w:color="auto"/>
            </w:tcBorders>
            <w:shd w:val="clear" w:color="auto" w:fill="auto"/>
            <w:vAlign w:val="center"/>
            <w:hideMark/>
          </w:tcPr>
          <w:p w14:paraId="5C3BAEF9"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Translate this to carbon footprint equivalents of miles driven by an average car, gallons of gasoline and pounds of coal burned</w:t>
            </w:r>
          </w:p>
        </w:tc>
        <w:tc>
          <w:tcPr>
            <w:tcW w:w="1052" w:type="dxa"/>
            <w:tcBorders>
              <w:top w:val="nil"/>
              <w:left w:val="nil"/>
              <w:bottom w:val="single" w:sz="8" w:space="0" w:color="auto"/>
              <w:right w:val="single" w:sz="8" w:space="0" w:color="auto"/>
            </w:tcBorders>
            <w:shd w:val="clear" w:color="auto" w:fill="auto"/>
            <w:vAlign w:val="center"/>
            <w:hideMark/>
          </w:tcPr>
          <w:p w14:paraId="78B4690F"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The many benefits of low flow anaesthesia including decreased costs and environmental impact were also distributed</w:t>
            </w:r>
          </w:p>
        </w:tc>
        <w:tc>
          <w:tcPr>
            <w:tcW w:w="1160" w:type="dxa"/>
            <w:tcBorders>
              <w:top w:val="nil"/>
              <w:left w:val="nil"/>
              <w:bottom w:val="single" w:sz="8" w:space="0" w:color="auto"/>
              <w:right w:val="single" w:sz="8" w:space="0" w:color="auto"/>
            </w:tcBorders>
            <w:shd w:val="clear" w:color="auto" w:fill="auto"/>
            <w:vAlign w:val="center"/>
            <w:hideMark/>
          </w:tcPr>
          <w:p w14:paraId="3C2F6627"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If the FGFs are turned down too low, the low flow wizard will notify the user that they need to be increased</w:t>
            </w:r>
          </w:p>
        </w:tc>
        <w:tc>
          <w:tcPr>
            <w:tcW w:w="1135" w:type="dxa"/>
            <w:tcBorders>
              <w:top w:val="nil"/>
              <w:left w:val="nil"/>
              <w:bottom w:val="single" w:sz="8" w:space="0" w:color="auto"/>
              <w:right w:val="single" w:sz="8" w:space="0" w:color="auto"/>
            </w:tcBorders>
            <w:shd w:val="clear" w:color="auto" w:fill="auto"/>
            <w:vAlign w:val="center"/>
            <w:hideMark/>
          </w:tcPr>
          <w:p w14:paraId="016EA9D5"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Department of anaesthesiology officially adopted this QI initiative</w:t>
            </w:r>
          </w:p>
        </w:tc>
        <w:tc>
          <w:tcPr>
            <w:tcW w:w="869" w:type="dxa"/>
            <w:tcBorders>
              <w:top w:val="nil"/>
              <w:left w:val="nil"/>
              <w:bottom w:val="single" w:sz="8" w:space="0" w:color="auto"/>
              <w:right w:val="single" w:sz="8" w:space="0" w:color="auto"/>
            </w:tcBorders>
            <w:shd w:val="clear" w:color="000000" w:fill="D0CECE"/>
            <w:vAlign w:val="center"/>
            <w:hideMark/>
          </w:tcPr>
          <w:p w14:paraId="0D7604AF"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 </w:t>
            </w:r>
          </w:p>
        </w:tc>
        <w:tc>
          <w:tcPr>
            <w:tcW w:w="986" w:type="dxa"/>
            <w:tcBorders>
              <w:top w:val="nil"/>
              <w:left w:val="nil"/>
              <w:bottom w:val="single" w:sz="8" w:space="0" w:color="auto"/>
              <w:right w:val="single" w:sz="8" w:space="0" w:color="auto"/>
            </w:tcBorders>
            <w:shd w:val="clear" w:color="auto" w:fill="auto"/>
            <w:vAlign w:val="center"/>
            <w:hideMark/>
          </w:tcPr>
          <w:p w14:paraId="039E58D0"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The low flow wizard was configured to be on the default screen of all our machines</w:t>
            </w:r>
          </w:p>
        </w:tc>
        <w:tc>
          <w:tcPr>
            <w:tcW w:w="953" w:type="dxa"/>
            <w:tcBorders>
              <w:top w:val="nil"/>
              <w:left w:val="nil"/>
              <w:bottom w:val="single" w:sz="8" w:space="0" w:color="auto"/>
              <w:right w:val="single" w:sz="8" w:space="0" w:color="auto"/>
            </w:tcBorders>
            <w:shd w:val="clear" w:color="000000" w:fill="D0CECE"/>
            <w:vAlign w:val="center"/>
            <w:hideMark/>
          </w:tcPr>
          <w:p w14:paraId="6CC1DB1F"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 </w:t>
            </w:r>
          </w:p>
        </w:tc>
        <w:tc>
          <w:tcPr>
            <w:tcW w:w="667" w:type="dxa"/>
            <w:tcBorders>
              <w:top w:val="nil"/>
              <w:left w:val="nil"/>
              <w:bottom w:val="single" w:sz="8" w:space="0" w:color="auto"/>
              <w:right w:val="single" w:sz="8" w:space="0" w:color="auto"/>
            </w:tcBorders>
            <w:shd w:val="clear" w:color="auto" w:fill="auto"/>
            <w:noWrap/>
            <w:vAlign w:val="center"/>
            <w:hideMark/>
          </w:tcPr>
          <w:p w14:paraId="64001541" w14:textId="77777777" w:rsidR="00D760B5" w:rsidRPr="00D760B5" w:rsidRDefault="00D760B5" w:rsidP="00D760B5">
            <w:pPr>
              <w:spacing w:after="0" w:line="240" w:lineRule="auto"/>
              <w:jc w:val="center"/>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10</w:t>
            </w:r>
          </w:p>
        </w:tc>
      </w:tr>
      <w:tr w:rsidR="00D760B5" w:rsidRPr="00D760B5" w14:paraId="0952E7C1" w14:textId="77777777" w:rsidTr="00D760B5">
        <w:trPr>
          <w:trHeight w:val="1740"/>
        </w:trPr>
        <w:tc>
          <w:tcPr>
            <w:tcW w:w="761" w:type="dxa"/>
            <w:tcBorders>
              <w:top w:val="nil"/>
              <w:left w:val="single" w:sz="8" w:space="0" w:color="auto"/>
              <w:bottom w:val="single" w:sz="8" w:space="0" w:color="auto"/>
              <w:right w:val="single" w:sz="8" w:space="0" w:color="auto"/>
            </w:tcBorders>
            <w:shd w:val="clear" w:color="auto" w:fill="auto"/>
            <w:vAlign w:val="center"/>
            <w:hideMark/>
          </w:tcPr>
          <w:p w14:paraId="0EF7A1A8"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McAlister et al, 2021</w:t>
            </w:r>
          </w:p>
        </w:tc>
        <w:tc>
          <w:tcPr>
            <w:tcW w:w="810" w:type="dxa"/>
            <w:tcBorders>
              <w:top w:val="nil"/>
              <w:left w:val="nil"/>
              <w:bottom w:val="single" w:sz="8" w:space="0" w:color="auto"/>
              <w:right w:val="single" w:sz="8" w:space="0" w:color="auto"/>
            </w:tcBorders>
            <w:shd w:val="clear" w:color="000000" w:fill="D0CECE"/>
            <w:vAlign w:val="center"/>
            <w:hideMark/>
          </w:tcPr>
          <w:p w14:paraId="4D015C4F"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 </w:t>
            </w:r>
          </w:p>
        </w:tc>
        <w:tc>
          <w:tcPr>
            <w:tcW w:w="904" w:type="dxa"/>
            <w:tcBorders>
              <w:top w:val="nil"/>
              <w:left w:val="nil"/>
              <w:bottom w:val="single" w:sz="8" w:space="0" w:color="auto"/>
              <w:right w:val="single" w:sz="8" w:space="0" w:color="auto"/>
            </w:tcBorders>
            <w:shd w:val="clear" w:color="000000" w:fill="D0CECE"/>
            <w:vAlign w:val="center"/>
            <w:hideMark/>
          </w:tcPr>
          <w:p w14:paraId="483F17F8"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 </w:t>
            </w:r>
          </w:p>
        </w:tc>
        <w:tc>
          <w:tcPr>
            <w:tcW w:w="967" w:type="dxa"/>
            <w:tcBorders>
              <w:top w:val="nil"/>
              <w:left w:val="nil"/>
              <w:bottom w:val="single" w:sz="8" w:space="0" w:color="auto"/>
              <w:right w:val="single" w:sz="8" w:space="0" w:color="auto"/>
            </w:tcBorders>
            <w:shd w:val="clear" w:color="000000" w:fill="D0CECE"/>
            <w:vAlign w:val="center"/>
            <w:hideMark/>
          </w:tcPr>
          <w:p w14:paraId="378753B2"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 </w:t>
            </w:r>
          </w:p>
        </w:tc>
        <w:tc>
          <w:tcPr>
            <w:tcW w:w="1069" w:type="dxa"/>
            <w:tcBorders>
              <w:top w:val="nil"/>
              <w:left w:val="nil"/>
              <w:bottom w:val="single" w:sz="8" w:space="0" w:color="auto"/>
              <w:right w:val="single" w:sz="8" w:space="0" w:color="auto"/>
            </w:tcBorders>
            <w:shd w:val="clear" w:color="000000" w:fill="D0CECE"/>
            <w:vAlign w:val="center"/>
            <w:hideMark/>
          </w:tcPr>
          <w:p w14:paraId="5DA29BE5"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 </w:t>
            </w:r>
          </w:p>
        </w:tc>
        <w:tc>
          <w:tcPr>
            <w:tcW w:w="1718" w:type="dxa"/>
            <w:tcBorders>
              <w:top w:val="nil"/>
              <w:left w:val="nil"/>
              <w:bottom w:val="single" w:sz="8" w:space="0" w:color="auto"/>
              <w:right w:val="single" w:sz="8" w:space="0" w:color="auto"/>
            </w:tcBorders>
            <w:shd w:val="clear" w:color="auto" w:fill="auto"/>
            <w:vAlign w:val="center"/>
            <w:hideMark/>
          </w:tcPr>
          <w:p w14:paraId="42437DED"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Meetings, staff orientations</w:t>
            </w:r>
          </w:p>
        </w:tc>
        <w:tc>
          <w:tcPr>
            <w:tcW w:w="1078" w:type="dxa"/>
            <w:tcBorders>
              <w:top w:val="nil"/>
              <w:left w:val="nil"/>
              <w:bottom w:val="single" w:sz="8" w:space="0" w:color="auto"/>
              <w:right w:val="single" w:sz="8" w:space="0" w:color="auto"/>
            </w:tcBorders>
            <w:shd w:val="clear" w:color="auto" w:fill="auto"/>
            <w:vAlign w:val="center"/>
            <w:hideMark/>
          </w:tcPr>
          <w:p w14:paraId="3242CFDB"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Poster telling doctors when to order tests</w:t>
            </w:r>
          </w:p>
        </w:tc>
        <w:tc>
          <w:tcPr>
            <w:tcW w:w="1065" w:type="dxa"/>
            <w:tcBorders>
              <w:top w:val="nil"/>
              <w:left w:val="nil"/>
              <w:bottom w:val="single" w:sz="8" w:space="0" w:color="auto"/>
              <w:right w:val="single" w:sz="8" w:space="0" w:color="auto"/>
            </w:tcBorders>
            <w:shd w:val="clear" w:color="auto" w:fill="auto"/>
            <w:vAlign w:val="center"/>
            <w:hideMark/>
          </w:tcPr>
          <w:p w14:paraId="482CC778"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Slogans like 'more is not always better'</w:t>
            </w:r>
          </w:p>
        </w:tc>
        <w:tc>
          <w:tcPr>
            <w:tcW w:w="1052" w:type="dxa"/>
            <w:tcBorders>
              <w:top w:val="nil"/>
              <w:left w:val="nil"/>
              <w:bottom w:val="single" w:sz="8" w:space="0" w:color="auto"/>
              <w:right w:val="single" w:sz="8" w:space="0" w:color="auto"/>
            </w:tcBorders>
            <w:shd w:val="clear" w:color="000000" w:fill="D0CECE"/>
            <w:vAlign w:val="center"/>
            <w:hideMark/>
          </w:tcPr>
          <w:p w14:paraId="78ED284C"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 </w:t>
            </w:r>
          </w:p>
        </w:tc>
        <w:tc>
          <w:tcPr>
            <w:tcW w:w="1160" w:type="dxa"/>
            <w:tcBorders>
              <w:top w:val="nil"/>
              <w:left w:val="nil"/>
              <w:bottom w:val="single" w:sz="8" w:space="0" w:color="auto"/>
              <w:right w:val="single" w:sz="8" w:space="0" w:color="auto"/>
            </w:tcBorders>
            <w:shd w:val="clear" w:color="000000" w:fill="D0CECE"/>
            <w:vAlign w:val="center"/>
            <w:hideMark/>
          </w:tcPr>
          <w:p w14:paraId="3D2FE66B"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 </w:t>
            </w:r>
          </w:p>
        </w:tc>
        <w:tc>
          <w:tcPr>
            <w:tcW w:w="1135" w:type="dxa"/>
            <w:tcBorders>
              <w:top w:val="nil"/>
              <w:left w:val="nil"/>
              <w:bottom w:val="single" w:sz="8" w:space="0" w:color="auto"/>
              <w:right w:val="single" w:sz="8" w:space="0" w:color="auto"/>
            </w:tcBorders>
            <w:shd w:val="clear" w:color="auto" w:fill="auto"/>
            <w:vAlign w:val="center"/>
            <w:hideMark/>
          </w:tcPr>
          <w:p w14:paraId="71A7659E"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Developed in conjunction with heads of department</w:t>
            </w:r>
          </w:p>
        </w:tc>
        <w:tc>
          <w:tcPr>
            <w:tcW w:w="869" w:type="dxa"/>
            <w:tcBorders>
              <w:top w:val="nil"/>
              <w:left w:val="nil"/>
              <w:bottom w:val="single" w:sz="8" w:space="0" w:color="auto"/>
              <w:right w:val="single" w:sz="8" w:space="0" w:color="auto"/>
            </w:tcBorders>
            <w:shd w:val="clear" w:color="000000" w:fill="D0CECE"/>
            <w:vAlign w:val="center"/>
            <w:hideMark/>
          </w:tcPr>
          <w:p w14:paraId="3DF25AEE"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 </w:t>
            </w:r>
          </w:p>
        </w:tc>
        <w:tc>
          <w:tcPr>
            <w:tcW w:w="986" w:type="dxa"/>
            <w:tcBorders>
              <w:top w:val="nil"/>
              <w:left w:val="nil"/>
              <w:bottom w:val="single" w:sz="8" w:space="0" w:color="auto"/>
              <w:right w:val="single" w:sz="8" w:space="0" w:color="auto"/>
            </w:tcBorders>
            <w:shd w:val="clear" w:color="000000" w:fill="D0CECE"/>
            <w:vAlign w:val="center"/>
            <w:hideMark/>
          </w:tcPr>
          <w:p w14:paraId="1597321B"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 </w:t>
            </w:r>
          </w:p>
        </w:tc>
        <w:tc>
          <w:tcPr>
            <w:tcW w:w="953" w:type="dxa"/>
            <w:tcBorders>
              <w:top w:val="nil"/>
              <w:left w:val="nil"/>
              <w:bottom w:val="single" w:sz="8" w:space="0" w:color="auto"/>
              <w:right w:val="single" w:sz="8" w:space="0" w:color="auto"/>
            </w:tcBorders>
            <w:shd w:val="clear" w:color="auto" w:fill="auto"/>
            <w:vAlign w:val="center"/>
            <w:hideMark/>
          </w:tcPr>
          <w:p w14:paraId="646A00E3" w14:textId="77777777" w:rsidR="00D760B5" w:rsidRPr="00D760B5" w:rsidRDefault="00D760B5" w:rsidP="00D760B5">
            <w:pPr>
              <w:spacing w:after="0" w:line="240" w:lineRule="auto"/>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Strategic placement of posters in areas frequented by junior doctors</w:t>
            </w:r>
          </w:p>
        </w:tc>
        <w:tc>
          <w:tcPr>
            <w:tcW w:w="667" w:type="dxa"/>
            <w:tcBorders>
              <w:top w:val="nil"/>
              <w:left w:val="nil"/>
              <w:bottom w:val="single" w:sz="8" w:space="0" w:color="auto"/>
              <w:right w:val="single" w:sz="8" w:space="0" w:color="auto"/>
            </w:tcBorders>
            <w:shd w:val="clear" w:color="auto" w:fill="auto"/>
            <w:noWrap/>
            <w:vAlign w:val="center"/>
            <w:hideMark/>
          </w:tcPr>
          <w:p w14:paraId="51B0DE74" w14:textId="77777777" w:rsidR="00D760B5" w:rsidRPr="00D760B5" w:rsidRDefault="00D760B5" w:rsidP="00D760B5">
            <w:pPr>
              <w:spacing w:after="0" w:line="240" w:lineRule="auto"/>
              <w:jc w:val="center"/>
              <w:rPr>
                <w:rFonts w:ascii="Calibri" w:eastAsia="Times New Roman" w:hAnsi="Calibri" w:cs="Calibri"/>
                <w:color w:val="000000"/>
                <w:sz w:val="14"/>
                <w:szCs w:val="14"/>
                <w:lang w:eastAsia="en-AU"/>
              </w:rPr>
            </w:pPr>
            <w:r w:rsidRPr="00D760B5">
              <w:rPr>
                <w:rFonts w:ascii="Calibri" w:eastAsia="Times New Roman" w:hAnsi="Calibri" w:cs="Calibri"/>
                <w:color w:val="000000"/>
                <w:sz w:val="14"/>
                <w:szCs w:val="14"/>
                <w:lang w:eastAsia="en-AU"/>
              </w:rPr>
              <w:t>5</w:t>
            </w:r>
          </w:p>
        </w:tc>
      </w:tr>
    </w:tbl>
    <w:p w14:paraId="7E9F7CDE" w14:textId="77777777" w:rsidR="003A4E9C" w:rsidRPr="006A4B57" w:rsidRDefault="003A4E9C" w:rsidP="00D760B5">
      <w:pPr>
        <w:spacing w:line="252" w:lineRule="auto"/>
        <w:ind w:left="-1418"/>
        <w:rPr>
          <w:rFonts w:cstheme="minorHAnsi"/>
          <w:sz w:val="21"/>
          <w:szCs w:val="21"/>
        </w:rPr>
      </w:pPr>
    </w:p>
    <w:p w14:paraId="7AFDBDF7" w14:textId="6182BC47" w:rsidR="00F84D70" w:rsidRDefault="00F84D70" w:rsidP="00F84D70">
      <w:pPr>
        <w:spacing w:line="252" w:lineRule="auto"/>
        <w:rPr>
          <w:rFonts w:cstheme="minorHAnsi"/>
          <w:b/>
          <w:bCs/>
        </w:rPr>
      </w:pPr>
      <w:r w:rsidRPr="00C34505">
        <w:rPr>
          <w:rFonts w:cstheme="minorHAnsi"/>
          <w:b/>
          <w:bCs/>
        </w:rPr>
        <w:lastRenderedPageBreak/>
        <w:t>Appendix 3 – Behaviour change techniques - full codes from abstracts</w:t>
      </w:r>
    </w:p>
    <w:p w14:paraId="6F7DDF49" w14:textId="77777777" w:rsidR="00D151CC" w:rsidRPr="00C34505" w:rsidRDefault="00D151CC" w:rsidP="00F84D70">
      <w:pPr>
        <w:spacing w:line="252" w:lineRule="auto"/>
        <w:rPr>
          <w:rFonts w:cstheme="minorHAnsi"/>
        </w:rPr>
      </w:pPr>
    </w:p>
    <w:tbl>
      <w:tblPr>
        <w:tblW w:w="15060" w:type="dxa"/>
        <w:tblInd w:w="-1003" w:type="dxa"/>
        <w:tblLook w:val="04A0" w:firstRow="1" w:lastRow="0" w:firstColumn="1" w:lastColumn="0" w:noHBand="0" w:noVBand="1"/>
      </w:tblPr>
      <w:tblGrid>
        <w:gridCol w:w="1198"/>
        <w:gridCol w:w="1538"/>
        <w:gridCol w:w="1554"/>
        <w:gridCol w:w="1539"/>
        <w:gridCol w:w="1539"/>
        <w:gridCol w:w="1539"/>
        <w:gridCol w:w="1539"/>
        <w:gridCol w:w="1538"/>
        <w:gridCol w:w="1538"/>
        <w:gridCol w:w="1538"/>
      </w:tblGrid>
      <w:tr w:rsidR="00D151CC" w:rsidRPr="00D151CC" w14:paraId="25CA8F16" w14:textId="77777777" w:rsidTr="004209DA">
        <w:trPr>
          <w:trHeight w:val="465"/>
        </w:trPr>
        <w:tc>
          <w:tcPr>
            <w:tcW w:w="119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313CC3B" w14:textId="77777777" w:rsidR="00D151CC" w:rsidRPr="00D151CC" w:rsidRDefault="00D151CC" w:rsidP="00D151CC">
            <w:pPr>
              <w:spacing w:after="0" w:line="240" w:lineRule="auto"/>
              <w:jc w:val="center"/>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Author (year)</w:t>
            </w:r>
          </w:p>
        </w:tc>
        <w:tc>
          <w:tcPr>
            <w:tcW w:w="13862" w:type="dxa"/>
            <w:gridSpan w:val="9"/>
            <w:tcBorders>
              <w:top w:val="single" w:sz="8" w:space="0" w:color="auto"/>
              <w:left w:val="nil"/>
              <w:bottom w:val="single" w:sz="8" w:space="0" w:color="auto"/>
              <w:right w:val="single" w:sz="8" w:space="0" w:color="000000"/>
            </w:tcBorders>
            <w:shd w:val="clear" w:color="auto" w:fill="auto"/>
            <w:vAlign w:val="center"/>
            <w:hideMark/>
          </w:tcPr>
          <w:p w14:paraId="698EC939" w14:textId="77777777" w:rsidR="00D151CC" w:rsidRPr="00D151CC" w:rsidRDefault="00D151CC" w:rsidP="00D151CC">
            <w:pPr>
              <w:spacing w:after="0" w:line="240" w:lineRule="auto"/>
              <w:jc w:val="center"/>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Behaviour Change Techniques</w:t>
            </w:r>
          </w:p>
        </w:tc>
      </w:tr>
      <w:tr w:rsidR="00D151CC" w:rsidRPr="00D151CC" w14:paraId="1067AF1D" w14:textId="77777777" w:rsidTr="004209DA">
        <w:trPr>
          <w:trHeight w:val="315"/>
        </w:trPr>
        <w:tc>
          <w:tcPr>
            <w:tcW w:w="1198" w:type="dxa"/>
            <w:vMerge/>
            <w:tcBorders>
              <w:top w:val="single" w:sz="8" w:space="0" w:color="auto"/>
              <w:left w:val="single" w:sz="8" w:space="0" w:color="auto"/>
              <w:bottom w:val="single" w:sz="8" w:space="0" w:color="000000"/>
              <w:right w:val="single" w:sz="8" w:space="0" w:color="auto"/>
            </w:tcBorders>
            <w:vAlign w:val="center"/>
            <w:hideMark/>
          </w:tcPr>
          <w:p w14:paraId="66E010BD"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p>
        </w:tc>
        <w:tc>
          <w:tcPr>
            <w:tcW w:w="1538" w:type="dxa"/>
            <w:tcBorders>
              <w:top w:val="nil"/>
              <w:left w:val="nil"/>
              <w:bottom w:val="single" w:sz="8" w:space="0" w:color="auto"/>
              <w:right w:val="single" w:sz="8" w:space="0" w:color="auto"/>
            </w:tcBorders>
            <w:shd w:val="clear" w:color="auto" w:fill="auto"/>
            <w:vAlign w:val="center"/>
            <w:hideMark/>
          </w:tcPr>
          <w:p w14:paraId="3CEF0305" w14:textId="77777777" w:rsidR="00D151CC" w:rsidRPr="00D151CC" w:rsidRDefault="00D151CC" w:rsidP="00D151CC">
            <w:pPr>
              <w:spacing w:after="0" w:line="240" w:lineRule="auto"/>
              <w:jc w:val="center"/>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1.3</w:t>
            </w:r>
          </w:p>
        </w:tc>
        <w:tc>
          <w:tcPr>
            <w:tcW w:w="1554" w:type="dxa"/>
            <w:tcBorders>
              <w:top w:val="nil"/>
              <w:left w:val="nil"/>
              <w:bottom w:val="single" w:sz="8" w:space="0" w:color="auto"/>
              <w:right w:val="single" w:sz="8" w:space="0" w:color="auto"/>
            </w:tcBorders>
            <w:shd w:val="clear" w:color="auto" w:fill="auto"/>
            <w:vAlign w:val="center"/>
            <w:hideMark/>
          </w:tcPr>
          <w:p w14:paraId="3853A0EC" w14:textId="77777777" w:rsidR="00D151CC" w:rsidRPr="00D151CC" w:rsidRDefault="00D151CC" w:rsidP="00D151CC">
            <w:pPr>
              <w:spacing w:after="0" w:line="240" w:lineRule="auto"/>
              <w:jc w:val="center"/>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2.7</w:t>
            </w:r>
          </w:p>
        </w:tc>
        <w:tc>
          <w:tcPr>
            <w:tcW w:w="1539" w:type="dxa"/>
            <w:tcBorders>
              <w:top w:val="nil"/>
              <w:left w:val="nil"/>
              <w:bottom w:val="single" w:sz="8" w:space="0" w:color="auto"/>
              <w:right w:val="single" w:sz="8" w:space="0" w:color="auto"/>
            </w:tcBorders>
            <w:shd w:val="clear" w:color="auto" w:fill="auto"/>
            <w:vAlign w:val="center"/>
            <w:hideMark/>
          </w:tcPr>
          <w:p w14:paraId="7B5149DC" w14:textId="77777777" w:rsidR="00D151CC" w:rsidRPr="00D151CC" w:rsidRDefault="00D151CC" w:rsidP="00D151CC">
            <w:pPr>
              <w:spacing w:after="0" w:line="240" w:lineRule="auto"/>
              <w:jc w:val="center"/>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4.1</w:t>
            </w:r>
          </w:p>
        </w:tc>
        <w:tc>
          <w:tcPr>
            <w:tcW w:w="1539" w:type="dxa"/>
            <w:tcBorders>
              <w:top w:val="nil"/>
              <w:left w:val="nil"/>
              <w:bottom w:val="single" w:sz="8" w:space="0" w:color="auto"/>
              <w:right w:val="single" w:sz="8" w:space="0" w:color="auto"/>
            </w:tcBorders>
            <w:shd w:val="clear" w:color="auto" w:fill="auto"/>
            <w:vAlign w:val="center"/>
            <w:hideMark/>
          </w:tcPr>
          <w:p w14:paraId="788B6BBD" w14:textId="77777777" w:rsidR="00D151CC" w:rsidRPr="00D151CC" w:rsidRDefault="00D151CC" w:rsidP="00D151CC">
            <w:pPr>
              <w:spacing w:after="0" w:line="240" w:lineRule="auto"/>
              <w:jc w:val="center"/>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5.2</w:t>
            </w:r>
          </w:p>
        </w:tc>
        <w:tc>
          <w:tcPr>
            <w:tcW w:w="1539" w:type="dxa"/>
            <w:tcBorders>
              <w:top w:val="nil"/>
              <w:left w:val="nil"/>
              <w:bottom w:val="single" w:sz="8" w:space="0" w:color="auto"/>
              <w:right w:val="single" w:sz="8" w:space="0" w:color="auto"/>
            </w:tcBorders>
            <w:shd w:val="clear" w:color="auto" w:fill="auto"/>
            <w:vAlign w:val="center"/>
            <w:hideMark/>
          </w:tcPr>
          <w:p w14:paraId="17B12461" w14:textId="77777777" w:rsidR="00D151CC" w:rsidRPr="00D151CC" w:rsidRDefault="00D151CC" w:rsidP="00D151CC">
            <w:pPr>
              <w:spacing w:after="0" w:line="240" w:lineRule="auto"/>
              <w:jc w:val="center"/>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5.3</w:t>
            </w:r>
          </w:p>
        </w:tc>
        <w:tc>
          <w:tcPr>
            <w:tcW w:w="1539" w:type="dxa"/>
            <w:tcBorders>
              <w:top w:val="nil"/>
              <w:left w:val="nil"/>
              <w:bottom w:val="single" w:sz="8" w:space="0" w:color="auto"/>
              <w:right w:val="single" w:sz="8" w:space="0" w:color="auto"/>
            </w:tcBorders>
            <w:shd w:val="clear" w:color="auto" w:fill="auto"/>
            <w:vAlign w:val="center"/>
            <w:hideMark/>
          </w:tcPr>
          <w:p w14:paraId="01CD5451" w14:textId="77777777" w:rsidR="00D151CC" w:rsidRPr="00D151CC" w:rsidRDefault="00D151CC" w:rsidP="00D151CC">
            <w:pPr>
              <w:spacing w:after="0" w:line="240" w:lineRule="auto"/>
              <w:jc w:val="center"/>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7.1</w:t>
            </w:r>
          </w:p>
        </w:tc>
        <w:tc>
          <w:tcPr>
            <w:tcW w:w="1538" w:type="dxa"/>
            <w:tcBorders>
              <w:top w:val="nil"/>
              <w:left w:val="nil"/>
              <w:bottom w:val="single" w:sz="8" w:space="0" w:color="auto"/>
              <w:right w:val="single" w:sz="8" w:space="0" w:color="auto"/>
            </w:tcBorders>
            <w:shd w:val="clear" w:color="auto" w:fill="auto"/>
            <w:vAlign w:val="center"/>
            <w:hideMark/>
          </w:tcPr>
          <w:p w14:paraId="3D2847F2" w14:textId="77777777" w:rsidR="00D151CC" w:rsidRPr="00D151CC" w:rsidRDefault="00D151CC" w:rsidP="00D151CC">
            <w:pPr>
              <w:spacing w:after="0" w:line="240" w:lineRule="auto"/>
              <w:jc w:val="center"/>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9.1</w:t>
            </w:r>
          </w:p>
        </w:tc>
        <w:tc>
          <w:tcPr>
            <w:tcW w:w="1538" w:type="dxa"/>
            <w:tcBorders>
              <w:top w:val="nil"/>
              <w:left w:val="nil"/>
              <w:bottom w:val="single" w:sz="8" w:space="0" w:color="auto"/>
              <w:right w:val="single" w:sz="8" w:space="0" w:color="auto"/>
            </w:tcBorders>
            <w:shd w:val="clear" w:color="auto" w:fill="auto"/>
            <w:vAlign w:val="center"/>
            <w:hideMark/>
          </w:tcPr>
          <w:p w14:paraId="4D5CE250" w14:textId="77777777" w:rsidR="00D151CC" w:rsidRPr="00D151CC" w:rsidRDefault="00D151CC" w:rsidP="00D151CC">
            <w:pPr>
              <w:spacing w:after="0" w:line="240" w:lineRule="auto"/>
              <w:jc w:val="center"/>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12.1</w:t>
            </w:r>
          </w:p>
        </w:tc>
        <w:tc>
          <w:tcPr>
            <w:tcW w:w="1538" w:type="dxa"/>
            <w:tcBorders>
              <w:top w:val="nil"/>
              <w:left w:val="nil"/>
              <w:bottom w:val="single" w:sz="8" w:space="0" w:color="auto"/>
              <w:right w:val="single" w:sz="8" w:space="0" w:color="auto"/>
            </w:tcBorders>
            <w:shd w:val="clear" w:color="auto" w:fill="auto"/>
            <w:vAlign w:val="center"/>
            <w:hideMark/>
          </w:tcPr>
          <w:p w14:paraId="7F62E7E8" w14:textId="77777777" w:rsidR="00D151CC" w:rsidRPr="00D151CC" w:rsidRDefault="00D151CC" w:rsidP="00D151CC">
            <w:pPr>
              <w:spacing w:after="0" w:line="240" w:lineRule="auto"/>
              <w:jc w:val="center"/>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12.5</w:t>
            </w:r>
          </w:p>
        </w:tc>
      </w:tr>
      <w:tr w:rsidR="00D151CC" w:rsidRPr="00D151CC" w14:paraId="13075567" w14:textId="77777777" w:rsidTr="004209DA">
        <w:trPr>
          <w:trHeight w:val="1080"/>
        </w:trPr>
        <w:tc>
          <w:tcPr>
            <w:tcW w:w="1198" w:type="dxa"/>
            <w:vMerge/>
            <w:tcBorders>
              <w:top w:val="single" w:sz="8" w:space="0" w:color="auto"/>
              <w:left w:val="single" w:sz="8" w:space="0" w:color="auto"/>
              <w:bottom w:val="single" w:sz="8" w:space="0" w:color="000000"/>
              <w:right w:val="single" w:sz="8" w:space="0" w:color="auto"/>
            </w:tcBorders>
            <w:vAlign w:val="center"/>
            <w:hideMark/>
          </w:tcPr>
          <w:p w14:paraId="74B59A83"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p>
        </w:tc>
        <w:tc>
          <w:tcPr>
            <w:tcW w:w="1538" w:type="dxa"/>
            <w:tcBorders>
              <w:top w:val="nil"/>
              <w:left w:val="nil"/>
              <w:bottom w:val="nil"/>
              <w:right w:val="single" w:sz="8" w:space="0" w:color="auto"/>
            </w:tcBorders>
            <w:shd w:val="clear" w:color="auto" w:fill="auto"/>
            <w:vAlign w:val="center"/>
            <w:hideMark/>
          </w:tcPr>
          <w:p w14:paraId="75F58F85" w14:textId="77777777" w:rsidR="00D151CC" w:rsidRPr="00D151CC" w:rsidRDefault="00D151CC" w:rsidP="00D151CC">
            <w:pPr>
              <w:spacing w:after="0" w:line="240" w:lineRule="auto"/>
              <w:jc w:val="center"/>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Goal setting (outcome)</w:t>
            </w:r>
          </w:p>
        </w:tc>
        <w:tc>
          <w:tcPr>
            <w:tcW w:w="1554" w:type="dxa"/>
            <w:tcBorders>
              <w:top w:val="nil"/>
              <w:left w:val="nil"/>
              <w:bottom w:val="nil"/>
              <w:right w:val="single" w:sz="8" w:space="0" w:color="auto"/>
            </w:tcBorders>
            <w:shd w:val="clear" w:color="auto" w:fill="auto"/>
            <w:vAlign w:val="center"/>
            <w:hideMark/>
          </w:tcPr>
          <w:p w14:paraId="688FCBF0" w14:textId="77777777" w:rsidR="00D151CC" w:rsidRPr="00D151CC" w:rsidRDefault="00D151CC" w:rsidP="00D151CC">
            <w:pPr>
              <w:spacing w:after="0" w:line="240" w:lineRule="auto"/>
              <w:jc w:val="center"/>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Feedback on outcome(s) of behavior</w:t>
            </w:r>
          </w:p>
        </w:tc>
        <w:tc>
          <w:tcPr>
            <w:tcW w:w="1539" w:type="dxa"/>
            <w:tcBorders>
              <w:top w:val="nil"/>
              <w:left w:val="nil"/>
              <w:bottom w:val="single" w:sz="8" w:space="0" w:color="auto"/>
              <w:right w:val="single" w:sz="8" w:space="0" w:color="auto"/>
            </w:tcBorders>
            <w:shd w:val="clear" w:color="auto" w:fill="auto"/>
            <w:vAlign w:val="center"/>
            <w:hideMark/>
          </w:tcPr>
          <w:p w14:paraId="6F8FA24E" w14:textId="77777777" w:rsidR="00D151CC" w:rsidRPr="00D151CC" w:rsidRDefault="00D151CC" w:rsidP="00D151CC">
            <w:pPr>
              <w:spacing w:after="0" w:line="240" w:lineRule="auto"/>
              <w:jc w:val="center"/>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Instruction on how to perform a behaviour</w:t>
            </w:r>
          </w:p>
        </w:tc>
        <w:tc>
          <w:tcPr>
            <w:tcW w:w="1539" w:type="dxa"/>
            <w:tcBorders>
              <w:top w:val="nil"/>
              <w:left w:val="nil"/>
              <w:bottom w:val="nil"/>
              <w:right w:val="single" w:sz="8" w:space="0" w:color="auto"/>
            </w:tcBorders>
            <w:shd w:val="clear" w:color="auto" w:fill="auto"/>
            <w:vAlign w:val="center"/>
            <w:hideMark/>
          </w:tcPr>
          <w:p w14:paraId="74528EA8" w14:textId="77777777" w:rsidR="00D151CC" w:rsidRPr="00D151CC" w:rsidRDefault="00D151CC" w:rsidP="00D151CC">
            <w:pPr>
              <w:spacing w:after="0" w:line="240" w:lineRule="auto"/>
              <w:jc w:val="center"/>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Salience of consequences</w:t>
            </w:r>
          </w:p>
        </w:tc>
        <w:tc>
          <w:tcPr>
            <w:tcW w:w="1539" w:type="dxa"/>
            <w:tcBorders>
              <w:top w:val="nil"/>
              <w:left w:val="nil"/>
              <w:bottom w:val="nil"/>
              <w:right w:val="single" w:sz="8" w:space="0" w:color="auto"/>
            </w:tcBorders>
            <w:shd w:val="clear" w:color="auto" w:fill="auto"/>
            <w:vAlign w:val="center"/>
            <w:hideMark/>
          </w:tcPr>
          <w:p w14:paraId="1E37BAD8" w14:textId="77777777" w:rsidR="00D151CC" w:rsidRPr="00D151CC" w:rsidRDefault="00D151CC" w:rsidP="00D151CC">
            <w:pPr>
              <w:spacing w:after="0" w:line="240" w:lineRule="auto"/>
              <w:jc w:val="center"/>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Information about social and environmental consequences</w:t>
            </w:r>
          </w:p>
        </w:tc>
        <w:tc>
          <w:tcPr>
            <w:tcW w:w="1539" w:type="dxa"/>
            <w:tcBorders>
              <w:top w:val="nil"/>
              <w:left w:val="nil"/>
              <w:bottom w:val="nil"/>
              <w:right w:val="single" w:sz="8" w:space="0" w:color="auto"/>
            </w:tcBorders>
            <w:shd w:val="clear" w:color="auto" w:fill="auto"/>
            <w:vAlign w:val="center"/>
            <w:hideMark/>
          </w:tcPr>
          <w:p w14:paraId="5B07B507" w14:textId="77777777" w:rsidR="00D151CC" w:rsidRPr="00D151CC" w:rsidRDefault="00D151CC" w:rsidP="00D151CC">
            <w:pPr>
              <w:spacing w:after="0" w:line="240" w:lineRule="auto"/>
              <w:jc w:val="center"/>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Prompts / cues</w:t>
            </w:r>
          </w:p>
        </w:tc>
        <w:tc>
          <w:tcPr>
            <w:tcW w:w="1538" w:type="dxa"/>
            <w:tcBorders>
              <w:top w:val="nil"/>
              <w:left w:val="nil"/>
              <w:bottom w:val="nil"/>
              <w:right w:val="single" w:sz="8" w:space="0" w:color="auto"/>
            </w:tcBorders>
            <w:shd w:val="clear" w:color="auto" w:fill="auto"/>
            <w:vAlign w:val="center"/>
            <w:hideMark/>
          </w:tcPr>
          <w:p w14:paraId="51B8AF19" w14:textId="77777777" w:rsidR="00D151CC" w:rsidRPr="00D151CC" w:rsidRDefault="00D151CC" w:rsidP="00D151CC">
            <w:pPr>
              <w:spacing w:after="0" w:line="240" w:lineRule="auto"/>
              <w:jc w:val="center"/>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Credible source</w:t>
            </w:r>
          </w:p>
        </w:tc>
        <w:tc>
          <w:tcPr>
            <w:tcW w:w="1538" w:type="dxa"/>
            <w:tcBorders>
              <w:top w:val="nil"/>
              <w:left w:val="nil"/>
              <w:bottom w:val="nil"/>
              <w:right w:val="single" w:sz="8" w:space="0" w:color="auto"/>
            </w:tcBorders>
            <w:shd w:val="clear" w:color="auto" w:fill="auto"/>
            <w:vAlign w:val="center"/>
            <w:hideMark/>
          </w:tcPr>
          <w:p w14:paraId="35223EF4" w14:textId="77777777" w:rsidR="00D151CC" w:rsidRPr="00D151CC" w:rsidRDefault="00D151CC" w:rsidP="00D151CC">
            <w:pPr>
              <w:spacing w:after="0" w:line="240" w:lineRule="auto"/>
              <w:jc w:val="center"/>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Restructuring the physical environment</w:t>
            </w:r>
          </w:p>
        </w:tc>
        <w:tc>
          <w:tcPr>
            <w:tcW w:w="1538" w:type="dxa"/>
            <w:tcBorders>
              <w:top w:val="nil"/>
              <w:left w:val="nil"/>
              <w:bottom w:val="nil"/>
              <w:right w:val="single" w:sz="8" w:space="0" w:color="auto"/>
            </w:tcBorders>
            <w:shd w:val="clear" w:color="auto" w:fill="auto"/>
            <w:vAlign w:val="center"/>
            <w:hideMark/>
          </w:tcPr>
          <w:p w14:paraId="7DD5ED8E" w14:textId="77777777" w:rsidR="00D151CC" w:rsidRPr="00D151CC" w:rsidRDefault="00D151CC" w:rsidP="00D151CC">
            <w:pPr>
              <w:spacing w:after="0" w:line="240" w:lineRule="auto"/>
              <w:jc w:val="center"/>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Adding objects to the environment</w:t>
            </w:r>
          </w:p>
        </w:tc>
      </w:tr>
      <w:tr w:rsidR="00D151CC" w:rsidRPr="00D151CC" w14:paraId="25138F88" w14:textId="77777777" w:rsidTr="004209DA">
        <w:trPr>
          <w:trHeight w:val="2145"/>
        </w:trPr>
        <w:tc>
          <w:tcPr>
            <w:tcW w:w="1198" w:type="dxa"/>
            <w:tcBorders>
              <w:top w:val="nil"/>
              <w:left w:val="single" w:sz="8" w:space="0" w:color="auto"/>
              <w:bottom w:val="single" w:sz="8" w:space="0" w:color="auto"/>
              <w:right w:val="single" w:sz="8" w:space="0" w:color="auto"/>
            </w:tcBorders>
            <w:shd w:val="clear" w:color="auto" w:fill="auto"/>
            <w:vAlign w:val="center"/>
            <w:hideMark/>
          </w:tcPr>
          <w:p w14:paraId="1B640ACA"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Patel et al, 2014</w:t>
            </w:r>
          </w:p>
        </w:tc>
        <w:tc>
          <w:tcPr>
            <w:tcW w:w="1538" w:type="dxa"/>
            <w:tcBorders>
              <w:top w:val="single" w:sz="8" w:space="0" w:color="auto"/>
              <w:left w:val="nil"/>
              <w:bottom w:val="single" w:sz="8" w:space="0" w:color="auto"/>
              <w:right w:val="single" w:sz="8" w:space="0" w:color="auto"/>
            </w:tcBorders>
            <w:shd w:val="clear" w:color="auto" w:fill="auto"/>
            <w:vAlign w:val="center"/>
            <w:hideMark/>
          </w:tcPr>
          <w:p w14:paraId="67FEADF7"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Goal to reduce mean FGF for ISO and DES to 1.0 l/min and SEV to 2.0 l/min</w:t>
            </w:r>
          </w:p>
        </w:tc>
        <w:tc>
          <w:tcPr>
            <w:tcW w:w="1554" w:type="dxa"/>
            <w:tcBorders>
              <w:top w:val="single" w:sz="8" w:space="0" w:color="auto"/>
              <w:left w:val="nil"/>
              <w:bottom w:val="single" w:sz="8" w:space="0" w:color="auto"/>
              <w:right w:val="single" w:sz="8" w:space="0" w:color="auto"/>
            </w:tcBorders>
            <w:shd w:val="clear" w:color="auto" w:fill="auto"/>
            <w:vAlign w:val="center"/>
            <w:hideMark/>
          </w:tcPr>
          <w:p w14:paraId="3064BA9E"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Each anesthesia provider was emailed a report describing his or her FGF for each agent over the prior 12 months</w:t>
            </w:r>
          </w:p>
        </w:tc>
        <w:tc>
          <w:tcPr>
            <w:tcW w:w="1539" w:type="dxa"/>
            <w:tcBorders>
              <w:top w:val="nil"/>
              <w:left w:val="nil"/>
              <w:bottom w:val="single" w:sz="8" w:space="0" w:color="auto"/>
              <w:right w:val="single" w:sz="8" w:space="0" w:color="auto"/>
            </w:tcBorders>
            <w:shd w:val="clear" w:color="000000" w:fill="D0CECE"/>
            <w:vAlign w:val="center"/>
            <w:hideMark/>
          </w:tcPr>
          <w:p w14:paraId="235809BB"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39" w:type="dxa"/>
            <w:tcBorders>
              <w:top w:val="single" w:sz="8" w:space="0" w:color="auto"/>
              <w:left w:val="nil"/>
              <w:bottom w:val="single" w:sz="8" w:space="0" w:color="auto"/>
              <w:right w:val="single" w:sz="8" w:space="0" w:color="auto"/>
            </w:tcBorders>
            <w:shd w:val="clear" w:color="000000" w:fill="D0CECE"/>
            <w:vAlign w:val="center"/>
            <w:hideMark/>
          </w:tcPr>
          <w:p w14:paraId="037A059B"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39" w:type="dxa"/>
            <w:tcBorders>
              <w:top w:val="single" w:sz="8" w:space="0" w:color="auto"/>
              <w:left w:val="nil"/>
              <w:bottom w:val="single" w:sz="8" w:space="0" w:color="auto"/>
              <w:right w:val="single" w:sz="8" w:space="0" w:color="auto"/>
            </w:tcBorders>
            <w:shd w:val="clear" w:color="auto" w:fill="auto"/>
            <w:vAlign w:val="center"/>
            <w:hideMark/>
          </w:tcPr>
          <w:p w14:paraId="7B35C766"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Presented the program as an environmental initiative</w:t>
            </w:r>
          </w:p>
        </w:tc>
        <w:tc>
          <w:tcPr>
            <w:tcW w:w="1539" w:type="dxa"/>
            <w:tcBorders>
              <w:top w:val="single" w:sz="8" w:space="0" w:color="auto"/>
              <w:left w:val="nil"/>
              <w:bottom w:val="single" w:sz="8" w:space="0" w:color="auto"/>
              <w:right w:val="single" w:sz="8" w:space="0" w:color="auto"/>
            </w:tcBorders>
            <w:shd w:val="clear" w:color="auto" w:fill="auto"/>
            <w:vAlign w:val="center"/>
            <w:hideMark/>
          </w:tcPr>
          <w:p w14:paraId="592F87D1"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Individualized reports for each agent over the previous 12 weeks were emailed on Jul 1, Sep 4, Sep 23, and Oct 21, 2013</w:t>
            </w:r>
          </w:p>
        </w:tc>
        <w:tc>
          <w:tcPr>
            <w:tcW w:w="1538" w:type="dxa"/>
            <w:tcBorders>
              <w:top w:val="single" w:sz="8" w:space="0" w:color="auto"/>
              <w:left w:val="nil"/>
              <w:bottom w:val="single" w:sz="8" w:space="0" w:color="auto"/>
              <w:right w:val="single" w:sz="8" w:space="0" w:color="auto"/>
            </w:tcBorders>
            <w:shd w:val="clear" w:color="auto" w:fill="auto"/>
            <w:vAlign w:val="center"/>
            <w:hideMark/>
          </w:tcPr>
          <w:p w14:paraId="0F7A4F32"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Initiative from the department</w:t>
            </w:r>
          </w:p>
        </w:tc>
        <w:tc>
          <w:tcPr>
            <w:tcW w:w="1538" w:type="dxa"/>
            <w:tcBorders>
              <w:top w:val="single" w:sz="8" w:space="0" w:color="auto"/>
              <w:left w:val="nil"/>
              <w:bottom w:val="single" w:sz="8" w:space="0" w:color="auto"/>
              <w:right w:val="single" w:sz="8" w:space="0" w:color="auto"/>
            </w:tcBorders>
            <w:shd w:val="clear" w:color="000000" w:fill="D0CECE"/>
            <w:vAlign w:val="center"/>
            <w:hideMark/>
          </w:tcPr>
          <w:p w14:paraId="623CE4B7"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38" w:type="dxa"/>
            <w:tcBorders>
              <w:top w:val="single" w:sz="8" w:space="0" w:color="auto"/>
              <w:left w:val="nil"/>
              <w:bottom w:val="single" w:sz="8" w:space="0" w:color="auto"/>
              <w:right w:val="single" w:sz="8" w:space="0" w:color="auto"/>
            </w:tcBorders>
            <w:shd w:val="clear" w:color="000000" w:fill="D0CECE"/>
            <w:vAlign w:val="center"/>
            <w:hideMark/>
          </w:tcPr>
          <w:p w14:paraId="551F191F"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r>
      <w:tr w:rsidR="00D151CC" w:rsidRPr="00D151CC" w14:paraId="4B53E8C1" w14:textId="77777777" w:rsidTr="004209DA">
        <w:trPr>
          <w:trHeight w:val="2415"/>
        </w:trPr>
        <w:tc>
          <w:tcPr>
            <w:tcW w:w="1198" w:type="dxa"/>
            <w:tcBorders>
              <w:top w:val="nil"/>
              <w:left w:val="single" w:sz="8" w:space="0" w:color="auto"/>
              <w:bottom w:val="single" w:sz="8" w:space="0" w:color="auto"/>
              <w:right w:val="single" w:sz="8" w:space="0" w:color="auto"/>
            </w:tcBorders>
            <w:shd w:val="clear" w:color="auto" w:fill="auto"/>
            <w:vAlign w:val="center"/>
            <w:hideMark/>
          </w:tcPr>
          <w:p w14:paraId="7A762301"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Boyle et al, 2018</w:t>
            </w:r>
          </w:p>
        </w:tc>
        <w:tc>
          <w:tcPr>
            <w:tcW w:w="1538" w:type="dxa"/>
            <w:tcBorders>
              <w:top w:val="nil"/>
              <w:left w:val="nil"/>
              <w:bottom w:val="single" w:sz="8" w:space="0" w:color="auto"/>
              <w:right w:val="single" w:sz="8" w:space="0" w:color="auto"/>
            </w:tcBorders>
            <w:shd w:val="clear" w:color="000000" w:fill="D0CECE"/>
            <w:vAlign w:val="center"/>
            <w:hideMark/>
          </w:tcPr>
          <w:p w14:paraId="2129CBF6"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54" w:type="dxa"/>
            <w:tcBorders>
              <w:top w:val="nil"/>
              <w:left w:val="nil"/>
              <w:bottom w:val="single" w:sz="8" w:space="0" w:color="auto"/>
              <w:right w:val="single" w:sz="8" w:space="0" w:color="auto"/>
            </w:tcBorders>
            <w:shd w:val="clear" w:color="000000" w:fill="D0CECE"/>
            <w:vAlign w:val="center"/>
            <w:hideMark/>
          </w:tcPr>
          <w:p w14:paraId="5B8253BD"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39" w:type="dxa"/>
            <w:tcBorders>
              <w:top w:val="nil"/>
              <w:left w:val="nil"/>
              <w:bottom w:val="single" w:sz="8" w:space="0" w:color="auto"/>
              <w:right w:val="single" w:sz="8" w:space="0" w:color="auto"/>
            </w:tcBorders>
            <w:shd w:val="clear" w:color="000000" w:fill="D0CECE"/>
            <w:vAlign w:val="center"/>
            <w:hideMark/>
          </w:tcPr>
          <w:p w14:paraId="31D35C6B"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39" w:type="dxa"/>
            <w:tcBorders>
              <w:top w:val="nil"/>
              <w:left w:val="nil"/>
              <w:bottom w:val="single" w:sz="8" w:space="0" w:color="auto"/>
              <w:right w:val="single" w:sz="8" w:space="0" w:color="auto"/>
            </w:tcBorders>
            <w:shd w:val="clear" w:color="000000" w:fill="D0CECE"/>
            <w:vAlign w:val="center"/>
            <w:hideMark/>
          </w:tcPr>
          <w:p w14:paraId="148D37C9"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39" w:type="dxa"/>
            <w:tcBorders>
              <w:top w:val="nil"/>
              <w:left w:val="nil"/>
              <w:bottom w:val="single" w:sz="8" w:space="0" w:color="auto"/>
              <w:right w:val="single" w:sz="8" w:space="0" w:color="auto"/>
            </w:tcBorders>
            <w:shd w:val="clear" w:color="auto" w:fill="auto"/>
            <w:vAlign w:val="center"/>
            <w:hideMark/>
          </w:tcPr>
          <w:p w14:paraId="08A1D55E"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Talks were given to theatre staff about the environmental impact of volatile agents</w:t>
            </w:r>
          </w:p>
        </w:tc>
        <w:tc>
          <w:tcPr>
            <w:tcW w:w="1539" w:type="dxa"/>
            <w:tcBorders>
              <w:top w:val="nil"/>
              <w:left w:val="nil"/>
              <w:bottom w:val="single" w:sz="8" w:space="0" w:color="auto"/>
              <w:right w:val="single" w:sz="8" w:space="0" w:color="auto"/>
            </w:tcBorders>
            <w:shd w:val="clear" w:color="000000" w:fill="D0CECE"/>
            <w:vAlign w:val="center"/>
            <w:hideMark/>
          </w:tcPr>
          <w:p w14:paraId="4383253B"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38" w:type="dxa"/>
            <w:tcBorders>
              <w:top w:val="nil"/>
              <w:left w:val="nil"/>
              <w:bottom w:val="single" w:sz="8" w:space="0" w:color="auto"/>
              <w:right w:val="single" w:sz="8" w:space="0" w:color="auto"/>
            </w:tcBorders>
            <w:shd w:val="clear" w:color="auto" w:fill="auto"/>
            <w:vAlign w:val="center"/>
            <w:hideMark/>
          </w:tcPr>
          <w:p w14:paraId="1938171C"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Initiative from the department</w:t>
            </w:r>
          </w:p>
        </w:tc>
        <w:tc>
          <w:tcPr>
            <w:tcW w:w="1538" w:type="dxa"/>
            <w:tcBorders>
              <w:top w:val="nil"/>
              <w:left w:val="nil"/>
              <w:bottom w:val="single" w:sz="8" w:space="0" w:color="auto"/>
              <w:right w:val="single" w:sz="8" w:space="0" w:color="auto"/>
            </w:tcBorders>
            <w:shd w:val="clear" w:color="auto" w:fill="auto"/>
            <w:vAlign w:val="center"/>
            <w:hideMark/>
          </w:tcPr>
          <w:p w14:paraId="17DB5C60"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Default agents on our machines would be sevoflurane and isoflurane, and desflurane would be available on a request basis only</w:t>
            </w:r>
          </w:p>
        </w:tc>
        <w:tc>
          <w:tcPr>
            <w:tcW w:w="1538" w:type="dxa"/>
            <w:tcBorders>
              <w:top w:val="nil"/>
              <w:left w:val="nil"/>
              <w:bottom w:val="single" w:sz="8" w:space="0" w:color="auto"/>
              <w:right w:val="single" w:sz="8" w:space="0" w:color="auto"/>
            </w:tcBorders>
            <w:shd w:val="clear" w:color="auto" w:fill="auto"/>
            <w:vAlign w:val="center"/>
            <w:hideMark/>
          </w:tcPr>
          <w:p w14:paraId="55738220"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Purchase of new anaesthetic machines</w:t>
            </w:r>
          </w:p>
        </w:tc>
      </w:tr>
      <w:tr w:rsidR="00D151CC" w:rsidRPr="00D151CC" w14:paraId="3CA5CDB1" w14:textId="77777777" w:rsidTr="004209DA">
        <w:trPr>
          <w:trHeight w:val="2415"/>
        </w:trPr>
        <w:tc>
          <w:tcPr>
            <w:tcW w:w="1198" w:type="dxa"/>
            <w:tcBorders>
              <w:top w:val="nil"/>
              <w:left w:val="single" w:sz="8" w:space="0" w:color="auto"/>
              <w:bottom w:val="single" w:sz="8" w:space="0" w:color="auto"/>
              <w:right w:val="single" w:sz="8" w:space="0" w:color="auto"/>
            </w:tcBorders>
            <w:shd w:val="clear" w:color="auto" w:fill="auto"/>
            <w:vAlign w:val="center"/>
            <w:hideMark/>
          </w:tcPr>
          <w:p w14:paraId="6D1519DD"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lastRenderedPageBreak/>
              <w:t>Danby et al, 2018</w:t>
            </w:r>
          </w:p>
        </w:tc>
        <w:tc>
          <w:tcPr>
            <w:tcW w:w="1538" w:type="dxa"/>
            <w:tcBorders>
              <w:top w:val="nil"/>
              <w:left w:val="nil"/>
              <w:bottom w:val="single" w:sz="8" w:space="0" w:color="auto"/>
              <w:right w:val="single" w:sz="8" w:space="0" w:color="auto"/>
            </w:tcBorders>
            <w:shd w:val="clear" w:color="000000" w:fill="D0CECE"/>
            <w:vAlign w:val="center"/>
            <w:hideMark/>
          </w:tcPr>
          <w:p w14:paraId="5D8E26C0"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54" w:type="dxa"/>
            <w:tcBorders>
              <w:top w:val="nil"/>
              <w:left w:val="nil"/>
              <w:bottom w:val="single" w:sz="8" w:space="0" w:color="auto"/>
              <w:right w:val="single" w:sz="8" w:space="0" w:color="auto"/>
            </w:tcBorders>
            <w:shd w:val="clear" w:color="auto" w:fill="auto"/>
            <w:vAlign w:val="center"/>
            <w:hideMark/>
          </w:tcPr>
          <w:p w14:paraId="31716A25"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xml:space="preserve"> Data collected was presented to the department</w:t>
            </w:r>
          </w:p>
        </w:tc>
        <w:tc>
          <w:tcPr>
            <w:tcW w:w="1539" w:type="dxa"/>
            <w:tcBorders>
              <w:top w:val="nil"/>
              <w:left w:val="nil"/>
              <w:bottom w:val="single" w:sz="8" w:space="0" w:color="auto"/>
              <w:right w:val="single" w:sz="8" w:space="0" w:color="auto"/>
            </w:tcBorders>
            <w:shd w:val="clear" w:color="000000" w:fill="D0CECE"/>
            <w:vAlign w:val="center"/>
            <w:hideMark/>
          </w:tcPr>
          <w:p w14:paraId="6701D179"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39" w:type="dxa"/>
            <w:tcBorders>
              <w:top w:val="nil"/>
              <w:left w:val="nil"/>
              <w:bottom w:val="single" w:sz="8" w:space="0" w:color="auto"/>
              <w:right w:val="single" w:sz="8" w:space="0" w:color="auto"/>
            </w:tcBorders>
            <w:shd w:val="clear" w:color="auto" w:fill="auto"/>
            <w:vAlign w:val="center"/>
            <w:hideMark/>
          </w:tcPr>
          <w:p w14:paraId="4BCE0C76"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Results were converted to emission data for a Golf GTI (148 gCO2.km).  results were equated to the total distance travelled in the car.</w:t>
            </w:r>
          </w:p>
        </w:tc>
        <w:tc>
          <w:tcPr>
            <w:tcW w:w="1539" w:type="dxa"/>
            <w:tcBorders>
              <w:top w:val="nil"/>
              <w:left w:val="nil"/>
              <w:bottom w:val="single" w:sz="8" w:space="0" w:color="auto"/>
              <w:right w:val="single" w:sz="8" w:space="0" w:color="auto"/>
            </w:tcBorders>
            <w:shd w:val="clear" w:color="auto" w:fill="auto"/>
            <w:vAlign w:val="center"/>
            <w:hideMark/>
          </w:tcPr>
          <w:p w14:paraId="3AC0EE39"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Highlighted the environmental impact of volatile use with an emphasis on equivalent distances travelled by the car</w:t>
            </w:r>
          </w:p>
        </w:tc>
        <w:tc>
          <w:tcPr>
            <w:tcW w:w="1539" w:type="dxa"/>
            <w:tcBorders>
              <w:top w:val="nil"/>
              <w:left w:val="nil"/>
              <w:bottom w:val="single" w:sz="8" w:space="0" w:color="auto"/>
              <w:right w:val="single" w:sz="8" w:space="0" w:color="auto"/>
            </w:tcBorders>
            <w:shd w:val="clear" w:color="000000" w:fill="D0CECE"/>
            <w:vAlign w:val="center"/>
            <w:hideMark/>
          </w:tcPr>
          <w:p w14:paraId="167FD501"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38" w:type="dxa"/>
            <w:tcBorders>
              <w:top w:val="nil"/>
              <w:left w:val="nil"/>
              <w:bottom w:val="single" w:sz="8" w:space="0" w:color="auto"/>
              <w:right w:val="single" w:sz="8" w:space="0" w:color="auto"/>
            </w:tcBorders>
            <w:shd w:val="clear" w:color="auto" w:fill="auto"/>
            <w:vAlign w:val="center"/>
            <w:hideMark/>
          </w:tcPr>
          <w:p w14:paraId="411B481A"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Initiative from the department</w:t>
            </w:r>
          </w:p>
        </w:tc>
        <w:tc>
          <w:tcPr>
            <w:tcW w:w="1538" w:type="dxa"/>
            <w:tcBorders>
              <w:top w:val="nil"/>
              <w:left w:val="nil"/>
              <w:bottom w:val="single" w:sz="8" w:space="0" w:color="auto"/>
              <w:right w:val="single" w:sz="8" w:space="0" w:color="auto"/>
            </w:tcBorders>
            <w:shd w:val="clear" w:color="000000" w:fill="D0CECE"/>
            <w:vAlign w:val="center"/>
            <w:hideMark/>
          </w:tcPr>
          <w:p w14:paraId="4EA9E4E3"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38" w:type="dxa"/>
            <w:tcBorders>
              <w:top w:val="nil"/>
              <w:left w:val="nil"/>
              <w:bottom w:val="single" w:sz="8" w:space="0" w:color="auto"/>
              <w:right w:val="single" w:sz="8" w:space="0" w:color="auto"/>
            </w:tcBorders>
            <w:shd w:val="clear" w:color="000000" w:fill="D0CECE"/>
            <w:vAlign w:val="center"/>
            <w:hideMark/>
          </w:tcPr>
          <w:p w14:paraId="66BEB154"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r>
      <w:tr w:rsidR="00D151CC" w:rsidRPr="00D151CC" w14:paraId="3B33B914" w14:textId="77777777" w:rsidTr="004209DA">
        <w:trPr>
          <w:trHeight w:val="2175"/>
        </w:trPr>
        <w:tc>
          <w:tcPr>
            <w:tcW w:w="1198" w:type="dxa"/>
            <w:tcBorders>
              <w:top w:val="nil"/>
              <w:left w:val="single" w:sz="8" w:space="0" w:color="auto"/>
              <w:bottom w:val="single" w:sz="8" w:space="0" w:color="auto"/>
              <w:right w:val="single" w:sz="8" w:space="0" w:color="auto"/>
            </w:tcBorders>
            <w:shd w:val="clear" w:color="auto" w:fill="auto"/>
            <w:vAlign w:val="center"/>
            <w:hideMark/>
          </w:tcPr>
          <w:p w14:paraId="3FD0C18A"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Jani &amp; Kalla, 2018</w:t>
            </w:r>
          </w:p>
        </w:tc>
        <w:tc>
          <w:tcPr>
            <w:tcW w:w="1538" w:type="dxa"/>
            <w:tcBorders>
              <w:top w:val="nil"/>
              <w:left w:val="nil"/>
              <w:bottom w:val="single" w:sz="8" w:space="0" w:color="auto"/>
              <w:right w:val="single" w:sz="8" w:space="0" w:color="auto"/>
            </w:tcBorders>
            <w:shd w:val="clear" w:color="000000" w:fill="D0CECE"/>
            <w:vAlign w:val="center"/>
            <w:hideMark/>
          </w:tcPr>
          <w:p w14:paraId="469D947D"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54" w:type="dxa"/>
            <w:tcBorders>
              <w:top w:val="nil"/>
              <w:left w:val="nil"/>
              <w:bottom w:val="single" w:sz="8" w:space="0" w:color="auto"/>
              <w:right w:val="single" w:sz="8" w:space="0" w:color="auto"/>
            </w:tcBorders>
            <w:shd w:val="clear" w:color="auto" w:fill="auto"/>
            <w:vAlign w:val="center"/>
            <w:hideMark/>
          </w:tcPr>
          <w:p w14:paraId="26565295"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Findings were shared with colleagues and trainees within the department</w:t>
            </w:r>
          </w:p>
        </w:tc>
        <w:tc>
          <w:tcPr>
            <w:tcW w:w="1539" w:type="dxa"/>
            <w:tcBorders>
              <w:top w:val="nil"/>
              <w:left w:val="nil"/>
              <w:bottom w:val="single" w:sz="8" w:space="0" w:color="auto"/>
              <w:right w:val="single" w:sz="8" w:space="0" w:color="auto"/>
            </w:tcBorders>
            <w:shd w:val="clear" w:color="auto" w:fill="auto"/>
            <w:vAlign w:val="center"/>
            <w:hideMark/>
          </w:tcPr>
          <w:p w14:paraId="58AAE96E"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A reminder to switch off the gases on transfer and to reduce the flow during anaesthesia</w:t>
            </w:r>
          </w:p>
        </w:tc>
        <w:tc>
          <w:tcPr>
            <w:tcW w:w="1539" w:type="dxa"/>
            <w:tcBorders>
              <w:top w:val="nil"/>
              <w:left w:val="nil"/>
              <w:bottom w:val="single" w:sz="8" w:space="0" w:color="auto"/>
              <w:right w:val="single" w:sz="8" w:space="0" w:color="auto"/>
            </w:tcBorders>
            <w:shd w:val="clear" w:color="000000" w:fill="D0CECE"/>
            <w:vAlign w:val="center"/>
            <w:hideMark/>
          </w:tcPr>
          <w:p w14:paraId="2FCA0FDB"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39" w:type="dxa"/>
            <w:tcBorders>
              <w:top w:val="nil"/>
              <w:left w:val="nil"/>
              <w:bottom w:val="single" w:sz="8" w:space="0" w:color="auto"/>
              <w:right w:val="single" w:sz="8" w:space="0" w:color="auto"/>
            </w:tcBorders>
            <w:shd w:val="clear" w:color="000000" w:fill="D0CECE"/>
            <w:vAlign w:val="center"/>
            <w:hideMark/>
          </w:tcPr>
          <w:p w14:paraId="75CF17CD"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39" w:type="dxa"/>
            <w:tcBorders>
              <w:top w:val="nil"/>
              <w:left w:val="nil"/>
              <w:bottom w:val="single" w:sz="8" w:space="0" w:color="auto"/>
              <w:right w:val="single" w:sz="8" w:space="0" w:color="auto"/>
            </w:tcBorders>
            <w:shd w:val="clear" w:color="auto" w:fill="auto"/>
            <w:vAlign w:val="center"/>
            <w:hideMark/>
          </w:tcPr>
          <w:p w14:paraId="24D10C1C"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Visual prompts as a reminder to switch off the gases on transfer and to reduce the flow during anaesthesia. email reminders.</w:t>
            </w:r>
          </w:p>
        </w:tc>
        <w:tc>
          <w:tcPr>
            <w:tcW w:w="1538" w:type="dxa"/>
            <w:tcBorders>
              <w:top w:val="nil"/>
              <w:left w:val="nil"/>
              <w:bottom w:val="single" w:sz="8" w:space="0" w:color="auto"/>
              <w:right w:val="single" w:sz="8" w:space="0" w:color="auto"/>
            </w:tcBorders>
            <w:shd w:val="clear" w:color="auto" w:fill="auto"/>
            <w:vAlign w:val="center"/>
            <w:hideMark/>
          </w:tcPr>
          <w:p w14:paraId="02CA52BC"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Initiative from the department</w:t>
            </w:r>
          </w:p>
        </w:tc>
        <w:tc>
          <w:tcPr>
            <w:tcW w:w="1538" w:type="dxa"/>
            <w:tcBorders>
              <w:top w:val="nil"/>
              <w:left w:val="nil"/>
              <w:bottom w:val="single" w:sz="8" w:space="0" w:color="auto"/>
              <w:right w:val="single" w:sz="8" w:space="0" w:color="auto"/>
            </w:tcBorders>
            <w:shd w:val="clear" w:color="000000" w:fill="D0CECE"/>
            <w:vAlign w:val="center"/>
            <w:hideMark/>
          </w:tcPr>
          <w:p w14:paraId="26D4B17E"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38" w:type="dxa"/>
            <w:tcBorders>
              <w:top w:val="nil"/>
              <w:left w:val="nil"/>
              <w:bottom w:val="single" w:sz="8" w:space="0" w:color="auto"/>
              <w:right w:val="single" w:sz="8" w:space="0" w:color="auto"/>
            </w:tcBorders>
            <w:shd w:val="clear" w:color="auto" w:fill="auto"/>
            <w:vAlign w:val="center"/>
            <w:hideMark/>
          </w:tcPr>
          <w:p w14:paraId="48A9F548"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Displayed visual prompts on the theatre doors and the anaesthetic machine in anaesthetic rooms, as well as theatres</w:t>
            </w:r>
          </w:p>
        </w:tc>
      </w:tr>
      <w:tr w:rsidR="00D151CC" w:rsidRPr="00D151CC" w14:paraId="342889FA" w14:textId="77777777" w:rsidTr="004209DA">
        <w:trPr>
          <w:trHeight w:val="2175"/>
        </w:trPr>
        <w:tc>
          <w:tcPr>
            <w:tcW w:w="1198" w:type="dxa"/>
            <w:tcBorders>
              <w:top w:val="nil"/>
              <w:left w:val="single" w:sz="8" w:space="0" w:color="auto"/>
              <w:bottom w:val="single" w:sz="8" w:space="0" w:color="auto"/>
              <w:right w:val="single" w:sz="8" w:space="0" w:color="auto"/>
            </w:tcBorders>
            <w:shd w:val="clear" w:color="auto" w:fill="auto"/>
            <w:vAlign w:val="center"/>
            <w:hideMark/>
          </w:tcPr>
          <w:p w14:paraId="4A4FF9A6"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Hickman &amp; Molyneux, 2019</w:t>
            </w:r>
          </w:p>
        </w:tc>
        <w:tc>
          <w:tcPr>
            <w:tcW w:w="1538" w:type="dxa"/>
            <w:tcBorders>
              <w:top w:val="nil"/>
              <w:left w:val="nil"/>
              <w:bottom w:val="single" w:sz="8" w:space="0" w:color="auto"/>
              <w:right w:val="single" w:sz="8" w:space="0" w:color="auto"/>
            </w:tcBorders>
            <w:shd w:val="clear" w:color="000000" w:fill="D0CECE"/>
            <w:vAlign w:val="center"/>
            <w:hideMark/>
          </w:tcPr>
          <w:p w14:paraId="792936C9"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54" w:type="dxa"/>
            <w:tcBorders>
              <w:top w:val="nil"/>
              <w:left w:val="nil"/>
              <w:bottom w:val="single" w:sz="8" w:space="0" w:color="auto"/>
              <w:right w:val="single" w:sz="8" w:space="0" w:color="auto"/>
            </w:tcBorders>
            <w:shd w:val="clear" w:color="000000" w:fill="D0CECE"/>
            <w:vAlign w:val="center"/>
            <w:hideMark/>
          </w:tcPr>
          <w:p w14:paraId="3D27A2EC"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39" w:type="dxa"/>
            <w:tcBorders>
              <w:top w:val="nil"/>
              <w:left w:val="nil"/>
              <w:bottom w:val="single" w:sz="8" w:space="0" w:color="auto"/>
              <w:right w:val="single" w:sz="8" w:space="0" w:color="auto"/>
            </w:tcBorders>
            <w:shd w:val="clear" w:color="auto" w:fill="auto"/>
            <w:vAlign w:val="center"/>
            <w:hideMark/>
          </w:tcPr>
          <w:p w14:paraId="34A212C6"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EnVolwebsite, which provides a number of relevant educational resources.</w:t>
            </w:r>
          </w:p>
        </w:tc>
        <w:tc>
          <w:tcPr>
            <w:tcW w:w="1539" w:type="dxa"/>
            <w:tcBorders>
              <w:top w:val="nil"/>
              <w:left w:val="nil"/>
              <w:bottom w:val="single" w:sz="8" w:space="0" w:color="auto"/>
              <w:right w:val="single" w:sz="8" w:space="0" w:color="auto"/>
            </w:tcBorders>
            <w:shd w:val="clear" w:color="auto" w:fill="auto"/>
            <w:vAlign w:val="center"/>
            <w:hideMark/>
          </w:tcPr>
          <w:p w14:paraId="48B70401"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Quantified this into tangible everyday equivalencies, such as coal burnt or miles driven</w:t>
            </w:r>
          </w:p>
        </w:tc>
        <w:tc>
          <w:tcPr>
            <w:tcW w:w="1539" w:type="dxa"/>
            <w:tcBorders>
              <w:top w:val="nil"/>
              <w:left w:val="nil"/>
              <w:bottom w:val="single" w:sz="8" w:space="0" w:color="auto"/>
              <w:right w:val="single" w:sz="8" w:space="0" w:color="auto"/>
            </w:tcBorders>
            <w:shd w:val="clear" w:color="auto" w:fill="auto"/>
            <w:vAlign w:val="center"/>
            <w:hideMark/>
          </w:tcPr>
          <w:p w14:paraId="30217E8B"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Prompt cards containing facts regarding volatiles and the environment were placed on top of all anaesthetic machines</w:t>
            </w:r>
          </w:p>
        </w:tc>
        <w:tc>
          <w:tcPr>
            <w:tcW w:w="1539" w:type="dxa"/>
            <w:tcBorders>
              <w:top w:val="nil"/>
              <w:left w:val="nil"/>
              <w:bottom w:val="single" w:sz="8" w:space="0" w:color="auto"/>
              <w:right w:val="single" w:sz="8" w:space="0" w:color="auto"/>
            </w:tcBorders>
            <w:shd w:val="clear" w:color="auto" w:fill="auto"/>
            <w:vAlign w:val="center"/>
            <w:hideMark/>
          </w:tcPr>
          <w:p w14:paraId="10006EB8"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Prompt cards containing facts regarding volatiles and the environment were placed on top of all anaesthetic machines</w:t>
            </w:r>
          </w:p>
        </w:tc>
        <w:tc>
          <w:tcPr>
            <w:tcW w:w="1538" w:type="dxa"/>
            <w:tcBorders>
              <w:top w:val="nil"/>
              <w:left w:val="nil"/>
              <w:bottom w:val="single" w:sz="8" w:space="0" w:color="auto"/>
              <w:right w:val="single" w:sz="8" w:space="0" w:color="auto"/>
            </w:tcBorders>
            <w:shd w:val="clear" w:color="auto" w:fill="auto"/>
            <w:vAlign w:val="center"/>
            <w:hideMark/>
          </w:tcPr>
          <w:p w14:paraId="7BA4429C"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Initiative from the department</w:t>
            </w:r>
          </w:p>
        </w:tc>
        <w:tc>
          <w:tcPr>
            <w:tcW w:w="1538" w:type="dxa"/>
            <w:tcBorders>
              <w:top w:val="nil"/>
              <w:left w:val="nil"/>
              <w:bottom w:val="single" w:sz="8" w:space="0" w:color="auto"/>
              <w:right w:val="single" w:sz="8" w:space="0" w:color="auto"/>
            </w:tcBorders>
            <w:shd w:val="clear" w:color="000000" w:fill="D0CECE"/>
            <w:vAlign w:val="center"/>
            <w:hideMark/>
          </w:tcPr>
          <w:p w14:paraId="679C5C98"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38" w:type="dxa"/>
            <w:tcBorders>
              <w:top w:val="nil"/>
              <w:left w:val="nil"/>
              <w:bottom w:val="single" w:sz="8" w:space="0" w:color="auto"/>
              <w:right w:val="single" w:sz="8" w:space="0" w:color="auto"/>
            </w:tcBorders>
            <w:shd w:val="clear" w:color="auto" w:fill="auto"/>
            <w:vAlign w:val="center"/>
            <w:hideMark/>
          </w:tcPr>
          <w:p w14:paraId="74993238"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Prompt cards containing facts regarding volatiles and the environment were placed on top of all anaesthetic machines</w:t>
            </w:r>
          </w:p>
        </w:tc>
      </w:tr>
      <w:tr w:rsidR="00D151CC" w:rsidRPr="00D151CC" w14:paraId="15F6233F" w14:textId="77777777" w:rsidTr="004209DA">
        <w:trPr>
          <w:trHeight w:val="2175"/>
        </w:trPr>
        <w:tc>
          <w:tcPr>
            <w:tcW w:w="1198" w:type="dxa"/>
            <w:tcBorders>
              <w:top w:val="nil"/>
              <w:left w:val="single" w:sz="8" w:space="0" w:color="auto"/>
              <w:bottom w:val="single" w:sz="8" w:space="0" w:color="auto"/>
              <w:right w:val="single" w:sz="8" w:space="0" w:color="auto"/>
            </w:tcBorders>
            <w:shd w:val="clear" w:color="auto" w:fill="auto"/>
            <w:vAlign w:val="center"/>
            <w:hideMark/>
          </w:tcPr>
          <w:p w14:paraId="12420A93"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Lawson &amp; Baxter, 2019</w:t>
            </w:r>
          </w:p>
        </w:tc>
        <w:tc>
          <w:tcPr>
            <w:tcW w:w="1538" w:type="dxa"/>
            <w:tcBorders>
              <w:top w:val="nil"/>
              <w:left w:val="nil"/>
              <w:bottom w:val="single" w:sz="8" w:space="0" w:color="auto"/>
              <w:right w:val="single" w:sz="8" w:space="0" w:color="auto"/>
            </w:tcBorders>
            <w:shd w:val="clear" w:color="000000" w:fill="D0CECE"/>
            <w:vAlign w:val="center"/>
            <w:hideMark/>
          </w:tcPr>
          <w:p w14:paraId="0A9C5936"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54" w:type="dxa"/>
            <w:tcBorders>
              <w:top w:val="nil"/>
              <w:left w:val="nil"/>
              <w:bottom w:val="single" w:sz="8" w:space="0" w:color="auto"/>
              <w:right w:val="single" w:sz="8" w:space="0" w:color="auto"/>
            </w:tcBorders>
            <w:shd w:val="clear" w:color="000000" w:fill="D0CECE"/>
            <w:vAlign w:val="center"/>
            <w:hideMark/>
          </w:tcPr>
          <w:p w14:paraId="2B171BC0"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39" w:type="dxa"/>
            <w:tcBorders>
              <w:top w:val="nil"/>
              <w:left w:val="nil"/>
              <w:bottom w:val="single" w:sz="8" w:space="0" w:color="auto"/>
              <w:right w:val="single" w:sz="8" w:space="0" w:color="auto"/>
            </w:tcBorders>
            <w:shd w:val="clear" w:color="000000" w:fill="D0CECE"/>
            <w:vAlign w:val="center"/>
            <w:hideMark/>
          </w:tcPr>
          <w:p w14:paraId="309051E5"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39" w:type="dxa"/>
            <w:tcBorders>
              <w:top w:val="nil"/>
              <w:left w:val="nil"/>
              <w:bottom w:val="single" w:sz="8" w:space="0" w:color="auto"/>
              <w:right w:val="single" w:sz="8" w:space="0" w:color="auto"/>
            </w:tcBorders>
            <w:shd w:val="clear" w:color="000000" w:fill="D0CECE"/>
            <w:vAlign w:val="center"/>
            <w:hideMark/>
          </w:tcPr>
          <w:p w14:paraId="2BA27A10"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39" w:type="dxa"/>
            <w:tcBorders>
              <w:top w:val="nil"/>
              <w:left w:val="nil"/>
              <w:bottom w:val="single" w:sz="8" w:space="0" w:color="auto"/>
              <w:right w:val="single" w:sz="8" w:space="0" w:color="auto"/>
            </w:tcBorders>
            <w:shd w:val="clear" w:color="000000" w:fill="D0CECE"/>
            <w:vAlign w:val="center"/>
            <w:hideMark/>
          </w:tcPr>
          <w:p w14:paraId="13317050"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39" w:type="dxa"/>
            <w:tcBorders>
              <w:top w:val="nil"/>
              <w:left w:val="nil"/>
              <w:bottom w:val="single" w:sz="8" w:space="0" w:color="auto"/>
              <w:right w:val="single" w:sz="8" w:space="0" w:color="auto"/>
            </w:tcBorders>
            <w:shd w:val="clear" w:color="000000" w:fill="D0CECE"/>
            <w:vAlign w:val="center"/>
            <w:hideMark/>
          </w:tcPr>
          <w:p w14:paraId="6AAE5EE3"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38" w:type="dxa"/>
            <w:tcBorders>
              <w:top w:val="nil"/>
              <w:left w:val="nil"/>
              <w:bottom w:val="single" w:sz="8" w:space="0" w:color="auto"/>
              <w:right w:val="single" w:sz="8" w:space="0" w:color="auto"/>
            </w:tcBorders>
            <w:shd w:val="clear" w:color="auto" w:fill="auto"/>
            <w:vAlign w:val="center"/>
            <w:hideMark/>
          </w:tcPr>
          <w:p w14:paraId="3E7B22A6"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Initiative from the department</w:t>
            </w:r>
          </w:p>
        </w:tc>
        <w:tc>
          <w:tcPr>
            <w:tcW w:w="1538" w:type="dxa"/>
            <w:tcBorders>
              <w:top w:val="nil"/>
              <w:left w:val="nil"/>
              <w:bottom w:val="single" w:sz="8" w:space="0" w:color="auto"/>
              <w:right w:val="single" w:sz="8" w:space="0" w:color="auto"/>
            </w:tcBorders>
            <w:shd w:val="clear" w:color="auto" w:fill="auto"/>
            <w:vAlign w:val="center"/>
            <w:hideMark/>
          </w:tcPr>
          <w:p w14:paraId="14ED21A2"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Desflurane was removed from all machines and the vaporiser setup was standardised to sevoflurane and isoflurane on every machine</w:t>
            </w:r>
          </w:p>
        </w:tc>
        <w:tc>
          <w:tcPr>
            <w:tcW w:w="1538" w:type="dxa"/>
            <w:tcBorders>
              <w:top w:val="nil"/>
              <w:left w:val="nil"/>
              <w:bottom w:val="single" w:sz="8" w:space="0" w:color="auto"/>
              <w:right w:val="single" w:sz="8" w:space="0" w:color="auto"/>
            </w:tcBorders>
            <w:shd w:val="clear" w:color="000000" w:fill="D0CECE"/>
            <w:vAlign w:val="center"/>
            <w:hideMark/>
          </w:tcPr>
          <w:p w14:paraId="683009D5"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r>
      <w:tr w:rsidR="00D151CC" w:rsidRPr="00D151CC" w14:paraId="1ACB5C4F" w14:textId="77777777" w:rsidTr="004209DA">
        <w:trPr>
          <w:trHeight w:val="2895"/>
        </w:trPr>
        <w:tc>
          <w:tcPr>
            <w:tcW w:w="1198" w:type="dxa"/>
            <w:tcBorders>
              <w:top w:val="nil"/>
              <w:left w:val="single" w:sz="8" w:space="0" w:color="auto"/>
              <w:bottom w:val="single" w:sz="8" w:space="0" w:color="auto"/>
              <w:right w:val="single" w:sz="8" w:space="0" w:color="auto"/>
            </w:tcBorders>
            <w:shd w:val="clear" w:color="auto" w:fill="auto"/>
            <w:vAlign w:val="center"/>
            <w:hideMark/>
          </w:tcPr>
          <w:p w14:paraId="1EB2ECD3"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lastRenderedPageBreak/>
              <w:t>Self &amp; Eveleigh, 2019</w:t>
            </w:r>
          </w:p>
        </w:tc>
        <w:tc>
          <w:tcPr>
            <w:tcW w:w="1538" w:type="dxa"/>
            <w:tcBorders>
              <w:top w:val="nil"/>
              <w:left w:val="nil"/>
              <w:bottom w:val="single" w:sz="8" w:space="0" w:color="auto"/>
              <w:right w:val="single" w:sz="8" w:space="0" w:color="auto"/>
            </w:tcBorders>
            <w:shd w:val="clear" w:color="000000" w:fill="D0CECE"/>
            <w:vAlign w:val="center"/>
            <w:hideMark/>
          </w:tcPr>
          <w:p w14:paraId="51341253"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54" w:type="dxa"/>
            <w:tcBorders>
              <w:top w:val="nil"/>
              <w:left w:val="nil"/>
              <w:bottom w:val="single" w:sz="8" w:space="0" w:color="auto"/>
              <w:right w:val="single" w:sz="8" w:space="0" w:color="auto"/>
            </w:tcBorders>
            <w:shd w:val="clear" w:color="000000" w:fill="D0CECE"/>
            <w:vAlign w:val="center"/>
            <w:hideMark/>
          </w:tcPr>
          <w:p w14:paraId="55AFD26B"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39" w:type="dxa"/>
            <w:tcBorders>
              <w:top w:val="nil"/>
              <w:left w:val="nil"/>
              <w:bottom w:val="single" w:sz="8" w:space="0" w:color="auto"/>
              <w:right w:val="single" w:sz="8" w:space="0" w:color="auto"/>
            </w:tcBorders>
            <w:shd w:val="clear" w:color="auto" w:fill="auto"/>
            <w:vAlign w:val="center"/>
            <w:hideMark/>
          </w:tcPr>
          <w:p w14:paraId="55282BA9"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Suggested switching to sevoflurane or total intravenous anaesthesia.</w:t>
            </w:r>
          </w:p>
        </w:tc>
        <w:tc>
          <w:tcPr>
            <w:tcW w:w="1539" w:type="dxa"/>
            <w:tcBorders>
              <w:top w:val="nil"/>
              <w:left w:val="nil"/>
              <w:bottom w:val="single" w:sz="8" w:space="0" w:color="auto"/>
              <w:right w:val="single" w:sz="8" w:space="0" w:color="auto"/>
            </w:tcBorders>
            <w:shd w:val="clear" w:color="000000" w:fill="D0CECE"/>
            <w:vAlign w:val="center"/>
            <w:hideMark/>
          </w:tcPr>
          <w:p w14:paraId="011FD59B"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39" w:type="dxa"/>
            <w:tcBorders>
              <w:top w:val="nil"/>
              <w:left w:val="nil"/>
              <w:bottom w:val="single" w:sz="8" w:space="0" w:color="auto"/>
              <w:right w:val="single" w:sz="8" w:space="0" w:color="auto"/>
            </w:tcBorders>
            <w:shd w:val="clear" w:color="auto" w:fill="auto"/>
            <w:vAlign w:val="center"/>
            <w:hideMark/>
          </w:tcPr>
          <w:p w14:paraId="3D523B4E"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Presentation was given to the anaesthetic department at the Trust highlighting recent publications on the environmental impact of desflurane</w:t>
            </w:r>
          </w:p>
        </w:tc>
        <w:tc>
          <w:tcPr>
            <w:tcW w:w="1539" w:type="dxa"/>
            <w:tcBorders>
              <w:top w:val="nil"/>
              <w:left w:val="nil"/>
              <w:bottom w:val="single" w:sz="8" w:space="0" w:color="auto"/>
              <w:right w:val="single" w:sz="8" w:space="0" w:color="auto"/>
            </w:tcBorders>
            <w:shd w:val="clear" w:color="000000" w:fill="D0CECE"/>
            <w:vAlign w:val="center"/>
            <w:hideMark/>
          </w:tcPr>
          <w:p w14:paraId="16B9E852"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38" w:type="dxa"/>
            <w:tcBorders>
              <w:top w:val="nil"/>
              <w:left w:val="nil"/>
              <w:bottom w:val="single" w:sz="8" w:space="0" w:color="auto"/>
              <w:right w:val="single" w:sz="8" w:space="0" w:color="auto"/>
            </w:tcBorders>
            <w:shd w:val="clear" w:color="auto" w:fill="auto"/>
            <w:vAlign w:val="center"/>
            <w:hideMark/>
          </w:tcPr>
          <w:p w14:paraId="75124D94"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Initiative from the department</w:t>
            </w:r>
          </w:p>
        </w:tc>
        <w:tc>
          <w:tcPr>
            <w:tcW w:w="1538" w:type="dxa"/>
            <w:tcBorders>
              <w:top w:val="nil"/>
              <w:left w:val="nil"/>
              <w:bottom w:val="single" w:sz="8" w:space="0" w:color="auto"/>
              <w:right w:val="single" w:sz="8" w:space="0" w:color="auto"/>
            </w:tcBorders>
            <w:shd w:val="clear" w:color="000000" w:fill="D0CECE"/>
            <w:vAlign w:val="center"/>
            <w:hideMark/>
          </w:tcPr>
          <w:p w14:paraId="5A372505"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38" w:type="dxa"/>
            <w:tcBorders>
              <w:top w:val="nil"/>
              <w:left w:val="nil"/>
              <w:bottom w:val="single" w:sz="8" w:space="0" w:color="auto"/>
              <w:right w:val="single" w:sz="8" w:space="0" w:color="auto"/>
            </w:tcBorders>
            <w:shd w:val="clear" w:color="000000" w:fill="D0CECE"/>
            <w:vAlign w:val="center"/>
            <w:hideMark/>
          </w:tcPr>
          <w:p w14:paraId="10940D35"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r>
      <w:tr w:rsidR="00D151CC" w:rsidRPr="00D151CC" w14:paraId="52F30A41" w14:textId="77777777" w:rsidTr="004209DA">
        <w:trPr>
          <w:trHeight w:val="1875"/>
        </w:trPr>
        <w:tc>
          <w:tcPr>
            <w:tcW w:w="1198" w:type="dxa"/>
            <w:tcBorders>
              <w:top w:val="nil"/>
              <w:left w:val="single" w:sz="8" w:space="0" w:color="auto"/>
              <w:bottom w:val="single" w:sz="8" w:space="0" w:color="auto"/>
              <w:right w:val="single" w:sz="8" w:space="0" w:color="auto"/>
            </w:tcBorders>
            <w:shd w:val="clear" w:color="auto" w:fill="auto"/>
            <w:vAlign w:val="center"/>
            <w:hideMark/>
          </w:tcPr>
          <w:p w14:paraId="06A10311"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Benness &amp; Doane, 2021</w:t>
            </w:r>
          </w:p>
        </w:tc>
        <w:tc>
          <w:tcPr>
            <w:tcW w:w="1538" w:type="dxa"/>
            <w:tcBorders>
              <w:top w:val="nil"/>
              <w:left w:val="nil"/>
              <w:bottom w:val="single" w:sz="8" w:space="0" w:color="auto"/>
              <w:right w:val="single" w:sz="8" w:space="0" w:color="auto"/>
            </w:tcBorders>
            <w:shd w:val="clear" w:color="000000" w:fill="D0CECE"/>
            <w:vAlign w:val="center"/>
            <w:hideMark/>
          </w:tcPr>
          <w:p w14:paraId="69FF57C6"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54" w:type="dxa"/>
            <w:tcBorders>
              <w:top w:val="nil"/>
              <w:left w:val="nil"/>
              <w:bottom w:val="single" w:sz="8" w:space="0" w:color="auto"/>
              <w:right w:val="single" w:sz="8" w:space="0" w:color="auto"/>
            </w:tcBorders>
            <w:shd w:val="clear" w:color="000000" w:fill="D0CECE"/>
            <w:vAlign w:val="center"/>
            <w:hideMark/>
          </w:tcPr>
          <w:p w14:paraId="03D73467"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39" w:type="dxa"/>
            <w:tcBorders>
              <w:top w:val="nil"/>
              <w:left w:val="nil"/>
              <w:bottom w:val="single" w:sz="8" w:space="0" w:color="auto"/>
              <w:right w:val="single" w:sz="8" w:space="0" w:color="auto"/>
            </w:tcBorders>
            <w:shd w:val="clear" w:color="auto" w:fill="auto"/>
            <w:vAlign w:val="center"/>
            <w:hideMark/>
          </w:tcPr>
          <w:p w14:paraId="7202155A"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xml:space="preserve">Encouraged  alternatives to desflurane </w:t>
            </w:r>
          </w:p>
        </w:tc>
        <w:tc>
          <w:tcPr>
            <w:tcW w:w="1539" w:type="dxa"/>
            <w:tcBorders>
              <w:top w:val="nil"/>
              <w:left w:val="nil"/>
              <w:bottom w:val="single" w:sz="8" w:space="0" w:color="auto"/>
              <w:right w:val="single" w:sz="8" w:space="0" w:color="auto"/>
            </w:tcBorders>
            <w:shd w:val="clear" w:color="000000" w:fill="D0CECE"/>
            <w:vAlign w:val="center"/>
            <w:hideMark/>
          </w:tcPr>
          <w:p w14:paraId="54FA17E7"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39" w:type="dxa"/>
            <w:tcBorders>
              <w:top w:val="nil"/>
              <w:left w:val="nil"/>
              <w:bottom w:val="single" w:sz="8" w:space="0" w:color="auto"/>
              <w:right w:val="single" w:sz="8" w:space="0" w:color="auto"/>
            </w:tcBorders>
            <w:shd w:val="clear" w:color="auto" w:fill="auto"/>
            <w:vAlign w:val="center"/>
            <w:hideMark/>
          </w:tcPr>
          <w:p w14:paraId="1973DCA6"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xml:space="preserve">Departmental presentation. Geared at staff education and encouraged  alternatives to desflurane </w:t>
            </w:r>
          </w:p>
        </w:tc>
        <w:tc>
          <w:tcPr>
            <w:tcW w:w="1539" w:type="dxa"/>
            <w:tcBorders>
              <w:top w:val="nil"/>
              <w:left w:val="nil"/>
              <w:bottom w:val="single" w:sz="8" w:space="0" w:color="auto"/>
              <w:right w:val="single" w:sz="8" w:space="0" w:color="auto"/>
            </w:tcBorders>
            <w:shd w:val="clear" w:color="auto" w:fill="auto"/>
            <w:vAlign w:val="center"/>
            <w:hideMark/>
          </w:tcPr>
          <w:p w14:paraId="0CE49D15"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Departmental newsletters</w:t>
            </w:r>
          </w:p>
        </w:tc>
        <w:tc>
          <w:tcPr>
            <w:tcW w:w="1538" w:type="dxa"/>
            <w:tcBorders>
              <w:top w:val="nil"/>
              <w:left w:val="nil"/>
              <w:bottom w:val="single" w:sz="8" w:space="0" w:color="auto"/>
              <w:right w:val="single" w:sz="8" w:space="0" w:color="auto"/>
            </w:tcBorders>
            <w:shd w:val="clear" w:color="auto" w:fill="auto"/>
            <w:vAlign w:val="center"/>
            <w:hideMark/>
          </w:tcPr>
          <w:p w14:paraId="396ADAC3"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Initiative from the department</w:t>
            </w:r>
          </w:p>
        </w:tc>
        <w:tc>
          <w:tcPr>
            <w:tcW w:w="1538" w:type="dxa"/>
            <w:tcBorders>
              <w:top w:val="nil"/>
              <w:left w:val="nil"/>
              <w:bottom w:val="single" w:sz="8" w:space="0" w:color="auto"/>
              <w:right w:val="single" w:sz="8" w:space="0" w:color="auto"/>
            </w:tcBorders>
            <w:shd w:val="clear" w:color="000000" w:fill="D0CECE"/>
            <w:vAlign w:val="center"/>
            <w:hideMark/>
          </w:tcPr>
          <w:p w14:paraId="53574427"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38" w:type="dxa"/>
            <w:tcBorders>
              <w:top w:val="nil"/>
              <w:left w:val="nil"/>
              <w:bottom w:val="single" w:sz="8" w:space="0" w:color="auto"/>
              <w:right w:val="single" w:sz="8" w:space="0" w:color="auto"/>
            </w:tcBorders>
            <w:shd w:val="clear" w:color="auto" w:fill="auto"/>
            <w:vAlign w:val="center"/>
            <w:hideMark/>
          </w:tcPr>
          <w:p w14:paraId="55DE79C9"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Placement of educational posters across targeted areas</w:t>
            </w:r>
          </w:p>
        </w:tc>
      </w:tr>
      <w:tr w:rsidR="00D151CC" w:rsidRPr="00D151CC" w14:paraId="528B4B92" w14:textId="77777777" w:rsidTr="004209DA">
        <w:trPr>
          <w:trHeight w:val="3375"/>
        </w:trPr>
        <w:tc>
          <w:tcPr>
            <w:tcW w:w="1198" w:type="dxa"/>
            <w:tcBorders>
              <w:top w:val="nil"/>
              <w:left w:val="single" w:sz="8" w:space="0" w:color="auto"/>
              <w:bottom w:val="single" w:sz="8" w:space="0" w:color="auto"/>
              <w:right w:val="single" w:sz="8" w:space="0" w:color="auto"/>
            </w:tcBorders>
            <w:shd w:val="clear" w:color="auto" w:fill="auto"/>
            <w:vAlign w:val="center"/>
            <w:hideMark/>
          </w:tcPr>
          <w:p w14:paraId="50DD5194"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Carta et al., 2021</w:t>
            </w:r>
          </w:p>
        </w:tc>
        <w:tc>
          <w:tcPr>
            <w:tcW w:w="1538" w:type="dxa"/>
            <w:tcBorders>
              <w:top w:val="nil"/>
              <w:left w:val="nil"/>
              <w:bottom w:val="single" w:sz="8" w:space="0" w:color="auto"/>
              <w:right w:val="single" w:sz="8" w:space="0" w:color="auto"/>
            </w:tcBorders>
            <w:shd w:val="clear" w:color="000000" w:fill="D0CECE"/>
            <w:vAlign w:val="center"/>
            <w:hideMark/>
          </w:tcPr>
          <w:p w14:paraId="558F7F2B"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54" w:type="dxa"/>
            <w:tcBorders>
              <w:top w:val="nil"/>
              <w:left w:val="nil"/>
              <w:bottom w:val="single" w:sz="8" w:space="0" w:color="auto"/>
              <w:right w:val="single" w:sz="8" w:space="0" w:color="auto"/>
            </w:tcBorders>
            <w:shd w:val="clear" w:color="auto" w:fill="auto"/>
            <w:vAlign w:val="center"/>
            <w:hideMark/>
          </w:tcPr>
          <w:p w14:paraId="7D0E7DBE"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Email was circulated with the audit results and recommendations</w:t>
            </w:r>
          </w:p>
        </w:tc>
        <w:tc>
          <w:tcPr>
            <w:tcW w:w="1539" w:type="dxa"/>
            <w:tcBorders>
              <w:top w:val="nil"/>
              <w:left w:val="nil"/>
              <w:bottom w:val="single" w:sz="8" w:space="0" w:color="auto"/>
              <w:right w:val="single" w:sz="8" w:space="0" w:color="auto"/>
            </w:tcBorders>
            <w:shd w:val="clear" w:color="auto" w:fill="auto"/>
            <w:vAlign w:val="center"/>
            <w:hideMark/>
          </w:tcPr>
          <w:p w14:paraId="2FFADC28"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Results were presented at the clinical governance meeting in June 2020 for which anaesthetists were encouraged to use low flows during general anaesthesia along with increased use of sevoflurane</w:t>
            </w:r>
          </w:p>
        </w:tc>
        <w:tc>
          <w:tcPr>
            <w:tcW w:w="1539" w:type="dxa"/>
            <w:tcBorders>
              <w:top w:val="nil"/>
              <w:left w:val="nil"/>
              <w:bottom w:val="single" w:sz="8" w:space="0" w:color="auto"/>
              <w:right w:val="single" w:sz="8" w:space="0" w:color="auto"/>
            </w:tcBorders>
            <w:shd w:val="clear" w:color="auto" w:fill="auto"/>
            <w:vAlign w:val="center"/>
            <w:hideMark/>
          </w:tcPr>
          <w:p w14:paraId="45DCC75E"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xml:space="preserve"> Indicating the CO2 equivalence per hour of each volatile agent along with the distance equivalent (in kilometres) in a motor vehicle.</w:t>
            </w:r>
          </w:p>
        </w:tc>
        <w:tc>
          <w:tcPr>
            <w:tcW w:w="1539" w:type="dxa"/>
            <w:tcBorders>
              <w:top w:val="nil"/>
              <w:left w:val="nil"/>
              <w:bottom w:val="single" w:sz="8" w:space="0" w:color="auto"/>
              <w:right w:val="single" w:sz="8" w:space="0" w:color="auto"/>
            </w:tcBorders>
            <w:shd w:val="clear" w:color="auto" w:fill="auto"/>
            <w:vAlign w:val="center"/>
            <w:hideMark/>
          </w:tcPr>
          <w:p w14:paraId="41D93D03"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xml:space="preserve"> Indicating the CO2 equivalence per hour of each volatile agent</w:t>
            </w:r>
          </w:p>
        </w:tc>
        <w:tc>
          <w:tcPr>
            <w:tcW w:w="1539" w:type="dxa"/>
            <w:tcBorders>
              <w:top w:val="nil"/>
              <w:left w:val="nil"/>
              <w:bottom w:val="single" w:sz="8" w:space="0" w:color="auto"/>
              <w:right w:val="single" w:sz="8" w:space="0" w:color="auto"/>
            </w:tcBorders>
            <w:shd w:val="clear" w:color="auto" w:fill="auto"/>
            <w:vAlign w:val="center"/>
            <w:hideMark/>
          </w:tcPr>
          <w:p w14:paraId="46066A17"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Stickers were placed on all anaesthetic machines</w:t>
            </w:r>
          </w:p>
        </w:tc>
        <w:tc>
          <w:tcPr>
            <w:tcW w:w="1538" w:type="dxa"/>
            <w:tcBorders>
              <w:top w:val="nil"/>
              <w:left w:val="nil"/>
              <w:bottom w:val="single" w:sz="8" w:space="0" w:color="auto"/>
              <w:right w:val="single" w:sz="8" w:space="0" w:color="auto"/>
            </w:tcBorders>
            <w:shd w:val="clear" w:color="auto" w:fill="auto"/>
            <w:vAlign w:val="center"/>
            <w:hideMark/>
          </w:tcPr>
          <w:p w14:paraId="7F20D190"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Initiative from the department</w:t>
            </w:r>
          </w:p>
        </w:tc>
        <w:tc>
          <w:tcPr>
            <w:tcW w:w="1538" w:type="dxa"/>
            <w:tcBorders>
              <w:top w:val="nil"/>
              <w:left w:val="nil"/>
              <w:bottom w:val="single" w:sz="8" w:space="0" w:color="auto"/>
              <w:right w:val="single" w:sz="8" w:space="0" w:color="auto"/>
            </w:tcBorders>
            <w:shd w:val="clear" w:color="000000" w:fill="D0CECE"/>
            <w:vAlign w:val="center"/>
            <w:hideMark/>
          </w:tcPr>
          <w:p w14:paraId="29148005"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38" w:type="dxa"/>
            <w:tcBorders>
              <w:top w:val="nil"/>
              <w:left w:val="nil"/>
              <w:bottom w:val="single" w:sz="8" w:space="0" w:color="auto"/>
              <w:right w:val="single" w:sz="8" w:space="0" w:color="auto"/>
            </w:tcBorders>
            <w:shd w:val="clear" w:color="auto" w:fill="auto"/>
            <w:vAlign w:val="center"/>
            <w:hideMark/>
          </w:tcPr>
          <w:p w14:paraId="127FF94A"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Stickers were placed on all anaesthetic machines</w:t>
            </w:r>
          </w:p>
        </w:tc>
      </w:tr>
      <w:tr w:rsidR="00D151CC" w:rsidRPr="00D151CC" w14:paraId="2ED09903" w14:textId="77777777" w:rsidTr="004209DA">
        <w:trPr>
          <w:trHeight w:val="1395"/>
        </w:trPr>
        <w:tc>
          <w:tcPr>
            <w:tcW w:w="1198" w:type="dxa"/>
            <w:tcBorders>
              <w:top w:val="nil"/>
              <w:left w:val="single" w:sz="8" w:space="0" w:color="auto"/>
              <w:bottom w:val="single" w:sz="8" w:space="0" w:color="auto"/>
              <w:right w:val="single" w:sz="8" w:space="0" w:color="auto"/>
            </w:tcBorders>
            <w:shd w:val="clear" w:color="auto" w:fill="auto"/>
            <w:vAlign w:val="center"/>
            <w:hideMark/>
          </w:tcPr>
          <w:p w14:paraId="44DF0903"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lastRenderedPageBreak/>
              <w:t>Hirst et al., 2021</w:t>
            </w:r>
          </w:p>
        </w:tc>
        <w:tc>
          <w:tcPr>
            <w:tcW w:w="1538" w:type="dxa"/>
            <w:tcBorders>
              <w:top w:val="nil"/>
              <w:left w:val="nil"/>
              <w:bottom w:val="single" w:sz="8" w:space="0" w:color="auto"/>
              <w:right w:val="single" w:sz="8" w:space="0" w:color="auto"/>
            </w:tcBorders>
            <w:shd w:val="clear" w:color="000000" w:fill="D0CECE"/>
            <w:vAlign w:val="center"/>
            <w:hideMark/>
          </w:tcPr>
          <w:p w14:paraId="3B69A449"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54" w:type="dxa"/>
            <w:tcBorders>
              <w:top w:val="nil"/>
              <w:left w:val="nil"/>
              <w:bottom w:val="single" w:sz="8" w:space="0" w:color="auto"/>
              <w:right w:val="single" w:sz="8" w:space="0" w:color="auto"/>
            </w:tcBorders>
            <w:shd w:val="clear" w:color="000000" w:fill="D0CECE"/>
            <w:vAlign w:val="center"/>
            <w:hideMark/>
          </w:tcPr>
          <w:p w14:paraId="5ED06972"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39" w:type="dxa"/>
            <w:tcBorders>
              <w:top w:val="nil"/>
              <w:left w:val="nil"/>
              <w:bottom w:val="single" w:sz="8" w:space="0" w:color="auto"/>
              <w:right w:val="single" w:sz="8" w:space="0" w:color="auto"/>
            </w:tcBorders>
            <w:shd w:val="clear" w:color="000000" w:fill="D0CECE"/>
            <w:vAlign w:val="center"/>
            <w:hideMark/>
          </w:tcPr>
          <w:p w14:paraId="7C6A2DF3"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39" w:type="dxa"/>
            <w:tcBorders>
              <w:top w:val="nil"/>
              <w:left w:val="nil"/>
              <w:bottom w:val="single" w:sz="8" w:space="0" w:color="auto"/>
              <w:right w:val="single" w:sz="8" w:space="0" w:color="auto"/>
            </w:tcBorders>
            <w:shd w:val="clear" w:color="000000" w:fill="D0CECE"/>
            <w:vAlign w:val="center"/>
            <w:hideMark/>
          </w:tcPr>
          <w:p w14:paraId="1071C6EE"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39" w:type="dxa"/>
            <w:tcBorders>
              <w:top w:val="nil"/>
              <w:left w:val="nil"/>
              <w:bottom w:val="single" w:sz="8" w:space="0" w:color="auto"/>
              <w:right w:val="single" w:sz="8" w:space="0" w:color="auto"/>
            </w:tcBorders>
            <w:shd w:val="clear" w:color="000000" w:fill="D0CECE"/>
            <w:vAlign w:val="center"/>
            <w:hideMark/>
          </w:tcPr>
          <w:p w14:paraId="77E9517A"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39" w:type="dxa"/>
            <w:tcBorders>
              <w:top w:val="nil"/>
              <w:left w:val="nil"/>
              <w:bottom w:val="single" w:sz="8" w:space="0" w:color="auto"/>
              <w:right w:val="single" w:sz="8" w:space="0" w:color="auto"/>
            </w:tcBorders>
            <w:shd w:val="clear" w:color="000000" w:fill="D0CECE"/>
            <w:vAlign w:val="center"/>
            <w:hideMark/>
          </w:tcPr>
          <w:p w14:paraId="4CE7BE4A"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38" w:type="dxa"/>
            <w:tcBorders>
              <w:top w:val="nil"/>
              <w:left w:val="nil"/>
              <w:bottom w:val="single" w:sz="8" w:space="0" w:color="auto"/>
              <w:right w:val="single" w:sz="8" w:space="0" w:color="auto"/>
            </w:tcBorders>
            <w:shd w:val="clear" w:color="auto" w:fill="auto"/>
            <w:vAlign w:val="center"/>
            <w:hideMark/>
          </w:tcPr>
          <w:p w14:paraId="717BF838"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Initiative from the department</w:t>
            </w:r>
          </w:p>
        </w:tc>
        <w:tc>
          <w:tcPr>
            <w:tcW w:w="1538" w:type="dxa"/>
            <w:tcBorders>
              <w:top w:val="nil"/>
              <w:left w:val="nil"/>
              <w:bottom w:val="single" w:sz="8" w:space="0" w:color="auto"/>
              <w:right w:val="single" w:sz="8" w:space="0" w:color="auto"/>
            </w:tcBorders>
            <w:shd w:val="clear" w:color="auto" w:fill="auto"/>
            <w:vAlign w:val="center"/>
            <w:hideMark/>
          </w:tcPr>
          <w:p w14:paraId="3BEE664B"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Desflurane vaporisers were removed from anaesthetic machines</w:t>
            </w:r>
          </w:p>
        </w:tc>
        <w:tc>
          <w:tcPr>
            <w:tcW w:w="1538" w:type="dxa"/>
            <w:tcBorders>
              <w:top w:val="nil"/>
              <w:left w:val="nil"/>
              <w:bottom w:val="single" w:sz="8" w:space="0" w:color="auto"/>
              <w:right w:val="single" w:sz="8" w:space="0" w:color="auto"/>
            </w:tcBorders>
            <w:shd w:val="clear" w:color="000000" w:fill="D0CECE"/>
            <w:vAlign w:val="center"/>
            <w:hideMark/>
          </w:tcPr>
          <w:p w14:paraId="43D71F17"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r>
      <w:tr w:rsidR="00D151CC" w:rsidRPr="00D151CC" w14:paraId="3ABEC858" w14:textId="77777777" w:rsidTr="004209DA">
        <w:trPr>
          <w:trHeight w:val="1935"/>
        </w:trPr>
        <w:tc>
          <w:tcPr>
            <w:tcW w:w="1198" w:type="dxa"/>
            <w:tcBorders>
              <w:top w:val="nil"/>
              <w:left w:val="single" w:sz="8" w:space="0" w:color="auto"/>
              <w:bottom w:val="single" w:sz="8" w:space="0" w:color="auto"/>
              <w:right w:val="single" w:sz="8" w:space="0" w:color="auto"/>
            </w:tcBorders>
            <w:shd w:val="clear" w:color="auto" w:fill="auto"/>
            <w:vAlign w:val="center"/>
            <w:hideMark/>
          </w:tcPr>
          <w:p w14:paraId="138AD1E6"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Jameson &amp; Young, 2021</w:t>
            </w:r>
          </w:p>
        </w:tc>
        <w:tc>
          <w:tcPr>
            <w:tcW w:w="1538" w:type="dxa"/>
            <w:tcBorders>
              <w:top w:val="nil"/>
              <w:left w:val="nil"/>
              <w:bottom w:val="single" w:sz="8" w:space="0" w:color="auto"/>
              <w:right w:val="single" w:sz="8" w:space="0" w:color="auto"/>
            </w:tcBorders>
            <w:shd w:val="clear" w:color="auto" w:fill="auto"/>
            <w:vAlign w:val="center"/>
            <w:hideMark/>
          </w:tcPr>
          <w:p w14:paraId="4FA314CF"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xml:space="preserve">Objective was for 95% of general anaesthetic cases to achieve end tidal control within 1 min of securing the airway. </w:t>
            </w:r>
          </w:p>
        </w:tc>
        <w:tc>
          <w:tcPr>
            <w:tcW w:w="1554" w:type="dxa"/>
            <w:tcBorders>
              <w:top w:val="nil"/>
              <w:left w:val="nil"/>
              <w:bottom w:val="single" w:sz="8" w:space="0" w:color="auto"/>
              <w:right w:val="single" w:sz="8" w:space="0" w:color="auto"/>
            </w:tcBorders>
            <w:shd w:val="clear" w:color="000000" w:fill="D0CECE"/>
            <w:vAlign w:val="center"/>
            <w:hideMark/>
          </w:tcPr>
          <w:p w14:paraId="3E622224"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39" w:type="dxa"/>
            <w:tcBorders>
              <w:top w:val="nil"/>
              <w:left w:val="nil"/>
              <w:bottom w:val="single" w:sz="8" w:space="0" w:color="auto"/>
              <w:right w:val="single" w:sz="8" w:space="0" w:color="auto"/>
            </w:tcBorders>
            <w:shd w:val="clear" w:color="auto" w:fill="auto"/>
            <w:vAlign w:val="center"/>
            <w:hideMark/>
          </w:tcPr>
          <w:p w14:paraId="55C489DB"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Educational presentation</w:t>
            </w:r>
          </w:p>
        </w:tc>
        <w:tc>
          <w:tcPr>
            <w:tcW w:w="1539" w:type="dxa"/>
            <w:tcBorders>
              <w:top w:val="nil"/>
              <w:left w:val="nil"/>
              <w:bottom w:val="single" w:sz="8" w:space="0" w:color="auto"/>
              <w:right w:val="single" w:sz="8" w:space="0" w:color="auto"/>
            </w:tcBorders>
            <w:shd w:val="clear" w:color="000000" w:fill="D0CECE"/>
            <w:vAlign w:val="center"/>
            <w:hideMark/>
          </w:tcPr>
          <w:p w14:paraId="6FE97B09"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39" w:type="dxa"/>
            <w:tcBorders>
              <w:top w:val="nil"/>
              <w:left w:val="nil"/>
              <w:bottom w:val="single" w:sz="8" w:space="0" w:color="auto"/>
              <w:right w:val="single" w:sz="8" w:space="0" w:color="auto"/>
            </w:tcBorders>
            <w:shd w:val="clear" w:color="000000" w:fill="D0CECE"/>
            <w:vAlign w:val="center"/>
            <w:hideMark/>
          </w:tcPr>
          <w:p w14:paraId="6B21F85C"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39" w:type="dxa"/>
            <w:tcBorders>
              <w:top w:val="nil"/>
              <w:left w:val="nil"/>
              <w:bottom w:val="single" w:sz="8" w:space="0" w:color="auto"/>
              <w:right w:val="single" w:sz="8" w:space="0" w:color="auto"/>
            </w:tcBorders>
            <w:shd w:val="clear" w:color="auto" w:fill="auto"/>
            <w:vAlign w:val="center"/>
            <w:hideMark/>
          </w:tcPr>
          <w:p w14:paraId="1141D770"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Email reminders</w:t>
            </w:r>
          </w:p>
        </w:tc>
        <w:tc>
          <w:tcPr>
            <w:tcW w:w="1538" w:type="dxa"/>
            <w:tcBorders>
              <w:top w:val="nil"/>
              <w:left w:val="nil"/>
              <w:bottom w:val="single" w:sz="8" w:space="0" w:color="auto"/>
              <w:right w:val="single" w:sz="8" w:space="0" w:color="auto"/>
            </w:tcBorders>
            <w:shd w:val="clear" w:color="auto" w:fill="auto"/>
            <w:vAlign w:val="center"/>
            <w:hideMark/>
          </w:tcPr>
          <w:p w14:paraId="25F29A76"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Initiative from the department</w:t>
            </w:r>
          </w:p>
        </w:tc>
        <w:tc>
          <w:tcPr>
            <w:tcW w:w="1538" w:type="dxa"/>
            <w:tcBorders>
              <w:top w:val="nil"/>
              <w:left w:val="nil"/>
              <w:bottom w:val="single" w:sz="8" w:space="0" w:color="auto"/>
              <w:right w:val="single" w:sz="8" w:space="0" w:color="auto"/>
            </w:tcBorders>
            <w:shd w:val="clear" w:color="000000" w:fill="D0CECE"/>
            <w:vAlign w:val="center"/>
            <w:hideMark/>
          </w:tcPr>
          <w:p w14:paraId="671C723D"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38" w:type="dxa"/>
            <w:tcBorders>
              <w:top w:val="nil"/>
              <w:left w:val="nil"/>
              <w:bottom w:val="single" w:sz="8" w:space="0" w:color="auto"/>
              <w:right w:val="single" w:sz="8" w:space="0" w:color="auto"/>
            </w:tcBorders>
            <w:shd w:val="clear" w:color="000000" w:fill="D0CECE"/>
            <w:vAlign w:val="center"/>
            <w:hideMark/>
          </w:tcPr>
          <w:p w14:paraId="4957720A"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r>
      <w:tr w:rsidR="00D151CC" w:rsidRPr="00D151CC" w14:paraId="6E7EE071" w14:textId="77777777" w:rsidTr="004209DA">
        <w:trPr>
          <w:trHeight w:val="2085"/>
        </w:trPr>
        <w:tc>
          <w:tcPr>
            <w:tcW w:w="1198" w:type="dxa"/>
            <w:tcBorders>
              <w:top w:val="nil"/>
              <w:left w:val="single" w:sz="8" w:space="0" w:color="auto"/>
              <w:bottom w:val="single" w:sz="8" w:space="0" w:color="auto"/>
              <w:right w:val="single" w:sz="8" w:space="0" w:color="auto"/>
            </w:tcBorders>
            <w:shd w:val="clear" w:color="auto" w:fill="auto"/>
            <w:vAlign w:val="center"/>
            <w:hideMark/>
          </w:tcPr>
          <w:p w14:paraId="4418A239"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Kirkman et al., 2021</w:t>
            </w:r>
          </w:p>
        </w:tc>
        <w:tc>
          <w:tcPr>
            <w:tcW w:w="1538" w:type="dxa"/>
            <w:tcBorders>
              <w:top w:val="nil"/>
              <w:left w:val="nil"/>
              <w:bottom w:val="single" w:sz="8" w:space="0" w:color="auto"/>
              <w:right w:val="single" w:sz="8" w:space="0" w:color="auto"/>
            </w:tcBorders>
            <w:shd w:val="clear" w:color="000000" w:fill="D0CECE"/>
            <w:vAlign w:val="center"/>
            <w:hideMark/>
          </w:tcPr>
          <w:p w14:paraId="00143EC6"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54" w:type="dxa"/>
            <w:tcBorders>
              <w:top w:val="nil"/>
              <w:left w:val="nil"/>
              <w:bottom w:val="single" w:sz="8" w:space="0" w:color="auto"/>
              <w:right w:val="single" w:sz="8" w:space="0" w:color="auto"/>
            </w:tcBorders>
            <w:shd w:val="clear" w:color="000000" w:fill="D0CECE"/>
            <w:vAlign w:val="center"/>
            <w:hideMark/>
          </w:tcPr>
          <w:p w14:paraId="23B8F225"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39" w:type="dxa"/>
            <w:tcBorders>
              <w:top w:val="nil"/>
              <w:left w:val="nil"/>
              <w:bottom w:val="single" w:sz="8" w:space="0" w:color="auto"/>
              <w:right w:val="single" w:sz="8" w:space="0" w:color="auto"/>
            </w:tcBorders>
            <w:shd w:val="clear" w:color="000000" w:fill="D0CECE"/>
            <w:vAlign w:val="center"/>
            <w:hideMark/>
          </w:tcPr>
          <w:p w14:paraId="092E4279"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39" w:type="dxa"/>
            <w:tcBorders>
              <w:top w:val="nil"/>
              <w:left w:val="nil"/>
              <w:bottom w:val="single" w:sz="8" w:space="0" w:color="auto"/>
              <w:right w:val="single" w:sz="8" w:space="0" w:color="auto"/>
            </w:tcBorders>
            <w:shd w:val="clear" w:color="000000" w:fill="D0CECE"/>
            <w:vAlign w:val="center"/>
            <w:hideMark/>
          </w:tcPr>
          <w:p w14:paraId="4EB8D294"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39" w:type="dxa"/>
            <w:tcBorders>
              <w:top w:val="nil"/>
              <w:left w:val="nil"/>
              <w:bottom w:val="single" w:sz="8" w:space="0" w:color="auto"/>
              <w:right w:val="single" w:sz="8" w:space="0" w:color="auto"/>
            </w:tcBorders>
            <w:shd w:val="clear" w:color="auto" w:fill="auto"/>
            <w:vAlign w:val="center"/>
            <w:hideMark/>
          </w:tcPr>
          <w:p w14:paraId="23736191"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Presented at the monthly clinical governance meeting...the volatile supplied to theatres was converted to CO2equivalents.</w:t>
            </w:r>
          </w:p>
        </w:tc>
        <w:tc>
          <w:tcPr>
            <w:tcW w:w="1539" w:type="dxa"/>
            <w:tcBorders>
              <w:top w:val="nil"/>
              <w:left w:val="nil"/>
              <w:bottom w:val="single" w:sz="8" w:space="0" w:color="auto"/>
              <w:right w:val="single" w:sz="8" w:space="0" w:color="auto"/>
            </w:tcBorders>
            <w:shd w:val="clear" w:color="000000" w:fill="D0CECE"/>
            <w:vAlign w:val="center"/>
            <w:hideMark/>
          </w:tcPr>
          <w:p w14:paraId="1C72BD70"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38" w:type="dxa"/>
            <w:tcBorders>
              <w:top w:val="nil"/>
              <w:left w:val="nil"/>
              <w:bottom w:val="single" w:sz="8" w:space="0" w:color="auto"/>
              <w:right w:val="single" w:sz="8" w:space="0" w:color="auto"/>
            </w:tcBorders>
            <w:shd w:val="clear" w:color="auto" w:fill="auto"/>
            <w:vAlign w:val="center"/>
            <w:hideMark/>
          </w:tcPr>
          <w:p w14:paraId="78DA2948"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Initiative from the department</w:t>
            </w:r>
          </w:p>
        </w:tc>
        <w:tc>
          <w:tcPr>
            <w:tcW w:w="1538" w:type="dxa"/>
            <w:tcBorders>
              <w:top w:val="nil"/>
              <w:left w:val="nil"/>
              <w:bottom w:val="single" w:sz="8" w:space="0" w:color="auto"/>
              <w:right w:val="single" w:sz="8" w:space="0" w:color="auto"/>
            </w:tcBorders>
            <w:shd w:val="clear" w:color="auto" w:fill="auto"/>
            <w:vAlign w:val="center"/>
            <w:hideMark/>
          </w:tcPr>
          <w:p w14:paraId="646EA6D1"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Desflurane was removed as a default vaporiser on all anaesthetic machines</w:t>
            </w:r>
          </w:p>
        </w:tc>
        <w:tc>
          <w:tcPr>
            <w:tcW w:w="1538" w:type="dxa"/>
            <w:tcBorders>
              <w:top w:val="nil"/>
              <w:left w:val="nil"/>
              <w:bottom w:val="single" w:sz="8" w:space="0" w:color="auto"/>
              <w:right w:val="single" w:sz="8" w:space="0" w:color="auto"/>
            </w:tcBorders>
            <w:shd w:val="clear" w:color="auto" w:fill="auto"/>
            <w:vAlign w:val="center"/>
            <w:hideMark/>
          </w:tcPr>
          <w:p w14:paraId="04027CEA"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Educational posters were displayed in anaesthetic rooms</w:t>
            </w:r>
          </w:p>
        </w:tc>
      </w:tr>
      <w:tr w:rsidR="00D151CC" w:rsidRPr="00D151CC" w14:paraId="4F2E8887" w14:textId="77777777" w:rsidTr="004209DA">
        <w:trPr>
          <w:trHeight w:val="1560"/>
        </w:trPr>
        <w:tc>
          <w:tcPr>
            <w:tcW w:w="1198" w:type="dxa"/>
            <w:tcBorders>
              <w:top w:val="nil"/>
              <w:left w:val="single" w:sz="8" w:space="0" w:color="auto"/>
              <w:bottom w:val="single" w:sz="8" w:space="0" w:color="auto"/>
              <w:right w:val="single" w:sz="8" w:space="0" w:color="auto"/>
            </w:tcBorders>
            <w:shd w:val="clear" w:color="auto" w:fill="auto"/>
            <w:vAlign w:val="center"/>
            <w:hideMark/>
          </w:tcPr>
          <w:p w14:paraId="14753B2D"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Roome et al, 2021</w:t>
            </w:r>
          </w:p>
        </w:tc>
        <w:tc>
          <w:tcPr>
            <w:tcW w:w="1538" w:type="dxa"/>
            <w:tcBorders>
              <w:top w:val="nil"/>
              <w:left w:val="nil"/>
              <w:bottom w:val="single" w:sz="8" w:space="0" w:color="auto"/>
              <w:right w:val="single" w:sz="8" w:space="0" w:color="auto"/>
            </w:tcBorders>
            <w:shd w:val="clear" w:color="000000" w:fill="D0CECE"/>
            <w:vAlign w:val="center"/>
            <w:hideMark/>
          </w:tcPr>
          <w:p w14:paraId="706BE504"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54" w:type="dxa"/>
            <w:tcBorders>
              <w:top w:val="nil"/>
              <w:left w:val="nil"/>
              <w:bottom w:val="single" w:sz="8" w:space="0" w:color="auto"/>
              <w:right w:val="single" w:sz="8" w:space="0" w:color="auto"/>
            </w:tcBorders>
            <w:shd w:val="clear" w:color="000000" w:fill="D0CECE"/>
            <w:vAlign w:val="center"/>
            <w:hideMark/>
          </w:tcPr>
          <w:p w14:paraId="763DC914"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39" w:type="dxa"/>
            <w:tcBorders>
              <w:top w:val="nil"/>
              <w:left w:val="nil"/>
              <w:bottom w:val="single" w:sz="8" w:space="0" w:color="auto"/>
              <w:right w:val="single" w:sz="8" w:space="0" w:color="auto"/>
            </w:tcBorders>
            <w:shd w:val="clear" w:color="auto" w:fill="auto"/>
            <w:vAlign w:val="center"/>
            <w:hideMark/>
          </w:tcPr>
          <w:p w14:paraId="3B580392"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A summary of greener inhalers was distributed to all prescribers</w:t>
            </w:r>
          </w:p>
        </w:tc>
        <w:tc>
          <w:tcPr>
            <w:tcW w:w="1539" w:type="dxa"/>
            <w:tcBorders>
              <w:top w:val="nil"/>
              <w:left w:val="nil"/>
              <w:bottom w:val="single" w:sz="8" w:space="0" w:color="auto"/>
              <w:right w:val="single" w:sz="8" w:space="0" w:color="auto"/>
            </w:tcBorders>
            <w:shd w:val="clear" w:color="000000" w:fill="D0CECE"/>
            <w:vAlign w:val="center"/>
            <w:hideMark/>
          </w:tcPr>
          <w:p w14:paraId="3A8DC2E5"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39" w:type="dxa"/>
            <w:tcBorders>
              <w:top w:val="nil"/>
              <w:left w:val="nil"/>
              <w:bottom w:val="single" w:sz="8" w:space="0" w:color="auto"/>
              <w:right w:val="single" w:sz="8" w:space="0" w:color="auto"/>
            </w:tcBorders>
            <w:shd w:val="clear" w:color="000000" w:fill="D0CECE"/>
            <w:vAlign w:val="center"/>
            <w:hideMark/>
          </w:tcPr>
          <w:p w14:paraId="6B7A9046"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39" w:type="dxa"/>
            <w:tcBorders>
              <w:top w:val="nil"/>
              <w:left w:val="nil"/>
              <w:bottom w:val="single" w:sz="8" w:space="0" w:color="auto"/>
              <w:right w:val="single" w:sz="8" w:space="0" w:color="auto"/>
            </w:tcBorders>
            <w:shd w:val="clear" w:color="auto" w:fill="auto"/>
            <w:vAlign w:val="center"/>
            <w:hideMark/>
          </w:tcPr>
          <w:p w14:paraId="57FDB966"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Prompt appears when Ventolin in prescribed to recommend Salamol instead</w:t>
            </w:r>
          </w:p>
        </w:tc>
        <w:tc>
          <w:tcPr>
            <w:tcW w:w="1538" w:type="dxa"/>
            <w:tcBorders>
              <w:top w:val="nil"/>
              <w:left w:val="nil"/>
              <w:bottom w:val="single" w:sz="8" w:space="0" w:color="auto"/>
              <w:right w:val="single" w:sz="8" w:space="0" w:color="auto"/>
            </w:tcBorders>
            <w:shd w:val="clear" w:color="auto" w:fill="auto"/>
            <w:vAlign w:val="center"/>
            <w:hideMark/>
          </w:tcPr>
          <w:p w14:paraId="3BBE7484"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CCG made reducing theuse of high carbon inhalers a key prescribing priority</w:t>
            </w:r>
          </w:p>
        </w:tc>
        <w:tc>
          <w:tcPr>
            <w:tcW w:w="1538" w:type="dxa"/>
            <w:tcBorders>
              <w:top w:val="nil"/>
              <w:left w:val="nil"/>
              <w:bottom w:val="single" w:sz="8" w:space="0" w:color="auto"/>
              <w:right w:val="single" w:sz="8" w:space="0" w:color="auto"/>
            </w:tcBorders>
            <w:shd w:val="clear" w:color="000000" w:fill="D0CECE"/>
            <w:vAlign w:val="center"/>
            <w:hideMark/>
          </w:tcPr>
          <w:p w14:paraId="1488CC77"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38" w:type="dxa"/>
            <w:tcBorders>
              <w:top w:val="nil"/>
              <w:left w:val="nil"/>
              <w:bottom w:val="single" w:sz="8" w:space="0" w:color="auto"/>
              <w:right w:val="single" w:sz="8" w:space="0" w:color="auto"/>
            </w:tcBorders>
            <w:shd w:val="clear" w:color="000000" w:fill="D0CECE"/>
            <w:vAlign w:val="center"/>
            <w:hideMark/>
          </w:tcPr>
          <w:p w14:paraId="5F18A2E8"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r>
      <w:tr w:rsidR="00D151CC" w:rsidRPr="00D151CC" w14:paraId="43DD5D9F" w14:textId="77777777" w:rsidTr="004209DA">
        <w:trPr>
          <w:trHeight w:val="1395"/>
        </w:trPr>
        <w:tc>
          <w:tcPr>
            <w:tcW w:w="1198" w:type="dxa"/>
            <w:tcBorders>
              <w:top w:val="nil"/>
              <w:left w:val="single" w:sz="8" w:space="0" w:color="auto"/>
              <w:bottom w:val="single" w:sz="8" w:space="0" w:color="auto"/>
              <w:right w:val="single" w:sz="8" w:space="0" w:color="auto"/>
            </w:tcBorders>
            <w:shd w:val="clear" w:color="auto" w:fill="auto"/>
            <w:vAlign w:val="center"/>
            <w:hideMark/>
          </w:tcPr>
          <w:p w14:paraId="4738929C"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Wilson &amp; Clark, 2021</w:t>
            </w:r>
          </w:p>
        </w:tc>
        <w:tc>
          <w:tcPr>
            <w:tcW w:w="1538" w:type="dxa"/>
            <w:tcBorders>
              <w:top w:val="nil"/>
              <w:left w:val="nil"/>
              <w:bottom w:val="single" w:sz="8" w:space="0" w:color="auto"/>
              <w:right w:val="single" w:sz="8" w:space="0" w:color="auto"/>
            </w:tcBorders>
            <w:shd w:val="clear" w:color="000000" w:fill="D0CECE"/>
            <w:vAlign w:val="center"/>
            <w:hideMark/>
          </w:tcPr>
          <w:p w14:paraId="605D5644"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54" w:type="dxa"/>
            <w:tcBorders>
              <w:top w:val="nil"/>
              <w:left w:val="nil"/>
              <w:bottom w:val="single" w:sz="8" w:space="0" w:color="auto"/>
              <w:right w:val="single" w:sz="8" w:space="0" w:color="auto"/>
            </w:tcBorders>
            <w:shd w:val="clear" w:color="auto" w:fill="auto"/>
            <w:vAlign w:val="center"/>
            <w:hideMark/>
          </w:tcPr>
          <w:p w14:paraId="77C3689C"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Volatile anaesthetic agent usage was presented to the department</w:t>
            </w:r>
          </w:p>
        </w:tc>
        <w:tc>
          <w:tcPr>
            <w:tcW w:w="1539" w:type="dxa"/>
            <w:tcBorders>
              <w:top w:val="nil"/>
              <w:left w:val="nil"/>
              <w:bottom w:val="single" w:sz="8" w:space="0" w:color="auto"/>
              <w:right w:val="single" w:sz="8" w:space="0" w:color="auto"/>
            </w:tcBorders>
            <w:shd w:val="clear" w:color="000000" w:fill="D0CECE"/>
            <w:vAlign w:val="center"/>
            <w:hideMark/>
          </w:tcPr>
          <w:p w14:paraId="1E9116D2"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39" w:type="dxa"/>
            <w:tcBorders>
              <w:top w:val="nil"/>
              <w:left w:val="nil"/>
              <w:bottom w:val="single" w:sz="8" w:space="0" w:color="auto"/>
              <w:right w:val="single" w:sz="8" w:space="0" w:color="auto"/>
            </w:tcBorders>
            <w:shd w:val="clear" w:color="000000" w:fill="D0CECE"/>
            <w:vAlign w:val="center"/>
            <w:hideMark/>
          </w:tcPr>
          <w:p w14:paraId="3F252A5D"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39" w:type="dxa"/>
            <w:tcBorders>
              <w:top w:val="nil"/>
              <w:left w:val="nil"/>
              <w:bottom w:val="single" w:sz="8" w:space="0" w:color="auto"/>
              <w:right w:val="single" w:sz="8" w:space="0" w:color="auto"/>
            </w:tcBorders>
            <w:shd w:val="clear" w:color="000000" w:fill="D0CECE"/>
            <w:vAlign w:val="center"/>
            <w:hideMark/>
          </w:tcPr>
          <w:p w14:paraId="0FD714D8"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39" w:type="dxa"/>
            <w:tcBorders>
              <w:top w:val="nil"/>
              <w:left w:val="nil"/>
              <w:bottom w:val="single" w:sz="8" w:space="0" w:color="auto"/>
              <w:right w:val="single" w:sz="8" w:space="0" w:color="auto"/>
            </w:tcBorders>
            <w:shd w:val="clear" w:color="000000" w:fill="D0CECE"/>
            <w:vAlign w:val="center"/>
            <w:hideMark/>
          </w:tcPr>
          <w:p w14:paraId="49475AE4"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38" w:type="dxa"/>
            <w:tcBorders>
              <w:top w:val="nil"/>
              <w:left w:val="nil"/>
              <w:bottom w:val="single" w:sz="8" w:space="0" w:color="auto"/>
              <w:right w:val="single" w:sz="8" w:space="0" w:color="auto"/>
            </w:tcBorders>
            <w:shd w:val="clear" w:color="auto" w:fill="auto"/>
            <w:vAlign w:val="center"/>
            <w:hideMark/>
          </w:tcPr>
          <w:p w14:paraId="5176AE0D"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Initiative from the department</w:t>
            </w:r>
          </w:p>
        </w:tc>
        <w:tc>
          <w:tcPr>
            <w:tcW w:w="1538" w:type="dxa"/>
            <w:tcBorders>
              <w:top w:val="nil"/>
              <w:left w:val="nil"/>
              <w:bottom w:val="single" w:sz="8" w:space="0" w:color="auto"/>
              <w:right w:val="single" w:sz="8" w:space="0" w:color="auto"/>
            </w:tcBorders>
            <w:shd w:val="clear" w:color="000000" w:fill="D0CECE"/>
            <w:vAlign w:val="center"/>
            <w:hideMark/>
          </w:tcPr>
          <w:p w14:paraId="50FFFEAA"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c>
          <w:tcPr>
            <w:tcW w:w="1538" w:type="dxa"/>
            <w:tcBorders>
              <w:top w:val="nil"/>
              <w:left w:val="nil"/>
              <w:bottom w:val="single" w:sz="8" w:space="0" w:color="auto"/>
              <w:right w:val="single" w:sz="8" w:space="0" w:color="auto"/>
            </w:tcBorders>
            <w:shd w:val="clear" w:color="000000" w:fill="D0CECE"/>
            <w:vAlign w:val="center"/>
            <w:hideMark/>
          </w:tcPr>
          <w:p w14:paraId="07D9A6B7" w14:textId="77777777" w:rsidR="00D151CC" w:rsidRPr="00D151CC" w:rsidRDefault="00D151CC" w:rsidP="00D151CC">
            <w:pPr>
              <w:spacing w:after="0" w:line="240" w:lineRule="auto"/>
              <w:rPr>
                <w:rFonts w:ascii="Calibri" w:eastAsia="Times New Roman" w:hAnsi="Calibri" w:cs="Calibri"/>
                <w:color w:val="000000"/>
                <w:sz w:val="18"/>
                <w:szCs w:val="18"/>
                <w:lang w:eastAsia="en-AU"/>
              </w:rPr>
            </w:pPr>
            <w:r w:rsidRPr="00D151CC">
              <w:rPr>
                <w:rFonts w:ascii="Calibri" w:eastAsia="Times New Roman" w:hAnsi="Calibri" w:cs="Calibri"/>
                <w:color w:val="000000"/>
                <w:sz w:val="18"/>
                <w:szCs w:val="18"/>
                <w:lang w:eastAsia="en-AU"/>
              </w:rPr>
              <w:t> </w:t>
            </w:r>
          </w:p>
        </w:tc>
      </w:tr>
    </w:tbl>
    <w:p w14:paraId="657CE327" w14:textId="03232DA8" w:rsidR="00F94B40" w:rsidRPr="00C34505" w:rsidRDefault="00F94B40" w:rsidP="00D018F7">
      <w:pPr>
        <w:spacing w:line="252" w:lineRule="auto"/>
        <w:rPr>
          <w:rFonts w:cstheme="minorHAnsi"/>
        </w:rPr>
      </w:pPr>
    </w:p>
    <w:p w14:paraId="779B3B61" w14:textId="1941DEAC" w:rsidR="00F94B40" w:rsidRPr="00C34505" w:rsidRDefault="00F94B40" w:rsidP="00D018F7">
      <w:pPr>
        <w:spacing w:line="252" w:lineRule="auto"/>
        <w:rPr>
          <w:rFonts w:cstheme="minorHAnsi"/>
        </w:rPr>
      </w:pPr>
    </w:p>
    <w:p w14:paraId="05D15448" w14:textId="4F234110" w:rsidR="00D018F7" w:rsidRDefault="00D018F7" w:rsidP="00D018F7">
      <w:pPr>
        <w:spacing w:line="252" w:lineRule="auto"/>
        <w:rPr>
          <w:rFonts w:cstheme="minorHAnsi"/>
          <w:b/>
          <w:bCs/>
        </w:rPr>
      </w:pPr>
      <w:r w:rsidRPr="00C34505">
        <w:rPr>
          <w:rFonts w:cstheme="minorHAnsi"/>
          <w:b/>
          <w:bCs/>
        </w:rPr>
        <w:lastRenderedPageBreak/>
        <w:t>Appendix 4 – Risk of bias information</w:t>
      </w:r>
    </w:p>
    <w:p w14:paraId="1683F229" w14:textId="77777777" w:rsidR="00287152" w:rsidRDefault="00287152" w:rsidP="00D018F7">
      <w:pPr>
        <w:spacing w:line="252" w:lineRule="auto"/>
        <w:rPr>
          <w:rFonts w:cstheme="minorHAnsi"/>
          <w:b/>
          <w:bCs/>
        </w:rPr>
      </w:pPr>
    </w:p>
    <w:p w14:paraId="7DBF46A7" w14:textId="2902CB82" w:rsidR="00D151CC" w:rsidRDefault="00287152" w:rsidP="00D018F7">
      <w:pPr>
        <w:spacing w:line="252" w:lineRule="auto"/>
        <w:rPr>
          <w:rFonts w:cstheme="minorHAnsi"/>
          <w:b/>
          <w:bCs/>
        </w:rPr>
      </w:pPr>
      <w:r>
        <w:rPr>
          <w:noProof/>
          <w:lang w:val="en-US"/>
        </w:rPr>
        <w:drawing>
          <wp:inline distT="0" distB="0" distL="0" distR="0" wp14:anchorId="6B460261" wp14:editId="4986B038">
            <wp:extent cx="8229600" cy="5294630"/>
            <wp:effectExtent l="0" t="0" r="0" b="1270"/>
            <wp:docPr id="2" name="Picture 1" descr="Table&#10;&#10;Description automatically generated">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B38FFFF-EAC0-4CF3-A9C8-BD6427B71B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Table&#10;&#10;Description automatically generated">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B38FFFF-EAC0-4CF3-A9C8-BD6427B71BC3}"/>
                        </a:ext>
                      </a:extLst>
                    </pic:cNvPr>
                    <pic:cNvPicPr>
                      <a:picLocks noChangeAspect="1"/>
                    </pic:cNvPicPr>
                  </pic:nvPicPr>
                  <pic:blipFill rotWithShape="1">
                    <a:blip r:embed="rId9"/>
                    <a:srcRect l="1090" t="5786" r="1357" b="3563"/>
                    <a:stretch/>
                  </pic:blipFill>
                  <pic:spPr bwMode="auto">
                    <a:xfrm>
                      <a:off x="0" y="0"/>
                      <a:ext cx="8229600" cy="5294630"/>
                    </a:xfrm>
                    <a:prstGeom prst="rect">
                      <a:avLst/>
                    </a:prstGeom>
                    <a:ln>
                      <a:noFill/>
                    </a:ln>
                    <a:extLst>
                      <a:ext uri="{53640926-AAD7-44D8-BBD7-CCE9431645EC}">
                        <a14:shadowObscured xmlns:a14="http://schemas.microsoft.com/office/drawing/2010/main"/>
                      </a:ext>
                    </a:extLst>
                  </pic:spPr>
                </pic:pic>
              </a:graphicData>
            </a:graphic>
          </wp:inline>
        </w:drawing>
      </w:r>
    </w:p>
    <w:p w14:paraId="4A9AFEB6" w14:textId="4098FA3E" w:rsidR="00D018F7" w:rsidRDefault="00D018F7" w:rsidP="00D018F7">
      <w:pPr>
        <w:spacing w:line="252" w:lineRule="auto"/>
        <w:rPr>
          <w:rFonts w:cstheme="minorHAnsi"/>
          <w:b/>
          <w:bCs/>
        </w:rPr>
      </w:pPr>
      <w:r w:rsidRPr="00C34505">
        <w:rPr>
          <w:rFonts w:cstheme="minorHAnsi"/>
          <w:b/>
          <w:bCs/>
        </w:rPr>
        <w:lastRenderedPageBreak/>
        <w:t xml:space="preserve">Appendix 5 – Risk of bias </w:t>
      </w:r>
      <w:r w:rsidR="00C1010D">
        <w:rPr>
          <w:rFonts w:cstheme="minorHAnsi"/>
          <w:b/>
          <w:bCs/>
        </w:rPr>
        <w:t xml:space="preserve">- </w:t>
      </w:r>
      <w:r w:rsidRPr="00C34505">
        <w:rPr>
          <w:rFonts w:cstheme="minorHAnsi"/>
          <w:b/>
          <w:bCs/>
        </w:rPr>
        <w:t>more detailed table</w:t>
      </w:r>
    </w:p>
    <w:p w14:paraId="28E81CB1" w14:textId="6BA17FC6" w:rsidR="00D151CC" w:rsidRDefault="00D151CC" w:rsidP="00D018F7">
      <w:pPr>
        <w:spacing w:line="252" w:lineRule="auto"/>
        <w:rPr>
          <w:rFonts w:cstheme="minorHAnsi"/>
          <w:b/>
          <w:bCs/>
        </w:rPr>
      </w:pPr>
    </w:p>
    <w:tbl>
      <w:tblPr>
        <w:tblW w:w="15120" w:type="dxa"/>
        <w:tblInd w:w="-993" w:type="dxa"/>
        <w:tblLook w:val="04A0" w:firstRow="1" w:lastRow="0" w:firstColumn="1" w:lastColumn="0" w:noHBand="0" w:noVBand="1"/>
      </w:tblPr>
      <w:tblGrid>
        <w:gridCol w:w="761"/>
        <w:gridCol w:w="846"/>
        <w:gridCol w:w="867"/>
        <w:gridCol w:w="846"/>
        <w:gridCol w:w="944"/>
        <w:gridCol w:w="846"/>
        <w:gridCol w:w="947"/>
        <w:gridCol w:w="932"/>
        <w:gridCol w:w="946"/>
        <w:gridCol w:w="846"/>
        <w:gridCol w:w="1043"/>
        <w:gridCol w:w="846"/>
        <w:gridCol w:w="883"/>
        <w:gridCol w:w="846"/>
        <w:gridCol w:w="874"/>
        <w:gridCol w:w="846"/>
        <w:gridCol w:w="1001"/>
      </w:tblGrid>
      <w:tr w:rsidR="00C1010D" w:rsidRPr="00C1010D" w14:paraId="3F040979" w14:textId="77777777" w:rsidTr="005E6FCE">
        <w:trPr>
          <w:trHeight w:val="1081"/>
        </w:trPr>
        <w:tc>
          <w:tcPr>
            <w:tcW w:w="761" w:type="dxa"/>
            <w:tcBorders>
              <w:top w:val="nil"/>
              <w:left w:val="nil"/>
              <w:bottom w:val="nil"/>
              <w:right w:val="nil"/>
            </w:tcBorders>
            <w:shd w:val="clear" w:color="auto" w:fill="auto"/>
            <w:hideMark/>
          </w:tcPr>
          <w:p w14:paraId="7E1EAE1D" w14:textId="77777777" w:rsidR="00C1010D" w:rsidRPr="00C1010D" w:rsidRDefault="00C1010D" w:rsidP="00C1010D">
            <w:pPr>
              <w:spacing w:after="0" w:line="240" w:lineRule="auto"/>
              <w:rPr>
                <w:rFonts w:ascii="Times New Roman" w:eastAsia="Times New Roman" w:hAnsi="Times New Roman" w:cs="Times New Roman"/>
                <w:sz w:val="24"/>
                <w:szCs w:val="24"/>
                <w:lang w:eastAsia="en-AU"/>
              </w:rPr>
            </w:pPr>
          </w:p>
        </w:tc>
        <w:tc>
          <w:tcPr>
            <w:tcW w:w="1713" w:type="dxa"/>
            <w:gridSpan w:val="2"/>
            <w:tcBorders>
              <w:top w:val="single" w:sz="4" w:space="0" w:color="auto"/>
              <w:left w:val="single" w:sz="4" w:space="0" w:color="auto"/>
              <w:bottom w:val="single" w:sz="4" w:space="0" w:color="auto"/>
              <w:right w:val="single" w:sz="4" w:space="0" w:color="auto"/>
            </w:tcBorders>
            <w:shd w:val="clear" w:color="auto" w:fill="auto"/>
            <w:hideMark/>
          </w:tcPr>
          <w:p w14:paraId="7A0A8F69" w14:textId="77777777" w:rsidR="00C1010D" w:rsidRPr="00C1010D" w:rsidRDefault="00C1010D" w:rsidP="00C1010D">
            <w:pPr>
              <w:spacing w:after="0" w:line="240" w:lineRule="auto"/>
              <w:jc w:val="center"/>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Selection bias? - no selection bias means sample representative of sample planned to be studied</w:t>
            </w:r>
          </w:p>
        </w:tc>
        <w:tc>
          <w:tcPr>
            <w:tcW w:w="1790" w:type="dxa"/>
            <w:gridSpan w:val="2"/>
            <w:tcBorders>
              <w:top w:val="single" w:sz="4" w:space="0" w:color="auto"/>
              <w:left w:val="nil"/>
              <w:bottom w:val="single" w:sz="4" w:space="0" w:color="auto"/>
              <w:right w:val="single" w:sz="4" w:space="0" w:color="auto"/>
            </w:tcBorders>
            <w:shd w:val="clear" w:color="auto" w:fill="auto"/>
            <w:hideMark/>
          </w:tcPr>
          <w:p w14:paraId="022CA4B6" w14:textId="77777777" w:rsidR="00C1010D" w:rsidRPr="00C1010D" w:rsidRDefault="00C1010D" w:rsidP="00C1010D">
            <w:pPr>
              <w:spacing w:after="0" w:line="240" w:lineRule="auto"/>
              <w:jc w:val="center"/>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Attrition bias? (yes/no/unclear)</w:t>
            </w:r>
          </w:p>
        </w:tc>
        <w:tc>
          <w:tcPr>
            <w:tcW w:w="1793" w:type="dxa"/>
            <w:gridSpan w:val="2"/>
            <w:tcBorders>
              <w:top w:val="single" w:sz="4" w:space="0" w:color="auto"/>
              <w:left w:val="nil"/>
              <w:bottom w:val="single" w:sz="4" w:space="0" w:color="auto"/>
              <w:right w:val="single" w:sz="4" w:space="0" w:color="auto"/>
            </w:tcBorders>
            <w:shd w:val="clear" w:color="auto" w:fill="auto"/>
            <w:hideMark/>
          </w:tcPr>
          <w:p w14:paraId="05B78D72" w14:textId="77777777" w:rsidR="00C1010D" w:rsidRPr="00C1010D" w:rsidRDefault="00C1010D" w:rsidP="00C1010D">
            <w:pPr>
              <w:spacing w:after="0" w:line="240" w:lineRule="auto"/>
              <w:jc w:val="center"/>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Detection bias? (yes/no/unclear)</w:t>
            </w:r>
          </w:p>
        </w:tc>
        <w:tc>
          <w:tcPr>
            <w:tcW w:w="1878" w:type="dxa"/>
            <w:gridSpan w:val="2"/>
            <w:tcBorders>
              <w:top w:val="single" w:sz="4" w:space="0" w:color="auto"/>
              <w:left w:val="nil"/>
              <w:bottom w:val="single" w:sz="4" w:space="0" w:color="auto"/>
              <w:right w:val="single" w:sz="4" w:space="0" w:color="auto"/>
            </w:tcBorders>
            <w:shd w:val="clear" w:color="auto" w:fill="auto"/>
            <w:hideMark/>
          </w:tcPr>
          <w:p w14:paraId="6DBA1226" w14:textId="77777777" w:rsidR="00C1010D" w:rsidRPr="00C1010D" w:rsidRDefault="00C1010D" w:rsidP="00C1010D">
            <w:pPr>
              <w:spacing w:after="0" w:line="240" w:lineRule="auto"/>
              <w:jc w:val="center"/>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Confounding? - is there likely to be confounding (potential for bias: yes/no/unclear)</w:t>
            </w:r>
          </w:p>
        </w:tc>
        <w:tc>
          <w:tcPr>
            <w:tcW w:w="1889" w:type="dxa"/>
            <w:gridSpan w:val="2"/>
            <w:tcBorders>
              <w:top w:val="single" w:sz="4" w:space="0" w:color="auto"/>
              <w:left w:val="nil"/>
              <w:bottom w:val="single" w:sz="4" w:space="0" w:color="auto"/>
              <w:right w:val="single" w:sz="4" w:space="0" w:color="auto"/>
            </w:tcBorders>
            <w:shd w:val="clear" w:color="auto" w:fill="auto"/>
            <w:hideMark/>
          </w:tcPr>
          <w:p w14:paraId="1657346F" w14:textId="77777777" w:rsidR="00C1010D" w:rsidRPr="00C1010D" w:rsidRDefault="00C1010D" w:rsidP="00C1010D">
            <w:pPr>
              <w:spacing w:after="0" w:line="240" w:lineRule="auto"/>
              <w:jc w:val="center"/>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Is the study group likely to be generalisable? (potential for bias yes/no/unclear)</w:t>
            </w:r>
          </w:p>
        </w:tc>
        <w:tc>
          <w:tcPr>
            <w:tcW w:w="1729" w:type="dxa"/>
            <w:gridSpan w:val="2"/>
            <w:tcBorders>
              <w:top w:val="single" w:sz="4" w:space="0" w:color="auto"/>
              <w:left w:val="nil"/>
              <w:bottom w:val="single" w:sz="4" w:space="0" w:color="auto"/>
              <w:right w:val="single" w:sz="4" w:space="0" w:color="auto"/>
            </w:tcBorders>
            <w:shd w:val="clear" w:color="auto" w:fill="auto"/>
            <w:hideMark/>
          </w:tcPr>
          <w:p w14:paraId="2A833B9A" w14:textId="77777777" w:rsidR="00C1010D" w:rsidRPr="00C1010D" w:rsidRDefault="00C1010D" w:rsidP="00C1010D">
            <w:pPr>
              <w:spacing w:after="0" w:line="240" w:lineRule="auto"/>
              <w:jc w:val="center"/>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Was the duration of follow-up adequate/appropriate for the question? (potential for bias yes/no/unclear)</w:t>
            </w:r>
          </w:p>
        </w:tc>
        <w:tc>
          <w:tcPr>
            <w:tcW w:w="1720" w:type="dxa"/>
            <w:gridSpan w:val="2"/>
            <w:tcBorders>
              <w:top w:val="single" w:sz="4" w:space="0" w:color="auto"/>
              <w:left w:val="nil"/>
              <w:bottom w:val="single" w:sz="4" w:space="0" w:color="auto"/>
              <w:right w:val="single" w:sz="4" w:space="0" w:color="auto"/>
            </w:tcBorders>
            <w:shd w:val="clear" w:color="auto" w:fill="auto"/>
            <w:hideMark/>
          </w:tcPr>
          <w:p w14:paraId="07923C0B" w14:textId="77777777" w:rsidR="00C1010D" w:rsidRPr="00C1010D" w:rsidRDefault="00C1010D" w:rsidP="00C1010D">
            <w:pPr>
              <w:spacing w:after="0" w:line="240" w:lineRule="auto"/>
              <w:jc w:val="center"/>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Was the outcome well defined and appropriate (potential for bias: yes/no/unclear) Minimal environmental important difference (MEID)?</w:t>
            </w:r>
          </w:p>
        </w:tc>
        <w:tc>
          <w:tcPr>
            <w:tcW w:w="1847" w:type="dxa"/>
            <w:gridSpan w:val="2"/>
            <w:tcBorders>
              <w:top w:val="single" w:sz="4" w:space="0" w:color="auto"/>
              <w:left w:val="nil"/>
              <w:bottom w:val="single" w:sz="4" w:space="0" w:color="auto"/>
              <w:right w:val="single" w:sz="4" w:space="0" w:color="auto"/>
            </w:tcBorders>
            <w:shd w:val="clear" w:color="auto" w:fill="auto"/>
            <w:hideMark/>
          </w:tcPr>
          <w:p w14:paraId="10163536" w14:textId="77777777" w:rsidR="00C1010D" w:rsidRPr="00C1010D" w:rsidRDefault="00C1010D" w:rsidP="00C1010D">
            <w:pPr>
              <w:spacing w:after="0" w:line="240" w:lineRule="auto"/>
              <w:jc w:val="center"/>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Are the analyses appropriate (potential for bias: yes/no/unclear)</w:t>
            </w:r>
          </w:p>
        </w:tc>
      </w:tr>
      <w:tr w:rsidR="00C1010D" w:rsidRPr="00C1010D" w14:paraId="73EAF61D" w14:textId="77777777" w:rsidTr="00C1010D">
        <w:trPr>
          <w:trHeight w:val="225"/>
        </w:trPr>
        <w:tc>
          <w:tcPr>
            <w:tcW w:w="761" w:type="dxa"/>
            <w:tcBorders>
              <w:top w:val="single" w:sz="4" w:space="0" w:color="auto"/>
              <w:left w:val="single" w:sz="4" w:space="0" w:color="auto"/>
              <w:bottom w:val="single" w:sz="4" w:space="0" w:color="auto"/>
              <w:right w:val="single" w:sz="4" w:space="0" w:color="auto"/>
            </w:tcBorders>
            <w:shd w:val="clear" w:color="auto" w:fill="auto"/>
            <w:hideMark/>
          </w:tcPr>
          <w:p w14:paraId="18EC2AEB"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 </w:t>
            </w:r>
          </w:p>
        </w:tc>
        <w:tc>
          <w:tcPr>
            <w:tcW w:w="846" w:type="dxa"/>
            <w:tcBorders>
              <w:top w:val="nil"/>
              <w:left w:val="nil"/>
              <w:bottom w:val="single" w:sz="4" w:space="0" w:color="auto"/>
              <w:right w:val="single" w:sz="4" w:space="0" w:color="auto"/>
            </w:tcBorders>
            <w:shd w:val="clear" w:color="auto" w:fill="auto"/>
            <w:hideMark/>
          </w:tcPr>
          <w:p w14:paraId="3737498C"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Judgement</w:t>
            </w:r>
          </w:p>
        </w:tc>
        <w:tc>
          <w:tcPr>
            <w:tcW w:w="867" w:type="dxa"/>
            <w:tcBorders>
              <w:top w:val="nil"/>
              <w:left w:val="nil"/>
              <w:bottom w:val="single" w:sz="4" w:space="0" w:color="auto"/>
              <w:right w:val="single" w:sz="4" w:space="0" w:color="auto"/>
            </w:tcBorders>
            <w:shd w:val="clear" w:color="auto" w:fill="auto"/>
            <w:hideMark/>
          </w:tcPr>
          <w:p w14:paraId="5F0D40F8"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Rationale</w:t>
            </w:r>
          </w:p>
        </w:tc>
        <w:tc>
          <w:tcPr>
            <w:tcW w:w="846" w:type="dxa"/>
            <w:tcBorders>
              <w:top w:val="nil"/>
              <w:left w:val="nil"/>
              <w:bottom w:val="single" w:sz="4" w:space="0" w:color="auto"/>
              <w:right w:val="single" w:sz="4" w:space="0" w:color="auto"/>
            </w:tcBorders>
            <w:shd w:val="clear" w:color="auto" w:fill="auto"/>
            <w:hideMark/>
          </w:tcPr>
          <w:p w14:paraId="1A826461"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Judgement</w:t>
            </w:r>
          </w:p>
        </w:tc>
        <w:tc>
          <w:tcPr>
            <w:tcW w:w="944" w:type="dxa"/>
            <w:tcBorders>
              <w:top w:val="nil"/>
              <w:left w:val="nil"/>
              <w:bottom w:val="single" w:sz="4" w:space="0" w:color="auto"/>
              <w:right w:val="single" w:sz="4" w:space="0" w:color="auto"/>
            </w:tcBorders>
            <w:shd w:val="clear" w:color="auto" w:fill="auto"/>
            <w:hideMark/>
          </w:tcPr>
          <w:p w14:paraId="1751A180"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Rationale</w:t>
            </w:r>
          </w:p>
        </w:tc>
        <w:tc>
          <w:tcPr>
            <w:tcW w:w="846" w:type="dxa"/>
            <w:tcBorders>
              <w:top w:val="nil"/>
              <w:left w:val="nil"/>
              <w:bottom w:val="single" w:sz="4" w:space="0" w:color="auto"/>
              <w:right w:val="single" w:sz="4" w:space="0" w:color="auto"/>
            </w:tcBorders>
            <w:shd w:val="clear" w:color="auto" w:fill="auto"/>
            <w:hideMark/>
          </w:tcPr>
          <w:p w14:paraId="31AD712F"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Judgement</w:t>
            </w:r>
          </w:p>
        </w:tc>
        <w:tc>
          <w:tcPr>
            <w:tcW w:w="947" w:type="dxa"/>
            <w:tcBorders>
              <w:top w:val="nil"/>
              <w:left w:val="nil"/>
              <w:bottom w:val="single" w:sz="4" w:space="0" w:color="auto"/>
              <w:right w:val="single" w:sz="4" w:space="0" w:color="auto"/>
            </w:tcBorders>
            <w:shd w:val="clear" w:color="auto" w:fill="auto"/>
            <w:hideMark/>
          </w:tcPr>
          <w:p w14:paraId="65DBEF10"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Rationale</w:t>
            </w:r>
          </w:p>
        </w:tc>
        <w:tc>
          <w:tcPr>
            <w:tcW w:w="932" w:type="dxa"/>
            <w:tcBorders>
              <w:top w:val="nil"/>
              <w:left w:val="nil"/>
              <w:bottom w:val="single" w:sz="4" w:space="0" w:color="auto"/>
              <w:right w:val="single" w:sz="4" w:space="0" w:color="auto"/>
            </w:tcBorders>
            <w:shd w:val="clear" w:color="auto" w:fill="auto"/>
            <w:hideMark/>
          </w:tcPr>
          <w:p w14:paraId="416F3498"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Judgement</w:t>
            </w:r>
          </w:p>
        </w:tc>
        <w:tc>
          <w:tcPr>
            <w:tcW w:w="946" w:type="dxa"/>
            <w:tcBorders>
              <w:top w:val="nil"/>
              <w:left w:val="nil"/>
              <w:bottom w:val="single" w:sz="4" w:space="0" w:color="auto"/>
              <w:right w:val="single" w:sz="4" w:space="0" w:color="auto"/>
            </w:tcBorders>
            <w:shd w:val="clear" w:color="auto" w:fill="auto"/>
            <w:hideMark/>
          </w:tcPr>
          <w:p w14:paraId="624187C1"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Rationale</w:t>
            </w:r>
          </w:p>
        </w:tc>
        <w:tc>
          <w:tcPr>
            <w:tcW w:w="846" w:type="dxa"/>
            <w:tcBorders>
              <w:top w:val="nil"/>
              <w:left w:val="nil"/>
              <w:bottom w:val="single" w:sz="4" w:space="0" w:color="auto"/>
              <w:right w:val="single" w:sz="4" w:space="0" w:color="auto"/>
            </w:tcBorders>
            <w:shd w:val="clear" w:color="auto" w:fill="auto"/>
            <w:hideMark/>
          </w:tcPr>
          <w:p w14:paraId="0701DD78"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Judgement</w:t>
            </w:r>
          </w:p>
        </w:tc>
        <w:tc>
          <w:tcPr>
            <w:tcW w:w="1043" w:type="dxa"/>
            <w:tcBorders>
              <w:top w:val="nil"/>
              <w:left w:val="nil"/>
              <w:bottom w:val="single" w:sz="4" w:space="0" w:color="auto"/>
              <w:right w:val="single" w:sz="4" w:space="0" w:color="auto"/>
            </w:tcBorders>
            <w:shd w:val="clear" w:color="auto" w:fill="auto"/>
            <w:hideMark/>
          </w:tcPr>
          <w:p w14:paraId="6D99FCB6"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Rationale</w:t>
            </w:r>
          </w:p>
        </w:tc>
        <w:tc>
          <w:tcPr>
            <w:tcW w:w="846" w:type="dxa"/>
            <w:tcBorders>
              <w:top w:val="nil"/>
              <w:left w:val="nil"/>
              <w:bottom w:val="single" w:sz="4" w:space="0" w:color="auto"/>
              <w:right w:val="single" w:sz="4" w:space="0" w:color="auto"/>
            </w:tcBorders>
            <w:shd w:val="clear" w:color="auto" w:fill="auto"/>
            <w:hideMark/>
          </w:tcPr>
          <w:p w14:paraId="4780D431"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Judgement</w:t>
            </w:r>
          </w:p>
        </w:tc>
        <w:tc>
          <w:tcPr>
            <w:tcW w:w="883" w:type="dxa"/>
            <w:tcBorders>
              <w:top w:val="nil"/>
              <w:left w:val="nil"/>
              <w:bottom w:val="single" w:sz="4" w:space="0" w:color="auto"/>
              <w:right w:val="single" w:sz="4" w:space="0" w:color="auto"/>
            </w:tcBorders>
            <w:shd w:val="clear" w:color="auto" w:fill="auto"/>
            <w:hideMark/>
          </w:tcPr>
          <w:p w14:paraId="3459423B"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Rationale</w:t>
            </w:r>
          </w:p>
        </w:tc>
        <w:tc>
          <w:tcPr>
            <w:tcW w:w="846" w:type="dxa"/>
            <w:tcBorders>
              <w:top w:val="nil"/>
              <w:left w:val="nil"/>
              <w:bottom w:val="single" w:sz="4" w:space="0" w:color="auto"/>
              <w:right w:val="single" w:sz="4" w:space="0" w:color="auto"/>
            </w:tcBorders>
            <w:shd w:val="clear" w:color="auto" w:fill="auto"/>
            <w:hideMark/>
          </w:tcPr>
          <w:p w14:paraId="5F4E9086"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Judgement</w:t>
            </w:r>
          </w:p>
        </w:tc>
        <w:tc>
          <w:tcPr>
            <w:tcW w:w="874" w:type="dxa"/>
            <w:tcBorders>
              <w:top w:val="nil"/>
              <w:left w:val="nil"/>
              <w:bottom w:val="single" w:sz="4" w:space="0" w:color="auto"/>
              <w:right w:val="single" w:sz="4" w:space="0" w:color="auto"/>
            </w:tcBorders>
            <w:shd w:val="clear" w:color="auto" w:fill="auto"/>
            <w:hideMark/>
          </w:tcPr>
          <w:p w14:paraId="640B3C45"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Rationale</w:t>
            </w:r>
          </w:p>
        </w:tc>
        <w:tc>
          <w:tcPr>
            <w:tcW w:w="846" w:type="dxa"/>
            <w:tcBorders>
              <w:top w:val="nil"/>
              <w:left w:val="nil"/>
              <w:bottom w:val="single" w:sz="4" w:space="0" w:color="auto"/>
              <w:right w:val="single" w:sz="4" w:space="0" w:color="auto"/>
            </w:tcBorders>
            <w:shd w:val="clear" w:color="auto" w:fill="auto"/>
            <w:hideMark/>
          </w:tcPr>
          <w:p w14:paraId="1E1409DF"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Judgement</w:t>
            </w:r>
          </w:p>
        </w:tc>
        <w:tc>
          <w:tcPr>
            <w:tcW w:w="1001" w:type="dxa"/>
            <w:tcBorders>
              <w:top w:val="nil"/>
              <w:left w:val="nil"/>
              <w:bottom w:val="single" w:sz="4" w:space="0" w:color="auto"/>
              <w:right w:val="single" w:sz="4" w:space="0" w:color="auto"/>
            </w:tcBorders>
            <w:shd w:val="clear" w:color="auto" w:fill="auto"/>
            <w:hideMark/>
          </w:tcPr>
          <w:p w14:paraId="01CB6B95"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Rationale</w:t>
            </w:r>
          </w:p>
        </w:tc>
      </w:tr>
      <w:tr w:rsidR="00C1010D" w:rsidRPr="00C1010D" w14:paraId="05859631" w14:textId="77777777" w:rsidTr="005E6FCE">
        <w:trPr>
          <w:trHeight w:val="1170"/>
        </w:trPr>
        <w:tc>
          <w:tcPr>
            <w:tcW w:w="761" w:type="dxa"/>
            <w:tcBorders>
              <w:top w:val="nil"/>
              <w:left w:val="single" w:sz="4" w:space="0" w:color="auto"/>
              <w:bottom w:val="single" w:sz="4" w:space="0" w:color="auto"/>
              <w:right w:val="single" w:sz="4" w:space="0" w:color="auto"/>
            </w:tcBorders>
            <w:shd w:val="clear" w:color="auto" w:fill="auto"/>
            <w:hideMark/>
          </w:tcPr>
          <w:p w14:paraId="17F09F37"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Epstein et al., 2016</w:t>
            </w:r>
          </w:p>
        </w:tc>
        <w:tc>
          <w:tcPr>
            <w:tcW w:w="846" w:type="dxa"/>
            <w:tcBorders>
              <w:top w:val="nil"/>
              <w:left w:val="nil"/>
              <w:bottom w:val="single" w:sz="4" w:space="0" w:color="auto"/>
              <w:right w:val="single" w:sz="4" w:space="0" w:color="auto"/>
            </w:tcBorders>
            <w:shd w:val="clear" w:color="auto" w:fill="auto"/>
            <w:hideMark/>
          </w:tcPr>
          <w:p w14:paraId="0518C1F2"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No</w:t>
            </w:r>
          </w:p>
        </w:tc>
        <w:tc>
          <w:tcPr>
            <w:tcW w:w="867" w:type="dxa"/>
            <w:tcBorders>
              <w:top w:val="nil"/>
              <w:left w:val="nil"/>
              <w:bottom w:val="single" w:sz="4" w:space="0" w:color="auto"/>
              <w:right w:val="single" w:sz="4" w:space="0" w:color="auto"/>
            </w:tcBorders>
            <w:shd w:val="clear" w:color="auto" w:fill="auto"/>
            <w:hideMark/>
          </w:tcPr>
          <w:p w14:paraId="21D526E6" w14:textId="0186980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Study group has all eligible individuals</w:t>
            </w:r>
          </w:p>
        </w:tc>
        <w:tc>
          <w:tcPr>
            <w:tcW w:w="846" w:type="dxa"/>
            <w:tcBorders>
              <w:top w:val="nil"/>
              <w:left w:val="nil"/>
              <w:bottom w:val="single" w:sz="4" w:space="0" w:color="auto"/>
              <w:right w:val="single" w:sz="4" w:space="0" w:color="auto"/>
            </w:tcBorders>
            <w:shd w:val="clear" w:color="auto" w:fill="auto"/>
            <w:hideMark/>
          </w:tcPr>
          <w:p w14:paraId="0942120F"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No</w:t>
            </w:r>
          </w:p>
        </w:tc>
        <w:tc>
          <w:tcPr>
            <w:tcW w:w="944" w:type="dxa"/>
            <w:tcBorders>
              <w:top w:val="nil"/>
              <w:left w:val="nil"/>
              <w:bottom w:val="single" w:sz="4" w:space="0" w:color="auto"/>
              <w:right w:val="single" w:sz="4" w:space="0" w:color="auto"/>
            </w:tcBorders>
            <w:shd w:val="clear" w:color="auto" w:fill="auto"/>
            <w:hideMark/>
          </w:tcPr>
          <w:p w14:paraId="46BB8E62"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Outcomes assessed for whole department</w:t>
            </w:r>
          </w:p>
        </w:tc>
        <w:tc>
          <w:tcPr>
            <w:tcW w:w="846" w:type="dxa"/>
            <w:tcBorders>
              <w:top w:val="nil"/>
              <w:left w:val="nil"/>
              <w:bottom w:val="single" w:sz="4" w:space="0" w:color="auto"/>
              <w:right w:val="single" w:sz="4" w:space="0" w:color="auto"/>
            </w:tcBorders>
            <w:shd w:val="clear" w:color="auto" w:fill="auto"/>
            <w:hideMark/>
          </w:tcPr>
          <w:p w14:paraId="245223A3"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Yes</w:t>
            </w:r>
          </w:p>
        </w:tc>
        <w:tc>
          <w:tcPr>
            <w:tcW w:w="947" w:type="dxa"/>
            <w:tcBorders>
              <w:top w:val="nil"/>
              <w:left w:val="nil"/>
              <w:bottom w:val="single" w:sz="4" w:space="0" w:color="auto"/>
              <w:right w:val="single" w:sz="4" w:space="0" w:color="auto"/>
            </w:tcBorders>
            <w:shd w:val="clear" w:color="auto" w:fill="auto"/>
            <w:hideMark/>
          </w:tcPr>
          <w:p w14:paraId="7E2DFC7A"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Assessors involved in intervention</w:t>
            </w:r>
          </w:p>
        </w:tc>
        <w:tc>
          <w:tcPr>
            <w:tcW w:w="932" w:type="dxa"/>
            <w:tcBorders>
              <w:top w:val="nil"/>
              <w:left w:val="nil"/>
              <w:bottom w:val="single" w:sz="4" w:space="0" w:color="auto"/>
              <w:right w:val="single" w:sz="4" w:space="0" w:color="auto"/>
            </w:tcBorders>
            <w:shd w:val="clear" w:color="auto" w:fill="auto"/>
            <w:hideMark/>
          </w:tcPr>
          <w:p w14:paraId="453BD379"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Unclear</w:t>
            </w:r>
          </w:p>
        </w:tc>
        <w:tc>
          <w:tcPr>
            <w:tcW w:w="946" w:type="dxa"/>
            <w:tcBorders>
              <w:top w:val="nil"/>
              <w:left w:val="nil"/>
              <w:bottom w:val="single" w:sz="4" w:space="0" w:color="auto"/>
              <w:right w:val="single" w:sz="4" w:space="0" w:color="auto"/>
            </w:tcBorders>
            <w:shd w:val="clear" w:color="auto" w:fill="auto"/>
            <w:hideMark/>
          </w:tcPr>
          <w:p w14:paraId="232CAC3D"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Aimed to capture confounding variables but did not</w:t>
            </w:r>
          </w:p>
        </w:tc>
        <w:tc>
          <w:tcPr>
            <w:tcW w:w="846" w:type="dxa"/>
            <w:tcBorders>
              <w:top w:val="nil"/>
              <w:left w:val="nil"/>
              <w:bottom w:val="single" w:sz="4" w:space="0" w:color="auto"/>
              <w:right w:val="single" w:sz="4" w:space="0" w:color="auto"/>
            </w:tcBorders>
            <w:shd w:val="clear" w:color="auto" w:fill="auto"/>
            <w:hideMark/>
          </w:tcPr>
          <w:p w14:paraId="03D86D7D"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Unclear</w:t>
            </w:r>
          </w:p>
        </w:tc>
        <w:tc>
          <w:tcPr>
            <w:tcW w:w="1043" w:type="dxa"/>
            <w:tcBorders>
              <w:top w:val="nil"/>
              <w:left w:val="nil"/>
              <w:bottom w:val="single" w:sz="4" w:space="0" w:color="auto"/>
              <w:right w:val="single" w:sz="4" w:space="0" w:color="auto"/>
            </w:tcBorders>
            <w:shd w:val="clear" w:color="auto" w:fill="auto"/>
            <w:hideMark/>
          </w:tcPr>
          <w:p w14:paraId="20ED1945"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Did not define number of people in department (in intervention)</w:t>
            </w:r>
          </w:p>
        </w:tc>
        <w:tc>
          <w:tcPr>
            <w:tcW w:w="846" w:type="dxa"/>
            <w:tcBorders>
              <w:top w:val="nil"/>
              <w:left w:val="nil"/>
              <w:bottom w:val="single" w:sz="4" w:space="0" w:color="auto"/>
              <w:right w:val="single" w:sz="4" w:space="0" w:color="auto"/>
            </w:tcBorders>
            <w:shd w:val="clear" w:color="auto" w:fill="auto"/>
            <w:hideMark/>
          </w:tcPr>
          <w:p w14:paraId="42EF4322"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No</w:t>
            </w:r>
          </w:p>
        </w:tc>
        <w:tc>
          <w:tcPr>
            <w:tcW w:w="883" w:type="dxa"/>
            <w:tcBorders>
              <w:top w:val="nil"/>
              <w:left w:val="nil"/>
              <w:bottom w:val="single" w:sz="4" w:space="0" w:color="auto"/>
              <w:right w:val="single" w:sz="4" w:space="0" w:color="auto"/>
            </w:tcBorders>
            <w:shd w:val="clear" w:color="auto" w:fill="auto"/>
            <w:hideMark/>
          </w:tcPr>
          <w:p w14:paraId="6FEF4BBC"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Defined follow up adequately</w:t>
            </w:r>
          </w:p>
        </w:tc>
        <w:tc>
          <w:tcPr>
            <w:tcW w:w="846" w:type="dxa"/>
            <w:tcBorders>
              <w:top w:val="nil"/>
              <w:left w:val="nil"/>
              <w:bottom w:val="single" w:sz="4" w:space="0" w:color="auto"/>
              <w:right w:val="single" w:sz="4" w:space="0" w:color="auto"/>
            </w:tcBorders>
            <w:shd w:val="clear" w:color="auto" w:fill="auto"/>
            <w:hideMark/>
          </w:tcPr>
          <w:p w14:paraId="4A396A13"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No</w:t>
            </w:r>
          </w:p>
        </w:tc>
        <w:tc>
          <w:tcPr>
            <w:tcW w:w="874" w:type="dxa"/>
            <w:tcBorders>
              <w:top w:val="nil"/>
              <w:left w:val="nil"/>
              <w:bottom w:val="single" w:sz="4" w:space="0" w:color="auto"/>
              <w:right w:val="single" w:sz="4" w:space="0" w:color="auto"/>
            </w:tcBorders>
            <w:shd w:val="clear" w:color="auto" w:fill="auto"/>
            <w:hideMark/>
          </w:tcPr>
          <w:p w14:paraId="17A741A2"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Defined outcome adequately</w:t>
            </w:r>
          </w:p>
        </w:tc>
        <w:tc>
          <w:tcPr>
            <w:tcW w:w="846" w:type="dxa"/>
            <w:tcBorders>
              <w:top w:val="nil"/>
              <w:left w:val="nil"/>
              <w:bottom w:val="single" w:sz="4" w:space="0" w:color="auto"/>
              <w:right w:val="single" w:sz="4" w:space="0" w:color="auto"/>
            </w:tcBorders>
            <w:shd w:val="clear" w:color="auto" w:fill="auto"/>
            <w:hideMark/>
          </w:tcPr>
          <w:p w14:paraId="068D9874"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No</w:t>
            </w:r>
          </w:p>
        </w:tc>
        <w:tc>
          <w:tcPr>
            <w:tcW w:w="1001" w:type="dxa"/>
            <w:tcBorders>
              <w:top w:val="nil"/>
              <w:left w:val="nil"/>
              <w:bottom w:val="single" w:sz="4" w:space="0" w:color="auto"/>
              <w:right w:val="single" w:sz="4" w:space="0" w:color="auto"/>
            </w:tcBorders>
            <w:shd w:val="clear" w:color="auto" w:fill="auto"/>
            <w:hideMark/>
          </w:tcPr>
          <w:p w14:paraId="011E6140"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 xml:space="preserve">Defined method of analysis and quantified effect of intervention </w:t>
            </w:r>
          </w:p>
        </w:tc>
      </w:tr>
      <w:tr w:rsidR="00C1010D" w:rsidRPr="00C1010D" w14:paraId="54EFF66A" w14:textId="77777777" w:rsidTr="005E6FCE">
        <w:trPr>
          <w:trHeight w:val="1128"/>
        </w:trPr>
        <w:tc>
          <w:tcPr>
            <w:tcW w:w="761" w:type="dxa"/>
            <w:tcBorders>
              <w:top w:val="nil"/>
              <w:left w:val="single" w:sz="4" w:space="0" w:color="auto"/>
              <w:bottom w:val="single" w:sz="4" w:space="0" w:color="auto"/>
              <w:right w:val="single" w:sz="4" w:space="0" w:color="auto"/>
            </w:tcBorders>
            <w:shd w:val="clear" w:color="auto" w:fill="auto"/>
            <w:hideMark/>
          </w:tcPr>
          <w:p w14:paraId="70DF8348"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Regan et al., 2018</w:t>
            </w:r>
          </w:p>
        </w:tc>
        <w:tc>
          <w:tcPr>
            <w:tcW w:w="846" w:type="dxa"/>
            <w:tcBorders>
              <w:top w:val="nil"/>
              <w:left w:val="nil"/>
              <w:bottom w:val="single" w:sz="4" w:space="0" w:color="auto"/>
              <w:right w:val="single" w:sz="4" w:space="0" w:color="auto"/>
            </w:tcBorders>
            <w:shd w:val="clear" w:color="auto" w:fill="auto"/>
            <w:hideMark/>
          </w:tcPr>
          <w:p w14:paraId="49BC504F"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No</w:t>
            </w:r>
          </w:p>
        </w:tc>
        <w:tc>
          <w:tcPr>
            <w:tcW w:w="867" w:type="dxa"/>
            <w:tcBorders>
              <w:top w:val="nil"/>
              <w:left w:val="nil"/>
              <w:bottom w:val="single" w:sz="4" w:space="0" w:color="auto"/>
              <w:right w:val="single" w:sz="4" w:space="0" w:color="auto"/>
            </w:tcBorders>
            <w:shd w:val="clear" w:color="auto" w:fill="auto"/>
            <w:hideMark/>
          </w:tcPr>
          <w:p w14:paraId="5861B78C" w14:textId="3D1C4B6E"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Study group has all eligible individuals</w:t>
            </w:r>
          </w:p>
        </w:tc>
        <w:tc>
          <w:tcPr>
            <w:tcW w:w="846" w:type="dxa"/>
            <w:tcBorders>
              <w:top w:val="nil"/>
              <w:left w:val="nil"/>
              <w:bottom w:val="single" w:sz="4" w:space="0" w:color="auto"/>
              <w:right w:val="single" w:sz="4" w:space="0" w:color="auto"/>
            </w:tcBorders>
            <w:shd w:val="clear" w:color="auto" w:fill="auto"/>
            <w:hideMark/>
          </w:tcPr>
          <w:p w14:paraId="37CB4F53"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No</w:t>
            </w:r>
          </w:p>
        </w:tc>
        <w:tc>
          <w:tcPr>
            <w:tcW w:w="944" w:type="dxa"/>
            <w:tcBorders>
              <w:top w:val="nil"/>
              <w:left w:val="nil"/>
              <w:bottom w:val="single" w:sz="4" w:space="0" w:color="auto"/>
              <w:right w:val="single" w:sz="4" w:space="0" w:color="auto"/>
            </w:tcBorders>
            <w:shd w:val="clear" w:color="auto" w:fill="auto"/>
            <w:hideMark/>
          </w:tcPr>
          <w:p w14:paraId="0DAEF859"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Outcomes assessed for whole department</w:t>
            </w:r>
          </w:p>
        </w:tc>
        <w:tc>
          <w:tcPr>
            <w:tcW w:w="846" w:type="dxa"/>
            <w:tcBorders>
              <w:top w:val="nil"/>
              <w:left w:val="nil"/>
              <w:bottom w:val="single" w:sz="4" w:space="0" w:color="auto"/>
              <w:right w:val="single" w:sz="4" w:space="0" w:color="auto"/>
            </w:tcBorders>
            <w:shd w:val="clear" w:color="auto" w:fill="auto"/>
            <w:hideMark/>
          </w:tcPr>
          <w:p w14:paraId="0C7A35F8"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Yes</w:t>
            </w:r>
          </w:p>
        </w:tc>
        <w:tc>
          <w:tcPr>
            <w:tcW w:w="947" w:type="dxa"/>
            <w:tcBorders>
              <w:top w:val="nil"/>
              <w:left w:val="nil"/>
              <w:bottom w:val="single" w:sz="4" w:space="0" w:color="auto"/>
              <w:right w:val="single" w:sz="4" w:space="0" w:color="auto"/>
            </w:tcBorders>
            <w:shd w:val="clear" w:color="auto" w:fill="auto"/>
            <w:hideMark/>
          </w:tcPr>
          <w:p w14:paraId="47751115"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Assessors involved in intervention</w:t>
            </w:r>
          </w:p>
        </w:tc>
        <w:tc>
          <w:tcPr>
            <w:tcW w:w="932" w:type="dxa"/>
            <w:tcBorders>
              <w:top w:val="nil"/>
              <w:left w:val="nil"/>
              <w:bottom w:val="single" w:sz="4" w:space="0" w:color="auto"/>
              <w:right w:val="single" w:sz="4" w:space="0" w:color="auto"/>
            </w:tcBorders>
            <w:shd w:val="clear" w:color="auto" w:fill="auto"/>
            <w:hideMark/>
          </w:tcPr>
          <w:p w14:paraId="711D2FFD"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Aimed to capture confounding variables but did not</w:t>
            </w:r>
          </w:p>
        </w:tc>
        <w:tc>
          <w:tcPr>
            <w:tcW w:w="946" w:type="dxa"/>
            <w:tcBorders>
              <w:top w:val="nil"/>
              <w:left w:val="nil"/>
              <w:bottom w:val="single" w:sz="4" w:space="0" w:color="auto"/>
              <w:right w:val="single" w:sz="4" w:space="0" w:color="auto"/>
            </w:tcBorders>
            <w:shd w:val="clear" w:color="auto" w:fill="auto"/>
            <w:hideMark/>
          </w:tcPr>
          <w:p w14:paraId="07C6E331"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Did not control for any confounders</w:t>
            </w:r>
          </w:p>
        </w:tc>
        <w:tc>
          <w:tcPr>
            <w:tcW w:w="846" w:type="dxa"/>
            <w:tcBorders>
              <w:top w:val="nil"/>
              <w:left w:val="nil"/>
              <w:bottom w:val="single" w:sz="4" w:space="0" w:color="auto"/>
              <w:right w:val="single" w:sz="4" w:space="0" w:color="auto"/>
            </w:tcBorders>
            <w:shd w:val="clear" w:color="auto" w:fill="auto"/>
            <w:hideMark/>
          </w:tcPr>
          <w:p w14:paraId="74068007"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Unclear</w:t>
            </w:r>
          </w:p>
        </w:tc>
        <w:tc>
          <w:tcPr>
            <w:tcW w:w="1043" w:type="dxa"/>
            <w:tcBorders>
              <w:top w:val="nil"/>
              <w:left w:val="nil"/>
              <w:bottom w:val="single" w:sz="4" w:space="0" w:color="auto"/>
              <w:right w:val="single" w:sz="4" w:space="0" w:color="auto"/>
            </w:tcBorders>
            <w:shd w:val="clear" w:color="auto" w:fill="auto"/>
            <w:hideMark/>
          </w:tcPr>
          <w:p w14:paraId="386A7358"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Did not define number of people in department (in intervention)</w:t>
            </w:r>
          </w:p>
        </w:tc>
        <w:tc>
          <w:tcPr>
            <w:tcW w:w="846" w:type="dxa"/>
            <w:tcBorders>
              <w:top w:val="nil"/>
              <w:left w:val="nil"/>
              <w:bottom w:val="single" w:sz="4" w:space="0" w:color="auto"/>
              <w:right w:val="single" w:sz="4" w:space="0" w:color="auto"/>
            </w:tcBorders>
            <w:shd w:val="clear" w:color="auto" w:fill="auto"/>
            <w:hideMark/>
          </w:tcPr>
          <w:p w14:paraId="66D7D8E6"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No</w:t>
            </w:r>
          </w:p>
        </w:tc>
        <w:tc>
          <w:tcPr>
            <w:tcW w:w="883" w:type="dxa"/>
            <w:tcBorders>
              <w:top w:val="nil"/>
              <w:left w:val="nil"/>
              <w:bottom w:val="single" w:sz="4" w:space="0" w:color="auto"/>
              <w:right w:val="single" w:sz="4" w:space="0" w:color="auto"/>
            </w:tcBorders>
            <w:shd w:val="clear" w:color="auto" w:fill="auto"/>
            <w:hideMark/>
          </w:tcPr>
          <w:p w14:paraId="01A8D8E8"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Defined follow up adequately</w:t>
            </w:r>
          </w:p>
        </w:tc>
        <w:tc>
          <w:tcPr>
            <w:tcW w:w="846" w:type="dxa"/>
            <w:tcBorders>
              <w:top w:val="nil"/>
              <w:left w:val="nil"/>
              <w:bottom w:val="single" w:sz="4" w:space="0" w:color="auto"/>
              <w:right w:val="single" w:sz="4" w:space="0" w:color="auto"/>
            </w:tcBorders>
            <w:shd w:val="clear" w:color="auto" w:fill="auto"/>
            <w:hideMark/>
          </w:tcPr>
          <w:p w14:paraId="4595FE98"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No</w:t>
            </w:r>
          </w:p>
        </w:tc>
        <w:tc>
          <w:tcPr>
            <w:tcW w:w="874" w:type="dxa"/>
            <w:tcBorders>
              <w:top w:val="nil"/>
              <w:left w:val="nil"/>
              <w:bottom w:val="single" w:sz="4" w:space="0" w:color="auto"/>
              <w:right w:val="single" w:sz="4" w:space="0" w:color="auto"/>
            </w:tcBorders>
            <w:shd w:val="clear" w:color="auto" w:fill="auto"/>
            <w:hideMark/>
          </w:tcPr>
          <w:p w14:paraId="2654DD8C"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Defined outcome adequately</w:t>
            </w:r>
          </w:p>
        </w:tc>
        <w:tc>
          <w:tcPr>
            <w:tcW w:w="846" w:type="dxa"/>
            <w:tcBorders>
              <w:top w:val="nil"/>
              <w:left w:val="nil"/>
              <w:bottom w:val="single" w:sz="4" w:space="0" w:color="auto"/>
              <w:right w:val="single" w:sz="4" w:space="0" w:color="auto"/>
            </w:tcBorders>
            <w:shd w:val="clear" w:color="auto" w:fill="auto"/>
            <w:hideMark/>
          </w:tcPr>
          <w:p w14:paraId="20C3F803"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Yes</w:t>
            </w:r>
          </w:p>
        </w:tc>
        <w:tc>
          <w:tcPr>
            <w:tcW w:w="1001" w:type="dxa"/>
            <w:tcBorders>
              <w:top w:val="nil"/>
              <w:left w:val="nil"/>
              <w:bottom w:val="single" w:sz="4" w:space="0" w:color="auto"/>
              <w:right w:val="single" w:sz="4" w:space="0" w:color="auto"/>
            </w:tcBorders>
            <w:shd w:val="clear" w:color="auto" w:fill="auto"/>
            <w:hideMark/>
          </w:tcPr>
          <w:p w14:paraId="190E4EC1"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Did not perform any statistical analyses</w:t>
            </w:r>
          </w:p>
        </w:tc>
      </w:tr>
      <w:tr w:rsidR="00C1010D" w:rsidRPr="00C1010D" w14:paraId="4619EFE5" w14:textId="77777777" w:rsidTr="005E6FCE">
        <w:trPr>
          <w:trHeight w:val="1131"/>
        </w:trPr>
        <w:tc>
          <w:tcPr>
            <w:tcW w:w="761" w:type="dxa"/>
            <w:tcBorders>
              <w:top w:val="nil"/>
              <w:left w:val="single" w:sz="4" w:space="0" w:color="auto"/>
              <w:bottom w:val="single" w:sz="4" w:space="0" w:color="auto"/>
              <w:right w:val="single" w:sz="4" w:space="0" w:color="auto"/>
            </w:tcBorders>
            <w:shd w:val="clear" w:color="auto" w:fill="auto"/>
            <w:hideMark/>
          </w:tcPr>
          <w:p w14:paraId="14CD121C"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Carter et al., 2019</w:t>
            </w:r>
          </w:p>
        </w:tc>
        <w:tc>
          <w:tcPr>
            <w:tcW w:w="846" w:type="dxa"/>
            <w:tcBorders>
              <w:top w:val="nil"/>
              <w:left w:val="nil"/>
              <w:bottom w:val="single" w:sz="4" w:space="0" w:color="auto"/>
              <w:right w:val="single" w:sz="4" w:space="0" w:color="auto"/>
            </w:tcBorders>
            <w:shd w:val="clear" w:color="auto" w:fill="auto"/>
            <w:hideMark/>
          </w:tcPr>
          <w:p w14:paraId="1A3C683B"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No</w:t>
            </w:r>
          </w:p>
        </w:tc>
        <w:tc>
          <w:tcPr>
            <w:tcW w:w="867" w:type="dxa"/>
            <w:tcBorders>
              <w:top w:val="nil"/>
              <w:left w:val="nil"/>
              <w:bottom w:val="single" w:sz="4" w:space="0" w:color="auto"/>
              <w:right w:val="single" w:sz="4" w:space="0" w:color="auto"/>
            </w:tcBorders>
            <w:shd w:val="clear" w:color="auto" w:fill="auto"/>
            <w:hideMark/>
          </w:tcPr>
          <w:p w14:paraId="1A7771C8" w14:textId="19751E68"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Study group has all eligible individuals</w:t>
            </w:r>
          </w:p>
        </w:tc>
        <w:tc>
          <w:tcPr>
            <w:tcW w:w="846" w:type="dxa"/>
            <w:tcBorders>
              <w:top w:val="nil"/>
              <w:left w:val="nil"/>
              <w:bottom w:val="single" w:sz="4" w:space="0" w:color="auto"/>
              <w:right w:val="single" w:sz="4" w:space="0" w:color="auto"/>
            </w:tcBorders>
            <w:shd w:val="clear" w:color="auto" w:fill="auto"/>
            <w:hideMark/>
          </w:tcPr>
          <w:p w14:paraId="7354D108"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No</w:t>
            </w:r>
          </w:p>
        </w:tc>
        <w:tc>
          <w:tcPr>
            <w:tcW w:w="944" w:type="dxa"/>
            <w:tcBorders>
              <w:top w:val="nil"/>
              <w:left w:val="nil"/>
              <w:bottom w:val="single" w:sz="4" w:space="0" w:color="auto"/>
              <w:right w:val="single" w:sz="4" w:space="0" w:color="auto"/>
            </w:tcBorders>
            <w:shd w:val="clear" w:color="auto" w:fill="auto"/>
            <w:hideMark/>
          </w:tcPr>
          <w:p w14:paraId="17E415C5"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Outcomes assessed for whole department</w:t>
            </w:r>
          </w:p>
        </w:tc>
        <w:tc>
          <w:tcPr>
            <w:tcW w:w="846" w:type="dxa"/>
            <w:tcBorders>
              <w:top w:val="nil"/>
              <w:left w:val="nil"/>
              <w:bottom w:val="single" w:sz="4" w:space="0" w:color="auto"/>
              <w:right w:val="single" w:sz="4" w:space="0" w:color="auto"/>
            </w:tcBorders>
            <w:shd w:val="clear" w:color="auto" w:fill="auto"/>
            <w:hideMark/>
          </w:tcPr>
          <w:p w14:paraId="2423F5C5"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Yes</w:t>
            </w:r>
          </w:p>
        </w:tc>
        <w:tc>
          <w:tcPr>
            <w:tcW w:w="947" w:type="dxa"/>
            <w:tcBorders>
              <w:top w:val="nil"/>
              <w:left w:val="nil"/>
              <w:bottom w:val="single" w:sz="4" w:space="0" w:color="auto"/>
              <w:right w:val="single" w:sz="4" w:space="0" w:color="auto"/>
            </w:tcBorders>
            <w:shd w:val="clear" w:color="auto" w:fill="auto"/>
            <w:hideMark/>
          </w:tcPr>
          <w:p w14:paraId="129839D2"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Assessors involved in intervention</w:t>
            </w:r>
          </w:p>
        </w:tc>
        <w:tc>
          <w:tcPr>
            <w:tcW w:w="932" w:type="dxa"/>
            <w:tcBorders>
              <w:top w:val="nil"/>
              <w:left w:val="nil"/>
              <w:bottom w:val="single" w:sz="4" w:space="0" w:color="auto"/>
              <w:right w:val="single" w:sz="4" w:space="0" w:color="auto"/>
            </w:tcBorders>
            <w:shd w:val="clear" w:color="auto" w:fill="auto"/>
            <w:hideMark/>
          </w:tcPr>
          <w:p w14:paraId="74EEEA0E"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Yes</w:t>
            </w:r>
          </w:p>
        </w:tc>
        <w:tc>
          <w:tcPr>
            <w:tcW w:w="946" w:type="dxa"/>
            <w:tcBorders>
              <w:top w:val="nil"/>
              <w:left w:val="nil"/>
              <w:bottom w:val="single" w:sz="4" w:space="0" w:color="auto"/>
              <w:right w:val="single" w:sz="4" w:space="0" w:color="auto"/>
            </w:tcBorders>
            <w:shd w:val="clear" w:color="auto" w:fill="auto"/>
            <w:hideMark/>
          </w:tcPr>
          <w:p w14:paraId="0C9600D8"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Did not control for any confounders</w:t>
            </w:r>
          </w:p>
        </w:tc>
        <w:tc>
          <w:tcPr>
            <w:tcW w:w="846" w:type="dxa"/>
            <w:tcBorders>
              <w:top w:val="nil"/>
              <w:left w:val="nil"/>
              <w:bottom w:val="single" w:sz="4" w:space="0" w:color="auto"/>
              <w:right w:val="single" w:sz="4" w:space="0" w:color="auto"/>
            </w:tcBorders>
            <w:shd w:val="clear" w:color="auto" w:fill="auto"/>
            <w:hideMark/>
          </w:tcPr>
          <w:p w14:paraId="71AB055B"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Yes</w:t>
            </w:r>
          </w:p>
        </w:tc>
        <w:tc>
          <w:tcPr>
            <w:tcW w:w="1043" w:type="dxa"/>
            <w:tcBorders>
              <w:top w:val="nil"/>
              <w:left w:val="nil"/>
              <w:bottom w:val="single" w:sz="4" w:space="0" w:color="auto"/>
              <w:right w:val="single" w:sz="4" w:space="0" w:color="auto"/>
            </w:tcBorders>
            <w:shd w:val="clear" w:color="auto" w:fill="auto"/>
            <w:hideMark/>
          </w:tcPr>
          <w:p w14:paraId="48F95850"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Did not define number of participants or intervention adequately</w:t>
            </w:r>
          </w:p>
        </w:tc>
        <w:tc>
          <w:tcPr>
            <w:tcW w:w="846" w:type="dxa"/>
            <w:tcBorders>
              <w:top w:val="nil"/>
              <w:left w:val="nil"/>
              <w:bottom w:val="single" w:sz="4" w:space="0" w:color="auto"/>
              <w:right w:val="single" w:sz="4" w:space="0" w:color="auto"/>
            </w:tcBorders>
            <w:shd w:val="clear" w:color="auto" w:fill="auto"/>
            <w:hideMark/>
          </w:tcPr>
          <w:p w14:paraId="20BDD067"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No</w:t>
            </w:r>
          </w:p>
        </w:tc>
        <w:tc>
          <w:tcPr>
            <w:tcW w:w="883" w:type="dxa"/>
            <w:tcBorders>
              <w:top w:val="nil"/>
              <w:left w:val="nil"/>
              <w:bottom w:val="single" w:sz="4" w:space="0" w:color="auto"/>
              <w:right w:val="single" w:sz="4" w:space="0" w:color="auto"/>
            </w:tcBorders>
            <w:shd w:val="clear" w:color="auto" w:fill="auto"/>
            <w:hideMark/>
          </w:tcPr>
          <w:p w14:paraId="2CF0C301"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Defined follow up adequately</w:t>
            </w:r>
          </w:p>
        </w:tc>
        <w:tc>
          <w:tcPr>
            <w:tcW w:w="846" w:type="dxa"/>
            <w:tcBorders>
              <w:top w:val="nil"/>
              <w:left w:val="nil"/>
              <w:bottom w:val="single" w:sz="4" w:space="0" w:color="auto"/>
              <w:right w:val="single" w:sz="4" w:space="0" w:color="auto"/>
            </w:tcBorders>
            <w:shd w:val="clear" w:color="auto" w:fill="auto"/>
            <w:hideMark/>
          </w:tcPr>
          <w:p w14:paraId="2B75D10F"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No</w:t>
            </w:r>
          </w:p>
        </w:tc>
        <w:tc>
          <w:tcPr>
            <w:tcW w:w="874" w:type="dxa"/>
            <w:tcBorders>
              <w:top w:val="nil"/>
              <w:left w:val="nil"/>
              <w:bottom w:val="single" w:sz="4" w:space="0" w:color="auto"/>
              <w:right w:val="single" w:sz="4" w:space="0" w:color="auto"/>
            </w:tcBorders>
            <w:shd w:val="clear" w:color="auto" w:fill="auto"/>
            <w:hideMark/>
          </w:tcPr>
          <w:p w14:paraId="61E2022A"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Defined outcome adequately</w:t>
            </w:r>
          </w:p>
        </w:tc>
        <w:tc>
          <w:tcPr>
            <w:tcW w:w="846" w:type="dxa"/>
            <w:tcBorders>
              <w:top w:val="nil"/>
              <w:left w:val="nil"/>
              <w:bottom w:val="single" w:sz="4" w:space="0" w:color="auto"/>
              <w:right w:val="single" w:sz="4" w:space="0" w:color="auto"/>
            </w:tcBorders>
            <w:shd w:val="clear" w:color="auto" w:fill="auto"/>
            <w:hideMark/>
          </w:tcPr>
          <w:p w14:paraId="3679FDAB"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Yes</w:t>
            </w:r>
          </w:p>
        </w:tc>
        <w:tc>
          <w:tcPr>
            <w:tcW w:w="1001" w:type="dxa"/>
            <w:tcBorders>
              <w:top w:val="nil"/>
              <w:left w:val="nil"/>
              <w:bottom w:val="single" w:sz="4" w:space="0" w:color="auto"/>
              <w:right w:val="single" w:sz="4" w:space="0" w:color="auto"/>
            </w:tcBorders>
            <w:shd w:val="clear" w:color="auto" w:fill="auto"/>
            <w:hideMark/>
          </w:tcPr>
          <w:p w14:paraId="01055EFE"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Did not perform any statistical analyses</w:t>
            </w:r>
          </w:p>
        </w:tc>
      </w:tr>
      <w:tr w:rsidR="00C1010D" w:rsidRPr="00C1010D" w14:paraId="36F9C6B6" w14:textId="77777777" w:rsidTr="005E6FCE">
        <w:trPr>
          <w:trHeight w:val="1119"/>
        </w:trPr>
        <w:tc>
          <w:tcPr>
            <w:tcW w:w="761" w:type="dxa"/>
            <w:tcBorders>
              <w:top w:val="nil"/>
              <w:left w:val="single" w:sz="4" w:space="0" w:color="auto"/>
              <w:bottom w:val="single" w:sz="4" w:space="0" w:color="auto"/>
              <w:right w:val="single" w:sz="4" w:space="0" w:color="auto"/>
            </w:tcBorders>
            <w:shd w:val="clear" w:color="auto" w:fill="auto"/>
            <w:hideMark/>
          </w:tcPr>
          <w:p w14:paraId="6C14F1D1"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Zuegge et al., 2019</w:t>
            </w:r>
          </w:p>
        </w:tc>
        <w:tc>
          <w:tcPr>
            <w:tcW w:w="846" w:type="dxa"/>
            <w:tcBorders>
              <w:top w:val="nil"/>
              <w:left w:val="nil"/>
              <w:bottom w:val="single" w:sz="4" w:space="0" w:color="auto"/>
              <w:right w:val="single" w:sz="4" w:space="0" w:color="auto"/>
            </w:tcBorders>
            <w:shd w:val="clear" w:color="auto" w:fill="auto"/>
            <w:hideMark/>
          </w:tcPr>
          <w:p w14:paraId="7A8DCB1E"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No</w:t>
            </w:r>
          </w:p>
        </w:tc>
        <w:tc>
          <w:tcPr>
            <w:tcW w:w="867" w:type="dxa"/>
            <w:tcBorders>
              <w:top w:val="nil"/>
              <w:left w:val="nil"/>
              <w:bottom w:val="single" w:sz="4" w:space="0" w:color="auto"/>
              <w:right w:val="single" w:sz="4" w:space="0" w:color="auto"/>
            </w:tcBorders>
            <w:shd w:val="clear" w:color="auto" w:fill="auto"/>
            <w:hideMark/>
          </w:tcPr>
          <w:p w14:paraId="2CB64931" w14:textId="0DFF6291"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Study group has all eligible individuals</w:t>
            </w:r>
          </w:p>
        </w:tc>
        <w:tc>
          <w:tcPr>
            <w:tcW w:w="846" w:type="dxa"/>
            <w:tcBorders>
              <w:top w:val="nil"/>
              <w:left w:val="nil"/>
              <w:bottom w:val="single" w:sz="4" w:space="0" w:color="auto"/>
              <w:right w:val="single" w:sz="4" w:space="0" w:color="auto"/>
            </w:tcBorders>
            <w:shd w:val="clear" w:color="auto" w:fill="auto"/>
            <w:hideMark/>
          </w:tcPr>
          <w:p w14:paraId="6822AA0D"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No</w:t>
            </w:r>
          </w:p>
        </w:tc>
        <w:tc>
          <w:tcPr>
            <w:tcW w:w="944" w:type="dxa"/>
            <w:tcBorders>
              <w:top w:val="nil"/>
              <w:left w:val="nil"/>
              <w:bottom w:val="single" w:sz="4" w:space="0" w:color="auto"/>
              <w:right w:val="single" w:sz="4" w:space="0" w:color="auto"/>
            </w:tcBorders>
            <w:shd w:val="clear" w:color="auto" w:fill="auto"/>
            <w:hideMark/>
          </w:tcPr>
          <w:p w14:paraId="14E298FB"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Outcomes assessed for whole department</w:t>
            </w:r>
          </w:p>
        </w:tc>
        <w:tc>
          <w:tcPr>
            <w:tcW w:w="846" w:type="dxa"/>
            <w:tcBorders>
              <w:top w:val="nil"/>
              <w:left w:val="nil"/>
              <w:bottom w:val="single" w:sz="4" w:space="0" w:color="auto"/>
              <w:right w:val="single" w:sz="4" w:space="0" w:color="auto"/>
            </w:tcBorders>
            <w:shd w:val="clear" w:color="auto" w:fill="auto"/>
            <w:hideMark/>
          </w:tcPr>
          <w:p w14:paraId="54138A02"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Yes</w:t>
            </w:r>
          </w:p>
        </w:tc>
        <w:tc>
          <w:tcPr>
            <w:tcW w:w="947" w:type="dxa"/>
            <w:tcBorders>
              <w:top w:val="nil"/>
              <w:left w:val="nil"/>
              <w:bottom w:val="single" w:sz="4" w:space="0" w:color="auto"/>
              <w:right w:val="single" w:sz="4" w:space="0" w:color="auto"/>
            </w:tcBorders>
            <w:shd w:val="clear" w:color="auto" w:fill="auto"/>
            <w:hideMark/>
          </w:tcPr>
          <w:p w14:paraId="0CA24ABE"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Assessors involved in intervention</w:t>
            </w:r>
          </w:p>
        </w:tc>
        <w:tc>
          <w:tcPr>
            <w:tcW w:w="932" w:type="dxa"/>
            <w:tcBorders>
              <w:top w:val="nil"/>
              <w:left w:val="nil"/>
              <w:bottom w:val="single" w:sz="4" w:space="0" w:color="auto"/>
              <w:right w:val="single" w:sz="4" w:space="0" w:color="auto"/>
            </w:tcBorders>
            <w:shd w:val="clear" w:color="auto" w:fill="auto"/>
            <w:hideMark/>
          </w:tcPr>
          <w:p w14:paraId="491A1099"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Yes</w:t>
            </w:r>
          </w:p>
        </w:tc>
        <w:tc>
          <w:tcPr>
            <w:tcW w:w="946" w:type="dxa"/>
            <w:tcBorders>
              <w:top w:val="nil"/>
              <w:left w:val="nil"/>
              <w:bottom w:val="single" w:sz="4" w:space="0" w:color="auto"/>
              <w:right w:val="single" w:sz="4" w:space="0" w:color="auto"/>
            </w:tcBorders>
            <w:shd w:val="clear" w:color="auto" w:fill="auto"/>
            <w:hideMark/>
          </w:tcPr>
          <w:p w14:paraId="07FB928E"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Did not control for any confounders</w:t>
            </w:r>
          </w:p>
        </w:tc>
        <w:tc>
          <w:tcPr>
            <w:tcW w:w="846" w:type="dxa"/>
            <w:tcBorders>
              <w:top w:val="nil"/>
              <w:left w:val="nil"/>
              <w:bottom w:val="single" w:sz="4" w:space="0" w:color="auto"/>
              <w:right w:val="single" w:sz="4" w:space="0" w:color="auto"/>
            </w:tcBorders>
            <w:shd w:val="clear" w:color="auto" w:fill="auto"/>
            <w:hideMark/>
          </w:tcPr>
          <w:p w14:paraId="59320450"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Yes</w:t>
            </w:r>
          </w:p>
        </w:tc>
        <w:tc>
          <w:tcPr>
            <w:tcW w:w="1043" w:type="dxa"/>
            <w:tcBorders>
              <w:top w:val="nil"/>
              <w:left w:val="nil"/>
              <w:bottom w:val="single" w:sz="4" w:space="0" w:color="auto"/>
              <w:right w:val="single" w:sz="4" w:space="0" w:color="auto"/>
            </w:tcBorders>
            <w:shd w:val="clear" w:color="auto" w:fill="auto"/>
            <w:hideMark/>
          </w:tcPr>
          <w:p w14:paraId="6EDC49C6"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Did not define number of participants or intervention adequately</w:t>
            </w:r>
          </w:p>
        </w:tc>
        <w:tc>
          <w:tcPr>
            <w:tcW w:w="846" w:type="dxa"/>
            <w:tcBorders>
              <w:top w:val="nil"/>
              <w:left w:val="nil"/>
              <w:bottom w:val="single" w:sz="4" w:space="0" w:color="auto"/>
              <w:right w:val="single" w:sz="4" w:space="0" w:color="auto"/>
            </w:tcBorders>
            <w:shd w:val="clear" w:color="auto" w:fill="auto"/>
            <w:hideMark/>
          </w:tcPr>
          <w:p w14:paraId="14073388"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No</w:t>
            </w:r>
          </w:p>
        </w:tc>
        <w:tc>
          <w:tcPr>
            <w:tcW w:w="883" w:type="dxa"/>
            <w:tcBorders>
              <w:top w:val="nil"/>
              <w:left w:val="nil"/>
              <w:bottom w:val="single" w:sz="4" w:space="0" w:color="auto"/>
              <w:right w:val="single" w:sz="4" w:space="0" w:color="auto"/>
            </w:tcBorders>
            <w:shd w:val="clear" w:color="auto" w:fill="auto"/>
            <w:hideMark/>
          </w:tcPr>
          <w:p w14:paraId="7350B2F5"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Defined follow up adequately</w:t>
            </w:r>
          </w:p>
        </w:tc>
        <w:tc>
          <w:tcPr>
            <w:tcW w:w="846" w:type="dxa"/>
            <w:tcBorders>
              <w:top w:val="nil"/>
              <w:left w:val="nil"/>
              <w:bottom w:val="single" w:sz="4" w:space="0" w:color="auto"/>
              <w:right w:val="single" w:sz="4" w:space="0" w:color="auto"/>
            </w:tcBorders>
            <w:shd w:val="clear" w:color="auto" w:fill="auto"/>
            <w:hideMark/>
          </w:tcPr>
          <w:p w14:paraId="79EE56F0"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No</w:t>
            </w:r>
          </w:p>
        </w:tc>
        <w:tc>
          <w:tcPr>
            <w:tcW w:w="874" w:type="dxa"/>
            <w:tcBorders>
              <w:top w:val="nil"/>
              <w:left w:val="nil"/>
              <w:bottom w:val="single" w:sz="4" w:space="0" w:color="auto"/>
              <w:right w:val="single" w:sz="4" w:space="0" w:color="auto"/>
            </w:tcBorders>
            <w:shd w:val="clear" w:color="auto" w:fill="auto"/>
            <w:hideMark/>
          </w:tcPr>
          <w:p w14:paraId="478A31CB"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Defined outcome adequately</w:t>
            </w:r>
          </w:p>
        </w:tc>
        <w:tc>
          <w:tcPr>
            <w:tcW w:w="846" w:type="dxa"/>
            <w:tcBorders>
              <w:top w:val="nil"/>
              <w:left w:val="nil"/>
              <w:bottom w:val="single" w:sz="4" w:space="0" w:color="auto"/>
              <w:right w:val="single" w:sz="4" w:space="0" w:color="auto"/>
            </w:tcBorders>
            <w:shd w:val="clear" w:color="auto" w:fill="auto"/>
            <w:hideMark/>
          </w:tcPr>
          <w:p w14:paraId="1BA51549"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No</w:t>
            </w:r>
          </w:p>
        </w:tc>
        <w:tc>
          <w:tcPr>
            <w:tcW w:w="1001" w:type="dxa"/>
            <w:tcBorders>
              <w:top w:val="nil"/>
              <w:left w:val="nil"/>
              <w:bottom w:val="single" w:sz="4" w:space="0" w:color="auto"/>
              <w:right w:val="single" w:sz="4" w:space="0" w:color="auto"/>
            </w:tcBorders>
            <w:shd w:val="clear" w:color="auto" w:fill="auto"/>
            <w:hideMark/>
          </w:tcPr>
          <w:p w14:paraId="272E5183"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 xml:space="preserve">Defined method of analysis and quantified effect of intervention </w:t>
            </w:r>
          </w:p>
        </w:tc>
      </w:tr>
      <w:tr w:rsidR="00C1010D" w:rsidRPr="00C1010D" w14:paraId="3B2DF002" w14:textId="77777777" w:rsidTr="00C1010D">
        <w:trPr>
          <w:trHeight w:val="720"/>
        </w:trPr>
        <w:tc>
          <w:tcPr>
            <w:tcW w:w="761" w:type="dxa"/>
            <w:tcBorders>
              <w:top w:val="nil"/>
              <w:left w:val="single" w:sz="4" w:space="0" w:color="auto"/>
              <w:bottom w:val="single" w:sz="4" w:space="0" w:color="auto"/>
              <w:right w:val="single" w:sz="4" w:space="0" w:color="auto"/>
            </w:tcBorders>
            <w:shd w:val="clear" w:color="auto" w:fill="auto"/>
            <w:hideMark/>
          </w:tcPr>
          <w:p w14:paraId="27490FD5"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Glenski &amp; Levine, 2020</w:t>
            </w:r>
          </w:p>
        </w:tc>
        <w:tc>
          <w:tcPr>
            <w:tcW w:w="846" w:type="dxa"/>
            <w:tcBorders>
              <w:top w:val="nil"/>
              <w:left w:val="nil"/>
              <w:bottom w:val="single" w:sz="4" w:space="0" w:color="auto"/>
              <w:right w:val="single" w:sz="4" w:space="0" w:color="auto"/>
            </w:tcBorders>
            <w:shd w:val="clear" w:color="auto" w:fill="auto"/>
            <w:hideMark/>
          </w:tcPr>
          <w:p w14:paraId="38F11E71"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No</w:t>
            </w:r>
          </w:p>
        </w:tc>
        <w:tc>
          <w:tcPr>
            <w:tcW w:w="867" w:type="dxa"/>
            <w:tcBorders>
              <w:top w:val="nil"/>
              <w:left w:val="nil"/>
              <w:bottom w:val="single" w:sz="4" w:space="0" w:color="auto"/>
              <w:right w:val="single" w:sz="4" w:space="0" w:color="auto"/>
            </w:tcBorders>
            <w:shd w:val="clear" w:color="auto" w:fill="auto"/>
            <w:hideMark/>
          </w:tcPr>
          <w:p w14:paraId="1529BA82" w14:textId="79B91403"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Study group has all eligible individuals</w:t>
            </w:r>
          </w:p>
        </w:tc>
        <w:tc>
          <w:tcPr>
            <w:tcW w:w="846" w:type="dxa"/>
            <w:tcBorders>
              <w:top w:val="nil"/>
              <w:left w:val="nil"/>
              <w:bottom w:val="single" w:sz="4" w:space="0" w:color="auto"/>
              <w:right w:val="single" w:sz="4" w:space="0" w:color="auto"/>
            </w:tcBorders>
            <w:shd w:val="clear" w:color="auto" w:fill="auto"/>
            <w:hideMark/>
          </w:tcPr>
          <w:p w14:paraId="7CE4BE73"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No</w:t>
            </w:r>
          </w:p>
        </w:tc>
        <w:tc>
          <w:tcPr>
            <w:tcW w:w="944" w:type="dxa"/>
            <w:tcBorders>
              <w:top w:val="nil"/>
              <w:left w:val="nil"/>
              <w:bottom w:val="single" w:sz="4" w:space="0" w:color="auto"/>
              <w:right w:val="single" w:sz="4" w:space="0" w:color="auto"/>
            </w:tcBorders>
            <w:shd w:val="clear" w:color="auto" w:fill="auto"/>
            <w:hideMark/>
          </w:tcPr>
          <w:p w14:paraId="6E6B4EF1"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Outcomes assessed for whole department</w:t>
            </w:r>
          </w:p>
        </w:tc>
        <w:tc>
          <w:tcPr>
            <w:tcW w:w="846" w:type="dxa"/>
            <w:tcBorders>
              <w:top w:val="nil"/>
              <w:left w:val="nil"/>
              <w:bottom w:val="single" w:sz="4" w:space="0" w:color="auto"/>
              <w:right w:val="single" w:sz="4" w:space="0" w:color="auto"/>
            </w:tcBorders>
            <w:shd w:val="clear" w:color="auto" w:fill="auto"/>
            <w:hideMark/>
          </w:tcPr>
          <w:p w14:paraId="25C0557C"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Yes</w:t>
            </w:r>
          </w:p>
        </w:tc>
        <w:tc>
          <w:tcPr>
            <w:tcW w:w="947" w:type="dxa"/>
            <w:tcBorders>
              <w:top w:val="nil"/>
              <w:left w:val="nil"/>
              <w:bottom w:val="single" w:sz="4" w:space="0" w:color="auto"/>
              <w:right w:val="single" w:sz="4" w:space="0" w:color="auto"/>
            </w:tcBorders>
            <w:shd w:val="clear" w:color="auto" w:fill="auto"/>
            <w:hideMark/>
          </w:tcPr>
          <w:p w14:paraId="5E9C391B"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Assessors involved in intervention</w:t>
            </w:r>
          </w:p>
        </w:tc>
        <w:tc>
          <w:tcPr>
            <w:tcW w:w="932" w:type="dxa"/>
            <w:tcBorders>
              <w:top w:val="nil"/>
              <w:left w:val="nil"/>
              <w:bottom w:val="single" w:sz="4" w:space="0" w:color="auto"/>
              <w:right w:val="single" w:sz="4" w:space="0" w:color="auto"/>
            </w:tcBorders>
            <w:shd w:val="clear" w:color="auto" w:fill="auto"/>
            <w:hideMark/>
          </w:tcPr>
          <w:p w14:paraId="2A47B074"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Yes</w:t>
            </w:r>
          </w:p>
        </w:tc>
        <w:tc>
          <w:tcPr>
            <w:tcW w:w="946" w:type="dxa"/>
            <w:tcBorders>
              <w:top w:val="nil"/>
              <w:left w:val="nil"/>
              <w:bottom w:val="single" w:sz="4" w:space="0" w:color="auto"/>
              <w:right w:val="single" w:sz="4" w:space="0" w:color="auto"/>
            </w:tcBorders>
            <w:shd w:val="clear" w:color="auto" w:fill="auto"/>
            <w:hideMark/>
          </w:tcPr>
          <w:p w14:paraId="1B491E58"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Did not control for any confounders</w:t>
            </w:r>
          </w:p>
        </w:tc>
        <w:tc>
          <w:tcPr>
            <w:tcW w:w="846" w:type="dxa"/>
            <w:tcBorders>
              <w:top w:val="nil"/>
              <w:left w:val="nil"/>
              <w:bottom w:val="single" w:sz="4" w:space="0" w:color="auto"/>
              <w:right w:val="single" w:sz="4" w:space="0" w:color="auto"/>
            </w:tcBorders>
            <w:shd w:val="clear" w:color="auto" w:fill="auto"/>
            <w:hideMark/>
          </w:tcPr>
          <w:p w14:paraId="5F1DE564"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Unclear</w:t>
            </w:r>
          </w:p>
        </w:tc>
        <w:tc>
          <w:tcPr>
            <w:tcW w:w="1043" w:type="dxa"/>
            <w:tcBorders>
              <w:top w:val="nil"/>
              <w:left w:val="nil"/>
              <w:bottom w:val="single" w:sz="4" w:space="0" w:color="auto"/>
              <w:right w:val="single" w:sz="4" w:space="0" w:color="auto"/>
            </w:tcBorders>
            <w:shd w:val="clear" w:color="auto" w:fill="auto"/>
            <w:hideMark/>
          </w:tcPr>
          <w:p w14:paraId="18F61BDA"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Did not define intervention adequately</w:t>
            </w:r>
          </w:p>
        </w:tc>
        <w:tc>
          <w:tcPr>
            <w:tcW w:w="846" w:type="dxa"/>
            <w:tcBorders>
              <w:top w:val="nil"/>
              <w:left w:val="nil"/>
              <w:bottom w:val="single" w:sz="4" w:space="0" w:color="auto"/>
              <w:right w:val="single" w:sz="4" w:space="0" w:color="auto"/>
            </w:tcBorders>
            <w:shd w:val="clear" w:color="auto" w:fill="auto"/>
            <w:hideMark/>
          </w:tcPr>
          <w:p w14:paraId="34972A9A"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No</w:t>
            </w:r>
          </w:p>
        </w:tc>
        <w:tc>
          <w:tcPr>
            <w:tcW w:w="883" w:type="dxa"/>
            <w:tcBorders>
              <w:top w:val="nil"/>
              <w:left w:val="nil"/>
              <w:bottom w:val="single" w:sz="4" w:space="0" w:color="auto"/>
              <w:right w:val="single" w:sz="4" w:space="0" w:color="auto"/>
            </w:tcBorders>
            <w:shd w:val="clear" w:color="auto" w:fill="auto"/>
            <w:hideMark/>
          </w:tcPr>
          <w:p w14:paraId="264A1676"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Defined follow up adequately</w:t>
            </w:r>
          </w:p>
        </w:tc>
        <w:tc>
          <w:tcPr>
            <w:tcW w:w="846" w:type="dxa"/>
            <w:tcBorders>
              <w:top w:val="nil"/>
              <w:left w:val="nil"/>
              <w:bottom w:val="single" w:sz="4" w:space="0" w:color="auto"/>
              <w:right w:val="single" w:sz="4" w:space="0" w:color="auto"/>
            </w:tcBorders>
            <w:shd w:val="clear" w:color="auto" w:fill="auto"/>
            <w:hideMark/>
          </w:tcPr>
          <w:p w14:paraId="034C6F68"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No</w:t>
            </w:r>
          </w:p>
        </w:tc>
        <w:tc>
          <w:tcPr>
            <w:tcW w:w="874" w:type="dxa"/>
            <w:tcBorders>
              <w:top w:val="nil"/>
              <w:left w:val="nil"/>
              <w:bottom w:val="single" w:sz="4" w:space="0" w:color="auto"/>
              <w:right w:val="single" w:sz="4" w:space="0" w:color="auto"/>
            </w:tcBorders>
            <w:shd w:val="clear" w:color="auto" w:fill="auto"/>
            <w:hideMark/>
          </w:tcPr>
          <w:p w14:paraId="265AA7A6"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Defined outcome adequately</w:t>
            </w:r>
          </w:p>
        </w:tc>
        <w:tc>
          <w:tcPr>
            <w:tcW w:w="846" w:type="dxa"/>
            <w:tcBorders>
              <w:top w:val="nil"/>
              <w:left w:val="nil"/>
              <w:bottom w:val="single" w:sz="4" w:space="0" w:color="auto"/>
              <w:right w:val="single" w:sz="4" w:space="0" w:color="auto"/>
            </w:tcBorders>
            <w:shd w:val="clear" w:color="auto" w:fill="auto"/>
            <w:hideMark/>
          </w:tcPr>
          <w:p w14:paraId="7EDE4DFD"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No</w:t>
            </w:r>
          </w:p>
        </w:tc>
        <w:tc>
          <w:tcPr>
            <w:tcW w:w="1001" w:type="dxa"/>
            <w:tcBorders>
              <w:top w:val="nil"/>
              <w:left w:val="nil"/>
              <w:bottom w:val="single" w:sz="4" w:space="0" w:color="auto"/>
              <w:right w:val="single" w:sz="4" w:space="0" w:color="auto"/>
            </w:tcBorders>
            <w:shd w:val="clear" w:color="auto" w:fill="auto"/>
            <w:hideMark/>
          </w:tcPr>
          <w:p w14:paraId="3162ED14"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 xml:space="preserve">Defined method of analysis and quantified effect of intervention </w:t>
            </w:r>
          </w:p>
        </w:tc>
      </w:tr>
      <w:tr w:rsidR="00C1010D" w:rsidRPr="00C1010D" w14:paraId="7A1E0F05" w14:textId="77777777" w:rsidTr="005E6FCE">
        <w:trPr>
          <w:trHeight w:val="1080"/>
        </w:trPr>
        <w:tc>
          <w:tcPr>
            <w:tcW w:w="761" w:type="dxa"/>
            <w:tcBorders>
              <w:top w:val="nil"/>
              <w:left w:val="single" w:sz="4" w:space="0" w:color="auto"/>
              <w:bottom w:val="single" w:sz="4" w:space="0" w:color="auto"/>
              <w:right w:val="single" w:sz="4" w:space="0" w:color="auto"/>
            </w:tcBorders>
            <w:shd w:val="clear" w:color="auto" w:fill="auto"/>
            <w:hideMark/>
          </w:tcPr>
          <w:p w14:paraId="6C5D4B19"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McAlister et al., 2021</w:t>
            </w:r>
          </w:p>
        </w:tc>
        <w:tc>
          <w:tcPr>
            <w:tcW w:w="846" w:type="dxa"/>
            <w:tcBorders>
              <w:top w:val="nil"/>
              <w:left w:val="nil"/>
              <w:bottom w:val="single" w:sz="4" w:space="0" w:color="auto"/>
              <w:right w:val="single" w:sz="4" w:space="0" w:color="auto"/>
            </w:tcBorders>
            <w:shd w:val="clear" w:color="auto" w:fill="auto"/>
            <w:hideMark/>
          </w:tcPr>
          <w:p w14:paraId="5216FE22"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No</w:t>
            </w:r>
          </w:p>
        </w:tc>
        <w:tc>
          <w:tcPr>
            <w:tcW w:w="867" w:type="dxa"/>
            <w:tcBorders>
              <w:top w:val="nil"/>
              <w:left w:val="nil"/>
              <w:bottom w:val="single" w:sz="4" w:space="0" w:color="auto"/>
              <w:right w:val="single" w:sz="4" w:space="0" w:color="auto"/>
            </w:tcBorders>
            <w:shd w:val="clear" w:color="auto" w:fill="auto"/>
            <w:hideMark/>
          </w:tcPr>
          <w:p w14:paraId="57204886" w14:textId="4C41A90E"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Study group has all eligible individuals</w:t>
            </w:r>
          </w:p>
        </w:tc>
        <w:tc>
          <w:tcPr>
            <w:tcW w:w="846" w:type="dxa"/>
            <w:tcBorders>
              <w:top w:val="nil"/>
              <w:left w:val="nil"/>
              <w:bottom w:val="single" w:sz="4" w:space="0" w:color="auto"/>
              <w:right w:val="single" w:sz="4" w:space="0" w:color="auto"/>
            </w:tcBorders>
            <w:shd w:val="clear" w:color="auto" w:fill="auto"/>
            <w:hideMark/>
          </w:tcPr>
          <w:p w14:paraId="0C8B2548"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No</w:t>
            </w:r>
          </w:p>
        </w:tc>
        <w:tc>
          <w:tcPr>
            <w:tcW w:w="944" w:type="dxa"/>
            <w:tcBorders>
              <w:top w:val="nil"/>
              <w:left w:val="nil"/>
              <w:bottom w:val="single" w:sz="4" w:space="0" w:color="auto"/>
              <w:right w:val="single" w:sz="4" w:space="0" w:color="auto"/>
            </w:tcBorders>
            <w:shd w:val="clear" w:color="auto" w:fill="auto"/>
            <w:hideMark/>
          </w:tcPr>
          <w:p w14:paraId="51220483"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Outcomes assessed for whole department</w:t>
            </w:r>
          </w:p>
        </w:tc>
        <w:tc>
          <w:tcPr>
            <w:tcW w:w="846" w:type="dxa"/>
            <w:tcBorders>
              <w:top w:val="nil"/>
              <w:left w:val="nil"/>
              <w:bottom w:val="single" w:sz="4" w:space="0" w:color="auto"/>
              <w:right w:val="single" w:sz="4" w:space="0" w:color="auto"/>
            </w:tcBorders>
            <w:shd w:val="clear" w:color="auto" w:fill="auto"/>
            <w:hideMark/>
          </w:tcPr>
          <w:p w14:paraId="2113E8C3"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Yes</w:t>
            </w:r>
          </w:p>
        </w:tc>
        <w:tc>
          <w:tcPr>
            <w:tcW w:w="947" w:type="dxa"/>
            <w:tcBorders>
              <w:top w:val="nil"/>
              <w:left w:val="nil"/>
              <w:bottom w:val="single" w:sz="4" w:space="0" w:color="auto"/>
              <w:right w:val="single" w:sz="4" w:space="0" w:color="auto"/>
            </w:tcBorders>
            <w:shd w:val="clear" w:color="auto" w:fill="auto"/>
            <w:hideMark/>
          </w:tcPr>
          <w:p w14:paraId="13D54C25"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Not blinded to group</w:t>
            </w:r>
          </w:p>
        </w:tc>
        <w:tc>
          <w:tcPr>
            <w:tcW w:w="932" w:type="dxa"/>
            <w:tcBorders>
              <w:top w:val="nil"/>
              <w:left w:val="nil"/>
              <w:bottom w:val="single" w:sz="4" w:space="0" w:color="auto"/>
              <w:right w:val="single" w:sz="4" w:space="0" w:color="auto"/>
            </w:tcBorders>
            <w:shd w:val="clear" w:color="auto" w:fill="auto"/>
            <w:hideMark/>
          </w:tcPr>
          <w:p w14:paraId="78D6EFF8"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Unclear</w:t>
            </w:r>
          </w:p>
        </w:tc>
        <w:tc>
          <w:tcPr>
            <w:tcW w:w="946" w:type="dxa"/>
            <w:tcBorders>
              <w:top w:val="nil"/>
              <w:left w:val="nil"/>
              <w:bottom w:val="single" w:sz="4" w:space="0" w:color="auto"/>
              <w:right w:val="single" w:sz="4" w:space="0" w:color="auto"/>
            </w:tcBorders>
            <w:shd w:val="clear" w:color="auto" w:fill="auto"/>
            <w:hideMark/>
          </w:tcPr>
          <w:p w14:paraId="68C0F6B3"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Aimed to capture confounding variables but did not</w:t>
            </w:r>
          </w:p>
        </w:tc>
        <w:tc>
          <w:tcPr>
            <w:tcW w:w="846" w:type="dxa"/>
            <w:tcBorders>
              <w:top w:val="nil"/>
              <w:left w:val="nil"/>
              <w:bottom w:val="single" w:sz="4" w:space="0" w:color="auto"/>
              <w:right w:val="single" w:sz="4" w:space="0" w:color="auto"/>
            </w:tcBorders>
            <w:shd w:val="clear" w:color="auto" w:fill="auto"/>
            <w:hideMark/>
          </w:tcPr>
          <w:p w14:paraId="4DC529BC"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Unclear</w:t>
            </w:r>
          </w:p>
        </w:tc>
        <w:tc>
          <w:tcPr>
            <w:tcW w:w="1043" w:type="dxa"/>
            <w:tcBorders>
              <w:top w:val="nil"/>
              <w:left w:val="nil"/>
              <w:bottom w:val="single" w:sz="4" w:space="0" w:color="auto"/>
              <w:right w:val="single" w:sz="4" w:space="0" w:color="auto"/>
            </w:tcBorders>
            <w:shd w:val="clear" w:color="auto" w:fill="auto"/>
            <w:hideMark/>
          </w:tcPr>
          <w:p w14:paraId="1FDF030A"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Did not define number of people in department (in intervention)</w:t>
            </w:r>
          </w:p>
        </w:tc>
        <w:tc>
          <w:tcPr>
            <w:tcW w:w="846" w:type="dxa"/>
            <w:tcBorders>
              <w:top w:val="nil"/>
              <w:left w:val="nil"/>
              <w:bottom w:val="single" w:sz="4" w:space="0" w:color="auto"/>
              <w:right w:val="single" w:sz="4" w:space="0" w:color="auto"/>
            </w:tcBorders>
            <w:shd w:val="clear" w:color="auto" w:fill="auto"/>
            <w:hideMark/>
          </w:tcPr>
          <w:p w14:paraId="49846622"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No</w:t>
            </w:r>
          </w:p>
        </w:tc>
        <w:tc>
          <w:tcPr>
            <w:tcW w:w="883" w:type="dxa"/>
            <w:tcBorders>
              <w:top w:val="nil"/>
              <w:left w:val="nil"/>
              <w:bottom w:val="single" w:sz="4" w:space="0" w:color="auto"/>
              <w:right w:val="single" w:sz="4" w:space="0" w:color="auto"/>
            </w:tcBorders>
            <w:shd w:val="clear" w:color="auto" w:fill="auto"/>
            <w:hideMark/>
          </w:tcPr>
          <w:p w14:paraId="774EF579"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Defined follow up adequately</w:t>
            </w:r>
          </w:p>
        </w:tc>
        <w:tc>
          <w:tcPr>
            <w:tcW w:w="846" w:type="dxa"/>
            <w:tcBorders>
              <w:top w:val="nil"/>
              <w:left w:val="nil"/>
              <w:bottom w:val="single" w:sz="4" w:space="0" w:color="auto"/>
              <w:right w:val="single" w:sz="4" w:space="0" w:color="auto"/>
            </w:tcBorders>
            <w:shd w:val="clear" w:color="auto" w:fill="auto"/>
            <w:hideMark/>
          </w:tcPr>
          <w:p w14:paraId="2B2C1BF8"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No</w:t>
            </w:r>
          </w:p>
        </w:tc>
        <w:tc>
          <w:tcPr>
            <w:tcW w:w="874" w:type="dxa"/>
            <w:tcBorders>
              <w:top w:val="nil"/>
              <w:left w:val="nil"/>
              <w:bottom w:val="single" w:sz="4" w:space="0" w:color="auto"/>
              <w:right w:val="single" w:sz="4" w:space="0" w:color="auto"/>
            </w:tcBorders>
            <w:shd w:val="clear" w:color="auto" w:fill="auto"/>
            <w:hideMark/>
          </w:tcPr>
          <w:p w14:paraId="5639BA0E"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Defined outcome adequately</w:t>
            </w:r>
          </w:p>
        </w:tc>
        <w:tc>
          <w:tcPr>
            <w:tcW w:w="846" w:type="dxa"/>
            <w:tcBorders>
              <w:top w:val="nil"/>
              <w:left w:val="nil"/>
              <w:bottom w:val="single" w:sz="4" w:space="0" w:color="auto"/>
              <w:right w:val="single" w:sz="4" w:space="0" w:color="auto"/>
            </w:tcBorders>
            <w:shd w:val="clear" w:color="auto" w:fill="auto"/>
            <w:hideMark/>
          </w:tcPr>
          <w:p w14:paraId="7FA3976E"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No</w:t>
            </w:r>
          </w:p>
        </w:tc>
        <w:tc>
          <w:tcPr>
            <w:tcW w:w="1001" w:type="dxa"/>
            <w:tcBorders>
              <w:top w:val="nil"/>
              <w:left w:val="nil"/>
              <w:bottom w:val="single" w:sz="4" w:space="0" w:color="auto"/>
              <w:right w:val="single" w:sz="4" w:space="0" w:color="auto"/>
            </w:tcBorders>
            <w:shd w:val="clear" w:color="auto" w:fill="auto"/>
            <w:hideMark/>
          </w:tcPr>
          <w:p w14:paraId="41F549D4" w14:textId="77777777" w:rsidR="00C1010D" w:rsidRPr="00C1010D" w:rsidRDefault="00C1010D" w:rsidP="00C1010D">
            <w:pPr>
              <w:spacing w:after="0" w:line="240" w:lineRule="auto"/>
              <w:rPr>
                <w:rFonts w:ascii="Calibri" w:eastAsia="Times New Roman" w:hAnsi="Calibri" w:cs="Calibri"/>
                <w:color w:val="000000"/>
                <w:sz w:val="14"/>
                <w:szCs w:val="14"/>
                <w:lang w:eastAsia="en-AU"/>
              </w:rPr>
            </w:pPr>
            <w:r w:rsidRPr="00C1010D">
              <w:rPr>
                <w:rFonts w:ascii="Calibri" w:eastAsia="Times New Roman" w:hAnsi="Calibri" w:cs="Calibri"/>
                <w:color w:val="000000"/>
                <w:sz w:val="14"/>
                <w:szCs w:val="14"/>
                <w:lang w:eastAsia="en-AU"/>
              </w:rPr>
              <w:t xml:space="preserve">Defined method of analysis and quantified effect of intervention </w:t>
            </w:r>
          </w:p>
        </w:tc>
      </w:tr>
    </w:tbl>
    <w:p w14:paraId="2DAFC817" w14:textId="525B76A9" w:rsidR="00D151CC" w:rsidRDefault="00D151CC" w:rsidP="00D018F7">
      <w:pPr>
        <w:spacing w:line="252" w:lineRule="auto"/>
        <w:rPr>
          <w:rFonts w:cstheme="minorHAnsi"/>
        </w:rPr>
      </w:pPr>
    </w:p>
    <w:p w14:paraId="372A5A91" w14:textId="77777777" w:rsidR="00D018F7" w:rsidRPr="00C34505" w:rsidRDefault="00D018F7" w:rsidP="00D018F7">
      <w:pPr>
        <w:spacing w:line="252" w:lineRule="auto"/>
        <w:rPr>
          <w:rFonts w:cstheme="minorHAnsi"/>
        </w:rPr>
      </w:pPr>
      <w:r w:rsidRPr="00C34505">
        <w:rPr>
          <w:rFonts w:cstheme="minorHAnsi"/>
          <w:b/>
          <w:bCs/>
        </w:rPr>
        <w:lastRenderedPageBreak/>
        <w:t>Appendix 6 – TiDIER table</w:t>
      </w:r>
    </w:p>
    <w:tbl>
      <w:tblPr>
        <w:tblW w:w="13200" w:type="dxa"/>
        <w:tblLook w:val="04A0" w:firstRow="1" w:lastRow="0" w:firstColumn="1" w:lastColumn="0" w:noHBand="0" w:noVBand="1"/>
      </w:tblPr>
      <w:tblGrid>
        <w:gridCol w:w="863"/>
        <w:gridCol w:w="1174"/>
        <w:gridCol w:w="1174"/>
        <w:gridCol w:w="1173"/>
        <w:gridCol w:w="1337"/>
        <w:gridCol w:w="1175"/>
        <w:gridCol w:w="1226"/>
        <w:gridCol w:w="1146"/>
        <w:gridCol w:w="1179"/>
        <w:gridCol w:w="1481"/>
        <w:gridCol w:w="1272"/>
      </w:tblGrid>
      <w:tr w:rsidR="00594608" w:rsidRPr="00594608" w14:paraId="7C7E0D98" w14:textId="77777777" w:rsidTr="00594608">
        <w:trPr>
          <w:trHeight w:val="375"/>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14:paraId="65CD8817" w14:textId="77777777" w:rsidR="00594608" w:rsidRPr="00594608" w:rsidRDefault="00594608" w:rsidP="00594608">
            <w:pPr>
              <w:spacing w:after="0" w:line="240" w:lineRule="auto"/>
              <w:rPr>
                <w:rFonts w:ascii="Calibri" w:eastAsia="Times New Roman" w:hAnsi="Calibri" w:cs="Calibri"/>
                <w:b/>
                <w:bCs/>
                <w:color w:val="000000"/>
                <w:sz w:val="14"/>
                <w:szCs w:val="14"/>
                <w:lang w:eastAsia="en-AU"/>
              </w:rPr>
            </w:pPr>
            <w:r w:rsidRPr="00594608">
              <w:rPr>
                <w:rFonts w:ascii="Calibri" w:eastAsia="Times New Roman" w:hAnsi="Calibri" w:cs="Calibri"/>
                <w:b/>
                <w:bCs/>
                <w:color w:val="000000"/>
                <w:sz w:val="14"/>
                <w:szCs w:val="14"/>
                <w:lang w:eastAsia="en-AU"/>
              </w:rPr>
              <w:t> </w:t>
            </w:r>
          </w:p>
        </w:tc>
        <w:tc>
          <w:tcPr>
            <w:tcW w:w="1180" w:type="dxa"/>
            <w:tcBorders>
              <w:top w:val="single" w:sz="4" w:space="0" w:color="auto"/>
              <w:left w:val="nil"/>
              <w:bottom w:val="single" w:sz="4" w:space="0" w:color="auto"/>
              <w:right w:val="single" w:sz="4" w:space="0" w:color="auto"/>
            </w:tcBorders>
            <w:shd w:val="clear" w:color="auto" w:fill="auto"/>
            <w:hideMark/>
          </w:tcPr>
          <w:p w14:paraId="18EACA9A" w14:textId="77777777" w:rsidR="00594608" w:rsidRPr="00594608" w:rsidRDefault="00594608" w:rsidP="00594608">
            <w:pPr>
              <w:spacing w:after="0" w:line="240" w:lineRule="auto"/>
              <w:rPr>
                <w:rFonts w:ascii="Calibri" w:eastAsia="Times New Roman" w:hAnsi="Calibri" w:cs="Calibri"/>
                <w:b/>
                <w:bCs/>
                <w:color w:val="000000"/>
                <w:sz w:val="14"/>
                <w:szCs w:val="14"/>
                <w:lang w:eastAsia="en-AU"/>
              </w:rPr>
            </w:pPr>
            <w:r w:rsidRPr="00594608">
              <w:rPr>
                <w:rFonts w:ascii="Calibri" w:eastAsia="Times New Roman" w:hAnsi="Calibri" w:cs="Calibri"/>
                <w:b/>
                <w:bCs/>
                <w:color w:val="000000"/>
                <w:sz w:val="14"/>
                <w:szCs w:val="14"/>
                <w:lang w:eastAsia="en-AU"/>
              </w:rPr>
              <w:t>Brief name</w:t>
            </w:r>
          </w:p>
        </w:tc>
        <w:tc>
          <w:tcPr>
            <w:tcW w:w="1180" w:type="dxa"/>
            <w:tcBorders>
              <w:top w:val="single" w:sz="4" w:space="0" w:color="auto"/>
              <w:left w:val="nil"/>
              <w:bottom w:val="single" w:sz="4" w:space="0" w:color="auto"/>
              <w:right w:val="single" w:sz="4" w:space="0" w:color="auto"/>
            </w:tcBorders>
            <w:shd w:val="clear" w:color="auto" w:fill="auto"/>
            <w:hideMark/>
          </w:tcPr>
          <w:p w14:paraId="026B2D2C" w14:textId="77777777" w:rsidR="00594608" w:rsidRPr="00594608" w:rsidRDefault="00594608" w:rsidP="00594608">
            <w:pPr>
              <w:spacing w:after="0" w:line="240" w:lineRule="auto"/>
              <w:rPr>
                <w:rFonts w:ascii="Calibri" w:eastAsia="Times New Roman" w:hAnsi="Calibri" w:cs="Calibri"/>
                <w:b/>
                <w:bCs/>
                <w:color w:val="000000"/>
                <w:sz w:val="14"/>
                <w:szCs w:val="14"/>
                <w:lang w:eastAsia="en-AU"/>
              </w:rPr>
            </w:pPr>
            <w:r w:rsidRPr="00594608">
              <w:rPr>
                <w:rFonts w:ascii="Calibri" w:eastAsia="Times New Roman" w:hAnsi="Calibri" w:cs="Calibri"/>
                <w:b/>
                <w:bCs/>
                <w:color w:val="000000"/>
                <w:sz w:val="14"/>
                <w:szCs w:val="14"/>
                <w:lang w:eastAsia="en-AU"/>
              </w:rPr>
              <w:t>Why?</w:t>
            </w:r>
          </w:p>
        </w:tc>
        <w:tc>
          <w:tcPr>
            <w:tcW w:w="1180" w:type="dxa"/>
            <w:tcBorders>
              <w:top w:val="single" w:sz="4" w:space="0" w:color="auto"/>
              <w:left w:val="nil"/>
              <w:bottom w:val="single" w:sz="4" w:space="0" w:color="auto"/>
              <w:right w:val="single" w:sz="4" w:space="0" w:color="auto"/>
            </w:tcBorders>
            <w:shd w:val="clear" w:color="auto" w:fill="auto"/>
            <w:hideMark/>
          </w:tcPr>
          <w:p w14:paraId="64B09F70" w14:textId="77777777" w:rsidR="00594608" w:rsidRPr="00594608" w:rsidRDefault="00594608" w:rsidP="00594608">
            <w:pPr>
              <w:spacing w:after="0" w:line="240" w:lineRule="auto"/>
              <w:rPr>
                <w:rFonts w:ascii="Calibri" w:eastAsia="Times New Roman" w:hAnsi="Calibri" w:cs="Calibri"/>
                <w:b/>
                <w:bCs/>
                <w:color w:val="000000"/>
                <w:sz w:val="14"/>
                <w:szCs w:val="14"/>
                <w:lang w:eastAsia="en-AU"/>
              </w:rPr>
            </w:pPr>
            <w:r w:rsidRPr="00594608">
              <w:rPr>
                <w:rFonts w:ascii="Calibri" w:eastAsia="Times New Roman" w:hAnsi="Calibri" w:cs="Calibri"/>
                <w:b/>
                <w:bCs/>
                <w:color w:val="000000"/>
                <w:sz w:val="14"/>
                <w:szCs w:val="14"/>
                <w:lang w:eastAsia="en-AU"/>
              </w:rPr>
              <w:t>What?</w:t>
            </w:r>
          </w:p>
        </w:tc>
        <w:tc>
          <w:tcPr>
            <w:tcW w:w="1180" w:type="dxa"/>
            <w:tcBorders>
              <w:top w:val="single" w:sz="4" w:space="0" w:color="auto"/>
              <w:left w:val="nil"/>
              <w:bottom w:val="single" w:sz="4" w:space="0" w:color="auto"/>
              <w:right w:val="single" w:sz="4" w:space="0" w:color="auto"/>
            </w:tcBorders>
            <w:shd w:val="clear" w:color="auto" w:fill="auto"/>
            <w:hideMark/>
          </w:tcPr>
          <w:p w14:paraId="66E17D34" w14:textId="77777777" w:rsidR="00594608" w:rsidRPr="00594608" w:rsidRDefault="00594608" w:rsidP="00594608">
            <w:pPr>
              <w:spacing w:after="0" w:line="240" w:lineRule="auto"/>
              <w:rPr>
                <w:rFonts w:ascii="Calibri" w:eastAsia="Times New Roman" w:hAnsi="Calibri" w:cs="Calibri"/>
                <w:b/>
                <w:bCs/>
                <w:color w:val="000000"/>
                <w:sz w:val="14"/>
                <w:szCs w:val="14"/>
                <w:lang w:eastAsia="en-AU"/>
              </w:rPr>
            </w:pPr>
            <w:r w:rsidRPr="00594608">
              <w:rPr>
                <w:rFonts w:ascii="Calibri" w:eastAsia="Times New Roman" w:hAnsi="Calibri" w:cs="Calibri"/>
                <w:b/>
                <w:bCs/>
                <w:color w:val="000000"/>
                <w:sz w:val="14"/>
                <w:szCs w:val="14"/>
                <w:lang w:eastAsia="en-AU"/>
              </w:rPr>
              <w:t>Who provided?</w:t>
            </w:r>
          </w:p>
        </w:tc>
        <w:tc>
          <w:tcPr>
            <w:tcW w:w="1180" w:type="dxa"/>
            <w:tcBorders>
              <w:top w:val="single" w:sz="4" w:space="0" w:color="auto"/>
              <w:left w:val="nil"/>
              <w:bottom w:val="single" w:sz="4" w:space="0" w:color="auto"/>
              <w:right w:val="single" w:sz="4" w:space="0" w:color="auto"/>
            </w:tcBorders>
            <w:shd w:val="clear" w:color="auto" w:fill="auto"/>
            <w:hideMark/>
          </w:tcPr>
          <w:p w14:paraId="738D2BD9" w14:textId="77777777" w:rsidR="00594608" w:rsidRPr="00594608" w:rsidRDefault="00594608" w:rsidP="00594608">
            <w:pPr>
              <w:spacing w:after="0" w:line="240" w:lineRule="auto"/>
              <w:rPr>
                <w:rFonts w:ascii="Calibri" w:eastAsia="Times New Roman" w:hAnsi="Calibri" w:cs="Calibri"/>
                <w:b/>
                <w:bCs/>
                <w:color w:val="000000"/>
                <w:sz w:val="14"/>
                <w:szCs w:val="14"/>
                <w:lang w:eastAsia="en-AU"/>
              </w:rPr>
            </w:pPr>
            <w:r w:rsidRPr="00594608">
              <w:rPr>
                <w:rFonts w:ascii="Calibri" w:eastAsia="Times New Roman" w:hAnsi="Calibri" w:cs="Calibri"/>
                <w:b/>
                <w:bCs/>
                <w:color w:val="000000"/>
                <w:sz w:val="14"/>
                <w:szCs w:val="14"/>
                <w:lang w:eastAsia="en-AU"/>
              </w:rPr>
              <w:t>How?</w:t>
            </w:r>
          </w:p>
        </w:tc>
        <w:tc>
          <w:tcPr>
            <w:tcW w:w="1180" w:type="dxa"/>
            <w:tcBorders>
              <w:top w:val="single" w:sz="4" w:space="0" w:color="auto"/>
              <w:left w:val="nil"/>
              <w:bottom w:val="single" w:sz="4" w:space="0" w:color="auto"/>
              <w:right w:val="single" w:sz="4" w:space="0" w:color="auto"/>
            </w:tcBorders>
            <w:shd w:val="clear" w:color="auto" w:fill="auto"/>
            <w:hideMark/>
          </w:tcPr>
          <w:p w14:paraId="09D81C9F" w14:textId="77777777" w:rsidR="00594608" w:rsidRPr="00594608" w:rsidRDefault="00594608" w:rsidP="00594608">
            <w:pPr>
              <w:spacing w:after="0" w:line="240" w:lineRule="auto"/>
              <w:rPr>
                <w:rFonts w:ascii="Calibri" w:eastAsia="Times New Roman" w:hAnsi="Calibri" w:cs="Calibri"/>
                <w:b/>
                <w:bCs/>
                <w:color w:val="000000"/>
                <w:sz w:val="14"/>
                <w:szCs w:val="14"/>
                <w:lang w:eastAsia="en-AU"/>
              </w:rPr>
            </w:pPr>
            <w:r w:rsidRPr="00594608">
              <w:rPr>
                <w:rFonts w:ascii="Calibri" w:eastAsia="Times New Roman" w:hAnsi="Calibri" w:cs="Calibri"/>
                <w:b/>
                <w:bCs/>
                <w:color w:val="000000"/>
                <w:sz w:val="14"/>
                <w:szCs w:val="14"/>
                <w:lang w:eastAsia="en-AU"/>
              </w:rPr>
              <w:t>Where?</w:t>
            </w:r>
          </w:p>
        </w:tc>
        <w:tc>
          <w:tcPr>
            <w:tcW w:w="1180" w:type="dxa"/>
            <w:tcBorders>
              <w:top w:val="single" w:sz="4" w:space="0" w:color="auto"/>
              <w:left w:val="nil"/>
              <w:bottom w:val="single" w:sz="4" w:space="0" w:color="auto"/>
              <w:right w:val="single" w:sz="4" w:space="0" w:color="auto"/>
            </w:tcBorders>
            <w:shd w:val="clear" w:color="auto" w:fill="auto"/>
            <w:hideMark/>
          </w:tcPr>
          <w:p w14:paraId="42CEABBF" w14:textId="77777777" w:rsidR="00594608" w:rsidRPr="00594608" w:rsidRDefault="00594608" w:rsidP="00594608">
            <w:pPr>
              <w:spacing w:after="0" w:line="240" w:lineRule="auto"/>
              <w:rPr>
                <w:rFonts w:ascii="Calibri" w:eastAsia="Times New Roman" w:hAnsi="Calibri" w:cs="Calibri"/>
                <w:b/>
                <w:bCs/>
                <w:color w:val="000000"/>
                <w:sz w:val="14"/>
                <w:szCs w:val="14"/>
                <w:lang w:eastAsia="en-AU"/>
              </w:rPr>
            </w:pPr>
            <w:r w:rsidRPr="00594608">
              <w:rPr>
                <w:rFonts w:ascii="Calibri" w:eastAsia="Times New Roman" w:hAnsi="Calibri" w:cs="Calibri"/>
                <w:b/>
                <w:bCs/>
                <w:color w:val="000000"/>
                <w:sz w:val="14"/>
                <w:szCs w:val="14"/>
                <w:lang w:eastAsia="en-AU"/>
              </w:rPr>
              <w:t>When and how much?</w:t>
            </w:r>
          </w:p>
        </w:tc>
        <w:tc>
          <w:tcPr>
            <w:tcW w:w="1180" w:type="dxa"/>
            <w:tcBorders>
              <w:top w:val="single" w:sz="4" w:space="0" w:color="auto"/>
              <w:left w:val="nil"/>
              <w:bottom w:val="single" w:sz="4" w:space="0" w:color="auto"/>
              <w:right w:val="single" w:sz="4" w:space="0" w:color="auto"/>
            </w:tcBorders>
            <w:shd w:val="clear" w:color="auto" w:fill="auto"/>
            <w:hideMark/>
          </w:tcPr>
          <w:p w14:paraId="0D9F89C5" w14:textId="77777777" w:rsidR="00594608" w:rsidRPr="00594608" w:rsidRDefault="00594608" w:rsidP="00594608">
            <w:pPr>
              <w:spacing w:after="0" w:line="240" w:lineRule="auto"/>
              <w:rPr>
                <w:rFonts w:ascii="Calibri" w:eastAsia="Times New Roman" w:hAnsi="Calibri" w:cs="Calibri"/>
                <w:b/>
                <w:bCs/>
                <w:color w:val="000000"/>
                <w:sz w:val="14"/>
                <w:szCs w:val="14"/>
                <w:lang w:eastAsia="en-AU"/>
              </w:rPr>
            </w:pPr>
            <w:r w:rsidRPr="00594608">
              <w:rPr>
                <w:rFonts w:ascii="Calibri" w:eastAsia="Times New Roman" w:hAnsi="Calibri" w:cs="Calibri"/>
                <w:b/>
                <w:bCs/>
                <w:color w:val="000000"/>
                <w:sz w:val="14"/>
                <w:szCs w:val="14"/>
                <w:lang w:eastAsia="en-AU"/>
              </w:rPr>
              <w:t>Tailoring</w:t>
            </w:r>
          </w:p>
        </w:tc>
        <w:tc>
          <w:tcPr>
            <w:tcW w:w="1580" w:type="dxa"/>
            <w:tcBorders>
              <w:top w:val="single" w:sz="4" w:space="0" w:color="auto"/>
              <w:left w:val="nil"/>
              <w:bottom w:val="single" w:sz="4" w:space="0" w:color="auto"/>
              <w:right w:val="single" w:sz="4" w:space="0" w:color="auto"/>
            </w:tcBorders>
            <w:shd w:val="clear" w:color="auto" w:fill="auto"/>
            <w:hideMark/>
          </w:tcPr>
          <w:p w14:paraId="3C74F3B4" w14:textId="77777777" w:rsidR="00594608" w:rsidRPr="00594608" w:rsidRDefault="00594608" w:rsidP="00594608">
            <w:pPr>
              <w:spacing w:after="0" w:line="240" w:lineRule="auto"/>
              <w:rPr>
                <w:rFonts w:ascii="Calibri" w:eastAsia="Times New Roman" w:hAnsi="Calibri" w:cs="Calibri"/>
                <w:b/>
                <w:bCs/>
                <w:color w:val="000000"/>
                <w:sz w:val="14"/>
                <w:szCs w:val="14"/>
                <w:lang w:eastAsia="en-AU"/>
              </w:rPr>
            </w:pPr>
            <w:r w:rsidRPr="00594608">
              <w:rPr>
                <w:rFonts w:ascii="Calibri" w:eastAsia="Times New Roman" w:hAnsi="Calibri" w:cs="Calibri"/>
                <w:b/>
                <w:bCs/>
                <w:color w:val="000000"/>
                <w:sz w:val="14"/>
                <w:szCs w:val="14"/>
                <w:lang w:eastAsia="en-AU"/>
              </w:rPr>
              <w:t>Modification</w:t>
            </w:r>
          </w:p>
        </w:tc>
        <w:tc>
          <w:tcPr>
            <w:tcW w:w="1300" w:type="dxa"/>
            <w:tcBorders>
              <w:top w:val="single" w:sz="4" w:space="0" w:color="auto"/>
              <w:left w:val="nil"/>
              <w:bottom w:val="single" w:sz="4" w:space="0" w:color="auto"/>
              <w:right w:val="single" w:sz="4" w:space="0" w:color="auto"/>
            </w:tcBorders>
            <w:shd w:val="clear" w:color="auto" w:fill="auto"/>
            <w:hideMark/>
          </w:tcPr>
          <w:p w14:paraId="6DB60F83" w14:textId="77777777" w:rsidR="00594608" w:rsidRPr="00594608" w:rsidRDefault="00594608" w:rsidP="00594608">
            <w:pPr>
              <w:spacing w:after="0" w:line="240" w:lineRule="auto"/>
              <w:rPr>
                <w:rFonts w:ascii="Calibri" w:eastAsia="Times New Roman" w:hAnsi="Calibri" w:cs="Calibri"/>
                <w:b/>
                <w:bCs/>
                <w:color w:val="000000"/>
                <w:sz w:val="14"/>
                <w:szCs w:val="14"/>
                <w:lang w:eastAsia="en-AU"/>
              </w:rPr>
            </w:pPr>
            <w:r w:rsidRPr="00594608">
              <w:rPr>
                <w:rFonts w:ascii="Calibri" w:eastAsia="Times New Roman" w:hAnsi="Calibri" w:cs="Calibri"/>
                <w:b/>
                <w:bCs/>
                <w:color w:val="000000"/>
                <w:sz w:val="14"/>
                <w:szCs w:val="14"/>
                <w:lang w:eastAsia="en-AU"/>
              </w:rPr>
              <w:t>How well?</w:t>
            </w:r>
          </w:p>
        </w:tc>
      </w:tr>
      <w:tr w:rsidR="00594608" w:rsidRPr="00594608" w14:paraId="7D83EBD4" w14:textId="77777777" w:rsidTr="00594608">
        <w:trPr>
          <w:trHeight w:val="2142"/>
        </w:trPr>
        <w:tc>
          <w:tcPr>
            <w:tcW w:w="880" w:type="dxa"/>
            <w:tcBorders>
              <w:top w:val="nil"/>
              <w:left w:val="single" w:sz="4" w:space="0" w:color="auto"/>
              <w:bottom w:val="single" w:sz="4" w:space="0" w:color="auto"/>
              <w:right w:val="single" w:sz="4" w:space="0" w:color="auto"/>
            </w:tcBorders>
            <w:shd w:val="clear" w:color="auto" w:fill="auto"/>
            <w:hideMark/>
          </w:tcPr>
          <w:p w14:paraId="0ADC8DE9" w14:textId="77777777" w:rsidR="00594608" w:rsidRPr="00594608" w:rsidRDefault="00594608" w:rsidP="00594608">
            <w:pPr>
              <w:spacing w:after="0" w:line="240" w:lineRule="auto"/>
              <w:rPr>
                <w:rFonts w:ascii="Calibri" w:eastAsia="Times New Roman" w:hAnsi="Calibri" w:cs="Calibri"/>
                <w:b/>
                <w:bCs/>
                <w:color w:val="000000"/>
                <w:sz w:val="14"/>
                <w:szCs w:val="14"/>
                <w:lang w:eastAsia="en-AU"/>
              </w:rPr>
            </w:pPr>
            <w:r w:rsidRPr="00594608">
              <w:rPr>
                <w:rFonts w:ascii="Calibri" w:eastAsia="Times New Roman" w:hAnsi="Calibri" w:cs="Calibri"/>
                <w:b/>
                <w:bCs/>
                <w:color w:val="000000"/>
                <w:sz w:val="14"/>
                <w:szCs w:val="14"/>
                <w:lang w:eastAsia="en-AU"/>
              </w:rPr>
              <w:t>Epstein et al., 2016</w:t>
            </w:r>
          </w:p>
        </w:tc>
        <w:tc>
          <w:tcPr>
            <w:tcW w:w="1180" w:type="dxa"/>
            <w:tcBorders>
              <w:top w:val="nil"/>
              <w:left w:val="nil"/>
              <w:bottom w:val="single" w:sz="4" w:space="0" w:color="auto"/>
              <w:right w:val="single" w:sz="4" w:space="0" w:color="auto"/>
            </w:tcBorders>
            <w:shd w:val="clear" w:color="auto" w:fill="auto"/>
            <w:hideMark/>
          </w:tcPr>
          <w:p w14:paraId="4A3CE9B4"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An intervention to reduce fresh gas flow</w:t>
            </w:r>
          </w:p>
        </w:tc>
        <w:tc>
          <w:tcPr>
            <w:tcW w:w="1180" w:type="dxa"/>
            <w:tcBorders>
              <w:top w:val="nil"/>
              <w:left w:val="nil"/>
              <w:bottom w:val="single" w:sz="4" w:space="0" w:color="auto"/>
              <w:right w:val="single" w:sz="4" w:space="0" w:color="auto"/>
            </w:tcBorders>
            <w:shd w:val="clear" w:color="auto" w:fill="auto"/>
            <w:hideMark/>
          </w:tcPr>
          <w:p w14:paraId="1DDE71DD"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To change cost and reduce wastage</w:t>
            </w:r>
          </w:p>
        </w:tc>
        <w:tc>
          <w:tcPr>
            <w:tcW w:w="1180" w:type="dxa"/>
            <w:tcBorders>
              <w:top w:val="nil"/>
              <w:left w:val="nil"/>
              <w:bottom w:val="single" w:sz="4" w:space="0" w:color="auto"/>
              <w:right w:val="single" w:sz="4" w:space="0" w:color="auto"/>
            </w:tcBorders>
            <w:shd w:val="clear" w:color="auto" w:fill="auto"/>
            <w:hideMark/>
          </w:tcPr>
          <w:p w14:paraId="79C2EC18"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Change in policy</w:t>
            </w:r>
            <w:r w:rsidRPr="00594608">
              <w:rPr>
                <w:rFonts w:ascii="Calibri" w:eastAsia="Times New Roman" w:hAnsi="Calibri" w:cs="Calibri"/>
                <w:color w:val="000000"/>
                <w:sz w:val="14"/>
                <w:szCs w:val="14"/>
                <w:lang w:eastAsia="en-AU"/>
              </w:rPr>
              <w:br/>
              <w:t>Regular email updates</w:t>
            </w:r>
            <w:r w:rsidRPr="00594608">
              <w:rPr>
                <w:rFonts w:ascii="Calibri" w:eastAsia="Times New Roman" w:hAnsi="Calibri" w:cs="Calibri"/>
                <w:color w:val="000000"/>
                <w:sz w:val="14"/>
                <w:szCs w:val="14"/>
                <w:lang w:eastAsia="en-AU"/>
              </w:rPr>
              <w:br/>
              <w:t>Public announcements</w:t>
            </w:r>
            <w:r w:rsidRPr="00594608">
              <w:rPr>
                <w:rFonts w:ascii="Calibri" w:eastAsia="Times New Roman" w:hAnsi="Calibri" w:cs="Calibri"/>
                <w:color w:val="000000"/>
                <w:sz w:val="14"/>
                <w:szCs w:val="14"/>
                <w:lang w:eastAsia="en-AU"/>
              </w:rPr>
              <w:br/>
              <w:t xml:space="preserve">Personalised feedback </w:t>
            </w:r>
            <w:r w:rsidRPr="00594608">
              <w:rPr>
                <w:rFonts w:ascii="Calibri" w:eastAsia="Times New Roman" w:hAnsi="Calibri" w:cs="Calibri"/>
                <w:color w:val="000000"/>
                <w:sz w:val="14"/>
                <w:szCs w:val="14"/>
                <w:lang w:eastAsia="en-AU"/>
              </w:rPr>
              <w:br/>
              <w:t>Canisters changed</w:t>
            </w:r>
            <w:r w:rsidRPr="00594608">
              <w:rPr>
                <w:rFonts w:ascii="Calibri" w:eastAsia="Times New Roman" w:hAnsi="Calibri" w:cs="Calibri"/>
                <w:color w:val="000000"/>
                <w:sz w:val="14"/>
                <w:szCs w:val="14"/>
                <w:lang w:eastAsia="en-AU"/>
              </w:rPr>
              <w:br/>
              <w:t>Reminder notes on machines</w:t>
            </w:r>
          </w:p>
        </w:tc>
        <w:tc>
          <w:tcPr>
            <w:tcW w:w="1180" w:type="dxa"/>
            <w:tcBorders>
              <w:top w:val="nil"/>
              <w:left w:val="nil"/>
              <w:bottom w:val="single" w:sz="4" w:space="0" w:color="auto"/>
              <w:right w:val="single" w:sz="4" w:space="0" w:color="auto"/>
            </w:tcBorders>
            <w:shd w:val="clear" w:color="auto" w:fill="auto"/>
            <w:hideMark/>
          </w:tcPr>
          <w:p w14:paraId="45E8597E"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Anaesthesia providers (anaesthesiologists, nurse anaesthetists, anaesthesiology residents) within a hospital setting</w:t>
            </w:r>
          </w:p>
        </w:tc>
        <w:tc>
          <w:tcPr>
            <w:tcW w:w="1180" w:type="dxa"/>
            <w:tcBorders>
              <w:top w:val="nil"/>
              <w:left w:val="nil"/>
              <w:bottom w:val="single" w:sz="4" w:space="0" w:color="auto"/>
              <w:right w:val="single" w:sz="4" w:space="0" w:color="auto"/>
            </w:tcBorders>
            <w:shd w:val="clear" w:color="auto" w:fill="auto"/>
            <w:hideMark/>
          </w:tcPr>
          <w:p w14:paraId="7DBE0B84"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As a group - email and face to face announcements at team meetings. Personalised email reports sent throughout study period</w:t>
            </w:r>
          </w:p>
        </w:tc>
        <w:tc>
          <w:tcPr>
            <w:tcW w:w="1180" w:type="dxa"/>
            <w:tcBorders>
              <w:top w:val="nil"/>
              <w:left w:val="nil"/>
              <w:bottom w:val="single" w:sz="4" w:space="0" w:color="auto"/>
              <w:right w:val="single" w:sz="4" w:space="0" w:color="auto"/>
            </w:tcBorders>
            <w:shd w:val="clear" w:color="auto" w:fill="auto"/>
            <w:hideMark/>
          </w:tcPr>
          <w:p w14:paraId="7ECCB17F"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In a hospital setting. Grand Rounds meetings, strategic placing of reminders in the physical environment</w:t>
            </w:r>
          </w:p>
        </w:tc>
        <w:tc>
          <w:tcPr>
            <w:tcW w:w="1180" w:type="dxa"/>
            <w:tcBorders>
              <w:top w:val="nil"/>
              <w:left w:val="nil"/>
              <w:bottom w:val="single" w:sz="4" w:space="0" w:color="auto"/>
              <w:right w:val="single" w:sz="4" w:space="0" w:color="auto"/>
            </w:tcBorders>
            <w:shd w:val="clear" w:color="auto" w:fill="auto"/>
            <w:hideMark/>
          </w:tcPr>
          <w:p w14:paraId="0DC260BB"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One off intervention in May 2014. Measured before and after over 8 4 week periods</w:t>
            </w:r>
          </w:p>
        </w:tc>
        <w:tc>
          <w:tcPr>
            <w:tcW w:w="1180" w:type="dxa"/>
            <w:tcBorders>
              <w:top w:val="nil"/>
              <w:left w:val="nil"/>
              <w:bottom w:val="single" w:sz="4" w:space="0" w:color="auto"/>
              <w:right w:val="single" w:sz="4" w:space="0" w:color="auto"/>
            </w:tcBorders>
            <w:shd w:val="clear" w:color="auto" w:fill="auto"/>
            <w:hideMark/>
          </w:tcPr>
          <w:p w14:paraId="7505A8B1"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Both general and personalised. Every provider received the same prompts and announcements, but personalised emails were sent about individual usage</w:t>
            </w:r>
          </w:p>
        </w:tc>
        <w:tc>
          <w:tcPr>
            <w:tcW w:w="1580" w:type="dxa"/>
            <w:tcBorders>
              <w:top w:val="nil"/>
              <w:left w:val="nil"/>
              <w:bottom w:val="single" w:sz="4" w:space="0" w:color="auto"/>
              <w:right w:val="single" w:sz="4" w:space="0" w:color="auto"/>
            </w:tcBorders>
            <w:shd w:val="clear" w:color="auto" w:fill="auto"/>
            <w:hideMark/>
          </w:tcPr>
          <w:p w14:paraId="7525886E" w14:textId="3D562372"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 xml:space="preserve">The anaesthetists were having difficulty knowing when to change the </w:t>
            </w:r>
            <w:r w:rsidR="00F71F1B" w:rsidRPr="00594608">
              <w:rPr>
                <w:rFonts w:ascii="Calibri" w:eastAsia="Times New Roman" w:hAnsi="Calibri" w:cs="Calibri"/>
                <w:color w:val="000000"/>
                <w:sz w:val="14"/>
                <w:szCs w:val="14"/>
                <w:lang w:eastAsia="en-AU"/>
              </w:rPr>
              <w:t>absorbent</w:t>
            </w:r>
            <w:r w:rsidRPr="00594608">
              <w:rPr>
                <w:rFonts w:ascii="Calibri" w:eastAsia="Times New Roman" w:hAnsi="Calibri" w:cs="Calibri"/>
                <w:color w:val="000000"/>
                <w:sz w:val="14"/>
                <w:szCs w:val="14"/>
                <w:lang w:eastAsia="en-AU"/>
              </w:rPr>
              <w:t>. So introduced text message notifications, physical prompts on the machines, and email reminders</w:t>
            </w:r>
          </w:p>
        </w:tc>
        <w:tc>
          <w:tcPr>
            <w:tcW w:w="1300" w:type="dxa"/>
            <w:tcBorders>
              <w:top w:val="nil"/>
              <w:left w:val="nil"/>
              <w:bottom w:val="single" w:sz="4" w:space="0" w:color="auto"/>
              <w:right w:val="single" w:sz="4" w:space="0" w:color="auto"/>
            </w:tcBorders>
            <w:shd w:val="clear" w:color="auto" w:fill="auto"/>
            <w:hideMark/>
          </w:tcPr>
          <w:p w14:paraId="3BEFE729"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Not assessed</w:t>
            </w:r>
          </w:p>
        </w:tc>
      </w:tr>
      <w:tr w:rsidR="00594608" w:rsidRPr="00594608" w14:paraId="7EAEC6BD" w14:textId="77777777" w:rsidTr="00594608">
        <w:trPr>
          <w:trHeight w:val="3060"/>
        </w:trPr>
        <w:tc>
          <w:tcPr>
            <w:tcW w:w="880" w:type="dxa"/>
            <w:tcBorders>
              <w:top w:val="nil"/>
              <w:left w:val="single" w:sz="4" w:space="0" w:color="auto"/>
              <w:bottom w:val="single" w:sz="4" w:space="0" w:color="auto"/>
              <w:right w:val="single" w:sz="4" w:space="0" w:color="auto"/>
            </w:tcBorders>
            <w:shd w:val="clear" w:color="auto" w:fill="auto"/>
            <w:hideMark/>
          </w:tcPr>
          <w:p w14:paraId="48FB1F59" w14:textId="77777777" w:rsidR="00594608" w:rsidRPr="00594608" w:rsidRDefault="00594608" w:rsidP="00594608">
            <w:pPr>
              <w:spacing w:after="0" w:line="240" w:lineRule="auto"/>
              <w:rPr>
                <w:rFonts w:ascii="Calibri" w:eastAsia="Times New Roman" w:hAnsi="Calibri" w:cs="Calibri"/>
                <w:b/>
                <w:bCs/>
                <w:color w:val="000000"/>
                <w:sz w:val="14"/>
                <w:szCs w:val="14"/>
                <w:lang w:eastAsia="en-AU"/>
              </w:rPr>
            </w:pPr>
            <w:r w:rsidRPr="00594608">
              <w:rPr>
                <w:rFonts w:ascii="Calibri" w:eastAsia="Times New Roman" w:hAnsi="Calibri" w:cs="Calibri"/>
                <w:b/>
                <w:bCs/>
                <w:color w:val="000000"/>
                <w:sz w:val="14"/>
                <w:szCs w:val="14"/>
                <w:lang w:eastAsia="en-AU"/>
              </w:rPr>
              <w:t>Regan et al., 2018</w:t>
            </w:r>
          </w:p>
        </w:tc>
        <w:tc>
          <w:tcPr>
            <w:tcW w:w="1180" w:type="dxa"/>
            <w:tcBorders>
              <w:top w:val="nil"/>
              <w:left w:val="nil"/>
              <w:bottom w:val="single" w:sz="4" w:space="0" w:color="auto"/>
              <w:right w:val="single" w:sz="4" w:space="0" w:color="auto"/>
            </w:tcBorders>
            <w:shd w:val="clear" w:color="auto" w:fill="auto"/>
            <w:hideMark/>
          </w:tcPr>
          <w:p w14:paraId="64EE7292"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An intervention to reduce combined biochemical tests ordered by half</w:t>
            </w:r>
          </w:p>
        </w:tc>
        <w:tc>
          <w:tcPr>
            <w:tcW w:w="1180" w:type="dxa"/>
            <w:tcBorders>
              <w:top w:val="nil"/>
              <w:left w:val="nil"/>
              <w:bottom w:val="single" w:sz="4" w:space="0" w:color="auto"/>
              <w:right w:val="single" w:sz="4" w:space="0" w:color="auto"/>
            </w:tcBorders>
            <w:shd w:val="clear" w:color="auto" w:fill="auto"/>
            <w:hideMark/>
          </w:tcPr>
          <w:p w14:paraId="2AAE31B1"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To reduce financial costs and carbon dioxide emissions</w:t>
            </w:r>
          </w:p>
        </w:tc>
        <w:tc>
          <w:tcPr>
            <w:tcW w:w="1180" w:type="dxa"/>
            <w:tcBorders>
              <w:top w:val="nil"/>
              <w:left w:val="nil"/>
              <w:bottom w:val="single" w:sz="4" w:space="0" w:color="auto"/>
              <w:right w:val="single" w:sz="4" w:space="0" w:color="auto"/>
            </w:tcBorders>
            <w:shd w:val="clear" w:color="auto" w:fill="auto"/>
            <w:hideMark/>
          </w:tcPr>
          <w:p w14:paraId="77B5274B"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Target set</w:t>
            </w:r>
            <w:r w:rsidRPr="00594608">
              <w:rPr>
                <w:rFonts w:ascii="Calibri" w:eastAsia="Times New Roman" w:hAnsi="Calibri" w:cs="Calibri"/>
                <w:color w:val="000000"/>
                <w:sz w:val="14"/>
                <w:szCs w:val="14"/>
                <w:lang w:eastAsia="en-AU"/>
              </w:rPr>
              <w:br/>
              <w:t>Educational posters</w:t>
            </w:r>
            <w:r w:rsidRPr="00594608">
              <w:rPr>
                <w:rFonts w:ascii="Calibri" w:eastAsia="Times New Roman" w:hAnsi="Calibri" w:cs="Calibri"/>
                <w:color w:val="000000"/>
                <w:sz w:val="14"/>
                <w:szCs w:val="14"/>
                <w:lang w:eastAsia="en-AU"/>
              </w:rPr>
              <w:br/>
              <w:t>Cartoon-based stickers</w:t>
            </w:r>
            <w:r w:rsidRPr="00594608">
              <w:rPr>
                <w:rFonts w:ascii="Calibri" w:eastAsia="Times New Roman" w:hAnsi="Calibri" w:cs="Calibri"/>
                <w:color w:val="000000"/>
                <w:sz w:val="14"/>
                <w:szCs w:val="14"/>
                <w:lang w:eastAsia="en-AU"/>
              </w:rPr>
              <w:br/>
              <w:t>Incentivised celebratory tea trolley for targets met</w:t>
            </w:r>
          </w:p>
        </w:tc>
        <w:tc>
          <w:tcPr>
            <w:tcW w:w="1180" w:type="dxa"/>
            <w:tcBorders>
              <w:top w:val="nil"/>
              <w:left w:val="nil"/>
              <w:bottom w:val="single" w:sz="4" w:space="0" w:color="auto"/>
              <w:right w:val="single" w:sz="4" w:space="0" w:color="auto"/>
            </w:tcBorders>
            <w:shd w:val="clear" w:color="auto" w:fill="auto"/>
            <w:hideMark/>
          </w:tcPr>
          <w:p w14:paraId="7BB159D6"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Clinical staff on ward who order biochemical tests</w:t>
            </w:r>
          </w:p>
        </w:tc>
        <w:tc>
          <w:tcPr>
            <w:tcW w:w="1180" w:type="dxa"/>
            <w:tcBorders>
              <w:top w:val="nil"/>
              <w:left w:val="nil"/>
              <w:bottom w:val="single" w:sz="4" w:space="0" w:color="auto"/>
              <w:right w:val="single" w:sz="4" w:space="0" w:color="auto"/>
            </w:tcBorders>
            <w:shd w:val="clear" w:color="auto" w:fill="auto"/>
            <w:hideMark/>
          </w:tcPr>
          <w:p w14:paraId="5DD04EAB"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Three progressive rounds of educational posters and cartoon-based stickers were placed on computer screens on the ward. Round 2 provided initial results and an incentive for meeting the target. Round 3 provided final results</w:t>
            </w:r>
          </w:p>
        </w:tc>
        <w:tc>
          <w:tcPr>
            <w:tcW w:w="1180" w:type="dxa"/>
            <w:tcBorders>
              <w:top w:val="nil"/>
              <w:left w:val="nil"/>
              <w:bottom w:val="single" w:sz="4" w:space="0" w:color="auto"/>
              <w:right w:val="single" w:sz="4" w:space="0" w:color="auto"/>
            </w:tcBorders>
            <w:shd w:val="clear" w:color="auto" w:fill="auto"/>
            <w:hideMark/>
          </w:tcPr>
          <w:p w14:paraId="1B66CD91"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 xml:space="preserve">Paediatric Cardiology Ward (Bear Ward) in Great Ormond Street Hospital, London </w:t>
            </w:r>
          </w:p>
        </w:tc>
        <w:tc>
          <w:tcPr>
            <w:tcW w:w="1180" w:type="dxa"/>
            <w:tcBorders>
              <w:top w:val="nil"/>
              <w:left w:val="nil"/>
              <w:bottom w:val="single" w:sz="4" w:space="0" w:color="auto"/>
              <w:right w:val="single" w:sz="4" w:space="0" w:color="auto"/>
            </w:tcBorders>
            <w:shd w:val="clear" w:color="auto" w:fill="auto"/>
            <w:hideMark/>
          </w:tcPr>
          <w:p w14:paraId="51E8E62D" w14:textId="41569AE7" w:rsidR="00594608" w:rsidRPr="00594608" w:rsidRDefault="00F71F1B"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8-week</w:t>
            </w:r>
            <w:r w:rsidR="00594608" w:rsidRPr="00594608">
              <w:rPr>
                <w:rFonts w:ascii="Calibri" w:eastAsia="Times New Roman" w:hAnsi="Calibri" w:cs="Calibri"/>
                <w:color w:val="000000"/>
                <w:sz w:val="14"/>
                <w:szCs w:val="14"/>
                <w:lang w:eastAsia="en-AU"/>
              </w:rPr>
              <w:t xml:space="preserve"> educational intervention in 2015, with 3 rounds of intervention.</w:t>
            </w:r>
          </w:p>
        </w:tc>
        <w:tc>
          <w:tcPr>
            <w:tcW w:w="1180" w:type="dxa"/>
            <w:tcBorders>
              <w:top w:val="nil"/>
              <w:left w:val="nil"/>
              <w:bottom w:val="single" w:sz="4" w:space="0" w:color="auto"/>
              <w:right w:val="single" w:sz="4" w:space="0" w:color="auto"/>
            </w:tcBorders>
            <w:shd w:val="clear" w:color="auto" w:fill="auto"/>
            <w:hideMark/>
          </w:tcPr>
          <w:p w14:paraId="6ED33685"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No tailoring</w:t>
            </w:r>
          </w:p>
        </w:tc>
        <w:tc>
          <w:tcPr>
            <w:tcW w:w="1580" w:type="dxa"/>
            <w:tcBorders>
              <w:top w:val="nil"/>
              <w:left w:val="nil"/>
              <w:bottom w:val="single" w:sz="4" w:space="0" w:color="auto"/>
              <w:right w:val="single" w:sz="4" w:space="0" w:color="auto"/>
            </w:tcBorders>
            <w:shd w:val="clear" w:color="auto" w:fill="auto"/>
            <w:hideMark/>
          </w:tcPr>
          <w:p w14:paraId="37DF74EB"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No modifications</w:t>
            </w:r>
          </w:p>
        </w:tc>
        <w:tc>
          <w:tcPr>
            <w:tcW w:w="1300" w:type="dxa"/>
            <w:tcBorders>
              <w:top w:val="nil"/>
              <w:left w:val="nil"/>
              <w:bottom w:val="single" w:sz="4" w:space="0" w:color="auto"/>
              <w:right w:val="single" w:sz="4" w:space="0" w:color="auto"/>
            </w:tcBorders>
            <w:shd w:val="clear" w:color="auto" w:fill="auto"/>
            <w:hideMark/>
          </w:tcPr>
          <w:p w14:paraId="129524BB"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Not assessed</w:t>
            </w:r>
          </w:p>
        </w:tc>
      </w:tr>
      <w:tr w:rsidR="00594608" w:rsidRPr="00594608" w14:paraId="76E87069" w14:textId="77777777" w:rsidTr="00F71F1B">
        <w:trPr>
          <w:trHeight w:val="4243"/>
        </w:trPr>
        <w:tc>
          <w:tcPr>
            <w:tcW w:w="880" w:type="dxa"/>
            <w:tcBorders>
              <w:top w:val="nil"/>
              <w:left w:val="single" w:sz="4" w:space="0" w:color="auto"/>
              <w:bottom w:val="single" w:sz="4" w:space="0" w:color="auto"/>
              <w:right w:val="single" w:sz="4" w:space="0" w:color="auto"/>
            </w:tcBorders>
            <w:shd w:val="clear" w:color="auto" w:fill="auto"/>
            <w:hideMark/>
          </w:tcPr>
          <w:p w14:paraId="120B3254" w14:textId="77777777" w:rsidR="00594608" w:rsidRPr="00594608" w:rsidRDefault="00594608" w:rsidP="00594608">
            <w:pPr>
              <w:spacing w:after="0" w:line="240" w:lineRule="auto"/>
              <w:rPr>
                <w:rFonts w:ascii="Calibri" w:eastAsia="Times New Roman" w:hAnsi="Calibri" w:cs="Calibri"/>
                <w:b/>
                <w:bCs/>
                <w:color w:val="000000"/>
                <w:sz w:val="14"/>
                <w:szCs w:val="14"/>
                <w:lang w:eastAsia="en-AU"/>
              </w:rPr>
            </w:pPr>
            <w:r w:rsidRPr="00594608">
              <w:rPr>
                <w:rFonts w:ascii="Calibri" w:eastAsia="Times New Roman" w:hAnsi="Calibri" w:cs="Calibri"/>
                <w:b/>
                <w:bCs/>
                <w:color w:val="000000"/>
                <w:sz w:val="14"/>
                <w:szCs w:val="14"/>
                <w:lang w:eastAsia="en-AU"/>
              </w:rPr>
              <w:lastRenderedPageBreak/>
              <w:t>Carter et al., 2019</w:t>
            </w:r>
          </w:p>
        </w:tc>
        <w:tc>
          <w:tcPr>
            <w:tcW w:w="1180" w:type="dxa"/>
            <w:tcBorders>
              <w:top w:val="nil"/>
              <w:left w:val="nil"/>
              <w:bottom w:val="single" w:sz="4" w:space="0" w:color="auto"/>
              <w:right w:val="single" w:sz="4" w:space="0" w:color="auto"/>
            </w:tcBorders>
            <w:shd w:val="clear" w:color="auto" w:fill="auto"/>
            <w:hideMark/>
          </w:tcPr>
          <w:p w14:paraId="5296891F"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An intervention to promote low-flow anaesthesia and encourage a more environmentally friendly gas (isoflurane instead of sevoflurane)</w:t>
            </w:r>
          </w:p>
        </w:tc>
        <w:tc>
          <w:tcPr>
            <w:tcW w:w="1180" w:type="dxa"/>
            <w:tcBorders>
              <w:top w:val="nil"/>
              <w:left w:val="nil"/>
              <w:bottom w:val="single" w:sz="4" w:space="0" w:color="auto"/>
              <w:right w:val="single" w:sz="4" w:space="0" w:color="auto"/>
            </w:tcBorders>
            <w:shd w:val="clear" w:color="auto" w:fill="auto"/>
            <w:hideMark/>
          </w:tcPr>
          <w:p w14:paraId="74174479"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To make anaesthtic practice more environmentally friendly, and reduce department spending</w:t>
            </w:r>
          </w:p>
        </w:tc>
        <w:tc>
          <w:tcPr>
            <w:tcW w:w="1180" w:type="dxa"/>
            <w:tcBorders>
              <w:top w:val="nil"/>
              <w:left w:val="nil"/>
              <w:bottom w:val="single" w:sz="4" w:space="0" w:color="auto"/>
              <w:right w:val="single" w:sz="4" w:space="0" w:color="auto"/>
            </w:tcBorders>
            <w:shd w:val="clear" w:color="auto" w:fill="auto"/>
            <w:hideMark/>
          </w:tcPr>
          <w:p w14:paraId="3BAACA79"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Weekly team feedback</w:t>
            </w:r>
            <w:r w:rsidRPr="00594608">
              <w:rPr>
                <w:rFonts w:ascii="Calibri" w:eastAsia="Times New Roman" w:hAnsi="Calibri" w:cs="Calibri"/>
                <w:color w:val="000000"/>
                <w:sz w:val="14"/>
                <w:szCs w:val="14"/>
                <w:lang w:eastAsia="en-AU"/>
              </w:rPr>
              <w:br/>
              <w:t>Staff presentations</w:t>
            </w:r>
            <w:r w:rsidRPr="00594608">
              <w:rPr>
                <w:rFonts w:ascii="Calibri" w:eastAsia="Times New Roman" w:hAnsi="Calibri" w:cs="Calibri"/>
                <w:color w:val="000000"/>
                <w:sz w:val="14"/>
                <w:szCs w:val="14"/>
                <w:lang w:eastAsia="en-AU"/>
              </w:rPr>
              <w:br/>
              <w:t>Regular email updates</w:t>
            </w:r>
            <w:r w:rsidRPr="00594608">
              <w:rPr>
                <w:rFonts w:ascii="Calibri" w:eastAsia="Times New Roman" w:hAnsi="Calibri" w:cs="Calibri"/>
                <w:color w:val="000000"/>
                <w:sz w:val="14"/>
                <w:szCs w:val="14"/>
                <w:lang w:eastAsia="en-AU"/>
              </w:rPr>
              <w:br/>
              <w:t>Made isoflurane vaporisers available</w:t>
            </w:r>
            <w:r w:rsidRPr="00594608">
              <w:rPr>
                <w:rFonts w:ascii="Calibri" w:eastAsia="Times New Roman" w:hAnsi="Calibri" w:cs="Calibri"/>
                <w:color w:val="000000"/>
                <w:sz w:val="14"/>
                <w:szCs w:val="14"/>
                <w:lang w:eastAsia="en-AU"/>
              </w:rPr>
              <w:br/>
              <w:t>Removed sevoflurane vaporisers</w:t>
            </w:r>
            <w:r w:rsidRPr="00594608">
              <w:rPr>
                <w:rFonts w:ascii="Calibri" w:eastAsia="Times New Roman" w:hAnsi="Calibri" w:cs="Calibri"/>
                <w:color w:val="000000"/>
                <w:sz w:val="14"/>
                <w:szCs w:val="14"/>
                <w:lang w:eastAsia="en-AU"/>
              </w:rPr>
              <w:br/>
              <w:t>Poster marking progression</w:t>
            </w:r>
          </w:p>
        </w:tc>
        <w:tc>
          <w:tcPr>
            <w:tcW w:w="1180" w:type="dxa"/>
            <w:tcBorders>
              <w:top w:val="nil"/>
              <w:left w:val="nil"/>
              <w:bottom w:val="single" w:sz="4" w:space="0" w:color="auto"/>
              <w:right w:val="single" w:sz="4" w:space="0" w:color="auto"/>
            </w:tcBorders>
            <w:shd w:val="clear" w:color="auto" w:fill="auto"/>
            <w:hideMark/>
          </w:tcPr>
          <w:p w14:paraId="222648D1"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All anaesthetic consultants and trainees</w:t>
            </w:r>
          </w:p>
        </w:tc>
        <w:tc>
          <w:tcPr>
            <w:tcW w:w="1180" w:type="dxa"/>
            <w:tcBorders>
              <w:top w:val="nil"/>
              <w:left w:val="nil"/>
              <w:bottom w:val="single" w:sz="4" w:space="0" w:color="auto"/>
              <w:right w:val="single" w:sz="4" w:space="0" w:color="auto"/>
            </w:tcBorders>
            <w:shd w:val="clear" w:color="auto" w:fill="auto"/>
            <w:hideMark/>
          </w:tcPr>
          <w:p w14:paraId="31C450FE"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Cycle 1 - presentation at staff meeting</w:t>
            </w:r>
            <w:r w:rsidRPr="00594608">
              <w:rPr>
                <w:rFonts w:ascii="Calibri" w:eastAsia="Times New Roman" w:hAnsi="Calibri" w:cs="Calibri"/>
                <w:color w:val="000000"/>
                <w:sz w:val="14"/>
                <w:szCs w:val="14"/>
                <w:lang w:eastAsia="en-AU"/>
              </w:rPr>
              <w:br/>
              <w:t>Cycle 2 - email updates</w:t>
            </w:r>
            <w:r w:rsidRPr="00594608">
              <w:rPr>
                <w:rFonts w:ascii="Calibri" w:eastAsia="Times New Roman" w:hAnsi="Calibri" w:cs="Calibri"/>
                <w:color w:val="000000"/>
                <w:sz w:val="14"/>
                <w:szCs w:val="14"/>
                <w:lang w:eastAsia="en-AU"/>
              </w:rPr>
              <w:br/>
              <w:t>Cycle 3 - introcution of an educational 'low flow' board in the department + made isoflurane vaporisers available in all theatres</w:t>
            </w:r>
            <w:r w:rsidRPr="00594608">
              <w:rPr>
                <w:rFonts w:ascii="Calibri" w:eastAsia="Times New Roman" w:hAnsi="Calibri" w:cs="Calibri"/>
                <w:color w:val="000000"/>
                <w:sz w:val="14"/>
                <w:szCs w:val="14"/>
                <w:lang w:eastAsia="en-AU"/>
              </w:rPr>
              <w:br/>
              <w:t>Cycle 4 - removed sevoflurane from the machines in the theatre</w:t>
            </w:r>
            <w:r w:rsidRPr="00594608">
              <w:rPr>
                <w:rFonts w:ascii="Calibri" w:eastAsia="Times New Roman" w:hAnsi="Calibri" w:cs="Calibri"/>
                <w:color w:val="000000"/>
                <w:sz w:val="14"/>
                <w:szCs w:val="14"/>
                <w:lang w:eastAsia="en-AU"/>
              </w:rPr>
              <w:br/>
              <w:t>Cycle 5 - presentation to new trainees</w:t>
            </w:r>
          </w:p>
        </w:tc>
        <w:tc>
          <w:tcPr>
            <w:tcW w:w="1180" w:type="dxa"/>
            <w:tcBorders>
              <w:top w:val="nil"/>
              <w:left w:val="nil"/>
              <w:bottom w:val="single" w:sz="4" w:space="0" w:color="auto"/>
              <w:right w:val="single" w:sz="4" w:space="0" w:color="auto"/>
            </w:tcBorders>
            <w:shd w:val="clear" w:color="auto" w:fill="auto"/>
            <w:hideMark/>
          </w:tcPr>
          <w:p w14:paraId="5363FCA9"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Royal Free Hospital anaesthetic department, North London</w:t>
            </w:r>
          </w:p>
        </w:tc>
        <w:tc>
          <w:tcPr>
            <w:tcW w:w="1180" w:type="dxa"/>
            <w:tcBorders>
              <w:top w:val="nil"/>
              <w:left w:val="nil"/>
              <w:bottom w:val="single" w:sz="4" w:space="0" w:color="auto"/>
              <w:right w:val="single" w:sz="4" w:space="0" w:color="auto"/>
            </w:tcBorders>
            <w:shd w:val="clear" w:color="auto" w:fill="auto"/>
            <w:hideMark/>
          </w:tcPr>
          <w:p w14:paraId="3DE0B7CF"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Five one-to-two-month cycles - September 2016-March 2017</w:t>
            </w:r>
          </w:p>
        </w:tc>
        <w:tc>
          <w:tcPr>
            <w:tcW w:w="1180" w:type="dxa"/>
            <w:tcBorders>
              <w:top w:val="nil"/>
              <w:left w:val="nil"/>
              <w:bottom w:val="single" w:sz="4" w:space="0" w:color="auto"/>
              <w:right w:val="single" w:sz="4" w:space="0" w:color="auto"/>
            </w:tcBorders>
            <w:shd w:val="clear" w:color="auto" w:fill="auto"/>
            <w:hideMark/>
          </w:tcPr>
          <w:p w14:paraId="70F866EC"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No tailoring</w:t>
            </w:r>
          </w:p>
        </w:tc>
        <w:tc>
          <w:tcPr>
            <w:tcW w:w="1580" w:type="dxa"/>
            <w:tcBorders>
              <w:top w:val="nil"/>
              <w:left w:val="nil"/>
              <w:bottom w:val="single" w:sz="4" w:space="0" w:color="auto"/>
              <w:right w:val="single" w:sz="4" w:space="0" w:color="auto"/>
            </w:tcBorders>
            <w:shd w:val="clear" w:color="auto" w:fill="auto"/>
            <w:hideMark/>
          </w:tcPr>
          <w:p w14:paraId="04916D11"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 xml:space="preserve">The intervention was modified at each cycle in line with progressive data input and hypothesising about the causes of noted effects. For example, after cycle 2 they noted that emails seemed less effective at driving the intended behaviour modification, so a physical board was implemented instead (cycle 3). Also, new trainees in the dept were observed so they presented to them in cycle 5. </w:t>
            </w:r>
          </w:p>
        </w:tc>
        <w:tc>
          <w:tcPr>
            <w:tcW w:w="1300" w:type="dxa"/>
            <w:tcBorders>
              <w:top w:val="nil"/>
              <w:left w:val="nil"/>
              <w:bottom w:val="single" w:sz="4" w:space="0" w:color="auto"/>
              <w:right w:val="single" w:sz="4" w:space="0" w:color="auto"/>
            </w:tcBorders>
            <w:shd w:val="clear" w:color="auto" w:fill="auto"/>
            <w:hideMark/>
          </w:tcPr>
          <w:p w14:paraId="5A11C611"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Not assessed</w:t>
            </w:r>
          </w:p>
        </w:tc>
      </w:tr>
      <w:tr w:rsidR="00594608" w:rsidRPr="00594608" w14:paraId="144A1CC2" w14:textId="77777777" w:rsidTr="00594608">
        <w:trPr>
          <w:trHeight w:val="2535"/>
        </w:trPr>
        <w:tc>
          <w:tcPr>
            <w:tcW w:w="880" w:type="dxa"/>
            <w:tcBorders>
              <w:top w:val="nil"/>
              <w:left w:val="single" w:sz="4" w:space="0" w:color="auto"/>
              <w:bottom w:val="single" w:sz="4" w:space="0" w:color="auto"/>
              <w:right w:val="single" w:sz="4" w:space="0" w:color="auto"/>
            </w:tcBorders>
            <w:shd w:val="clear" w:color="auto" w:fill="auto"/>
            <w:hideMark/>
          </w:tcPr>
          <w:p w14:paraId="4E2D5E1C" w14:textId="77777777" w:rsidR="00594608" w:rsidRPr="00594608" w:rsidRDefault="00594608" w:rsidP="00594608">
            <w:pPr>
              <w:spacing w:after="0" w:line="240" w:lineRule="auto"/>
              <w:rPr>
                <w:rFonts w:ascii="Calibri" w:eastAsia="Times New Roman" w:hAnsi="Calibri" w:cs="Calibri"/>
                <w:b/>
                <w:bCs/>
                <w:color w:val="000000"/>
                <w:sz w:val="14"/>
                <w:szCs w:val="14"/>
                <w:lang w:eastAsia="en-AU"/>
              </w:rPr>
            </w:pPr>
            <w:r w:rsidRPr="00594608">
              <w:rPr>
                <w:rFonts w:ascii="Calibri" w:eastAsia="Times New Roman" w:hAnsi="Calibri" w:cs="Calibri"/>
                <w:b/>
                <w:bCs/>
                <w:color w:val="000000"/>
                <w:sz w:val="14"/>
                <w:szCs w:val="14"/>
                <w:lang w:eastAsia="en-AU"/>
              </w:rPr>
              <w:t>Zuegge et al., 2019</w:t>
            </w:r>
          </w:p>
        </w:tc>
        <w:tc>
          <w:tcPr>
            <w:tcW w:w="1180" w:type="dxa"/>
            <w:tcBorders>
              <w:top w:val="nil"/>
              <w:left w:val="nil"/>
              <w:bottom w:val="single" w:sz="4" w:space="0" w:color="auto"/>
              <w:right w:val="single" w:sz="4" w:space="0" w:color="auto"/>
            </w:tcBorders>
            <w:shd w:val="clear" w:color="auto" w:fill="auto"/>
            <w:hideMark/>
          </w:tcPr>
          <w:p w14:paraId="3D803CA7"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An intervention to reduce flor rates and volatile agent choice</w:t>
            </w:r>
          </w:p>
        </w:tc>
        <w:tc>
          <w:tcPr>
            <w:tcW w:w="1180" w:type="dxa"/>
            <w:tcBorders>
              <w:top w:val="nil"/>
              <w:left w:val="nil"/>
              <w:bottom w:val="single" w:sz="4" w:space="0" w:color="auto"/>
              <w:right w:val="single" w:sz="4" w:space="0" w:color="auto"/>
            </w:tcBorders>
            <w:shd w:val="clear" w:color="auto" w:fill="auto"/>
            <w:hideMark/>
          </w:tcPr>
          <w:p w14:paraId="7BA39C65"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To reduce costs and greenhouse gas emissions</w:t>
            </w:r>
          </w:p>
        </w:tc>
        <w:tc>
          <w:tcPr>
            <w:tcW w:w="1180" w:type="dxa"/>
            <w:tcBorders>
              <w:top w:val="nil"/>
              <w:left w:val="nil"/>
              <w:bottom w:val="single" w:sz="4" w:space="0" w:color="auto"/>
              <w:right w:val="single" w:sz="4" w:space="0" w:color="auto"/>
            </w:tcBorders>
            <w:shd w:val="clear" w:color="auto" w:fill="auto"/>
            <w:hideMark/>
          </w:tcPr>
          <w:p w14:paraId="4EB3C4B4"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Education: lectures and presentations</w:t>
            </w:r>
            <w:r w:rsidRPr="00594608">
              <w:rPr>
                <w:rFonts w:ascii="Calibri" w:eastAsia="Times New Roman" w:hAnsi="Calibri" w:cs="Calibri"/>
                <w:color w:val="000000"/>
                <w:sz w:val="14"/>
                <w:szCs w:val="14"/>
                <w:lang w:eastAsia="en-AU"/>
              </w:rPr>
              <w:br/>
              <w:t xml:space="preserve">Regular email updates </w:t>
            </w:r>
            <w:r w:rsidRPr="00594608">
              <w:rPr>
                <w:rFonts w:ascii="Calibri" w:eastAsia="Times New Roman" w:hAnsi="Calibri" w:cs="Calibri"/>
                <w:color w:val="000000"/>
                <w:sz w:val="14"/>
                <w:szCs w:val="14"/>
                <w:lang w:eastAsia="en-AU"/>
              </w:rPr>
              <w:br/>
              <w:t>Labels added to machines</w:t>
            </w:r>
            <w:r w:rsidRPr="00594608">
              <w:rPr>
                <w:rFonts w:ascii="Calibri" w:eastAsia="Times New Roman" w:hAnsi="Calibri" w:cs="Calibri"/>
                <w:color w:val="000000"/>
                <w:sz w:val="14"/>
                <w:szCs w:val="14"/>
                <w:lang w:eastAsia="en-AU"/>
              </w:rPr>
              <w:br/>
              <w:t>Community support</w:t>
            </w:r>
          </w:p>
        </w:tc>
        <w:tc>
          <w:tcPr>
            <w:tcW w:w="1180" w:type="dxa"/>
            <w:tcBorders>
              <w:top w:val="nil"/>
              <w:left w:val="nil"/>
              <w:bottom w:val="single" w:sz="4" w:space="0" w:color="auto"/>
              <w:right w:val="single" w:sz="4" w:space="0" w:color="auto"/>
            </w:tcBorders>
            <w:shd w:val="clear" w:color="auto" w:fill="auto"/>
            <w:hideMark/>
          </w:tcPr>
          <w:p w14:paraId="618E0A86"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A mulidisciplinary operating room team (including members from anaesthesiology, nursing, surgical technology, environmental services, information technology, and pharmacy) within a hospital</w:t>
            </w:r>
          </w:p>
        </w:tc>
        <w:tc>
          <w:tcPr>
            <w:tcW w:w="1180" w:type="dxa"/>
            <w:tcBorders>
              <w:top w:val="nil"/>
              <w:left w:val="nil"/>
              <w:bottom w:val="single" w:sz="4" w:space="0" w:color="auto"/>
              <w:right w:val="single" w:sz="4" w:space="0" w:color="auto"/>
            </w:tcBorders>
            <w:shd w:val="clear" w:color="auto" w:fill="auto"/>
            <w:hideMark/>
          </w:tcPr>
          <w:p w14:paraId="2136AE6B"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As a group - face to face education, and emails. Personlised feedback if they had concerns</w:t>
            </w:r>
          </w:p>
        </w:tc>
        <w:tc>
          <w:tcPr>
            <w:tcW w:w="1180" w:type="dxa"/>
            <w:tcBorders>
              <w:top w:val="nil"/>
              <w:left w:val="nil"/>
              <w:bottom w:val="single" w:sz="4" w:space="0" w:color="auto"/>
              <w:right w:val="single" w:sz="4" w:space="0" w:color="auto"/>
            </w:tcBorders>
            <w:shd w:val="clear" w:color="auto" w:fill="auto"/>
            <w:hideMark/>
          </w:tcPr>
          <w:p w14:paraId="49CDFC63"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In a hospital setting. Physical reminders, lectures</w:t>
            </w:r>
          </w:p>
        </w:tc>
        <w:tc>
          <w:tcPr>
            <w:tcW w:w="1180" w:type="dxa"/>
            <w:tcBorders>
              <w:top w:val="nil"/>
              <w:left w:val="nil"/>
              <w:bottom w:val="single" w:sz="4" w:space="0" w:color="auto"/>
              <w:right w:val="single" w:sz="4" w:space="0" w:color="auto"/>
            </w:tcBorders>
            <w:shd w:val="clear" w:color="auto" w:fill="auto"/>
            <w:hideMark/>
          </w:tcPr>
          <w:p w14:paraId="7E5840AC"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Usage of anaesthetic agents was tracked over 5 years</w:t>
            </w:r>
          </w:p>
        </w:tc>
        <w:tc>
          <w:tcPr>
            <w:tcW w:w="1180" w:type="dxa"/>
            <w:tcBorders>
              <w:top w:val="nil"/>
              <w:left w:val="nil"/>
              <w:bottom w:val="single" w:sz="4" w:space="0" w:color="auto"/>
              <w:right w:val="single" w:sz="4" w:space="0" w:color="auto"/>
            </w:tcBorders>
            <w:shd w:val="clear" w:color="auto" w:fill="auto"/>
            <w:hideMark/>
          </w:tcPr>
          <w:p w14:paraId="1AB5F71B"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No tailoring</w:t>
            </w:r>
          </w:p>
        </w:tc>
        <w:tc>
          <w:tcPr>
            <w:tcW w:w="1580" w:type="dxa"/>
            <w:tcBorders>
              <w:top w:val="nil"/>
              <w:left w:val="nil"/>
              <w:bottom w:val="single" w:sz="4" w:space="0" w:color="auto"/>
              <w:right w:val="single" w:sz="4" w:space="0" w:color="auto"/>
            </w:tcBorders>
            <w:shd w:val="clear" w:color="auto" w:fill="auto"/>
            <w:hideMark/>
          </w:tcPr>
          <w:p w14:paraId="51D57A95"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No modifications</w:t>
            </w:r>
          </w:p>
        </w:tc>
        <w:tc>
          <w:tcPr>
            <w:tcW w:w="1300" w:type="dxa"/>
            <w:tcBorders>
              <w:top w:val="nil"/>
              <w:left w:val="nil"/>
              <w:bottom w:val="single" w:sz="4" w:space="0" w:color="auto"/>
              <w:right w:val="single" w:sz="4" w:space="0" w:color="auto"/>
            </w:tcBorders>
            <w:shd w:val="clear" w:color="auto" w:fill="auto"/>
            <w:hideMark/>
          </w:tcPr>
          <w:p w14:paraId="05CC93AE"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Not assessed</w:t>
            </w:r>
          </w:p>
        </w:tc>
      </w:tr>
      <w:tr w:rsidR="00594608" w:rsidRPr="00594608" w14:paraId="02F0D244" w14:textId="77777777" w:rsidTr="00594608">
        <w:trPr>
          <w:trHeight w:val="4320"/>
        </w:trPr>
        <w:tc>
          <w:tcPr>
            <w:tcW w:w="880" w:type="dxa"/>
            <w:tcBorders>
              <w:top w:val="nil"/>
              <w:left w:val="single" w:sz="4" w:space="0" w:color="auto"/>
              <w:bottom w:val="single" w:sz="4" w:space="0" w:color="auto"/>
              <w:right w:val="single" w:sz="4" w:space="0" w:color="auto"/>
            </w:tcBorders>
            <w:shd w:val="clear" w:color="auto" w:fill="auto"/>
            <w:hideMark/>
          </w:tcPr>
          <w:p w14:paraId="7A3DE7D5" w14:textId="77777777" w:rsidR="00594608" w:rsidRPr="00594608" w:rsidRDefault="00594608" w:rsidP="00594608">
            <w:pPr>
              <w:spacing w:after="0" w:line="240" w:lineRule="auto"/>
              <w:rPr>
                <w:rFonts w:ascii="Calibri" w:eastAsia="Times New Roman" w:hAnsi="Calibri" w:cs="Calibri"/>
                <w:b/>
                <w:bCs/>
                <w:color w:val="000000"/>
                <w:sz w:val="14"/>
                <w:szCs w:val="14"/>
                <w:lang w:eastAsia="en-AU"/>
              </w:rPr>
            </w:pPr>
            <w:r w:rsidRPr="00594608">
              <w:rPr>
                <w:rFonts w:ascii="Calibri" w:eastAsia="Times New Roman" w:hAnsi="Calibri" w:cs="Calibri"/>
                <w:b/>
                <w:bCs/>
                <w:color w:val="000000"/>
                <w:sz w:val="14"/>
                <w:szCs w:val="14"/>
                <w:lang w:eastAsia="en-AU"/>
              </w:rPr>
              <w:lastRenderedPageBreak/>
              <w:t>Glenski et al., 2020</w:t>
            </w:r>
          </w:p>
        </w:tc>
        <w:tc>
          <w:tcPr>
            <w:tcW w:w="1180" w:type="dxa"/>
            <w:tcBorders>
              <w:top w:val="nil"/>
              <w:left w:val="nil"/>
              <w:bottom w:val="single" w:sz="4" w:space="0" w:color="auto"/>
              <w:right w:val="single" w:sz="4" w:space="0" w:color="auto"/>
            </w:tcBorders>
            <w:shd w:val="clear" w:color="auto" w:fill="auto"/>
            <w:hideMark/>
          </w:tcPr>
          <w:p w14:paraId="33F3E0C6"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An intervention to increase use of low-flow anaesthetic</w:t>
            </w:r>
          </w:p>
        </w:tc>
        <w:tc>
          <w:tcPr>
            <w:tcW w:w="1180" w:type="dxa"/>
            <w:tcBorders>
              <w:top w:val="nil"/>
              <w:left w:val="nil"/>
              <w:bottom w:val="single" w:sz="4" w:space="0" w:color="auto"/>
              <w:right w:val="single" w:sz="4" w:space="0" w:color="auto"/>
            </w:tcBorders>
            <w:shd w:val="clear" w:color="auto" w:fill="auto"/>
            <w:hideMark/>
          </w:tcPr>
          <w:p w14:paraId="2E02D24A"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To reduce costs and emisssions</w:t>
            </w:r>
          </w:p>
        </w:tc>
        <w:tc>
          <w:tcPr>
            <w:tcW w:w="1180" w:type="dxa"/>
            <w:tcBorders>
              <w:top w:val="nil"/>
              <w:left w:val="nil"/>
              <w:bottom w:val="single" w:sz="4" w:space="0" w:color="auto"/>
              <w:right w:val="single" w:sz="4" w:space="0" w:color="auto"/>
            </w:tcBorders>
            <w:shd w:val="clear" w:color="auto" w:fill="auto"/>
            <w:hideMark/>
          </w:tcPr>
          <w:p w14:paraId="3D4A29DD"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New machines</w:t>
            </w:r>
            <w:r w:rsidRPr="00594608">
              <w:rPr>
                <w:rFonts w:ascii="Calibri" w:eastAsia="Times New Roman" w:hAnsi="Calibri" w:cs="Calibri"/>
                <w:color w:val="000000"/>
                <w:sz w:val="14"/>
                <w:szCs w:val="14"/>
                <w:lang w:eastAsia="en-AU"/>
              </w:rPr>
              <w:br/>
              <w:t>Spot checks</w:t>
            </w:r>
            <w:r w:rsidRPr="00594608">
              <w:rPr>
                <w:rFonts w:ascii="Calibri" w:eastAsia="Times New Roman" w:hAnsi="Calibri" w:cs="Calibri"/>
                <w:color w:val="000000"/>
                <w:sz w:val="14"/>
                <w:szCs w:val="14"/>
                <w:lang w:eastAsia="en-AU"/>
              </w:rPr>
              <w:br/>
              <w:t>Weekly team feedback</w:t>
            </w:r>
            <w:r w:rsidRPr="00594608">
              <w:rPr>
                <w:rFonts w:ascii="Calibri" w:eastAsia="Times New Roman" w:hAnsi="Calibri" w:cs="Calibri"/>
                <w:color w:val="000000"/>
                <w:sz w:val="14"/>
                <w:szCs w:val="14"/>
                <w:lang w:eastAsia="en-AU"/>
              </w:rPr>
              <w:br/>
              <w:t>Education: demonstration and presentations</w:t>
            </w:r>
            <w:r w:rsidRPr="00594608">
              <w:rPr>
                <w:rFonts w:ascii="Calibri" w:eastAsia="Times New Roman" w:hAnsi="Calibri" w:cs="Calibri"/>
                <w:color w:val="000000"/>
                <w:sz w:val="14"/>
                <w:szCs w:val="14"/>
                <w:lang w:eastAsia="en-AU"/>
              </w:rPr>
              <w:br/>
              <w:t>New defaults set</w:t>
            </w:r>
          </w:p>
        </w:tc>
        <w:tc>
          <w:tcPr>
            <w:tcW w:w="1180" w:type="dxa"/>
            <w:tcBorders>
              <w:top w:val="nil"/>
              <w:left w:val="nil"/>
              <w:bottom w:val="single" w:sz="4" w:space="0" w:color="auto"/>
              <w:right w:val="single" w:sz="4" w:space="0" w:color="auto"/>
            </w:tcBorders>
            <w:shd w:val="clear" w:color="auto" w:fill="auto"/>
            <w:hideMark/>
          </w:tcPr>
          <w:p w14:paraId="6134D9FA"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Anaesthesia providers at Children's Mercy Hospital</w:t>
            </w:r>
          </w:p>
        </w:tc>
        <w:tc>
          <w:tcPr>
            <w:tcW w:w="1180" w:type="dxa"/>
            <w:tcBorders>
              <w:top w:val="nil"/>
              <w:left w:val="nil"/>
              <w:bottom w:val="single" w:sz="4" w:space="0" w:color="auto"/>
              <w:right w:val="single" w:sz="4" w:space="0" w:color="auto"/>
            </w:tcBorders>
            <w:shd w:val="clear" w:color="auto" w:fill="auto"/>
            <w:hideMark/>
          </w:tcPr>
          <w:p w14:paraId="439B2BBB"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All interventions delivered as a group. Both face-to-face e.g. meetings and demonstrations, and written information</w:t>
            </w:r>
          </w:p>
        </w:tc>
        <w:tc>
          <w:tcPr>
            <w:tcW w:w="1180" w:type="dxa"/>
            <w:tcBorders>
              <w:top w:val="nil"/>
              <w:left w:val="nil"/>
              <w:bottom w:val="single" w:sz="4" w:space="0" w:color="auto"/>
              <w:right w:val="single" w:sz="4" w:space="0" w:color="auto"/>
            </w:tcBorders>
            <w:shd w:val="clear" w:color="auto" w:fill="auto"/>
            <w:hideMark/>
          </w:tcPr>
          <w:p w14:paraId="32E96B98"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In a hospital setting (Department of Anaesthesiology). Daily huddle board meetings, reminders in the physical environment</w:t>
            </w:r>
          </w:p>
        </w:tc>
        <w:tc>
          <w:tcPr>
            <w:tcW w:w="1180" w:type="dxa"/>
            <w:tcBorders>
              <w:top w:val="nil"/>
              <w:left w:val="nil"/>
              <w:bottom w:val="single" w:sz="4" w:space="0" w:color="auto"/>
              <w:right w:val="single" w:sz="4" w:space="0" w:color="auto"/>
            </w:tcBorders>
            <w:shd w:val="clear" w:color="auto" w:fill="auto"/>
            <w:hideMark/>
          </w:tcPr>
          <w:p w14:paraId="3FD164B6"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Implemented over 9 months. Measured the 12 month period before and after</w:t>
            </w:r>
          </w:p>
        </w:tc>
        <w:tc>
          <w:tcPr>
            <w:tcW w:w="1180" w:type="dxa"/>
            <w:tcBorders>
              <w:top w:val="nil"/>
              <w:left w:val="nil"/>
              <w:bottom w:val="single" w:sz="4" w:space="0" w:color="auto"/>
              <w:right w:val="single" w:sz="4" w:space="0" w:color="auto"/>
            </w:tcBorders>
            <w:shd w:val="clear" w:color="auto" w:fill="auto"/>
            <w:hideMark/>
          </w:tcPr>
          <w:p w14:paraId="5F116053"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No tailoring</w:t>
            </w:r>
          </w:p>
        </w:tc>
        <w:tc>
          <w:tcPr>
            <w:tcW w:w="1580" w:type="dxa"/>
            <w:tcBorders>
              <w:top w:val="nil"/>
              <w:left w:val="nil"/>
              <w:bottom w:val="single" w:sz="4" w:space="0" w:color="auto"/>
              <w:right w:val="single" w:sz="4" w:space="0" w:color="auto"/>
            </w:tcBorders>
            <w:shd w:val="clear" w:color="auto" w:fill="auto"/>
            <w:hideMark/>
          </w:tcPr>
          <w:p w14:paraId="38A9318F"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No modifications</w:t>
            </w:r>
          </w:p>
        </w:tc>
        <w:tc>
          <w:tcPr>
            <w:tcW w:w="1300" w:type="dxa"/>
            <w:tcBorders>
              <w:top w:val="nil"/>
              <w:left w:val="nil"/>
              <w:bottom w:val="single" w:sz="4" w:space="0" w:color="auto"/>
              <w:right w:val="single" w:sz="4" w:space="0" w:color="auto"/>
            </w:tcBorders>
            <w:shd w:val="clear" w:color="auto" w:fill="auto"/>
            <w:hideMark/>
          </w:tcPr>
          <w:p w14:paraId="4DDF19E2"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Sent a survey out to the whole department at the end of the intervention period. It asked  “over  the  past  year  have  you  changed your practice and performed more TIVAs in an attempt to conserve sevoflurane use?” Only one anesthesiologist reported that they had increased the number of TIVAs over the last year, but did mention that it was “not necessarily to save Sevo.”</w:t>
            </w:r>
          </w:p>
        </w:tc>
      </w:tr>
      <w:tr w:rsidR="00594608" w:rsidRPr="00594608" w14:paraId="1AF3D72F" w14:textId="77777777" w:rsidTr="00594608">
        <w:trPr>
          <w:trHeight w:val="1815"/>
        </w:trPr>
        <w:tc>
          <w:tcPr>
            <w:tcW w:w="880" w:type="dxa"/>
            <w:tcBorders>
              <w:top w:val="nil"/>
              <w:left w:val="single" w:sz="4" w:space="0" w:color="auto"/>
              <w:bottom w:val="single" w:sz="4" w:space="0" w:color="auto"/>
              <w:right w:val="single" w:sz="4" w:space="0" w:color="auto"/>
            </w:tcBorders>
            <w:shd w:val="clear" w:color="auto" w:fill="auto"/>
            <w:hideMark/>
          </w:tcPr>
          <w:p w14:paraId="6BBF220A" w14:textId="77777777" w:rsidR="00594608" w:rsidRPr="00594608" w:rsidRDefault="00594608" w:rsidP="00594608">
            <w:pPr>
              <w:spacing w:after="0" w:line="240" w:lineRule="auto"/>
              <w:rPr>
                <w:rFonts w:ascii="Calibri" w:eastAsia="Times New Roman" w:hAnsi="Calibri" w:cs="Calibri"/>
                <w:b/>
                <w:bCs/>
                <w:color w:val="000000"/>
                <w:sz w:val="14"/>
                <w:szCs w:val="14"/>
                <w:lang w:eastAsia="en-AU"/>
              </w:rPr>
            </w:pPr>
            <w:r w:rsidRPr="00594608">
              <w:rPr>
                <w:rFonts w:ascii="Calibri" w:eastAsia="Times New Roman" w:hAnsi="Calibri" w:cs="Calibri"/>
                <w:b/>
                <w:bCs/>
                <w:color w:val="000000"/>
                <w:sz w:val="14"/>
                <w:szCs w:val="14"/>
                <w:lang w:eastAsia="en-AU"/>
              </w:rPr>
              <w:t>McAlister et al., 2021</w:t>
            </w:r>
          </w:p>
        </w:tc>
        <w:tc>
          <w:tcPr>
            <w:tcW w:w="1180" w:type="dxa"/>
            <w:tcBorders>
              <w:top w:val="nil"/>
              <w:left w:val="nil"/>
              <w:bottom w:val="single" w:sz="4" w:space="0" w:color="auto"/>
              <w:right w:val="single" w:sz="4" w:space="0" w:color="auto"/>
            </w:tcBorders>
            <w:shd w:val="clear" w:color="auto" w:fill="auto"/>
            <w:hideMark/>
          </w:tcPr>
          <w:p w14:paraId="1E89C157"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An policy intervention to reduce non-urgent pathology testing</w:t>
            </w:r>
          </w:p>
        </w:tc>
        <w:tc>
          <w:tcPr>
            <w:tcW w:w="1180" w:type="dxa"/>
            <w:tcBorders>
              <w:top w:val="nil"/>
              <w:left w:val="nil"/>
              <w:bottom w:val="single" w:sz="4" w:space="0" w:color="auto"/>
              <w:right w:val="single" w:sz="4" w:space="0" w:color="auto"/>
            </w:tcBorders>
            <w:shd w:val="clear" w:color="auto" w:fill="auto"/>
            <w:hideMark/>
          </w:tcPr>
          <w:p w14:paraId="25CAD9C9"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Policy aimed to reduce patient harm and economic costs; study aimed to see whether the policy change impacted on  carbon emissions</w:t>
            </w:r>
          </w:p>
        </w:tc>
        <w:tc>
          <w:tcPr>
            <w:tcW w:w="1180" w:type="dxa"/>
            <w:tcBorders>
              <w:top w:val="nil"/>
              <w:left w:val="nil"/>
              <w:bottom w:val="single" w:sz="4" w:space="0" w:color="auto"/>
              <w:right w:val="single" w:sz="4" w:space="0" w:color="auto"/>
            </w:tcBorders>
            <w:shd w:val="clear" w:color="auto" w:fill="auto"/>
            <w:hideMark/>
          </w:tcPr>
          <w:p w14:paraId="7211A9D1"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Policy change</w:t>
            </w:r>
            <w:r w:rsidRPr="00594608">
              <w:rPr>
                <w:rFonts w:ascii="Calibri" w:eastAsia="Times New Roman" w:hAnsi="Calibri" w:cs="Calibri"/>
                <w:color w:val="000000"/>
                <w:sz w:val="14"/>
                <w:szCs w:val="14"/>
                <w:lang w:eastAsia="en-AU"/>
              </w:rPr>
              <w:br/>
              <w:t>Educational posters</w:t>
            </w:r>
            <w:r w:rsidRPr="00594608">
              <w:rPr>
                <w:rFonts w:ascii="Calibri" w:eastAsia="Times New Roman" w:hAnsi="Calibri" w:cs="Calibri"/>
                <w:color w:val="000000"/>
                <w:sz w:val="14"/>
                <w:szCs w:val="14"/>
                <w:lang w:eastAsia="en-AU"/>
              </w:rPr>
              <w:br/>
              <w:t>Department meetings</w:t>
            </w:r>
            <w:r w:rsidRPr="00594608">
              <w:rPr>
                <w:rFonts w:ascii="Calibri" w:eastAsia="Times New Roman" w:hAnsi="Calibri" w:cs="Calibri"/>
                <w:color w:val="000000"/>
                <w:sz w:val="14"/>
                <w:szCs w:val="14"/>
                <w:lang w:eastAsia="en-AU"/>
              </w:rPr>
              <w:br/>
              <w:t>Staff orientations</w:t>
            </w:r>
          </w:p>
        </w:tc>
        <w:tc>
          <w:tcPr>
            <w:tcW w:w="1180" w:type="dxa"/>
            <w:tcBorders>
              <w:top w:val="nil"/>
              <w:left w:val="nil"/>
              <w:bottom w:val="single" w:sz="4" w:space="0" w:color="auto"/>
              <w:right w:val="single" w:sz="4" w:space="0" w:color="auto"/>
            </w:tcBorders>
            <w:shd w:val="clear" w:color="auto" w:fill="auto"/>
            <w:hideMark/>
          </w:tcPr>
          <w:p w14:paraId="2AACA0CD"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Division of Medicine at St George hospital</w:t>
            </w:r>
          </w:p>
        </w:tc>
        <w:tc>
          <w:tcPr>
            <w:tcW w:w="1180" w:type="dxa"/>
            <w:tcBorders>
              <w:top w:val="nil"/>
              <w:left w:val="nil"/>
              <w:bottom w:val="single" w:sz="4" w:space="0" w:color="auto"/>
              <w:right w:val="single" w:sz="4" w:space="0" w:color="auto"/>
            </w:tcBorders>
            <w:shd w:val="clear" w:color="auto" w:fill="auto"/>
            <w:hideMark/>
          </w:tcPr>
          <w:p w14:paraId="3BA1A546"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Posters in physical spaces for everyone. Department meetings and staff orientations face to face and in a group</w:t>
            </w:r>
          </w:p>
        </w:tc>
        <w:tc>
          <w:tcPr>
            <w:tcW w:w="1180" w:type="dxa"/>
            <w:tcBorders>
              <w:top w:val="nil"/>
              <w:left w:val="nil"/>
              <w:bottom w:val="single" w:sz="4" w:space="0" w:color="auto"/>
              <w:right w:val="single" w:sz="4" w:space="0" w:color="auto"/>
            </w:tcBorders>
            <w:shd w:val="clear" w:color="auto" w:fill="auto"/>
            <w:hideMark/>
          </w:tcPr>
          <w:p w14:paraId="434E4F3D"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In a hospital setting (Department of Medicine) - anywhere a patient was admitted for 24 hours or longer</w:t>
            </w:r>
          </w:p>
        </w:tc>
        <w:tc>
          <w:tcPr>
            <w:tcW w:w="1180" w:type="dxa"/>
            <w:tcBorders>
              <w:top w:val="nil"/>
              <w:left w:val="nil"/>
              <w:bottom w:val="single" w:sz="4" w:space="0" w:color="auto"/>
              <w:right w:val="single" w:sz="4" w:space="0" w:color="auto"/>
            </w:tcBorders>
            <w:shd w:val="clear" w:color="auto" w:fill="auto"/>
            <w:hideMark/>
          </w:tcPr>
          <w:p w14:paraId="2E42A4B6"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Intervention took place September 2019 to February 2020 - ongoing</w:t>
            </w:r>
          </w:p>
        </w:tc>
        <w:tc>
          <w:tcPr>
            <w:tcW w:w="1180" w:type="dxa"/>
            <w:tcBorders>
              <w:top w:val="nil"/>
              <w:left w:val="nil"/>
              <w:bottom w:val="single" w:sz="4" w:space="0" w:color="auto"/>
              <w:right w:val="single" w:sz="4" w:space="0" w:color="auto"/>
            </w:tcBorders>
            <w:shd w:val="clear" w:color="auto" w:fill="auto"/>
            <w:hideMark/>
          </w:tcPr>
          <w:p w14:paraId="4DB5B3E1"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No tailoring</w:t>
            </w:r>
          </w:p>
        </w:tc>
        <w:tc>
          <w:tcPr>
            <w:tcW w:w="1580" w:type="dxa"/>
            <w:tcBorders>
              <w:top w:val="nil"/>
              <w:left w:val="nil"/>
              <w:bottom w:val="single" w:sz="4" w:space="0" w:color="auto"/>
              <w:right w:val="single" w:sz="4" w:space="0" w:color="auto"/>
            </w:tcBorders>
            <w:shd w:val="clear" w:color="auto" w:fill="auto"/>
            <w:hideMark/>
          </w:tcPr>
          <w:p w14:paraId="4EC2AFCE"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No modifications</w:t>
            </w:r>
          </w:p>
        </w:tc>
        <w:tc>
          <w:tcPr>
            <w:tcW w:w="1300" w:type="dxa"/>
            <w:tcBorders>
              <w:top w:val="nil"/>
              <w:left w:val="nil"/>
              <w:bottom w:val="single" w:sz="4" w:space="0" w:color="auto"/>
              <w:right w:val="single" w:sz="4" w:space="0" w:color="auto"/>
            </w:tcBorders>
            <w:shd w:val="clear" w:color="auto" w:fill="auto"/>
            <w:hideMark/>
          </w:tcPr>
          <w:p w14:paraId="1DDF4F59" w14:textId="77777777" w:rsidR="00594608" w:rsidRPr="00594608" w:rsidRDefault="00594608" w:rsidP="00594608">
            <w:pPr>
              <w:spacing w:after="0" w:line="240" w:lineRule="auto"/>
              <w:rPr>
                <w:rFonts w:ascii="Calibri" w:eastAsia="Times New Roman" w:hAnsi="Calibri" w:cs="Calibri"/>
                <w:color w:val="000000"/>
                <w:sz w:val="14"/>
                <w:szCs w:val="14"/>
                <w:lang w:eastAsia="en-AU"/>
              </w:rPr>
            </w:pPr>
            <w:r w:rsidRPr="00594608">
              <w:rPr>
                <w:rFonts w:ascii="Calibri" w:eastAsia="Times New Roman" w:hAnsi="Calibri" w:cs="Calibri"/>
                <w:color w:val="000000"/>
                <w:sz w:val="14"/>
                <w:szCs w:val="14"/>
                <w:lang w:eastAsia="en-AU"/>
              </w:rPr>
              <w:t>Not assessed</w:t>
            </w:r>
          </w:p>
        </w:tc>
      </w:tr>
      <w:bookmarkEnd w:id="0"/>
    </w:tbl>
    <w:p w14:paraId="21353D71" w14:textId="77777777" w:rsidR="00D018F7" w:rsidRPr="00D018F7" w:rsidRDefault="00D018F7">
      <w:pPr>
        <w:rPr>
          <w:rFonts w:cstheme="minorHAnsi"/>
        </w:rPr>
      </w:pPr>
    </w:p>
    <w:sectPr w:rsidR="00D018F7" w:rsidRPr="00D018F7" w:rsidSect="007A2B06">
      <w:pgSz w:w="15840" w:h="12240" w:orient="landscape"/>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DengXian">
    <w:altName w:val="等线"/>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rIwMDAxNDO3MLY0MzRT0lEKTi0uzszPAykwrAUAB2GLVywAAAA="/>
  </w:docVars>
  <w:rsids>
    <w:rsidRoot w:val="00D018F7"/>
    <w:rsid w:val="00023A5E"/>
    <w:rsid w:val="000C3F5D"/>
    <w:rsid w:val="001D417F"/>
    <w:rsid w:val="001E133A"/>
    <w:rsid w:val="001E51E6"/>
    <w:rsid w:val="00240CC8"/>
    <w:rsid w:val="00282A99"/>
    <w:rsid w:val="00287152"/>
    <w:rsid w:val="002955CA"/>
    <w:rsid w:val="003A4E9C"/>
    <w:rsid w:val="003C07AD"/>
    <w:rsid w:val="003C2339"/>
    <w:rsid w:val="00411D42"/>
    <w:rsid w:val="004209DA"/>
    <w:rsid w:val="00476BCC"/>
    <w:rsid w:val="004906D4"/>
    <w:rsid w:val="00590CAD"/>
    <w:rsid w:val="00594608"/>
    <w:rsid w:val="005E000D"/>
    <w:rsid w:val="005E6FCE"/>
    <w:rsid w:val="00682066"/>
    <w:rsid w:val="00687E27"/>
    <w:rsid w:val="006A4B57"/>
    <w:rsid w:val="006B0A5D"/>
    <w:rsid w:val="006B2F06"/>
    <w:rsid w:val="00707048"/>
    <w:rsid w:val="00711A8F"/>
    <w:rsid w:val="007449CE"/>
    <w:rsid w:val="007A2B06"/>
    <w:rsid w:val="007E7CC0"/>
    <w:rsid w:val="008C489D"/>
    <w:rsid w:val="00911E5B"/>
    <w:rsid w:val="0097134B"/>
    <w:rsid w:val="009910DC"/>
    <w:rsid w:val="009D5623"/>
    <w:rsid w:val="00A078A7"/>
    <w:rsid w:val="00A564A7"/>
    <w:rsid w:val="00A75DED"/>
    <w:rsid w:val="00AF5EB3"/>
    <w:rsid w:val="00B86F29"/>
    <w:rsid w:val="00BB2832"/>
    <w:rsid w:val="00C1010D"/>
    <w:rsid w:val="00C34505"/>
    <w:rsid w:val="00C74578"/>
    <w:rsid w:val="00D018F7"/>
    <w:rsid w:val="00D151CC"/>
    <w:rsid w:val="00D760B5"/>
    <w:rsid w:val="00DC6460"/>
    <w:rsid w:val="00E0467F"/>
    <w:rsid w:val="00EB1859"/>
    <w:rsid w:val="00ED6208"/>
    <w:rsid w:val="00EF4B5E"/>
    <w:rsid w:val="00EF5CCB"/>
    <w:rsid w:val="00F15AA7"/>
    <w:rsid w:val="00F64D83"/>
    <w:rsid w:val="00F71F1B"/>
    <w:rsid w:val="00F84D70"/>
    <w:rsid w:val="00F94B40"/>
    <w:rsid w:val="00FC22C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EE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55323">
      <w:bodyDiv w:val="1"/>
      <w:marLeft w:val="0"/>
      <w:marRight w:val="0"/>
      <w:marTop w:val="0"/>
      <w:marBottom w:val="0"/>
      <w:divBdr>
        <w:top w:val="none" w:sz="0" w:space="0" w:color="auto"/>
        <w:left w:val="none" w:sz="0" w:space="0" w:color="auto"/>
        <w:bottom w:val="none" w:sz="0" w:space="0" w:color="auto"/>
        <w:right w:val="none" w:sz="0" w:space="0" w:color="auto"/>
      </w:divBdr>
    </w:div>
    <w:div w:id="106315203">
      <w:bodyDiv w:val="1"/>
      <w:marLeft w:val="0"/>
      <w:marRight w:val="0"/>
      <w:marTop w:val="0"/>
      <w:marBottom w:val="0"/>
      <w:divBdr>
        <w:top w:val="none" w:sz="0" w:space="0" w:color="auto"/>
        <w:left w:val="none" w:sz="0" w:space="0" w:color="auto"/>
        <w:bottom w:val="none" w:sz="0" w:space="0" w:color="auto"/>
        <w:right w:val="none" w:sz="0" w:space="0" w:color="auto"/>
      </w:divBdr>
    </w:div>
    <w:div w:id="111024830">
      <w:bodyDiv w:val="1"/>
      <w:marLeft w:val="0"/>
      <w:marRight w:val="0"/>
      <w:marTop w:val="0"/>
      <w:marBottom w:val="0"/>
      <w:divBdr>
        <w:top w:val="none" w:sz="0" w:space="0" w:color="auto"/>
        <w:left w:val="none" w:sz="0" w:space="0" w:color="auto"/>
        <w:bottom w:val="none" w:sz="0" w:space="0" w:color="auto"/>
        <w:right w:val="none" w:sz="0" w:space="0" w:color="auto"/>
      </w:divBdr>
    </w:div>
    <w:div w:id="186020817">
      <w:bodyDiv w:val="1"/>
      <w:marLeft w:val="0"/>
      <w:marRight w:val="0"/>
      <w:marTop w:val="0"/>
      <w:marBottom w:val="0"/>
      <w:divBdr>
        <w:top w:val="none" w:sz="0" w:space="0" w:color="auto"/>
        <w:left w:val="none" w:sz="0" w:space="0" w:color="auto"/>
        <w:bottom w:val="none" w:sz="0" w:space="0" w:color="auto"/>
        <w:right w:val="none" w:sz="0" w:space="0" w:color="auto"/>
      </w:divBdr>
    </w:div>
    <w:div w:id="363790881">
      <w:bodyDiv w:val="1"/>
      <w:marLeft w:val="0"/>
      <w:marRight w:val="0"/>
      <w:marTop w:val="0"/>
      <w:marBottom w:val="0"/>
      <w:divBdr>
        <w:top w:val="none" w:sz="0" w:space="0" w:color="auto"/>
        <w:left w:val="none" w:sz="0" w:space="0" w:color="auto"/>
        <w:bottom w:val="none" w:sz="0" w:space="0" w:color="auto"/>
        <w:right w:val="none" w:sz="0" w:space="0" w:color="auto"/>
      </w:divBdr>
    </w:div>
    <w:div w:id="399212441">
      <w:bodyDiv w:val="1"/>
      <w:marLeft w:val="0"/>
      <w:marRight w:val="0"/>
      <w:marTop w:val="0"/>
      <w:marBottom w:val="0"/>
      <w:divBdr>
        <w:top w:val="none" w:sz="0" w:space="0" w:color="auto"/>
        <w:left w:val="none" w:sz="0" w:space="0" w:color="auto"/>
        <w:bottom w:val="none" w:sz="0" w:space="0" w:color="auto"/>
        <w:right w:val="none" w:sz="0" w:space="0" w:color="auto"/>
      </w:divBdr>
    </w:div>
    <w:div w:id="448939486">
      <w:bodyDiv w:val="1"/>
      <w:marLeft w:val="0"/>
      <w:marRight w:val="0"/>
      <w:marTop w:val="0"/>
      <w:marBottom w:val="0"/>
      <w:divBdr>
        <w:top w:val="none" w:sz="0" w:space="0" w:color="auto"/>
        <w:left w:val="none" w:sz="0" w:space="0" w:color="auto"/>
        <w:bottom w:val="none" w:sz="0" w:space="0" w:color="auto"/>
        <w:right w:val="none" w:sz="0" w:space="0" w:color="auto"/>
      </w:divBdr>
    </w:div>
    <w:div w:id="550848814">
      <w:bodyDiv w:val="1"/>
      <w:marLeft w:val="0"/>
      <w:marRight w:val="0"/>
      <w:marTop w:val="0"/>
      <w:marBottom w:val="0"/>
      <w:divBdr>
        <w:top w:val="none" w:sz="0" w:space="0" w:color="auto"/>
        <w:left w:val="none" w:sz="0" w:space="0" w:color="auto"/>
        <w:bottom w:val="none" w:sz="0" w:space="0" w:color="auto"/>
        <w:right w:val="none" w:sz="0" w:space="0" w:color="auto"/>
      </w:divBdr>
    </w:div>
    <w:div w:id="634332355">
      <w:bodyDiv w:val="1"/>
      <w:marLeft w:val="0"/>
      <w:marRight w:val="0"/>
      <w:marTop w:val="0"/>
      <w:marBottom w:val="0"/>
      <w:divBdr>
        <w:top w:val="none" w:sz="0" w:space="0" w:color="auto"/>
        <w:left w:val="none" w:sz="0" w:space="0" w:color="auto"/>
        <w:bottom w:val="none" w:sz="0" w:space="0" w:color="auto"/>
        <w:right w:val="none" w:sz="0" w:space="0" w:color="auto"/>
      </w:divBdr>
    </w:div>
    <w:div w:id="824780149">
      <w:bodyDiv w:val="1"/>
      <w:marLeft w:val="0"/>
      <w:marRight w:val="0"/>
      <w:marTop w:val="0"/>
      <w:marBottom w:val="0"/>
      <w:divBdr>
        <w:top w:val="none" w:sz="0" w:space="0" w:color="auto"/>
        <w:left w:val="none" w:sz="0" w:space="0" w:color="auto"/>
        <w:bottom w:val="none" w:sz="0" w:space="0" w:color="auto"/>
        <w:right w:val="none" w:sz="0" w:space="0" w:color="auto"/>
      </w:divBdr>
    </w:div>
    <w:div w:id="848908791">
      <w:bodyDiv w:val="1"/>
      <w:marLeft w:val="0"/>
      <w:marRight w:val="0"/>
      <w:marTop w:val="0"/>
      <w:marBottom w:val="0"/>
      <w:divBdr>
        <w:top w:val="none" w:sz="0" w:space="0" w:color="auto"/>
        <w:left w:val="none" w:sz="0" w:space="0" w:color="auto"/>
        <w:bottom w:val="none" w:sz="0" w:space="0" w:color="auto"/>
        <w:right w:val="none" w:sz="0" w:space="0" w:color="auto"/>
      </w:divBdr>
    </w:div>
    <w:div w:id="857082864">
      <w:bodyDiv w:val="1"/>
      <w:marLeft w:val="0"/>
      <w:marRight w:val="0"/>
      <w:marTop w:val="0"/>
      <w:marBottom w:val="0"/>
      <w:divBdr>
        <w:top w:val="none" w:sz="0" w:space="0" w:color="auto"/>
        <w:left w:val="none" w:sz="0" w:space="0" w:color="auto"/>
        <w:bottom w:val="none" w:sz="0" w:space="0" w:color="auto"/>
        <w:right w:val="none" w:sz="0" w:space="0" w:color="auto"/>
      </w:divBdr>
    </w:div>
    <w:div w:id="880555864">
      <w:bodyDiv w:val="1"/>
      <w:marLeft w:val="0"/>
      <w:marRight w:val="0"/>
      <w:marTop w:val="0"/>
      <w:marBottom w:val="0"/>
      <w:divBdr>
        <w:top w:val="none" w:sz="0" w:space="0" w:color="auto"/>
        <w:left w:val="none" w:sz="0" w:space="0" w:color="auto"/>
        <w:bottom w:val="none" w:sz="0" w:space="0" w:color="auto"/>
        <w:right w:val="none" w:sz="0" w:space="0" w:color="auto"/>
      </w:divBdr>
    </w:div>
    <w:div w:id="1063530936">
      <w:bodyDiv w:val="1"/>
      <w:marLeft w:val="0"/>
      <w:marRight w:val="0"/>
      <w:marTop w:val="0"/>
      <w:marBottom w:val="0"/>
      <w:divBdr>
        <w:top w:val="none" w:sz="0" w:space="0" w:color="auto"/>
        <w:left w:val="none" w:sz="0" w:space="0" w:color="auto"/>
        <w:bottom w:val="none" w:sz="0" w:space="0" w:color="auto"/>
        <w:right w:val="none" w:sz="0" w:space="0" w:color="auto"/>
      </w:divBdr>
    </w:div>
    <w:div w:id="1423792338">
      <w:bodyDiv w:val="1"/>
      <w:marLeft w:val="0"/>
      <w:marRight w:val="0"/>
      <w:marTop w:val="0"/>
      <w:marBottom w:val="0"/>
      <w:divBdr>
        <w:top w:val="none" w:sz="0" w:space="0" w:color="auto"/>
        <w:left w:val="none" w:sz="0" w:space="0" w:color="auto"/>
        <w:bottom w:val="none" w:sz="0" w:space="0" w:color="auto"/>
        <w:right w:val="none" w:sz="0" w:space="0" w:color="auto"/>
      </w:divBdr>
    </w:div>
    <w:div w:id="1428650093">
      <w:bodyDiv w:val="1"/>
      <w:marLeft w:val="0"/>
      <w:marRight w:val="0"/>
      <w:marTop w:val="0"/>
      <w:marBottom w:val="0"/>
      <w:divBdr>
        <w:top w:val="none" w:sz="0" w:space="0" w:color="auto"/>
        <w:left w:val="none" w:sz="0" w:space="0" w:color="auto"/>
        <w:bottom w:val="none" w:sz="0" w:space="0" w:color="auto"/>
        <w:right w:val="none" w:sz="0" w:space="0" w:color="auto"/>
      </w:divBdr>
    </w:div>
    <w:div w:id="1486701810">
      <w:bodyDiv w:val="1"/>
      <w:marLeft w:val="0"/>
      <w:marRight w:val="0"/>
      <w:marTop w:val="0"/>
      <w:marBottom w:val="0"/>
      <w:divBdr>
        <w:top w:val="none" w:sz="0" w:space="0" w:color="auto"/>
        <w:left w:val="none" w:sz="0" w:space="0" w:color="auto"/>
        <w:bottom w:val="none" w:sz="0" w:space="0" w:color="auto"/>
        <w:right w:val="none" w:sz="0" w:space="0" w:color="auto"/>
      </w:divBdr>
    </w:div>
    <w:div w:id="1509905332">
      <w:bodyDiv w:val="1"/>
      <w:marLeft w:val="0"/>
      <w:marRight w:val="0"/>
      <w:marTop w:val="0"/>
      <w:marBottom w:val="0"/>
      <w:divBdr>
        <w:top w:val="none" w:sz="0" w:space="0" w:color="auto"/>
        <w:left w:val="none" w:sz="0" w:space="0" w:color="auto"/>
        <w:bottom w:val="none" w:sz="0" w:space="0" w:color="auto"/>
        <w:right w:val="none" w:sz="0" w:space="0" w:color="auto"/>
      </w:divBdr>
    </w:div>
    <w:div w:id="1534149821">
      <w:bodyDiv w:val="1"/>
      <w:marLeft w:val="0"/>
      <w:marRight w:val="0"/>
      <w:marTop w:val="0"/>
      <w:marBottom w:val="0"/>
      <w:divBdr>
        <w:top w:val="none" w:sz="0" w:space="0" w:color="auto"/>
        <w:left w:val="none" w:sz="0" w:space="0" w:color="auto"/>
        <w:bottom w:val="none" w:sz="0" w:space="0" w:color="auto"/>
        <w:right w:val="none" w:sz="0" w:space="0" w:color="auto"/>
      </w:divBdr>
    </w:div>
    <w:div w:id="1768843914">
      <w:bodyDiv w:val="1"/>
      <w:marLeft w:val="0"/>
      <w:marRight w:val="0"/>
      <w:marTop w:val="0"/>
      <w:marBottom w:val="0"/>
      <w:divBdr>
        <w:top w:val="none" w:sz="0" w:space="0" w:color="auto"/>
        <w:left w:val="none" w:sz="0" w:space="0" w:color="auto"/>
        <w:bottom w:val="none" w:sz="0" w:space="0" w:color="auto"/>
        <w:right w:val="none" w:sz="0" w:space="0" w:color="auto"/>
      </w:divBdr>
    </w:div>
    <w:div w:id="1829979661">
      <w:bodyDiv w:val="1"/>
      <w:marLeft w:val="0"/>
      <w:marRight w:val="0"/>
      <w:marTop w:val="0"/>
      <w:marBottom w:val="0"/>
      <w:divBdr>
        <w:top w:val="none" w:sz="0" w:space="0" w:color="auto"/>
        <w:left w:val="none" w:sz="0" w:space="0" w:color="auto"/>
        <w:bottom w:val="none" w:sz="0" w:space="0" w:color="auto"/>
        <w:right w:val="none" w:sz="0" w:space="0" w:color="auto"/>
      </w:divBdr>
    </w:div>
    <w:div w:id="1841774997">
      <w:bodyDiv w:val="1"/>
      <w:marLeft w:val="0"/>
      <w:marRight w:val="0"/>
      <w:marTop w:val="0"/>
      <w:marBottom w:val="0"/>
      <w:divBdr>
        <w:top w:val="none" w:sz="0" w:space="0" w:color="auto"/>
        <w:left w:val="none" w:sz="0" w:space="0" w:color="auto"/>
        <w:bottom w:val="none" w:sz="0" w:space="0" w:color="auto"/>
        <w:right w:val="none" w:sz="0" w:space="0" w:color="auto"/>
      </w:divBdr>
    </w:div>
    <w:div w:id="1845363211">
      <w:bodyDiv w:val="1"/>
      <w:marLeft w:val="0"/>
      <w:marRight w:val="0"/>
      <w:marTop w:val="0"/>
      <w:marBottom w:val="0"/>
      <w:divBdr>
        <w:top w:val="none" w:sz="0" w:space="0" w:color="auto"/>
        <w:left w:val="none" w:sz="0" w:space="0" w:color="auto"/>
        <w:bottom w:val="none" w:sz="0" w:space="0" w:color="auto"/>
        <w:right w:val="none" w:sz="0" w:space="0" w:color="auto"/>
      </w:divBdr>
    </w:div>
    <w:div w:id="1853058645">
      <w:bodyDiv w:val="1"/>
      <w:marLeft w:val="0"/>
      <w:marRight w:val="0"/>
      <w:marTop w:val="0"/>
      <w:marBottom w:val="0"/>
      <w:divBdr>
        <w:top w:val="none" w:sz="0" w:space="0" w:color="auto"/>
        <w:left w:val="none" w:sz="0" w:space="0" w:color="auto"/>
        <w:bottom w:val="none" w:sz="0" w:space="0" w:color="auto"/>
        <w:right w:val="none" w:sz="0" w:space="0" w:color="auto"/>
      </w:divBdr>
    </w:div>
    <w:div w:id="1976138177">
      <w:bodyDiv w:val="1"/>
      <w:marLeft w:val="0"/>
      <w:marRight w:val="0"/>
      <w:marTop w:val="0"/>
      <w:marBottom w:val="0"/>
      <w:divBdr>
        <w:top w:val="none" w:sz="0" w:space="0" w:color="auto"/>
        <w:left w:val="none" w:sz="0" w:space="0" w:color="auto"/>
        <w:bottom w:val="none" w:sz="0" w:space="0" w:color="auto"/>
        <w:right w:val="none" w:sz="0" w:space="0" w:color="auto"/>
      </w:divBdr>
    </w:div>
    <w:div w:id="2005550979">
      <w:bodyDiv w:val="1"/>
      <w:marLeft w:val="0"/>
      <w:marRight w:val="0"/>
      <w:marTop w:val="0"/>
      <w:marBottom w:val="0"/>
      <w:divBdr>
        <w:top w:val="none" w:sz="0" w:space="0" w:color="auto"/>
        <w:left w:val="none" w:sz="0" w:space="0" w:color="auto"/>
        <w:bottom w:val="none" w:sz="0" w:space="0" w:color="auto"/>
        <w:right w:val="none" w:sz="0" w:space="0" w:color="auto"/>
      </w:divBdr>
    </w:div>
    <w:div w:id="2006005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C8172793F3E647B56D53E5AF80F95D" ma:contentTypeVersion="11" ma:contentTypeDescription="Create a new document." ma:contentTypeScope="" ma:versionID="362a9b594ba247d863d2c61c11fc6078">
  <xsd:schema xmlns:xsd="http://www.w3.org/2001/XMLSchema" xmlns:xs="http://www.w3.org/2001/XMLSchema" xmlns:p="http://schemas.microsoft.com/office/2006/metadata/properties" xmlns:ns2="4bb012ec-7582-464b-a056-bf37ea13a096" xmlns:ns3="06d7327e-e751-423e-8d5d-9ebaf13e5391" targetNamespace="http://schemas.microsoft.com/office/2006/metadata/properties" ma:root="true" ma:fieldsID="50ebdf627469fffc23d88fe44ce634e2" ns2:_="" ns3:_="">
    <xsd:import namespace="4bb012ec-7582-464b-a056-bf37ea13a096"/>
    <xsd:import namespace="06d7327e-e751-423e-8d5d-9ebaf13e539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b012ec-7582-464b-a056-bf37ea13a0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b492977-2dea-498c-99b4-1555f3d0d96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6d7327e-e751-423e-8d5d-9ebaf13e539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26d01f2-e8e0-4a78-a6b5-e9a524ac290a}" ma:internalName="TaxCatchAll" ma:showField="CatchAllData" ma:web="06d7327e-e751-423e-8d5d-9ebaf13e53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bb012ec-7582-464b-a056-bf37ea13a096">
      <Terms xmlns="http://schemas.microsoft.com/office/infopath/2007/PartnerControls"/>
    </lcf76f155ced4ddcb4097134ff3c332f>
    <TaxCatchAll xmlns="06d7327e-e751-423e-8d5d-9ebaf13e539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A0465-6B46-4614-B3B7-80A9AEEB47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b012ec-7582-464b-a056-bf37ea13a096"/>
    <ds:schemaRef ds:uri="06d7327e-e751-423e-8d5d-9ebaf13e53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10710E-B6DD-4E48-A7A2-3760881A3947}">
  <ds:schemaRefs>
    <ds:schemaRef ds:uri="http://schemas.microsoft.com/sharepoint/v3/contenttype/forms"/>
  </ds:schemaRefs>
</ds:datastoreItem>
</file>

<file path=customXml/itemProps3.xml><?xml version="1.0" encoding="utf-8"?>
<ds:datastoreItem xmlns:ds="http://schemas.openxmlformats.org/officeDocument/2006/customXml" ds:itemID="{6365FF21-E8A2-411E-9367-F0E9C59E1E54}">
  <ds:schemaRefs>
    <ds:schemaRef ds:uri="http://schemas.microsoft.com/office/2006/metadata/properties"/>
    <ds:schemaRef ds:uri="http://schemas.microsoft.com/office/infopath/2007/PartnerControls"/>
    <ds:schemaRef ds:uri="4bb012ec-7582-464b-a056-bf37ea13a096"/>
    <ds:schemaRef ds:uri="06d7327e-e751-423e-8d5d-9ebaf13e5391"/>
  </ds:schemaRefs>
</ds:datastoreItem>
</file>

<file path=customXml/itemProps4.xml><?xml version="1.0" encoding="utf-8"?>
<ds:datastoreItem xmlns:ds="http://schemas.openxmlformats.org/officeDocument/2006/customXml" ds:itemID="{14BBCDDF-5ED3-41F1-B5DE-C25F1C5A1CB2}">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Template>
  <TotalTime>3</TotalTime>
  <Pages>15</Pages>
  <Words>3476</Words>
  <Characters>19817</Characters>
  <Application>Microsoft Office Word</Application>
  <DocSecurity>0</DocSecurity>
  <Lines>165</Lines>
  <Paragraphs>46</Paragraphs>
  <ScaleCrop>false</ScaleCrop>
  <Company/>
  <LinksUpToDate>false</LinksUpToDate>
  <CharactersWithSpaces>23247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Dakin</dc:creator>
  <cp:keywords/>
  <dc:description/>
  <cp:lastModifiedBy>E746164</cp:lastModifiedBy>
  <cp:revision>4</cp:revision>
  <dcterms:created xsi:type="dcterms:W3CDTF">2023-03-09T01:54:00Z</dcterms:created>
  <dcterms:modified xsi:type="dcterms:W3CDTF">2023-04-05T23:14:00Z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0x01010088C8172793F3E647B56D53E5AF80F95D</vt:lpwstr>
  </property>
  <property fmtid="{D5CDD505-2E9C-101B-9397-08002B2CF9AE}" pid="3" name="MediaServiceImageTags">
    <vt:lpwstr/>
  </property>
</Properties>
</file>