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1413"/>
        <w:gridCol w:w="2410"/>
        <w:gridCol w:w="1134"/>
        <w:gridCol w:w="4394"/>
        <w:gridCol w:w="4111"/>
        <w:gridCol w:w="1275"/>
      </w:tblGrid>
      <w:tr w:rsidR="0020314F" w:rsidRPr="007F535E" w14:paraId="372985B1" w14:textId="77777777" w:rsidTr="00FA1C76">
        <w:trPr>
          <w:trHeight w:val="855"/>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7203E" w14:textId="77777777" w:rsidR="0020314F" w:rsidRPr="007F535E" w:rsidRDefault="0020314F" w:rsidP="007F535E">
            <w:pPr>
              <w:spacing w:line="240" w:lineRule="auto"/>
              <w:jc w:val="center"/>
              <w:rPr>
                <w:rFonts w:eastAsia="Times New Roman"/>
                <w:b/>
                <w:bCs/>
                <w:color w:val="000000"/>
                <w:sz w:val="22"/>
                <w:szCs w:val="22"/>
                <w:lang w:eastAsia="en-AU"/>
              </w:rPr>
            </w:pPr>
            <w:bookmarkStart w:id="0" w:name="RANGE!A1"/>
            <w:r w:rsidRPr="007F535E">
              <w:rPr>
                <w:rFonts w:eastAsia="Times New Roman"/>
                <w:b/>
                <w:bCs/>
                <w:color w:val="000000"/>
                <w:sz w:val="22"/>
                <w:szCs w:val="22"/>
                <w:lang w:eastAsia="en-AU"/>
              </w:rPr>
              <w:t>ERIC Strategy</w:t>
            </w:r>
            <w:bookmarkEnd w:id="0"/>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4A55AABD" w14:textId="77777777" w:rsidR="0020314F" w:rsidRPr="007F535E" w:rsidRDefault="0020314F" w:rsidP="007F535E">
            <w:pPr>
              <w:spacing w:line="240" w:lineRule="auto"/>
              <w:jc w:val="center"/>
              <w:rPr>
                <w:rFonts w:eastAsia="Times New Roman"/>
                <w:b/>
                <w:bCs/>
                <w:color w:val="000000"/>
                <w:sz w:val="22"/>
                <w:szCs w:val="22"/>
                <w:lang w:eastAsia="en-AU"/>
              </w:rPr>
            </w:pPr>
            <w:r w:rsidRPr="007F535E">
              <w:rPr>
                <w:rFonts w:eastAsia="Times New Roman"/>
                <w:b/>
                <w:bCs/>
                <w:color w:val="000000"/>
                <w:sz w:val="22"/>
                <w:szCs w:val="22"/>
                <w:lang w:eastAsia="en-AU"/>
              </w:rPr>
              <w:t>Operationalisation by program implementers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383F7F0" w14:textId="77777777" w:rsidR="0020314F" w:rsidRPr="007F535E" w:rsidRDefault="0020314F" w:rsidP="007F535E">
            <w:pPr>
              <w:spacing w:line="240" w:lineRule="auto"/>
              <w:jc w:val="center"/>
              <w:rPr>
                <w:rFonts w:eastAsia="Times New Roman"/>
                <w:b/>
                <w:bCs/>
                <w:color w:val="000000"/>
                <w:sz w:val="22"/>
                <w:szCs w:val="22"/>
                <w:lang w:eastAsia="en-AU"/>
              </w:rPr>
            </w:pPr>
            <w:r w:rsidRPr="007F535E">
              <w:rPr>
                <w:rFonts w:eastAsia="Times New Roman"/>
                <w:b/>
                <w:bCs/>
                <w:color w:val="000000"/>
                <w:sz w:val="22"/>
                <w:szCs w:val="22"/>
                <w:lang w:eastAsia="en-AU"/>
              </w:rPr>
              <w:t>CFIR constructs matched to strategy*</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8CBA5E1" w14:textId="77777777" w:rsidR="0020314F" w:rsidRPr="007F535E" w:rsidRDefault="0020314F" w:rsidP="007F535E">
            <w:pPr>
              <w:spacing w:line="240" w:lineRule="auto"/>
              <w:jc w:val="center"/>
              <w:rPr>
                <w:rFonts w:eastAsia="Times New Roman"/>
                <w:b/>
                <w:bCs/>
                <w:color w:val="000000"/>
                <w:sz w:val="22"/>
                <w:szCs w:val="22"/>
                <w:lang w:eastAsia="en-AU"/>
              </w:rPr>
            </w:pPr>
            <w:r w:rsidRPr="007F535E">
              <w:rPr>
                <w:rFonts w:eastAsia="Times New Roman"/>
                <w:b/>
                <w:bCs/>
                <w:color w:val="000000"/>
                <w:sz w:val="22"/>
                <w:szCs w:val="22"/>
                <w:lang w:eastAsia="en-AU"/>
              </w:rPr>
              <w:t>Description of barrier(s) in context</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14:paraId="07A76D9A" w14:textId="77777777" w:rsidR="0020314F" w:rsidRPr="007F535E" w:rsidRDefault="0020314F" w:rsidP="007F535E">
            <w:pPr>
              <w:spacing w:line="240" w:lineRule="auto"/>
              <w:jc w:val="center"/>
              <w:rPr>
                <w:rFonts w:eastAsia="Times New Roman"/>
                <w:b/>
                <w:bCs/>
                <w:color w:val="000000"/>
                <w:sz w:val="22"/>
                <w:szCs w:val="22"/>
                <w:lang w:eastAsia="en-AU"/>
              </w:rPr>
            </w:pPr>
            <w:r w:rsidRPr="007F535E">
              <w:rPr>
                <w:rFonts w:eastAsia="Times New Roman"/>
                <w:b/>
                <w:bCs/>
                <w:color w:val="000000"/>
                <w:sz w:val="22"/>
                <w:szCs w:val="22"/>
                <w:lang w:eastAsia="en-AU"/>
              </w:rPr>
              <w:t>Alignment between strategy and barrier in context</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3D245DA6" w14:textId="77777777" w:rsidR="0020314F" w:rsidRPr="007F535E" w:rsidRDefault="0020314F" w:rsidP="007F535E">
            <w:pPr>
              <w:spacing w:line="240" w:lineRule="auto"/>
              <w:jc w:val="center"/>
              <w:rPr>
                <w:rFonts w:eastAsia="Times New Roman"/>
                <w:b/>
                <w:bCs/>
                <w:color w:val="000000"/>
                <w:sz w:val="22"/>
                <w:szCs w:val="22"/>
                <w:lang w:eastAsia="en-AU"/>
              </w:rPr>
            </w:pPr>
            <w:r w:rsidRPr="007F535E">
              <w:rPr>
                <w:rFonts w:eastAsia="Times New Roman"/>
                <w:b/>
                <w:bCs/>
                <w:color w:val="000000"/>
                <w:sz w:val="22"/>
                <w:szCs w:val="22"/>
                <w:lang w:eastAsia="en-AU"/>
              </w:rPr>
              <w:t xml:space="preserve">Overall assessment of alignment </w:t>
            </w:r>
          </w:p>
        </w:tc>
      </w:tr>
      <w:tr w:rsidR="0020314F" w:rsidRPr="007F535E" w14:paraId="69852A11" w14:textId="77777777" w:rsidTr="00FA1C76">
        <w:trPr>
          <w:trHeight w:val="1200"/>
        </w:trPr>
        <w:tc>
          <w:tcPr>
            <w:tcW w:w="1413" w:type="dxa"/>
            <w:vMerge w:val="restart"/>
            <w:tcBorders>
              <w:top w:val="nil"/>
              <w:left w:val="single" w:sz="4" w:space="0" w:color="auto"/>
              <w:bottom w:val="single" w:sz="4" w:space="0" w:color="000000"/>
              <w:right w:val="single" w:sz="4" w:space="0" w:color="auto"/>
            </w:tcBorders>
            <w:shd w:val="clear" w:color="auto" w:fill="auto"/>
            <w:hideMark/>
          </w:tcPr>
          <w:p w14:paraId="4EFAAFB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Conduct educational meetings</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1C135A3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Educational meetings and training were held with the different stakeholders (line managers, executive, peer messengers, and all other staff). </w:t>
            </w:r>
          </w:p>
        </w:tc>
        <w:tc>
          <w:tcPr>
            <w:tcW w:w="1134" w:type="dxa"/>
            <w:tcBorders>
              <w:top w:val="nil"/>
              <w:left w:val="nil"/>
              <w:bottom w:val="single" w:sz="4" w:space="0" w:color="auto"/>
              <w:right w:val="single" w:sz="4" w:space="0" w:color="auto"/>
            </w:tcBorders>
            <w:shd w:val="clear" w:color="auto" w:fill="auto"/>
            <w:vAlign w:val="center"/>
            <w:hideMark/>
          </w:tcPr>
          <w:p w14:paraId="2D78DD7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Design Quality &amp; Packaging</w:t>
            </w:r>
          </w:p>
        </w:tc>
        <w:tc>
          <w:tcPr>
            <w:tcW w:w="4394" w:type="dxa"/>
            <w:tcBorders>
              <w:top w:val="nil"/>
              <w:left w:val="nil"/>
              <w:bottom w:val="single" w:sz="4" w:space="0" w:color="auto"/>
              <w:right w:val="single" w:sz="4" w:space="0" w:color="auto"/>
            </w:tcBorders>
            <w:shd w:val="clear" w:color="auto" w:fill="auto"/>
            <w:vAlign w:val="center"/>
            <w:hideMark/>
          </w:tcPr>
          <w:p w14:paraId="10D4841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Poor perceptions of the reporting tool and process, scepticism about anonymity, dislike of the lack of “natural justice”, confusion about the inclusion of both positive and negative reports in the one system.  </w:t>
            </w:r>
          </w:p>
        </w:tc>
        <w:tc>
          <w:tcPr>
            <w:tcW w:w="4111" w:type="dxa"/>
            <w:tcBorders>
              <w:top w:val="nil"/>
              <w:left w:val="nil"/>
              <w:bottom w:val="single" w:sz="4" w:space="0" w:color="auto"/>
              <w:right w:val="single" w:sz="4" w:space="0" w:color="auto"/>
            </w:tcBorders>
            <w:shd w:val="clear" w:color="auto" w:fill="auto"/>
            <w:vAlign w:val="center"/>
            <w:hideMark/>
          </w:tcPr>
          <w:p w14:paraId="43DBE46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Aligned - educational meetings to introduce different stakeholders to the program.</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14:paraId="65D64E42"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Partially aligned</w:t>
            </w:r>
          </w:p>
        </w:tc>
      </w:tr>
      <w:tr w:rsidR="0020314F" w:rsidRPr="007F535E" w14:paraId="782A96B5" w14:textId="77777777" w:rsidTr="00FA1C76">
        <w:trPr>
          <w:trHeight w:val="900"/>
        </w:trPr>
        <w:tc>
          <w:tcPr>
            <w:tcW w:w="1413" w:type="dxa"/>
            <w:vMerge/>
            <w:tcBorders>
              <w:top w:val="nil"/>
              <w:left w:val="single" w:sz="4" w:space="0" w:color="auto"/>
              <w:bottom w:val="single" w:sz="4" w:space="0" w:color="000000"/>
              <w:right w:val="single" w:sz="4" w:space="0" w:color="auto"/>
            </w:tcBorders>
            <w:vAlign w:val="center"/>
            <w:hideMark/>
          </w:tcPr>
          <w:p w14:paraId="34ABC430" w14:textId="77777777" w:rsidR="0020314F" w:rsidRPr="007F535E" w:rsidRDefault="0020314F" w:rsidP="007F535E">
            <w:pPr>
              <w:spacing w:line="240" w:lineRule="auto"/>
              <w:rPr>
                <w:rFonts w:eastAsia="Times New Roman"/>
                <w:color w:val="000000"/>
                <w:sz w:val="22"/>
                <w:szCs w:val="22"/>
                <w:lang w:eastAsia="en-AU"/>
              </w:rPr>
            </w:pPr>
          </w:p>
        </w:tc>
        <w:tc>
          <w:tcPr>
            <w:tcW w:w="2410" w:type="dxa"/>
            <w:vMerge/>
            <w:tcBorders>
              <w:top w:val="nil"/>
              <w:left w:val="single" w:sz="4" w:space="0" w:color="auto"/>
              <w:bottom w:val="single" w:sz="4" w:space="0" w:color="000000"/>
              <w:right w:val="single" w:sz="4" w:space="0" w:color="auto"/>
            </w:tcBorders>
            <w:vAlign w:val="center"/>
            <w:hideMark/>
          </w:tcPr>
          <w:p w14:paraId="520DF2E7" w14:textId="77777777" w:rsidR="0020314F" w:rsidRPr="007F535E" w:rsidRDefault="0020314F" w:rsidP="007F535E">
            <w:pPr>
              <w:spacing w:line="240" w:lineRule="auto"/>
              <w:rPr>
                <w:rFonts w:eastAsia="Times New Roman"/>
                <w:color w:val="000000"/>
                <w:sz w:val="22"/>
                <w:szCs w:val="22"/>
                <w:lang w:eastAsia="en-AU"/>
              </w:rPr>
            </w:pPr>
          </w:p>
        </w:tc>
        <w:tc>
          <w:tcPr>
            <w:tcW w:w="1134" w:type="dxa"/>
            <w:tcBorders>
              <w:top w:val="nil"/>
              <w:left w:val="nil"/>
              <w:bottom w:val="single" w:sz="4" w:space="0" w:color="auto"/>
              <w:right w:val="single" w:sz="4" w:space="0" w:color="auto"/>
            </w:tcBorders>
            <w:shd w:val="clear" w:color="auto" w:fill="auto"/>
            <w:vAlign w:val="center"/>
            <w:hideMark/>
          </w:tcPr>
          <w:p w14:paraId="7C2C6FE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Goals &amp; Feedback</w:t>
            </w:r>
          </w:p>
        </w:tc>
        <w:tc>
          <w:tcPr>
            <w:tcW w:w="4394" w:type="dxa"/>
            <w:tcBorders>
              <w:top w:val="nil"/>
              <w:left w:val="nil"/>
              <w:bottom w:val="single" w:sz="4" w:space="0" w:color="auto"/>
              <w:right w:val="single" w:sz="4" w:space="0" w:color="auto"/>
            </w:tcBorders>
            <w:shd w:val="clear" w:color="auto" w:fill="auto"/>
            <w:vAlign w:val="center"/>
            <w:hideMark/>
          </w:tcPr>
          <w:p w14:paraId="4FCE68B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Broad goals but lack of clarity about what the program would achieve, perpetuated by the dearth of feedback at both an individual and organisational level on usage of Ethos.</w:t>
            </w:r>
          </w:p>
        </w:tc>
        <w:tc>
          <w:tcPr>
            <w:tcW w:w="4111" w:type="dxa"/>
            <w:tcBorders>
              <w:top w:val="nil"/>
              <w:left w:val="nil"/>
              <w:bottom w:val="single" w:sz="4" w:space="0" w:color="auto"/>
              <w:right w:val="single" w:sz="4" w:space="0" w:color="auto"/>
            </w:tcBorders>
            <w:shd w:val="clear" w:color="auto" w:fill="auto"/>
            <w:vAlign w:val="center"/>
            <w:hideMark/>
          </w:tcPr>
          <w:p w14:paraId="3C93B59B"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Partially aligned - meetings were held, but not on an ongoing basis and not using content from the reporting system. </w:t>
            </w:r>
          </w:p>
        </w:tc>
        <w:tc>
          <w:tcPr>
            <w:tcW w:w="1275" w:type="dxa"/>
            <w:vMerge/>
            <w:tcBorders>
              <w:top w:val="nil"/>
              <w:left w:val="single" w:sz="4" w:space="0" w:color="auto"/>
              <w:bottom w:val="single" w:sz="4" w:space="0" w:color="000000"/>
              <w:right w:val="single" w:sz="4" w:space="0" w:color="auto"/>
            </w:tcBorders>
            <w:vAlign w:val="center"/>
            <w:hideMark/>
          </w:tcPr>
          <w:p w14:paraId="09AACA96" w14:textId="77777777" w:rsidR="0020314F" w:rsidRPr="007F535E" w:rsidRDefault="0020314F" w:rsidP="007F535E">
            <w:pPr>
              <w:spacing w:line="240" w:lineRule="auto"/>
              <w:rPr>
                <w:rFonts w:eastAsia="Times New Roman"/>
                <w:color w:val="000000"/>
                <w:sz w:val="22"/>
                <w:szCs w:val="22"/>
                <w:lang w:eastAsia="en-AU"/>
              </w:rPr>
            </w:pPr>
          </w:p>
        </w:tc>
      </w:tr>
      <w:tr w:rsidR="0020314F" w:rsidRPr="007F535E" w14:paraId="10295933" w14:textId="77777777" w:rsidTr="00FA1C76">
        <w:trPr>
          <w:trHeight w:val="900"/>
        </w:trPr>
        <w:tc>
          <w:tcPr>
            <w:tcW w:w="1413" w:type="dxa"/>
            <w:vMerge/>
            <w:tcBorders>
              <w:top w:val="nil"/>
              <w:left w:val="single" w:sz="4" w:space="0" w:color="auto"/>
              <w:bottom w:val="single" w:sz="4" w:space="0" w:color="000000"/>
              <w:right w:val="single" w:sz="4" w:space="0" w:color="auto"/>
            </w:tcBorders>
            <w:vAlign w:val="center"/>
            <w:hideMark/>
          </w:tcPr>
          <w:p w14:paraId="14E4A321" w14:textId="77777777" w:rsidR="0020314F" w:rsidRPr="007F535E" w:rsidRDefault="0020314F" w:rsidP="007F535E">
            <w:pPr>
              <w:spacing w:line="240" w:lineRule="auto"/>
              <w:rPr>
                <w:rFonts w:eastAsia="Times New Roman"/>
                <w:color w:val="000000"/>
                <w:sz w:val="22"/>
                <w:szCs w:val="22"/>
                <w:lang w:eastAsia="en-AU"/>
              </w:rPr>
            </w:pPr>
          </w:p>
        </w:tc>
        <w:tc>
          <w:tcPr>
            <w:tcW w:w="2410" w:type="dxa"/>
            <w:vMerge/>
            <w:tcBorders>
              <w:top w:val="nil"/>
              <w:left w:val="single" w:sz="4" w:space="0" w:color="auto"/>
              <w:bottom w:val="single" w:sz="4" w:space="0" w:color="000000"/>
              <w:right w:val="single" w:sz="4" w:space="0" w:color="auto"/>
            </w:tcBorders>
            <w:vAlign w:val="center"/>
            <w:hideMark/>
          </w:tcPr>
          <w:p w14:paraId="61B7FDB1" w14:textId="77777777" w:rsidR="0020314F" w:rsidRPr="007F535E" w:rsidRDefault="0020314F" w:rsidP="007F535E">
            <w:pPr>
              <w:spacing w:line="240" w:lineRule="auto"/>
              <w:rPr>
                <w:rFonts w:eastAsia="Times New Roman"/>
                <w:color w:val="000000"/>
                <w:sz w:val="22"/>
                <w:szCs w:val="22"/>
                <w:lang w:eastAsia="en-AU"/>
              </w:rPr>
            </w:pPr>
          </w:p>
        </w:tc>
        <w:tc>
          <w:tcPr>
            <w:tcW w:w="1134" w:type="dxa"/>
            <w:tcBorders>
              <w:top w:val="nil"/>
              <w:left w:val="nil"/>
              <w:bottom w:val="single" w:sz="4" w:space="0" w:color="auto"/>
              <w:right w:val="single" w:sz="4" w:space="0" w:color="auto"/>
            </w:tcBorders>
            <w:shd w:val="clear" w:color="auto" w:fill="auto"/>
            <w:vAlign w:val="center"/>
            <w:hideMark/>
          </w:tcPr>
          <w:p w14:paraId="6A8C5760" w14:textId="77777777" w:rsidR="0020314F" w:rsidRPr="007F535E" w:rsidRDefault="0020314F" w:rsidP="007F535E">
            <w:pPr>
              <w:spacing w:line="240" w:lineRule="auto"/>
              <w:rPr>
                <w:rFonts w:eastAsia="Times New Roman"/>
                <w:b/>
                <w:bCs/>
                <w:color w:val="000000"/>
                <w:sz w:val="22"/>
                <w:szCs w:val="22"/>
                <w:lang w:eastAsia="en-AU"/>
              </w:rPr>
            </w:pPr>
            <w:r w:rsidRPr="007F535E">
              <w:rPr>
                <w:rFonts w:eastAsia="Times New Roman"/>
                <w:b/>
                <w:bCs/>
                <w:color w:val="000000"/>
                <w:sz w:val="22"/>
                <w:szCs w:val="22"/>
                <w:lang w:eastAsia="en-AU"/>
              </w:rPr>
              <w:t>Access to Knowledge &amp; Information</w:t>
            </w:r>
          </w:p>
        </w:tc>
        <w:tc>
          <w:tcPr>
            <w:tcW w:w="4394" w:type="dxa"/>
            <w:tcBorders>
              <w:top w:val="nil"/>
              <w:left w:val="nil"/>
              <w:bottom w:val="single" w:sz="4" w:space="0" w:color="auto"/>
              <w:right w:val="single" w:sz="4" w:space="0" w:color="auto"/>
            </w:tcBorders>
            <w:shd w:val="clear" w:color="auto" w:fill="auto"/>
            <w:vAlign w:val="center"/>
            <w:hideMark/>
          </w:tcPr>
          <w:p w14:paraId="2500E32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Training not accessible to all, visibility of Ethos declined over time and specific information on the reporting process was inadequate. </w:t>
            </w:r>
          </w:p>
        </w:tc>
        <w:tc>
          <w:tcPr>
            <w:tcW w:w="4111" w:type="dxa"/>
            <w:tcBorders>
              <w:top w:val="nil"/>
              <w:left w:val="nil"/>
              <w:bottom w:val="single" w:sz="4" w:space="0" w:color="auto"/>
              <w:right w:val="single" w:sz="4" w:space="0" w:color="auto"/>
            </w:tcBorders>
            <w:shd w:val="clear" w:color="auto" w:fill="auto"/>
            <w:vAlign w:val="center"/>
            <w:hideMark/>
          </w:tcPr>
          <w:p w14:paraId="2E18255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aligned - training not always accessible despite being a whole of hospital intervention, also not sustained</w:t>
            </w:r>
          </w:p>
        </w:tc>
        <w:tc>
          <w:tcPr>
            <w:tcW w:w="1275" w:type="dxa"/>
            <w:vMerge/>
            <w:tcBorders>
              <w:top w:val="nil"/>
              <w:left w:val="single" w:sz="4" w:space="0" w:color="auto"/>
              <w:bottom w:val="single" w:sz="4" w:space="0" w:color="000000"/>
              <w:right w:val="single" w:sz="4" w:space="0" w:color="auto"/>
            </w:tcBorders>
            <w:vAlign w:val="center"/>
            <w:hideMark/>
          </w:tcPr>
          <w:p w14:paraId="6F5E4FD4" w14:textId="77777777" w:rsidR="0020314F" w:rsidRPr="007F535E" w:rsidRDefault="0020314F" w:rsidP="007F535E">
            <w:pPr>
              <w:spacing w:line="240" w:lineRule="auto"/>
              <w:rPr>
                <w:rFonts w:eastAsia="Times New Roman"/>
                <w:color w:val="000000"/>
                <w:sz w:val="22"/>
                <w:szCs w:val="22"/>
                <w:lang w:eastAsia="en-AU"/>
              </w:rPr>
            </w:pPr>
          </w:p>
        </w:tc>
      </w:tr>
      <w:tr w:rsidR="0020314F" w:rsidRPr="007F535E" w14:paraId="0DDAAC45" w14:textId="77777777" w:rsidTr="00FA1C76">
        <w:trPr>
          <w:trHeight w:val="855"/>
        </w:trPr>
        <w:tc>
          <w:tcPr>
            <w:tcW w:w="1413" w:type="dxa"/>
            <w:vMerge/>
            <w:tcBorders>
              <w:top w:val="nil"/>
              <w:left w:val="single" w:sz="4" w:space="0" w:color="auto"/>
              <w:bottom w:val="single" w:sz="4" w:space="0" w:color="000000"/>
              <w:right w:val="single" w:sz="4" w:space="0" w:color="auto"/>
            </w:tcBorders>
            <w:vAlign w:val="center"/>
            <w:hideMark/>
          </w:tcPr>
          <w:p w14:paraId="1D4FC3A2" w14:textId="77777777" w:rsidR="0020314F" w:rsidRPr="007F535E" w:rsidRDefault="0020314F" w:rsidP="007F535E">
            <w:pPr>
              <w:spacing w:line="240" w:lineRule="auto"/>
              <w:rPr>
                <w:rFonts w:eastAsia="Times New Roman"/>
                <w:color w:val="000000"/>
                <w:sz w:val="22"/>
                <w:szCs w:val="22"/>
                <w:lang w:eastAsia="en-AU"/>
              </w:rPr>
            </w:pPr>
          </w:p>
        </w:tc>
        <w:tc>
          <w:tcPr>
            <w:tcW w:w="2410" w:type="dxa"/>
            <w:vMerge/>
            <w:tcBorders>
              <w:top w:val="nil"/>
              <w:left w:val="single" w:sz="4" w:space="0" w:color="auto"/>
              <w:bottom w:val="single" w:sz="4" w:space="0" w:color="000000"/>
              <w:right w:val="single" w:sz="4" w:space="0" w:color="auto"/>
            </w:tcBorders>
            <w:vAlign w:val="center"/>
            <w:hideMark/>
          </w:tcPr>
          <w:p w14:paraId="5BED0AA3" w14:textId="77777777" w:rsidR="0020314F" w:rsidRPr="007F535E" w:rsidRDefault="0020314F" w:rsidP="007F535E">
            <w:pPr>
              <w:spacing w:line="240" w:lineRule="auto"/>
              <w:rPr>
                <w:rFonts w:eastAsia="Times New Roman"/>
                <w:color w:val="000000"/>
                <w:sz w:val="22"/>
                <w:szCs w:val="22"/>
                <w:lang w:eastAsia="en-AU"/>
              </w:rPr>
            </w:pPr>
          </w:p>
        </w:tc>
        <w:tc>
          <w:tcPr>
            <w:tcW w:w="1134" w:type="dxa"/>
            <w:tcBorders>
              <w:top w:val="nil"/>
              <w:left w:val="nil"/>
              <w:bottom w:val="single" w:sz="4" w:space="0" w:color="auto"/>
              <w:right w:val="single" w:sz="4" w:space="0" w:color="auto"/>
            </w:tcBorders>
            <w:shd w:val="clear" w:color="auto" w:fill="auto"/>
            <w:vAlign w:val="center"/>
            <w:hideMark/>
          </w:tcPr>
          <w:p w14:paraId="2FBE01DB" w14:textId="77777777" w:rsidR="0020314F" w:rsidRPr="007F535E" w:rsidRDefault="0020314F" w:rsidP="007F535E">
            <w:pPr>
              <w:spacing w:line="240" w:lineRule="auto"/>
              <w:rPr>
                <w:rFonts w:eastAsia="Times New Roman"/>
                <w:b/>
                <w:bCs/>
                <w:color w:val="000000"/>
                <w:sz w:val="22"/>
                <w:szCs w:val="22"/>
                <w:lang w:eastAsia="en-AU"/>
              </w:rPr>
            </w:pPr>
            <w:r w:rsidRPr="007F535E">
              <w:rPr>
                <w:rFonts w:eastAsia="Times New Roman"/>
                <w:b/>
                <w:bCs/>
                <w:color w:val="000000"/>
                <w:sz w:val="22"/>
                <w:szCs w:val="22"/>
                <w:lang w:eastAsia="en-AU"/>
              </w:rPr>
              <w:t>Knowledge &amp; Beliefs about the Intervention</w:t>
            </w:r>
          </w:p>
        </w:tc>
        <w:tc>
          <w:tcPr>
            <w:tcW w:w="4394" w:type="dxa"/>
            <w:tcBorders>
              <w:top w:val="nil"/>
              <w:left w:val="nil"/>
              <w:bottom w:val="single" w:sz="4" w:space="0" w:color="auto"/>
              <w:right w:val="single" w:sz="4" w:space="0" w:color="auto"/>
            </w:tcBorders>
            <w:shd w:val="clear" w:color="auto" w:fill="auto"/>
            <w:vAlign w:val="center"/>
            <w:hideMark/>
          </w:tcPr>
          <w:p w14:paraId="275A04F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On balance, beliefs were distrusting, sceptical or measured in their view of the program and how effective it could be. </w:t>
            </w:r>
          </w:p>
        </w:tc>
        <w:tc>
          <w:tcPr>
            <w:tcW w:w="4111" w:type="dxa"/>
            <w:tcBorders>
              <w:top w:val="nil"/>
              <w:left w:val="nil"/>
              <w:bottom w:val="single" w:sz="4" w:space="0" w:color="auto"/>
              <w:right w:val="single" w:sz="4" w:space="0" w:color="auto"/>
            </w:tcBorders>
            <w:shd w:val="clear" w:color="auto" w:fill="auto"/>
            <w:vAlign w:val="center"/>
            <w:hideMark/>
          </w:tcPr>
          <w:p w14:paraId="437CC8A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Aligned - educational meetings to introduce different stakeholders to the program.</w:t>
            </w:r>
          </w:p>
        </w:tc>
        <w:tc>
          <w:tcPr>
            <w:tcW w:w="1275" w:type="dxa"/>
            <w:vMerge/>
            <w:tcBorders>
              <w:top w:val="nil"/>
              <w:left w:val="single" w:sz="4" w:space="0" w:color="auto"/>
              <w:bottom w:val="single" w:sz="4" w:space="0" w:color="000000"/>
              <w:right w:val="single" w:sz="4" w:space="0" w:color="auto"/>
            </w:tcBorders>
            <w:vAlign w:val="center"/>
            <w:hideMark/>
          </w:tcPr>
          <w:p w14:paraId="252B6BFE" w14:textId="77777777" w:rsidR="0020314F" w:rsidRPr="007F535E" w:rsidRDefault="0020314F" w:rsidP="007F535E">
            <w:pPr>
              <w:spacing w:line="240" w:lineRule="auto"/>
              <w:rPr>
                <w:rFonts w:eastAsia="Times New Roman"/>
                <w:color w:val="000000"/>
                <w:sz w:val="22"/>
                <w:szCs w:val="22"/>
                <w:lang w:eastAsia="en-AU"/>
              </w:rPr>
            </w:pPr>
          </w:p>
        </w:tc>
      </w:tr>
      <w:tr w:rsidR="0020314F" w:rsidRPr="007F535E" w14:paraId="7D374DBF" w14:textId="77777777" w:rsidTr="00FA1C76">
        <w:trPr>
          <w:trHeight w:val="1560"/>
        </w:trPr>
        <w:tc>
          <w:tcPr>
            <w:tcW w:w="1413" w:type="dxa"/>
            <w:vMerge w:val="restart"/>
            <w:tcBorders>
              <w:top w:val="nil"/>
              <w:left w:val="single" w:sz="4" w:space="0" w:color="auto"/>
              <w:bottom w:val="single" w:sz="4" w:space="0" w:color="000000"/>
              <w:right w:val="single" w:sz="4" w:space="0" w:color="auto"/>
            </w:tcBorders>
            <w:shd w:val="clear" w:color="auto" w:fill="auto"/>
            <w:hideMark/>
          </w:tcPr>
          <w:p w14:paraId="190F810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Identify and prepare champions</w:t>
            </w:r>
          </w:p>
        </w:tc>
        <w:tc>
          <w:tcPr>
            <w:tcW w:w="2410" w:type="dxa"/>
            <w:vMerge w:val="restart"/>
            <w:tcBorders>
              <w:top w:val="nil"/>
              <w:left w:val="single" w:sz="4" w:space="0" w:color="auto"/>
              <w:bottom w:val="single" w:sz="4" w:space="0" w:color="000000"/>
              <w:right w:val="single" w:sz="4" w:space="0" w:color="auto"/>
            </w:tcBorders>
            <w:shd w:val="clear" w:color="auto" w:fill="auto"/>
            <w:hideMark/>
          </w:tcPr>
          <w:p w14:paraId="31B4331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Ethos peer messengers were program champions with evidence of selection by senior staff and training and support provided to them. </w:t>
            </w:r>
          </w:p>
        </w:tc>
        <w:tc>
          <w:tcPr>
            <w:tcW w:w="1134" w:type="dxa"/>
            <w:tcBorders>
              <w:top w:val="nil"/>
              <w:left w:val="nil"/>
              <w:bottom w:val="single" w:sz="4" w:space="0" w:color="auto"/>
              <w:right w:val="single" w:sz="4" w:space="0" w:color="auto"/>
            </w:tcBorders>
            <w:shd w:val="clear" w:color="auto" w:fill="auto"/>
            <w:vAlign w:val="center"/>
            <w:hideMark/>
          </w:tcPr>
          <w:p w14:paraId="6919454F" w14:textId="77777777" w:rsidR="0020314F" w:rsidRPr="007F535E" w:rsidRDefault="0020314F" w:rsidP="007F535E">
            <w:pPr>
              <w:spacing w:line="240" w:lineRule="auto"/>
              <w:rPr>
                <w:rFonts w:eastAsia="Times New Roman"/>
                <w:b/>
                <w:bCs/>
                <w:color w:val="000000"/>
                <w:sz w:val="22"/>
                <w:szCs w:val="22"/>
                <w:lang w:eastAsia="en-AU"/>
              </w:rPr>
            </w:pPr>
            <w:r w:rsidRPr="007F535E">
              <w:rPr>
                <w:rFonts w:eastAsia="Times New Roman"/>
                <w:b/>
                <w:bCs/>
                <w:color w:val="000000"/>
                <w:sz w:val="22"/>
                <w:szCs w:val="22"/>
                <w:lang w:eastAsia="en-AU"/>
              </w:rPr>
              <w:t>Learning Climate</w:t>
            </w:r>
          </w:p>
        </w:tc>
        <w:tc>
          <w:tcPr>
            <w:tcW w:w="4394" w:type="dxa"/>
            <w:tcBorders>
              <w:top w:val="nil"/>
              <w:left w:val="nil"/>
              <w:bottom w:val="single" w:sz="4" w:space="0" w:color="auto"/>
              <w:right w:val="single" w:sz="4" w:space="0" w:color="auto"/>
            </w:tcBorders>
            <w:shd w:val="clear" w:color="auto" w:fill="auto"/>
            <w:vAlign w:val="center"/>
            <w:hideMark/>
          </w:tcPr>
          <w:p w14:paraId="0984E8E1"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Hospitals were viewed as frequently hostile and punitive when issues were raised. Spurious focus on quality improvement. </w:t>
            </w:r>
          </w:p>
        </w:tc>
        <w:tc>
          <w:tcPr>
            <w:tcW w:w="4111" w:type="dxa"/>
            <w:tcBorders>
              <w:top w:val="nil"/>
              <w:left w:val="nil"/>
              <w:bottom w:val="single" w:sz="4" w:space="0" w:color="auto"/>
              <w:right w:val="single" w:sz="4" w:space="0" w:color="auto"/>
            </w:tcBorders>
            <w:shd w:val="clear" w:color="auto" w:fill="auto"/>
            <w:vAlign w:val="center"/>
            <w:hideMark/>
          </w:tcPr>
          <w:p w14:paraId="4AE6B8E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Aligned – Peer messengers wanted to contribute to quality, </w:t>
            </w:r>
            <w:proofErr w:type="gramStart"/>
            <w:r w:rsidRPr="007F535E">
              <w:rPr>
                <w:rFonts w:eastAsia="Times New Roman"/>
                <w:color w:val="000000"/>
                <w:sz w:val="22"/>
                <w:szCs w:val="22"/>
                <w:lang w:eastAsia="en-AU"/>
              </w:rPr>
              <w:t>safety</w:t>
            </w:r>
            <w:proofErr w:type="gramEnd"/>
            <w:r w:rsidRPr="007F535E">
              <w:rPr>
                <w:rFonts w:eastAsia="Times New Roman"/>
                <w:color w:val="000000"/>
                <w:sz w:val="22"/>
                <w:szCs w:val="22"/>
                <w:lang w:eastAsia="en-AU"/>
              </w:rPr>
              <w:t xml:space="preserve"> and workplace culture, and were professional in delivery of feedback that encouraged self-reflection, not blame. </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14:paraId="10508CD4"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Aligned</w:t>
            </w:r>
          </w:p>
        </w:tc>
      </w:tr>
      <w:tr w:rsidR="0020314F" w:rsidRPr="007F535E" w14:paraId="6E466DDC" w14:textId="77777777" w:rsidTr="00FA1C76">
        <w:trPr>
          <w:trHeight w:val="1200"/>
        </w:trPr>
        <w:tc>
          <w:tcPr>
            <w:tcW w:w="1413" w:type="dxa"/>
            <w:vMerge/>
            <w:tcBorders>
              <w:top w:val="nil"/>
              <w:left w:val="single" w:sz="4" w:space="0" w:color="auto"/>
              <w:bottom w:val="single" w:sz="4" w:space="0" w:color="000000"/>
              <w:right w:val="single" w:sz="4" w:space="0" w:color="auto"/>
            </w:tcBorders>
            <w:vAlign w:val="center"/>
            <w:hideMark/>
          </w:tcPr>
          <w:p w14:paraId="4DAE8316" w14:textId="77777777" w:rsidR="0020314F" w:rsidRPr="007F535E" w:rsidRDefault="0020314F" w:rsidP="007F535E">
            <w:pPr>
              <w:spacing w:line="240" w:lineRule="auto"/>
              <w:rPr>
                <w:rFonts w:eastAsia="Times New Roman"/>
                <w:color w:val="000000"/>
                <w:sz w:val="22"/>
                <w:szCs w:val="22"/>
                <w:lang w:eastAsia="en-AU"/>
              </w:rPr>
            </w:pPr>
          </w:p>
        </w:tc>
        <w:tc>
          <w:tcPr>
            <w:tcW w:w="2410" w:type="dxa"/>
            <w:vMerge/>
            <w:tcBorders>
              <w:top w:val="nil"/>
              <w:left w:val="single" w:sz="4" w:space="0" w:color="auto"/>
              <w:bottom w:val="single" w:sz="4" w:space="0" w:color="000000"/>
              <w:right w:val="single" w:sz="4" w:space="0" w:color="auto"/>
            </w:tcBorders>
            <w:vAlign w:val="center"/>
            <w:hideMark/>
          </w:tcPr>
          <w:p w14:paraId="654A1FCF" w14:textId="77777777" w:rsidR="0020314F" w:rsidRPr="007F535E" w:rsidRDefault="0020314F" w:rsidP="007F535E">
            <w:pPr>
              <w:spacing w:line="240" w:lineRule="auto"/>
              <w:rPr>
                <w:rFonts w:eastAsia="Times New Roman"/>
                <w:color w:val="000000"/>
                <w:sz w:val="22"/>
                <w:szCs w:val="22"/>
                <w:lang w:eastAsia="en-AU"/>
              </w:rPr>
            </w:pPr>
          </w:p>
        </w:tc>
        <w:tc>
          <w:tcPr>
            <w:tcW w:w="1134" w:type="dxa"/>
            <w:tcBorders>
              <w:top w:val="nil"/>
              <w:left w:val="nil"/>
              <w:bottom w:val="single" w:sz="4" w:space="0" w:color="auto"/>
              <w:right w:val="single" w:sz="4" w:space="0" w:color="auto"/>
            </w:tcBorders>
            <w:shd w:val="clear" w:color="auto" w:fill="auto"/>
            <w:vAlign w:val="center"/>
            <w:hideMark/>
          </w:tcPr>
          <w:p w14:paraId="67B3445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Leadership Engagement</w:t>
            </w:r>
          </w:p>
        </w:tc>
        <w:tc>
          <w:tcPr>
            <w:tcW w:w="4394" w:type="dxa"/>
            <w:tcBorders>
              <w:top w:val="nil"/>
              <w:left w:val="nil"/>
              <w:bottom w:val="nil"/>
              <w:right w:val="nil"/>
            </w:tcBorders>
            <w:shd w:val="clear" w:color="auto" w:fill="auto"/>
            <w:vAlign w:val="bottom"/>
            <w:hideMark/>
          </w:tcPr>
          <w:p w14:paraId="6352301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Staff perceived leaders as not accountable with a poor track record of addressing unprofessional behaviours. Senior leaders were supportive of Ethos but not core implementers and not always knowledgeable on the program. </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14:paraId="630B1AA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Aligned – Ethos peer messengers were frequently supported, and even selected by, hospital leadership. </w:t>
            </w:r>
          </w:p>
        </w:tc>
        <w:tc>
          <w:tcPr>
            <w:tcW w:w="1275" w:type="dxa"/>
            <w:vMerge/>
            <w:tcBorders>
              <w:top w:val="nil"/>
              <w:left w:val="single" w:sz="4" w:space="0" w:color="auto"/>
              <w:bottom w:val="single" w:sz="4" w:space="0" w:color="000000"/>
              <w:right w:val="single" w:sz="4" w:space="0" w:color="auto"/>
            </w:tcBorders>
            <w:vAlign w:val="center"/>
            <w:hideMark/>
          </w:tcPr>
          <w:p w14:paraId="3C0A32AA" w14:textId="77777777" w:rsidR="0020314F" w:rsidRPr="007F535E" w:rsidRDefault="0020314F" w:rsidP="007F535E">
            <w:pPr>
              <w:spacing w:line="240" w:lineRule="auto"/>
              <w:rPr>
                <w:rFonts w:eastAsia="Times New Roman"/>
                <w:color w:val="000000"/>
                <w:sz w:val="22"/>
                <w:szCs w:val="22"/>
                <w:lang w:eastAsia="en-AU"/>
              </w:rPr>
            </w:pPr>
          </w:p>
        </w:tc>
      </w:tr>
      <w:tr w:rsidR="0020314F" w:rsidRPr="007F535E" w14:paraId="77555840" w14:textId="77777777" w:rsidTr="00FA1C76">
        <w:trPr>
          <w:trHeight w:val="900"/>
        </w:trPr>
        <w:tc>
          <w:tcPr>
            <w:tcW w:w="1413" w:type="dxa"/>
            <w:vMerge/>
            <w:tcBorders>
              <w:top w:val="nil"/>
              <w:left w:val="single" w:sz="4" w:space="0" w:color="auto"/>
              <w:bottom w:val="single" w:sz="4" w:space="0" w:color="000000"/>
              <w:right w:val="single" w:sz="4" w:space="0" w:color="auto"/>
            </w:tcBorders>
            <w:vAlign w:val="center"/>
            <w:hideMark/>
          </w:tcPr>
          <w:p w14:paraId="1EF1836A" w14:textId="77777777" w:rsidR="0020314F" w:rsidRPr="007F535E" w:rsidRDefault="0020314F" w:rsidP="007F535E">
            <w:pPr>
              <w:spacing w:line="240" w:lineRule="auto"/>
              <w:rPr>
                <w:rFonts w:eastAsia="Times New Roman"/>
                <w:color w:val="000000"/>
                <w:sz w:val="22"/>
                <w:szCs w:val="22"/>
                <w:lang w:eastAsia="en-AU"/>
              </w:rPr>
            </w:pPr>
          </w:p>
        </w:tc>
        <w:tc>
          <w:tcPr>
            <w:tcW w:w="2410" w:type="dxa"/>
            <w:vMerge/>
            <w:tcBorders>
              <w:top w:val="nil"/>
              <w:left w:val="single" w:sz="4" w:space="0" w:color="auto"/>
              <w:bottom w:val="single" w:sz="4" w:space="0" w:color="000000"/>
              <w:right w:val="single" w:sz="4" w:space="0" w:color="auto"/>
            </w:tcBorders>
            <w:vAlign w:val="center"/>
            <w:hideMark/>
          </w:tcPr>
          <w:p w14:paraId="0C2E6D03" w14:textId="77777777" w:rsidR="0020314F" w:rsidRPr="007F535E" w:rsidRDefault="0020314F" w:rsidP="007F535E">
            <w:pPr>
              <w:spacing w:line="240" w:lineRule="auto"/>
              <w:rPr>
                <w:rFonts w:eastAsia="Times New Roman"/>
                <w:color w:val="000000"/>
                <w:sz w:val="22"/>
                <w:szCs w:val="22"/>
                <w:lang w:eastAsia="en-AU"/>
              </w:rPr>
            </w:pPr>
          </w:p>
        </w:tc>
        <w:tc>
          <w:tcPr>
            <w:tcW w:w="1134" w:type="dxa"/>
            <w:tcBorders>
              <w:top w:val="nil"/>
              <w:left w:val="nil"/>
              <w:bottom w:val="single" w:sz="4" w:space="0" w:color="auto"/>
              <w:right w:val="single" w:sz="4" w:space="0" w:color="auto"/>
            </w:tcBorders>
            <w:shd w:val="clear" w:color="auto" w:fill="auto"/>
            <w:vAlign w:val="center"/>
            <w:hideMark/>
          </w:tcPr>
          <w:p w14:paraId="6C18BC1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Access to Knowledge &amp; Information</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BF5B54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Training not accessible to all, visibility of Ethos declined over time and specific information on the reporting process was inadequate. </w:t>
            </w:r>
          </w:p>
        </w:tc>
        <w:tc>
          <w:tcPr>
            <w:tcW w:w="4111" w:type="dxa"/>
            <w:tcBorders>
              <w:top w:val="nil"/>
              <w:left w:val="nil"/>
              <w:bottom w:val="single" w:sz="4" w:space="0" w:color="auto"/>
              <w:right w:val="single" w:sz="4" w:space="0" w:color="auto"/>
            </w:tcBorders>
            <w:shd w:val="clear" w:color="auto" w:fill="auto"/>
            <w:vAlign w:val="center"/>
            <w:hideMark/>
          </w:tcPr>
          <w:p w14:paraId="6C38FBC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Aligned – Many Ethos peer messengers took it upon themselves to explain and encourage use of the program.</w:t>
            </w:r>
          </w:p>
        </w:tc>
        <w:tc>
          <w:tcPr>
            <w:tcW w:w="1275" w:type="dxa"/>
            <w:vMerge/>
            <w:tcBorders>
              <w:top w:val="nil"/>
              <w:left w:val="single" w:sz="4" w:space="0" w:color="auto"/>
              <w:bottom w:val="single" w:sz="4" w:space="0" w:color="000000"/>
              <w:right w:val="single" w:sz="4" w:space="0" w:color="auto"/>
            </w:tcBorders>
            <w:vAlign w:val="center"/>
            <w:hideMark/>
          </w:tcPr>
          <w:p w14:paraId="611ED81A" w14:textId="77777777" w:rsidR="0020314F" w:rsidRPr="007F535E" w:rsidRDefault="0020314F" w:rsidP="007F535E">
            <w:pPr>
              <w:spacing w:line="240" w:lineRule="auto"/>
              <w:rPr>
                <w:rFonts w:eastAsia="Times New Roman"/>
                <w:color w:val="000000"/>
                <w:sz w:val="22"/>
                <w:szCs w:val="22"/>
                <w:lang w:eastAsia="en-AU"/>
              </w:rPr>
            </w:pPr>
          </w:p>
        </w:tc>
      </w:tr>
      <w:tr w:rsidR="0020314F" w:rsidRPr="007F535E" w14:paraId="4680788F" w14:textId="77777777" w:rsidTr="00FA1C76">
        <w:trPr>
          <w:trHeight w:val="12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027844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Facilitation</w:t>
            </w:r>
          </w:p>
        </w:tc>
        <w:tc>
          <w:tcPr>
            <w:tcW w:w="2410" w:type="dxa"/>
            <w:tcBorders>
              <w:top w:val="nil"/>
              <w:left w:val="nil"/>
              <w:bottom w:val="single" w:sz="4" w:space="0" w:color="auto"/>
              <w:right w:val="single" w:sz="4" w:space="0" w:color="auto"/>
            </w:tcBorders>
            <w:shd w:val="clear" w:color="auto" w:fill="auto"/>
            <w:vAlign w:val="center"/>
            <w:hideMark/>
          </w:tcPr>
          <w:p w14:paraId="6662F0F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auto" w:fill="auto"/>
            <w:vAlign w:val="center"/>
            <w:hideMark/>
          </w:tcPr>
          <w:p w14:paraId="7CC3CE6E" w14:textId="77777777" w:rsidR="0020314F" w:rsidRPr="007F535E" w:rsidRDefault="0020314F" w:rsidP="007F535E">
            <w:pPr>
              <w:spacing w:line="240" w:lineRule="auto"/>
              <w:rPr>
                <w:rFonts w:eastAsia="Times New Roman"/>
                <w:b/>
                <w:bCs/>
                <w:color w:val="000000"/>
                <w:sz w:val="22"/>
                <w:szCs w:val="22"/>
                <w:lang w:eastAsia="en-AU"/>
              </w:rPr>
            </w:pPr>
            <w:r w:rsidRPr="007F535E">
              <w:rPr>
                <w:rFonts w:eastAsia="Times New Roman"/>
                <w:b/>
                <w:bCs/>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7ED35ED3"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0DE9B11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593AF97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1D50EC84" w14:textId="77777777" w:rsidTr="00FA1C76">
        <w:trPr>
          <w:trHeight w:val="12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499DE03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Conduct local consensus </w:t>
            </w:r>
          </w:p>
        </w:tc>
        <w:tc>
          <w:tcPr>
            <w:tcW w:w="2410" w:type="dxa"/>
            <w:tcBorders>
              <w:top w:val="nil"/>
              <w:left w:val="nil"/>
              <w:bottom w:val="single" w:sz="4" w:space="0" w:color="auto"/>
              <w:right w:val="single" w:sz="4" w:space="0" w:color="auto"/>
            </w:tcBorders>
            <w:shd w:val="clear" w:color="auto" w:fill="auto"/>
            <w:vAlign w:val="center"/>
            <w:hideMark/>
          </w:tcPr>
          <w:p w14:paraId="305DDFD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auto" w:fill="auto"/>
            <w:vAlign w:val="center"/>
            <w:hideMark/>
          </w:tcPr>
          <w:p w14:paraId="1C604BC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354754D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0C8E0C7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408083E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641482E6" w14:textId="77777777" w:rsidTr="00FA1C76">
        <w:trPr>
          <w:trHeight w:val="1200"/>
        </w:trPr>
        <w:tc>
          <w:tcPr>
            <w:tcW w:w="1413" w:type="dxa"/>
            <w:vMerge w:val="restart"/>
            <w:tcBorders>
              <w:top w:val="nil"/>
              <w:left w:val="single" w:sz="4" w:space="0" w:color="auto"/>
              <w:bottom w:val="single" w:sz="4" w:space="0" w:color="000000"/>
              <w:right w:val="single" w:sz="4" w:space="0" w:color="auto"/>
            </w:tcBorders>
            <w:shd w:val="clear" w:color="auto" w:fill="auto"/>
            <w:vAlign w:val="center"/>
            <w:hideMark/>
          </w:tcPr>
          <w:p w14:paraId="448E554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Develop educational materials</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14:paraId="1AF4E8B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An Ethos procedure document, as well as promotional materials, were developed for staff and went through several versions. </w:t>
            </w:r>
          </w:p>
        </w:tc>
        <w:tc>
          <w:tcPr>
            <w:tcW w:w="1134" w:type="dxa"/>
            <w:tcBorders>
              <w:top w:val="nil"/>
              <w:left w:val="nil"/>
              <w:bottom w:val="single" w:sz="4" w:space="0" w:color="auto"/>
              <w:right w:val="single" w:sz="4" w:space="0" w:color="auto"/>
            </w:tcBorders>
            <w:shd w:val="clear" w:color="auto" w:fill="auto"/>
            <w:vAlign w:val="center"/>
            <w:hideMark/>
          </w:tcPr>
          <w:p w14:paraId="4090F173"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Design Quality &amp; Packaging</w:t>
            </w:r>
          </w:p>
        </w:tc>
        <w:tc>
          <w:tcPr>
            <w:tcW w:w="4394" w:type="dxa"/>
            <w:tcBorders>
              <w:top w:val="nil"/>
              <w:left w:val="nil"/>
              <w:bottom w:val="single" w:sz="4" w:space="0" w:color="auto"/>
              <w:right w:val="single" w:sz="4" w:space="0" w:color="auto"/>
            </w:tcBorders>
            <w:shd w:val="clear" w:color="auto" w:fill="auto"/>
            <w:vAlign w:val="center"/>
            <w:hideMark/>
          </w:tcPr>
          <w:p w14:paraId="138BA65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Poor perceptions of the reporting tool and process, scepticism about anonymity, dislike of the lack of “natural justice”, confusion about the inclusion of both positive and negative reports in the one system.  </w:t>
            </w:r>
          </w:p>
        </w:tc>
        <w:tc>
          <w:tcPr>
            <w:tcW w:w="4111" w:type="dxa"/>
            <w:tcBorders>
              <w:top w:val="nil"/>
              <w:left w:val="nil"/>
              <w:bottom w:val="single" w:sz="4" w:space="0" w:color="auto"/>
              <w:right w:val="single" w:sz="4" w:space="0" w:color="auto"/>
            </w:tcBorders>
            <w:shd w:val="clear" w:color="auto" w:fill="auto"/>
            <w:vAlign w:val="center"/>
            <w:hideMark/>
          </w:tcPr>
          <w:p w14:paraId="6F7A129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Aligned – materials developed and subject to multiple iterations </w:t>
            </w:r>
            <w:proofErr w:type="gramStart"/>
            <w:r w:rsidRPr="007F535E">
              <w:rPr>
                <w:rFonts w:eastAsia="Times New Roman"/>
                <w:color w:val="000000"/>
                <w:sz w:val="22"/>
                <w:szCs w:val="22"/>
                <w:lang w:eastAsia="en-AU"/>
              </w:rPr>
              <w:t>in an attempt to</w:t>
            </w:r>
            <w:proofErr w:type="gramEnd"/>
            <w:r w:rsidRPr="007F535E">
              <w:rPr>
                <w:rFonts w:eastAsia="Times New Roman"/>
                <w:color w:val="000000"/>
                <w:sz w:val="22"/>
                <w:szCs w:val="22"/>
                <w:lang w:eastAsia="en-AU"/>
              </w:rPr>
              <w:t xml:space="preserve"> clarify program processes.</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14:paraId="39288F76"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Aligned</w:t>
            </w:r>
          </w:p>
        </w:tc>
      </w:tr>
      <w:tr w:rsidR="0020314F" w:rsidRPr="007F535E" w14:paraId="308B5C9C" w14:textId="77777777" w:rsidTr="00FA1C76">
        <w:trPr>
          <w:trHeight w:val="1200"/>
        </w:trPr>
        <w:tc>
          <w:tcPr>
            <w:tcW w:w="1413" w:type="dxa"/>
            <w:vMerge/>
            <w:tcBorders>
              <w:top w:val="nil"/>
              <w:left w:val="single" w:sz="4" w:space="0" w:color="auto"/>
              <w:bottom w:val="single" w:sz="4" w:space="0" w:color="000000"/>
              <w:right w:val="single" w:sz="4" w:space="0" w:color="auto"/>
            </w:tcBorders>
            <w:vAlign w:val="center"/>
            <w:hideMark/>
          </w:tcPr>
          <w:p w14:paraId="01EE9404" w14:textId="77777777" w:rsidR="0020314F" w:rsidRPr="007F535E" w:rsidRDefault="0020314F" w:rsidP="007F535E">
            <w:pPr>
              <w:spacing w:line="240" w:lineRule="auto"/>
              <w:rPr>
                <w:rFonts w:eastAsia="Times New Roman"/>
                <w:color w:val="000000"/>
                <w:sz w:val="22"/>
                <w:szCs w:val="22"/>
                <w:lang w:eastAsia="en-AU"/>
              </w:rPr>
            </w:pPr>
          </w:p>
        </w:tc>
        <w:tc>
          <w:tcPr>
            <w:tcW w:w="2410" w:type="dxa"/>
            <w:vMerge/>
            <w:tcBorders>
              <w:top w:val="nil"/>
              <w:left w:val="single" w:sz="4" w:space="0" w:color="auto"/>
              <w:bottom w:val="single" w:sz="4" w:space="0" w:color="000000"/>
              <w:right w:val="single" w:sz="4" w:space="0" w:color="auto"/>
            </w:tcBorders>
            <w:vAlign w:val="center"/>
            <w:hideMark/>
          </w:tcPr>
          <w:p w14:paraId="7A06219A" w14:textId="77777777" w:rsidR="0020314F" w:rsidRPr="007F535E" w:rsidRDefault="0020314F" w:rsidP="007F535E">
            <w:pPr>
              <w:spacing w:line="240" w:lineRule="auto"/>
              <w:rPr>
                <w:rFonts w:eastAsia="Times New Roman"/>
                <w:color w:val="000000"/>
                <w:sz w:val="22"/>
                <w:szCs w:val="22"/>
                <w:lang w:eastAsia="en-AU"/>
              </w:rPr>
            </w:pPr>
          </w:p>
        </w:tc>
        <w:tc>
          <w:tcPr>
            <w:tcW w:w="1134" w:type="dxa"/>
            <w:tcBorders>
              <w:top w:val="nil"/>
              <w:left w:val="nil"/>
              <w:bottom w:val="single" w:sz="4" w:space="0" w:color="auto"/>
              <w:right w:val="single" w:sz="4" w:space="0" w:color="auto"/>
            </w:tcBorders>
            <w:shd w:val="clear" w:color="auto" w:fill="auto"/>
            <w:vAlign w:val="center"/>
            <w:hideMark/>
          </w:tcPr>
          <w:p w14:paraId="5843FAE5" w14:textId="77777777" w:rsidR="0020314F" w:rsidRPr="007F535E" w:rsidRDefault="0020314F" w:rsidP="007F535E">
            <w:pPr>
              <w:spacing w:line="240" w:lineRule="auto"/>
              <w:rPr>
                <w:rFonts w:eastAsia="Times New Roman"/>
                <w:b/>
                <w:bCs/>
                <w:color w:val="000000"/>
                <w:sz w:val="22"/>
                <w:szCs w:val="22"/>
                <w:lang w:eastAsia="en-AU"/>
              </w:rPr>
            </w:pPr>
            <w:r w:rsidRPr="007F535E">
              <w:rPr>
                <w:rFonts w:eastAsia="Times New Roman"/>
                <w:b/>
                <w:bCs/>
                <w:color w:val="000000"/>
                <w:sz w:val="22"/>
                <w:szCs w:val="22"/>
                <w:lang w:eastAsia="en-AU"/>
              </w:rPr>
              <w:t>Access to Knowledge &amp; Information</w:t>
            </w:r>
          </w:p>
        </w:tc>
        <w:tc>
          <w:tcPr>
            <w:tcW w:w="4394" w:type="dxa"/>
            <w:tcBorders>
              <w:top w:val="nil"/>
              <w:left w:val="nil"/>
              <w:bottom w:val="single" w:sz="4" w:space="0" w:color="auto"/>
              <w:right w:val="single" w:sz="4" w:space="0" w:color="auto"/>
            </w:tcBorders>
            <w:shd w:val="clear" w:color="auto" w:fill="auto"/>
            <w:vAlign w:val="center"/>
            <w:hideMark/>
          </w:tcPr>
          <w:p w14:paraId="42FCF70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Training not accessible to all, visibility of Ethos declined over time and specific information on the reporting process was inadequate. </w:t>
            </w:r>
          </w:p>
        </w:tc>
        <w:tc>
          <w:tcPr>
            <w:tcW w:w="4111" w:type="dxa"/>
            <w:tcBorders>
              <w:top w:val="nil"/>
              <w:left w:val="nil"/>
              <w:bottom w:val="single" w:sz="4" w:space="0" w:color="auto"/>
              <w:right w:val="single" w:sz="4" w:space="0" w:color="auto"/>
            </w:tcBorders>
            <w:shd w:val="clear" w:color="auto" w:fill="auto"/>
            <w:vAlign w:val="center"/>
            <w:hideMark/>
          </w:tcPr>
          <w:p w14:paraId="7D9DF7E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Aligned - a range of materials were developed from detailed program descriptions to promotional </w:t>
            </w:r>
            <w:proofErr w:type="gramStart"/>
            <w:r w:rsidRPr="007F535E">
              <w:rPr>
                <w:rFonts w:eastAsia="Times New Roman"/>
                <w:color w:val="000000"/>
                <w:sz w:val="22"/>
                <w:szCs w:val="22"/>
                <w:lang w:eastAsia="en-AU"/>
              </w:rPr>
              <w:t>screensavers, and</w:t>
            </w:r>
            <w:proofErr w:type="gramEnd"/>
            <w:r w:rsidRPr="007F535E">
              <w:rPr>
                <w:rFonts w:eastAsia="Times New Roman"/>
                <w:color w:val="000000"/>
                <w:sz w:val="22"/>
                <w:szCs w:val="22"/>
                <w:lang w:eastAsia="en-AU"/>
              </w:rPr>
              <w:t xml:space="preserve"> went through multiple iterations as required. </w:t>
            </w:r>
          </w:p>
        </w:tc>
        <w:tc>
          <w:tcPr>
            <w:tcW w:w="1275" w:type="dxa"/>
            <w:vMerge/>
            <w:tcBorders>
              <w:top w:val="nil"/>
              <w:left w:val="single" w:sz="4" w:space="0" w:color="auto"/>
              <w:bottom w:val="single" w:sz="4" w:space="0" w:color="000000"/>
              <w:right w:val="single" w:sz="4" w:space="0" w:color="auto"/>
            </w:tcBorders>
            <w:vAlign w:val="center"/>
            <w:hideMark/>
          </w:tcPr>
          <w:p w14:paraId="303D08E7" w14:textId="77777777" w:rsidR="0020314F" w:rsidRPr="007F535E" w:rsidRDefault="0020314F" w:rsidP="007F535E">
            <w:pPr>
              <w:spacing w:line="240" w:lineRule="auto"/>
              <w:rPr>
                <w:rFonts w:eastAsia="Times New Roman"/>
                <w:color w:val="000000"/>
                <w:sz w:val="22"/>
                <w:szCs w:val="22"/>
                <w:lang w:eastAsia="en-AU"/>
              </w:rPr>
            </w:pPr>
          </w:p>
        </w:tc>
      </w:tr>
      <w:tr w:rsidR="0020314F" w:rsidRPr="007F535E" w14:paraId="26B91433" w14:textId="77777777" w:rsidTr="00FA1C76">
        <w:trPr>
          <w:trHeight w:val="900"/>
        </w:trPr>
        <w:tc>
          <w:tcPr>
            <w:tcW w:w="1413" w:type="dxa"/>
            <w:vMerge/>
            <w:tcBorders>
              <w:top w:val="nil"/>
              <w:left w:val="single" w:sz="4" w:space="0" w:color="auto"/>
              <w:bottom w:val="single" w:sz="4" w:space="0" w:color="000000"/>
              <w:right w:val="single" w:sz="4" w:space="0" w:color="auto"/>
            </w:tcBorders>
            <w:vAlign w:val="center"/>
            <w:hideMark/>
          </w:tcPr>
          <w:p w14:paraId="6D6CAC94" w14:textId="77777777" w:rsidR="0020314F" w:rsidRPr="007F535E" w:rsidRDefault="0020314F" w:rsidP="007F535E">
            <w:pPr>
              <w:spacing w:line="240" w:lineRule="auto"/>
              <w:rPr>
                <w:rFonts w:eastAsia="Times New Roman"/>
                <w:color w:val="000000"/>
                <w:sz w:val="22"/>
                <w:szCs w:val="22"/>
                <w:lang w:eastAsia="en-AU"/>
              </w:rPr>
            </w:pPr>
          </w:p>
        </w:tc>
        <w:tc>
          <w:tcPr>
            <w:tcW w:w="2410" w:type="dxa"/>
            <w:vMerge/>
            <w:tcBorders>
              <w:top w:val="nil"/>
              <w:left w:val="single" w:sz="4" w:space="0" w:color="auto"/>
              <w:bottom w:val="single" w:sz="4" w:space="0" w:color="000000"/>
              <w:right w:val="single" w:sz="4" w:space="0" w:color="auto"/>
            </w:tcBorders>
            <w:vAlign w:val="center"/>
            <w:hideMark/>
          </w:tcPr>
          <w:p w14:paraId="261681F3" w14:textId="77777777" w:rsidR="0020314F" w:rsidRPr="007F535E" w:rsidRDefault="0020314F" w:rsidP="007F535E">
            <w:pPr>
              <w:spacing w:line="240" w:lineRule="auto"/>
              <w:rPr>
                <w:rFonts w:eastAsia="Times New Roman"/>
                <w:color w:val="000000"/>
                <w:sz w:val="22"/>
                <w:szCs w:val="22"/>
                <w:lang w:eastAsia="en-AU"/>
              </w:rPr>
            </w:pPr>
          </w:p>
        </w:tc>
        <w:tc>
          <w:tcPr>
            <w:tcW w:w="1134" w:type="dxa"/>
            <w:tcBorders>
              <w:top w:val="nil"/>
              <w:left w:val="nil"/>
              <w:bottom w:val="single" w:sz="4" w:space="0" w:color="auto"/>
              <w:right w:val="single" w:sz="4" w:space="0" w:color="auto"/>
            </w:tcBorders>
            <w:shd w:val="clear" w:color="auto" w:fill="auto"/>
            <w:vAlign w:val="center"/>
            <w:hideMark/>
          </w:tcPr>
          <w:p w14:paraId="4884148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Knowledge &amp; Beliefs about the Intervention</w:t>
            </w:r>
          </w:p>
        </w:tc>
        <w:tc>
          <w:tcPr>
            <w:tcW w:w="4394" w:type="dxa"/>
            <w:tcBorders>
              <w:top w:val="nil"/>
              <w:left w:val="nil"/>
              <w:bottom w:val="single" w:sz="4" w:space="0" w:color="auto"/>
              <w:right w:val="single" w:sz="4" w:space="0" w:color="auto"/>
            </w:tcBorders>
            <w:shd w:val="clear" w:color="auto" w:fill="auto"/>
            <w:vAlign w:val="center"/>
            <w:hideMark/>
          </w:tcPr>
          <w:p w14:paraId="0E14634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On balance, beliefs were distrusting, sceptical or measured in their view of the program and how effective it could be. </w:t>
            </w:r>
          </w:p>
        </w:tc>
        <w:tc>
          <w:tcPr>
            <w:tcW w:w="4111" w:type="dxa"/>
            <w:tcBorders>
              <w:top w:val="nil"/>
              <w:left w:val="nil"/>
              <w:bottom w:val="single" w:sz="4" w:space="0" w:color="auto"/>
              <w:right w:val="single" w:sz="4" w:space="0" w:color="auto"/>
            </w:tcBorders>
            <w:shd w:val="clear" w:color="auto" w:fill="auto"/>
            <w:vAlign w:val="center"/>
            <w:hideMark/>
          </w:tcPr>
          <w:p w14:paraId="3F3235C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Aligned – materials produced over time attempted to correct misconceptions and knowledge gaps. </w:t>
            </w:r>
          </w:p>
        </w:tc>
        <w:tc>
          <w:tcPr>
            <w:tcW w:w="1275" w:type="dxa"/>
            <w:vMerge/>
            <w:tcBorders>
              <w:top w:val="nil"/>
              <w:left w:val="single" w:sz="4" w:space="0" w:color="auto"/>
              <w:bottom w:val="single" w:sz="4" w:space="0" w:color="000000"/>
              <w:right w:val="single" w:sz="4" w:space="0" w:color="auto"/>
            </w:tcBorders>
            <w:vAlign w:val="center"/>
            <w:hideMark/>
          </w:tcPr>
          <w:p w14:paraId="0446AF20" w14:textId="77777777" w:rsidR="0020314F" w:rsidRPr="007F535E" w:rsidRDefault="0020314F" w:rsidP="007F535E">
            <w:pPr>
              <w:spacing w:line="240" w:lineRule="auto"/>
              <w:rPr>
                <w:rFonts w:eastAsia="Times New Roman"/>
                <w:color w:val="000000"/>
                <w:sz w:val="22"/>
                <w:szCs w:val="22"/>
                <w:lang w:eastAsia="en-AU"/>
              </w:rPr>
            </w:pPr>
          </w:p>
        </w:tc>
      </w:tr>
      <w:tr w:rsidR="0020314F" w:rsidRPr="007F535E" w14:paraId="0AEB18FD" w14:textId="77777777" w:rsidTr="00FA1C76">
        <w:trPr>
          <w:trHeight w:val="15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548BD7F"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Organise clinician implementation team meetings</w:t>
            </w:r>
          </w:p>
        </w:tc>
        <w:tc>
          <w:tcPr>
            <w:tcW w:w="2410" w:type="dxa"/>
            <w:tcBorders>
              <w:top w:val="nil"/>
              <w:left w:val="nil"/>
              <w:bottom w:val="single" w:sz="4" w:space="0" w:color="auto"/>
              <w:right w:val="single" w:sz="4" w:space="0" w:color="auto"/>
            </w:tcBorders>
            <w:shd w:val="clear" w:color="auto" w:fill="auto"/>
            <w:vAlign w:val="center"/>
            <w:hideMark/>
          </w:tcPr>
          <w:p w14:paraId="2DB5ABC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auto" w:fill="auto"/>
            <w:vAlign w:val="center"/>
            <w:hideMark/>
          </w:tcPr>
          <w:p w14:paraId="2D8C1A42" w14:textId="77777777" w:rsidR="0020314F" w:rsidRPr="007F535E" w:rsidRDefault="0020314F" w:rsidP="007F535E">
            <w:pPr>
              <w:spacing w:line="240" w:lineRule="auto"/>
              <w:rPr>
                <w:rFonts w:eastAsia="Times New Roman"/>
                <w:b/>
                <w:bCs/>
                <w:color w:val="000000"/>
                <w:sz w:val="22"/>
                <w:szCs w:val="22"/>
                <w:lang w:eastAsia="en-AU"/>
              </w:rPr>
            </w:pPr>
            <w:r w:rsidRPr="007F535E">
              <w:rPr>
                <w:rFonts w:eastAsia="Times New Roman"/>
                <w:b/>
                <w:bCs/>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72D8207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6861F11B"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106B997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7DD623CD" w14:textId="77777777" w:rsidTr="00FA1C76">
        <w:trPr>
          <w:trHeight w:val="900"/>
        </w:trPr>
        <w:tc>
          <w:tcPr>
            <w:tcW w:w="1413" w:type="dxa"/>
            <w:vMerge w:val="restart"/>
            <w:tcBorders>
              <w:top w:val="nil"/>
              <w:left w:val="single" w:sz="4" w:space="0" w:color="auto"/>
              <w:bottom w:val="single" w:sz="4" w:space="0" w:color="000000"/>
              <w:right w:val="single" w:sz="4" w:space="0" w:color="auto"/>
            </w:tcBorders>
            <w:shd w:val="clear" w:color="auto" w:fill="auto"/>
            <w:vAlign w:val="center"/>
            <w:hideMark/>
          </w:tcPr>
          <w:p w14:paraId="782A629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lastRenderedPageBreak/>
              <w:t>Create a learning collaborative</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14:paraId="64617B8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An inter-hospital Ethos working group was established to share challenges and issues of those implementing the program.</w:t>
            </w:r>
          </w:p>
        </w:tc>
        <w:tc>
          <w:tcPr>
            <w:tcW w:w="1134" w:type="dxa"/>
            <w:tcBorders>
              <w:top w:val="nil"/>
              <w:left w:val="nil"/>
              <w:bottom w:val="single" w:sz="4" w:space="0" w:color="auto"/>
              <w:right w:val="single" w:sz="4" w:space="0" w:color="auto"/>
            </w:tcBorders>
            <w:shd w:val="clear" w:color="auto" w:fill="auto"/>
            <w:vAlign w:val="center"/>
            <w:hideMark/>
          </w:tcPr>
          <w:p w14:paraId="0ACC21F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Networks &amp; Communication</w:t>
            </w:r>
          </w:p>
        </w:tc>
        <w:tc>
          <w:tcPr>
            <w:tcW w:w="4394" w:type="dxa"/>
            <w:tcBorders>
              <w:top w:val="nil"/>
              <w:left w:val="nil"/>
              <w:bottom w:val="single" w:sz="4" w:space="0" w:color="auto"/>
              <w:right w:val="single" w:sz="4" w:space="0" w:color="auto"/>
            </w:tcBorders>
            <w:shd w:val="clear" w:color="auto" w:fill="auto"/>
            <w:vAlign w:val="center"/>
            <w:hideMark/>
          </w:tcPr>
          <w:p w14:paraId="543FBE3F"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Poor communication vertically and horizontally, despite procedures for consultation. Networks characterised by lack of transparency, hierarchy, and tribalism. </w:t>
            </w:r>
          </w:p>
        </w:tc>
        <w:tc>
          <w:tcPr>
            <w:tcW w:w="4111" w:type="dxa"/>
            <w:tcBorders>
              <w:top w:val="nil"/>
              <w:left w:val="nil"/>
              <w:bottom w:val="single" w:sz="4" w:space="0" w:color="auto"/>
              <w:right w:val="single" w:sz="4" w:space="0" w:color="auto"/>
            </w:tcBorders>
            <w:shd w:val="clear" w:color="auto" w:fill="auto"/>
            <w:vAlign w:val="center"/>
            <w:hideMark/>
          </w:tcPr>
          <w:p w14:paraId="2C72559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aligned – Issues occurred within each hospital, while collaborative occurred at the group level.</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14:paraId="394A98D6"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Not aligned</w:t>
            </w:r>
          </w:p>
        </w:tc>
      </w:tr>
      <w:tr w:rsidR="0020314F" w:rsidRPr="007F535E" w14:paraId="71075E9F" w14:textId="77777777" w:rsidTr="00FA1C76">
        <w:trPr>
          <w:trHeight w:val="1200"/>
        </w:trPr>
        <w:tc>
          <w:tcPr>
            <w:tcW w:w="1413" w:type="dxa"/>
            <w:vMerge/>
            <w:tcBorders>
              <w:top w:val="nil"/>
              <w:left w:val="single" w:sz="4" w:space="0" w:color="auto"/>
              <w:bottom w:val="single" w:sz="4" w:space="0" w:color="000000"/>
              <w:right w:val="single" w:sz="4" w:space="0" w:color="auto"/>
            </w:tcBorders>
            <w:vAlign w:val="center"/>
            <w:hideMark/>
          </w:tcPr>
          <w:p w14:paraId="1B287C6A" w14:textId="77777777" w:rsidR="0020314F" w:rsidRPr="007F535E" w:rsidRDefault="0020314F" w:rsidP="007F535E">
            <w:pPr>
              <w:spacing w:line="240" w:lineRule="auto"/>
              <w:rPr>
                <w:rFonts w:eastAsia="Times New Roman"/>
                <w:color w:val="000000"/>
                <w:sz w:val="22"/>
                <w:szCs w:val="22"/>
                <w:lang w:eastAsia="en-AU"/>
              </w:rPr>
            </w:pPr>
          </w:p>
        </w:tc>
        <w:tc>
          <w:tcPr>
            <w:tcW w:w="2410" w:type="dxa"/>
            <w:vMerge/>
            <w:tcBorders>
              <w:top w:val="nil"/>
              <w:left w:val="single" w:sz="4" w:space="0" w:color="auto"/>
              <w:bottom w:val="single" w:sz="4" w:space="0" w:color="000000"/>
              <w:right w:val="single" w:sz="4" w:space="0" w:color="auto"/>
            </w:tcBorders>
            <w:vAlign w:val="center"/>
            <w:hideMark/>
          </w:tcPr>
          <w:p w14:paraId="70DF25FD" w14:textId="77777777" w:rsidR="0020314F" w:rsidRPr="007F535E" w:rsidRDefault="0020314F" w:rsidP="007F535E">
            <w:pPr>
              <w:spacing w:line="240" w:lineRule="auto"/>
              <w:rPr>
                <w:rFonts w:eastAsia="Times New Roman"/>
                <w:color w:val="000000"/>
                <w:sz w:val="22"/>
                <w:szCs w:val="22"/>
                <w:lang w:eastAsia="en-AU"/>
              </w:rPr>
            </w:pPr>
          </w:p>
        </w:tc>
        <w:tc>
          <w:tcPr>
            <w:tcW w:w="1134" w:type="dxa"/>
            <w:tcBorders>
              <w:top w:val="nil"/>
              <w:left w:val="nil"/>
              <w:bottom w:val="single" w:sz="4" w:space="0" w:color="auto"/>
              <w:right w:val="single" w:sz="4" w:space="0" w:color="auto"/>
            </w:tcBorders>
            <w:shd w:val="clear" w:color="auto" w:fill="auto"/>
            <w:vAlign w:val="center"/>
            <w:hideMark/>
          </w:tcPr>
          <w:p w14:paraId="3BC13E5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Access to Knowledge &amp; Information</w:t>
            </w:r>
          </w:p>
        </w:tc>
        <w:tc>
          <w:tcPr>
            <w:tcW w:w="4394" w:type="dxa"/>
            <w:tcBorders>
              <w:top w:val="nil"/>
              <w:left w:val="nil"/>
              <w:bottom w:val="single" w:sz="4" w:space="0" w:color="auto"/>
              <w:right w:val="single" w:sz="4" w:space="0" w:color="auto"/>
            </w:tcBorders>
            <w:shd w:val="clear" w:color="auto" w:fill="auto"/>
            <w:vAlign w:val="center"/>
            <w:hideMark/>
          </w:tcPr>
          <w:p w14:paraId="7F816AF1"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Training not accessible to all, visibility of Ethos declined over time and specific information on the reporting process was inadequate. </w:t>
            </w:r>
          </w:p>
        </w:tc>
        <w:tc>
          <w:tcPr>
            <w:tcW w:w="4111" w:type="dxa"/>
            <w:tcBorders>
              <w:top w:val="nil"/>
              <w:left w:val="nil"/>
              <w:bottom w:val="single" w:sz="4" w:space="0" w:color="auto"/>
              <w:right w:val="single" w:sz="4" w:space="0" w:color="auto"/>
            </w:tcBorders>
            <w:shd w:val="clear" w:color="auto" w:fill="auto"/>
            <w:vAlign w:val="center"/>
            <w:hideMark/>
          </w:tcPr>
          <w:p w14:paraId="22F0898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Partially aligned - training not ongoing, visibility of educational materials declined, so collaborative learnings did not trickle down effectively.</w:t>
            </w:r>
          </w:p>
        </w:tc>
        <w:tc>
          <w:tcPr>
            <w:tcW w:w="1275" w:type="dxa"/>
            <w:vMerge/>
            <w:tcBorders>
              <w:top w:val="nil"/>
              <w:left w:val="single" w:sz="4" w:space="0" w:color="auto"/>
              <w:bottom w:val="single" w:sz="4" w:space="0" w:color="000000"/>
              <w:right w:val="single" w:sz="4" w:space="0" w:color="auto"/>
            </w:tcBorders>
            <w:vAlign w:val="center"/>
            <w:hideMark/>
          </w:tcPr>
          <w:p w14:paraId="00D7C759" w14:textId="77777777" w:rsidR="0020314F" w:rsidRPr="007F535E" w:rsidRDefault="0020314F" w:rsidP="007F535E">
            <w:pPr>
              <w:spacing w:line="240" w:lineRule="auto"/>
              <w:rPr>
                <w:rFonts w:eastAsia="Times New Roman"/>
                <w:color w:val="000000"/>
                <w:sz w:val="22"/>
                <w:szCs w:val="22"/>
                <w:lang w:eastAsia="en-AU"/>
              </w:rPr>
            </w:pPr>
          </w:p>
        </w:tc>
      </w:tr>
      <w:tr w:rsidR="0020314F" w:rsidRPr="007F535E" w14:paraId="3D46B211" w14:textId="77777777" w:rsidTr="00FA1C76">
        <w:trPr>
          <w:trHeight w:val="1200"/>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42C5E9E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Inform local opinion leaders</w:t>
            </w:r>
          </w:p>
        </w:tc>
        <w:tc>
          <w:tcPr>
            <w:tcW w:w="2410" w:type="dxa"/>
            <w:tcBorders>
              <w:top w:val="nil"/>
              <w:left w:val="nil"/>
              <w:bottom w:val="single" w:sz="4" w:space="0" w:color="auto"/>
              <w:right w:val="single" w:sz="4" w:space="0" w:color="auto"/>
            </w:tcBorders>
            <w:shd w:val="clear" w:color="auto" w:fill="auto"/>
            <w:vAlign w:val="center"/>
            <w:hideMark/>
          </w:tcPr>
          <w:p w14:paraId="11FB322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000000" w:fill="FFFFFF"/>
            <w:vAlign w:val="center"/>
            <w:hideMark/>
          </w:tcPr>
          <w:p w14:paraId="6CC0271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22A848D1"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2CFE3AE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302602D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3C42240F" w14:textId="77777777" w:rsidTr="00FA1C76">
        <w:trPr>
          <w:trHeight w:val="1200"/>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5C29FB1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Capture and share local knowledge</w:t>
            </w:r>
          </w:p>
        </w:tc>
        <w:tc>
          <w:tcPr>
            <w:tcW w:w="2410" w:type="dxa"/>
            <w:tcBorders>
              <w:top w:val="nil"/>
              <w:left w:val="nil"/>
              <w:bottom w:val="single" w:sz="4" w:space="0" w:color="auto"/>
              <w:right w:val="single" w:sz="4" w:space="0" w:color="auto"/>
            </w:tcBorders>
            <w:shd w:val="clear" w:color="auto" w:fill="auto"/>
            <w:vAlign w:val="center"/>
            <w:hideMark/>
          </w:tcPr>
          <w:p w14:paraId="18ECAC8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000000" w:fill="FFFFFF"/>
            <w:vAlign w:val="center"/>
            <w:hideMark/>
          </w:tcPr>
          <w:p w14:paraId="4AA3431B"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74524603"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1354CDD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37686D9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118B4A7B" w14:textId="77777777" w:rsidTr="00FA1C76">
        <w:trPr>
          <w:trHeight w:val="1500"/>
        </w:trPr>
        <w:tc>
          <w:tcPr>
            <w:tcW w:w="141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6E2F3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Develop a formal implementation blueprint</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14:paraId="43227F2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The program information and implementation plan laid out the aims/purposes of Ethos, scope (all staff), and included a high-level timeline for implementation in each hospital. </w:t>
            </w:r>
          </w:p>
        </w:tc>
        <w:tc>
          <w:tcPr>
            <w:tcW w:w="1134" w:type="dxa"/>
            <w:tcBorders>
              <w:top w:val="nil"/>
              <w:left w:val="nil"/>
              <w:bottom w:val="single" w:sz="4" w:space="0" w:color="auto"/>
              <w:right w:val="single" w:sz="4" w:space="0" w:color="auto"/>
            </w:tcBorders>
            <w:shd w:val="clear" w:color="000000" w:fill="FFFFFF"/>
            <w:vAlign w:val="center"/>
            <w:hideMark/>
          </w:tcPr>
          <w:p w14:paraId="1D74135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Goals &amp; Feedback</w:t>
            </w:r>
          </w:p>
        </w:tc>
        <w:tc>
          <w:tcPr>
            <w:tcW w:w="4394" w:type="dxa"/>
            <w:tcBorders>
              <w:top w:val="nil"/>
              <w:left w:val="nil"/>
              <w:bottom w:val="nil"/>
              <w:right w:val="nil"/>
            </w:tcBorders>
            <w:shd w:val="clear" w:color="auto" w:fill="auto"/>
            <w:vAlign w:val="bottom"/>
            <w:hideMark/>
          </w:tcPr>
          <w:p w14:paraId="0915EDB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Broad goals but lack of clarity about what the program would achieve, perpetuated by the dearth of feedback at both an individual and organisational level on usage of Ethos.</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14:paraId="294D061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Partially aligned – Blueprint included only broad goals and strategies. Performance measures and plans for refining the plan were not specified.</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14:paraId="0AEF187E"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Partially aligned</w:t>
            </w:r>
          </w:p>
        </w:tc>
      </w:tr>
      <w:tr w:rsidR="0020314F" w:rsidRPr="007F535E" w14:paraId="15A72328" w14:textId="77777777" w:rsidTr="00FA1C76">
        <w:trPr>
          <w:trHeight w:val="1500"/>
        </w:trPr>
        <w:tc>
          <w:tcPr>
            <w:tcW w:w="1413" w:type="dxa"/>
            <w:vMerge/>
            <w:tcBorders>
              <w:top w:val="nil"/>
              <w:left w:val="single" w:sz="4" w:space="0" w:color="auto"/>
              <w:bottom w:val="single" w:sz="4" w:space="0" w:color="000000"/>
              <w:right w:val="single" w:sz="4" w:space="0" w:color="auto"/>
            </w:tcBorders>
            <w:vAlign w:val="center"/>
            <w:hideMark/>
          </w:tcPr>
          <w:p w14:paraId="27B506B5" w14:textId="77777777" w:rsidR="0020314F" w:rsidRPr="007F535E" w:rsidRDefault="0020314F" w:rsidP="007F535E">
            <w:pPr>
              <w:spacing w:line="240" w:lineRule="auto"/>
              <w:rPr>
                <w:rFonts w:eastAsia="Times New Roman"/>
                <w:color w:val="000000"/>
                <w:sz w:val="22"/>
                <w:szCs w:val="22"/>
                <w:lang w:eastAsia="en-AU"/>
              </w:rPr>
            </w:pPr>
          </w:p>
        </w:tc>
        <w:tc>
          <w:tcPr>
            <w:tcW w:w="2410" w:type="dxa"/>
            <w:vMerge/>
            <w:tcBorders>
              <w:top w:val="nil"/>
              <w:left w:val="single" w:sz="4" w:space="0" w:color="auto"/>
              <w:bottom w:val="single" w:sz="4" w:space="0" w:color="000000"/>
              <w:right w:val="single" w:sz="4" w:space="0" w:color="auto"/>
            </w:tcBorders>
            <w:vAlign w:val="center"/>
            <w:hideMark/>
          </w:tcPr>
          <w:p w14:paraId="33F82659" w14:textId="77777777" w:rsidR="0020314F" w:rsidRPr="007F535E" w:rsidRDefault="0020314F" w:rsidP="007F535E">
            <w:pPr>
              <w:spacing w:line="240" w:lineRule="auto"/>
              <w:rPr>
                <w:rFonts w:eastAsia="Times New Roman"/>
                <w:color w:val="000000"/>
                <w:sz w:val="22"/>
                <w:szCs w:val="22"/>
                <w:lang w:eastAsia="en-AU"/>
              </w:rPr>
            </w:pPr>
          </w:p>
        </w:tc>
        <w:tc>
          <w:tcPr>
            <w:tcW w:w="1134" w:type="dxa"/>
            <w:tcBorders>
              <w:top w:val="nil"/>
              <w:left w:val="nil"/>
              <w:bottom w:val="single" w:sz="4" w:space="0" w:color="auto"/>
              <w:right w:val="single" w:sz="4" w:space="0" w:color="auto"/>
            </w:tcBorders>
            <w:shd w:val="clear" w:color="000000" w:fill="FFFFFF"/>
            <w:vAlign w:val="center"/>
            <w:hideMark/>
          </w:tcPr>
          <w:p w14:paraId="51E3FF4B"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Leadership Engagement</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32C5CDB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Staff perceived leaders as not accountable with a poor track record of addressing unprofessional behaviours. Senior leaders were supportive of Ethos but not core implementers and not always knowledgeable on the program. </w:t>
            </w:r>
          </w:p>
        </w:tc>
        <w:tc>
          <w:tcPr>
            <w:tcW w:w="4111" w:type="dxa"/>
            <w:tcBorders>
              <w:top w:val="nil"/>
              <w:left w:val="nil"/>
              <w:bottom w:val="single" w:sz="4" w:space="0" w:color="auto"/>
              <w:right w:val="single" w:sz="4" w:space="0" w:color="auto"/>
            </w:tcBorders>
            <w:shd w:val="clear" w:color="auto" w:fill="auto"/>
            <w:vAlign w:val="center"/>
            <w:hideMark/>
          </w:tcPr>
          <w:p w14:paraId="6971CDC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Aligned - Commitment of leaders at a group level and strategies for engaging leadership at a hospital level clearly specified.</w:t>
            </w:r>
          </w:p>
        </w:tc>
        <w:tc>
          <w:tcPr>
            <w:tcW w:w="1275" w:type="dxa"/>
            <w:vMerge/>
            <w:tcBorders>
              <w:top w:val="nil"/>
              <w:left w:val="single" w:sz="4" w:space="0" w:color="auto"/>
              <w:bottom w:val="single" w:sz="4" w:space="0" w:color="000000"/>
              <w:right w:val="single" w:sz="4" w:space="0" w:color="auto"/>
            </w:tcBorders>
            <w:vAlign w:val="center"/>
            <w:hideMark/>
          </w:tcPr>
          <w:p w14:paraId="4DF04580" w14:textId="77777777" w:rsidR="0020314F" w:rsidRPr="007F535E" w:rsidRDefault="0020314F" w:rsidP="007F535E">
            <w:pPr>
              <w:spacing w:line="240" w:lineRule="auto"/>
              <w:rPr>
                <w:rFonts w:eastAsia="Times New Roman"/>
                <w:color w:val="000000"/>
                <w:sz w:val="22"/>
                <w:szCs w:val="22"/>
                <w:lang w:eastAsia="en-AU"/>
              </w:rPr>
            </w:pPr>
          </w:p>
        </w:tc>
      </w:tr>
      <w:tr w:rsidR="0020314F" w:rsidRPr="007F535E" w14:paraId="4E2D9DD2" w14:textId="77777777" w:rsidTr="00FA1C76">
        <w:trPr>
          <w:trHeight w:val="1200"/>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47FC7F5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Promote adaptability</w:t>
            </w:r>
          </w:p>
        </w:tc>
        <w:tc>
          <w:tcPr>
            <w:tcW w:w="2410" w:type="dxa"/>
            <w:tcBorders>
              <w:top w:val="nil"/>
              <w:left w:val="nil"/>
              <w:bottom w:val="single" w:sz="4" w:space="0" w:color="auto"/>
              <w:right w:val="single" w:sz="4" w:space="0" w:color="auto"/>
            </w:tcBorders>
            <w:shd w:val="clear" w:color="auto" w:fill="auto"/>
            <w:vAlign w:val="center"/>
            <w:hideMark/>
          </w:tcPr>
          <w:p w14:paraId="74FEBCD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000000" w:fill="FFFFFF"/>
            <w:vAlign w:val="center"/>
            <w:hideMark/>
          </w:tcPr>
          <w:p w14:paraId="6BA0351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7C208B7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079245C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118C4B33"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577E43A8" w14:textId="77777777" w:rsidTr="00FA1C76">
        <w:trPr>
          <w:trHeight w:val="600"/>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470C674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Build a coalition</w:t>
            </w:r>
          </w:p>
        </w:tc>
        <w:tc>
          <w:tcPr>
            <w:tcW w:w="2410" w:type="dxa"/>
            <w:tcBorders>
              <w:top w:val="nil"/>
              <w:left w:val="nil"/>
              <w:bottom w:val="single" w:sz="4" w:space="0" w:color="auto"/>
              <w:right w:val="single" w:sz="4" w:space="0" w:color="auto"/>
            </w:tcBorders>
            <w:shd w:val="clear" w:color="auto" w:fill="auto"/>
            <w:vAlign w:val="center"/>
            <w:hideMark/>
          </w:tcPr>
          <w:p w14:paraId="28FD7913"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000000" w:fill="FFFFFF"/>
            <w:vAlign w:val="center"/>
            <w:hideMark/>
          </w:tcPr>
          <w:p w14:paraId="1F1A8C1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587D456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58DCE56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2D59577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0DDDC891" w14:textId="77777777" w:rsidTr="00FA1C76">
        <w:trPr>
          <w:trHeight w:val="1200"/>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21F6576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lastRenderedPageBreak/>
              <w:t>Audit and provide feedback</w:t>
            </w:r>
          </w:p>
        </w:tc>
        <w:tc>
          <w:tcPr>
            <w:tcW w:w="2410" w:type="dxa"/>
            <w:tcBorders>
              <w:top w:val="nil"/>
              <w:left w:val="nil"/>
              <w:bottom w:val="single" w:sz="4" w:space="0" w:color="auto"/>
              <w:right w:val="single" w:sz="4" w:space="0" w:color="auto"/>
            </w:tcBorders>
            <w:shd w:val="clear" w:color="auto" w:fill="auto"/>
            <w:vAlign w:val="center"/>
            <w:hideMark/>
          </w:tcPr>
          <w:p w14:paraId="3C4B515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000000" w:fill="FFFFFF"/>
            <w:vAlign w:val="center"/>
            <w:hideMark/>
          </w:tcPr>
          <w:p w14:paraId="307D5785" w14:textId="77777777" w:rsidR="0020314F" w:rsidRPr="007F535E" w:rsidRDefault="0020314F" w:rsidP="007F535E">
            <w:pPr>
              <w:spacing w:line="240" w:lineRule="auto"/>
              <w:rPr>
                <w:rFonts w:eastAsia="Times New Roman"/>
                <w:b/>
                <w:bCs/>
                <w:color w:val="000000"/>
                <w:sz w:val="22"/>
                <w:szCs w:val="22"/>
                <w:lang w:eastAsia="en-AU"/>
              </w:rPr>
            </w:pPr>
            <w:r w:rsidRPr="007F535E">
              <w:rPr>
                <w:rFonts w:eastAsia="Times New Roman"/>
                <w:b/>
                <w:bCs/>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5393680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590A9EC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077AD22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440385C1" w14:textId="77777777" w:rsidTr="00FA1C76">
        <w:trPr>
          <w:trHeight w:val="1800"/>
        </w:trPr>
        <w:tc>
          <w:tcPr>
            <w:tcW w:w="1413" w:type="dxa"/>
            <w:tcBorders>
              <w:top w:val="nil"/>
              <w:left w:val="single" w:sz="4" w:space="0" w:color="auto"/>
              <w:bottom w:val="single" w:sz="4" w:space="0" w:color="auto"/>
              <w:right w:val="single" w:sz="4" w:space="0" w:color="auto"/>
            </w:tcBorders>
            <w:shd w:val="clear" w:color="000000" w:fill="FFFFFF"/>
            <w:vAlign w:val="center"/>
            <w:hideMark/>
          </w:tcPr>
          <w:p w14:paraId="1064095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Promote network weaving</w:t>
            </w:r>
          </w:p>
        </w:tc>
        <w:tc>
          <w:tcPr>
            <w:tcW w:w="2410" w:type="dxa"/>
            <w:tcBorders>
              <w:top w:val="nil"/>
              <w:left w:val="nil"/>
              <w:bottom w:val="single" w:sz="4" w:space="0" w:color="auto"/>
              <w:right w:val="single" w:sz="4" w:space="0" w:color="auto"/>
            </w:tcBorders>
            <w:shd w:val="clear" w:color="auto" w:fill="auto"/>
            <w:vAlign w:val="center"/>
            <w:hideMark/>
          </w:tcPr>
          <w:p w14:paraId="39D50131"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The program information and implementation plan mentioned the plan to continue “to engage external stakeholders". </w:t>
            </w:r>
          </w:p>
        </w:tc>
        <w:tc>
          <w:tcPr>
            <w:tcW w:w="1134" w:type="dxa"/>
            <w:tcBorders>
              <w:top w:val="nil"/>
              <w:left w:val="nil"/>
              <w:bottom w:val="single" w:sz="4" w:space="0" w:color="auto"/>
              <w:right w:val="single" w:sz="4" w:space="0" w:color="auto"/>
            </w:tcBorders>
            <w:shd w:val="clear" w:color="000000" w:fill="FFFFFF"/>
            <w:vAlign w:val="center"/>
            <w:hideMark/>
          </w:tcPr>
          <w:p w14:paraId="3B9B8FB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Networks &amp; Communication</w:t>
            </w:r>
          </w:p>
        </w:tc>
        <w:tc>
          <w:tcPr>
            <w:tcW w:w="4394" w:type="dxa"/>
            <w:tcBorders>
              <w:top w:val="nil"/>
              <w:left w:val="nil"/>
              <w:bottom w:val="single" w:sz="4" w:space="0" w:color="auto"/>
              <w:right w:val="single" w:sz="4" w:space="0" w:color="auto"/>
            </w:tcBorders>
            <w:shd w:val="clear" w:color="auto" w:fill="auto"/>
            <w:vAlign w:val="center"/>
            <w:hideMark/>
          </w:tcPr>
          <w:p w14:paraId="59E4397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Poor communication vertically and horizontally, despite procedures for consultation. Networks characterised by lack of transparency, hierarchy, and tribalism. </w:t>
            </w:r>
          </w:p>
        </w:tc>
        <w:tc>
          <w:tcPr>
            <w:tcW w:w="4111" w:type="dxa"/>
            <w:tcBorders>
              <w:top w:val="nil"/>
              <w:left w:val="nil"/>
              <w:bottom w:val="single" w:sz="4" w:space="0" w:color="auto"/>
              <w:right w:val="single" w:sz="4" w:space="0" w:color="auto"/>
            </w:tcBorders>
            <w:shd w:val="clear" w:color="auto" w:fill="auto"/>
            <w:vAlign w:val="center"/>
            <w:hideMark/>
          </w:tcPr>
          <w:p w14:paraId="237C6A1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aligned – poor communication, tribalism, occurred within each hospital, while networking was done externally or at a group level.</w:t>
            </w:r>
          </w:p>
        </w:tc>
        <w:tc>
          <w:tcPr>
            <w:tcW w:w="1275" w:type="dxa"/>
            <w:tcBorders>
              <w:top w:val="nil"/>
              <w:left w:val="nil"/>
              <w:bottom w:val="single" w:sz="4" w:space="0" w:color="auto"/>
              <w:right w:val="single" w:sz="4" w:space="0" w:color="auto"/>
            </w:tcBorders>
            <w:shd w:val="clear" w:color="auto" w:fill="auto"/>
            <w:vAlign w:val="center"/>
            <w:hideMark/>
          </w:tcPr>
          <w:p w14:paraId="76FF87A4"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Not aligned</w:t>
            </w:r>
          </w:p>
        </w:tc>
      </w:tr>
      <w:tr w:rsidR="0020314F" w:rsidRPr="007F535E" w14:paraId="1DF4A68C" w14:textId="77777777" w:rsidTr="00FA1C76">
        <w:trPr>
          <w:trHeight w:val="12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62F1B9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Distribute educational materials</w:t>
            </w:r>
          </w:p>
        </w:tc>
        <w:tc>
          <w:tcPr>
            <w:tcW w:w="2410" w:type="dxa"/>
            <w:tcBorders>
              <w:top w:val="nil"/>
              <w:left w:val="nil"/>
              <w:bottom w:val="single" w:sz="4" w:space="0" w:color="auto"/>
              <w:right w:val="single" w:sz="4" w:space="0" w:color="auto"/>
            </w:tcBorders>
            <w:shd w:val="clear" w:color="auto" w:fill="auto"/>
            <w:vAlign w:val="center"/>
            <w:hideMark/>
          </w:tcPr>
          <w:p w14:paraId="5DD95BA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Program materials promoting Ethos including posters and screensavers distributed. FAQ and web portal created. Multiple versions created over time.</w:t>
            </w:r>
          </w:p>
        </w:tc>
        <w:tc>
          <w:tcPr>
            <w:tcW w:w="1134" w:type="dxa"/>
            <w:tcBorders>
              <w:top w:val="nil"/>
              <w:left w:val="nil"/>
              <w:bottom w:val="single" w:sz="4" w:space="0" w:color="auto"/>
              <w:right w:val="single" w:sz="4" w:space="0" w:color="auto"/>
            </w:tcBorders>
            <w:shd w:val="clear" w:color="auto" w:fill="auto"/>
            <w:vAlign w:val="center"/>
            <w:hideMark/>
          </w:tcPr>
          <w:p w14:paraId="769EBAEF"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Access to Knowledge &amp; Information</w:t>
            </w:r>
          </w:p>
        </w:tc>
        <w:tc>
          <w:tcPr>
            <w:tcW w:w="4394" w:type="dxa"/>
            <w:tcBorders>
              <w:top w:val="nil"/>
              <w:left w:val="nil"/>
              <w:bottom w:val="single" w:sz="4" w:space="0" w:color="auto"/>
              <w:right w:val="single" w:sz="4" w:space="0" w:color="auto"/>
            </w:tcBorders>
            <w:shd w:val="clear" w:color="auto" w:fill="auto"/>
            <w:vAlign w:val="center"/>
            <w:hideMark/>
          </w:tcPr>
          <w:p w14:paraId="427660C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Training not accessible to all, visibility of Ethos declined over time and specific information on the reporting process was inadequate. </w:t>
            </w:r>
          </w:p>
        </w:tc>
        <w:tc>
          <w:tcPr>
            <w:tcW w:w="4111" w:type="dxa"/>
            <w:tcBorders>
              <w:top w:val="nil"/>
              <w:left w:val="nil"/>
              <w:bottom w:val="single" w:sz="4" w:space="0" w:color="auto"/>
              <w:right w:val="single" w:sz="4" w:space="0" w:color="auto"/>
            </w:tcBorders>
            <w:shd w:val="clear" w:color="auto" w:fill="auto"/>
            <w:vAlign w:val="center"/>
            <w:hideMark/>
          </w:tcPr>
          <w:p w14:paraId="526B992B"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Partially aligned – materials distributed initially, but not effectively over time. </w:t>
            </w:r>
          </w:p>
        </w:tc>
        <w:tc>
          <w:tcPr>
            <w:tcW w:w="1275" w:type="dxa"/>
            <w:tcBorders>
              <w:top w:val="nil"/>
              <w:left w:val="nil"/>
              <w:bottom w:val="single" w:sz="4" w:space="0" w:color="auto"/>
              <w:right w:val="single" w:sz="4" w:space="0" w:color="auto"/>
            </w:tcBorders>
            <w:shd w:val="clear" w:color="auto" w:fill="auto"/>
            <w:vAlign w:val="center"/>
            <w:hideMark/>
          </w:tcPr>
          <w:p w14:paraId="04DFEF86"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Partially aligned</w:t>
            </w:r>
          </w:p>
        </w:tc>
      </w:tr>
      <w:tr w:rsidR="0020314F" w:rsidRPr="007F535E" w14:paraId="67DA89D9" w14:textId="77777777" w:rsidTr="00FA1C76">
        <w:trPr>
          <w:trHeight w:val="1200"/>
        </w:trPr>
        <w:tc>
          <w:tcPr>
            <w:tcW w:w="1413" w:type="dxa"/>
            <w:vMerge w:val="restart"/>
            <w:tcBorders>
              <w:top w:val="nil"/>
              <w:left w:val="single" w:sz="4" w:space="0" w:color="auto"/>
              <w:bottom w:val="single" w:sz="4" w:space="0" w:color="000000"/>
              <w:right w:val="single" w:sz="4" w:space="0" w:color="auto"/>
            </w:tcBorders>
            <w:shd w:val="clear" w:color="auto" w:fill="auto"/>
            <w:vAlign w:val="center"/>
            <w:hideMark/>
          </w:tcPr>
          <w:p w14:paraId="4DA60B8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Recruit, designate and train for leadership</w:t>
            </w:r>
          </w:p>
        </w:tc>
        <w:tc>
          <w:tcPr>
            <w:tcW w:w="2410" w:type="dxa"/>
            <w:vMerge w:val="restart"/>
            <w:tcBorders>
              <w:top w:val="nil"/>
              <w:left w:val="single" w:sz="4" w:space="0" w:color="auto"/>
              <w:bottom w:val="single" w:sz="4" w:space="0" w:color="000000"/>
              <w:right w:val="single" w:sz="4" w:space="0" w:color="auto"/>
            </w:tcBorders>
            <w:shd w:val="clear" w:color="auto" w:fill="auto"/>
            <w:vAlign w:val="center"/>
            <w:hideMark/>
          </w:tcPr>
          <w:p w14:paraId="3C73223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Both line managers and senior hospital leaders undertook specialised training to support their involvement and leadership of Ethos, and some had designated roles. </w:t>
            </w:r>
          </w:p>
        </w:tc>
        <w:tc>
          <w:tcPr>
            <w:tcW w:w="1134" w:type="dxa"/>
            <w:tcBorders>
              <w:top w:val="nil"/>
              <w:left w:val="nil"/>
              <w:bottom w:val="single" w:sz="4" w:space="0" w:color="auto"/>
              <w:right w:val="single" w:sz="4" w:space="0" w:color="auto"/>
            </w:tcBorders>
            <w:shd w:val="clear" w:color="auto" w:fill="auto"/>
            <w:vAlign w:val="center"/>
            <w:hideMark/>
          </w:tcPr>
          <w:p w14:paraId="27F3F271"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Learning Climate</w:t>
            </w:r>
          </w:p>
        </w:tc>
        <w:tc>
          <w:tcPr>
            <w:tcW w:w="4394" w:type="dxa"/>
            <w:tcBorders>
              <w:top w:val="nil"/>
              <w:left w:val="nil"/>
              <w:bottom w:val="single" w:sz="4" w:space="0" w:color="auto"/>
              <w:right w:val="single" w:sz="4" w:space="0" w:color="auto"/>
            </w:tcBorders>
            <w:shd w:val="clear" w:color="auto" w:fill="auto"/>
            <w:vAlign w:val="center"/>
            <w:hideMark/>
          </w:tcPr>
          <w:p w14:paraId="54A8B2D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Hospitals were viewed as frequently hostile and punitive when issues were raised. Spurious focus on quality improvement. </w:t>
            </w:r>
          </w:p>
        </w:tc>
        <w:tc>
          <w:tcPr>
            <w:tcW w:w="4111" w:type="dxa"/>
            <w:tcBorders>
              <w:top w:val="nil"/>
              <w:left w:val="nil"/>
              <w:bottom w:val="single" w:sz="4" w:space="0" w:color="auto"/>
              <w:right w:val="single" w:sz="4" w:space="0" w:color="auto"/>
            </w:tcBorders>
            <w:shd w:val="clear" w:color="auto" w:fill="auto"/>
            <w:vAlign w:val="center"/>
            <w:hideMark/>
          </w:tcPr>
          <w:p w14:paraId="66E0C6A1"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Partially aligned - multiple roles trained up to support implementation of program, but unclear that this would affect the largely hospital learning climate.</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14:paraId="5830EBFF"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Partially aligned</w:t>
            </w:r>
          </w:p>
        </w:tc>
      </w:tr>
      <w:tr w:rsidR="0020314F" w:rsidRPr="007F535E" w14:paraId="139FC8FD" w14:textId="77777777" w:rsidTr="00FA1C76">
        <w:trPr>
          <w:trHeight w:val="1500"/>
        </w:trPr>
        <w:tc>
          <w:tcPr>
            <w:tcW w:w="1413" w:type="dxa"/>
            <w:vMerge/>
            <w:tcBorders>
              <w:top w:val="nil"/>
              <w:left w:val="single" w:sz="4" w:space="0" w:color="auto"/>
              <w:bottom w:val="single" w:sz="4" w:space="0" w:color="000000"/>
              <w:right w:val="single" w:sz="4" w:space="0" w:color="auto"/>
            </w:tcBorders>
            <w:vAlign w:val="center"/>
            <w:hideMark/>
          </w:tcPr>
          <w:p w14:paraId="45E73F78" w14:textId="77777777" w:rsidR="0020314F" w:rsidRPr="007F535E" w:rsidRDefault="0020314F" w:rsidP="007F535E">
            <w:pPr>
              <w:spacing w:line="240" w:lineRule="auto"/>
              <w:rPr>
                <w:rFonts w:eastAsia="Times New Roman"/>
                <w:color w:val="000000"/>
                <w:sz w:val="22"/>
                <w:szCs w:val="22"/>
                <w:lang w:eastAsia="en-AU"/>
              </w:rPr>
            </w:pPr>
          </w:p>
        </w:tc>
        <w:tc>
          <w:tcPr>
            <w:tcW w:w="2410" w:type="dxa"/>
            <w:vMerge/>
            <w:tcBorders>
              <w:top w:val="nil"/>
              <w:left w:val="single" w:sz="4" w:space="0" w:color="auto"/>
              <w:bottom w:val="single" w:sz="4" w:space="0" w:color="000000"/>
              <w:right w:val="single" w:sz="4" w:space="0" w:color="auto"/>
            </w:tcBorders>
            <w:vAlign w:val="center"/>
            <w:hideMark/>
          </w:tcPr>
          <w:p w14:paraId="2705005C" w14:textId="77777777" w:rsidR="0020314F" w:rsidRPr="007F535E" w:rsidRDefault="0020314F" w:rsidP="007F535E">
            <w:pPr>
              <w:spacing w:line="240" w:lineRule="auto"/>
              <w:rPr>
                <w:rFonts w:eastAsia="Times New Roman"/>
                <w:color w:val="000000"/>
                <w:sz w:val="22"/>
                <w:szCs w:val="22"/>
                <w:lang w:eastAsia="en-AU"/>
              </w:rPr>
            </w:pPr>
          </w:p>
        </w:tc>
        <w:tc>
          <w:tcPr>
            <w:tcW w:w="1134" w:type="dxa"/>
            <w:tcBorders>
              <w:top w:val="nil"/>
              <w:left w:val="nil"/>
              <w:bottom w:val="single" w:sz="4" w:space="0" w:color="auto"/>
              <w:right w:val="single" w:sz="4" w:space="0" w:color="auto"/>
            </w:tcBorders>
            <w:shd w:val="clear" w:color="auto" w:fill="auto"/>
            <w:vAlign w:val="center"/>
            <w:hideMark/>
          </w:tcPr>
          <w:p w14:paraId="05EB8931"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Leadership Engagement</w:t>
            </w:r>
          </w:p>
        </w:tc>
        <w:tc>
          <w:tcPr>
            <w:tcW w:w="4394" w:type="dxa"/>
            <w:tcBorders>
              <w:top w:val="nil"/>
              <w:left w:val="nil"/>
              <w:bottom w:val="single" w:sz="4" w:space="0" w:color="auto"/>
              <w:right w:val="single" w:sz="4" w:space="0" w:color="auto"/>
            </w:tcBorders>
            <w:shd w:val="clear" w:color="auto" w:fill="auto"/>
            <w:vAlign w:val="center"/>
            <w:hideMark/>
          </w:tcPr>
          <w:p w14:paraId="37FAC00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Staff perceived leaders as not accountable with a poor track record of addressing unprofessional behaviours. Senior leaders were supportive of Ethos but not core implementers and not always knowledgeable on the program. </w:t>
            </w:r>
          </w:p>
        </w:tc>
        <w:tc>
          <w:tcPr>
            <w:tcW w:w="4111" w:type="dxa"/>
            <w:tcBorders>
              <w:top w:val="nil"/>
              <w:left w:val="nil"/>
              <w:bottom w:val="single" w:sz="4" w:space="0" w:color="auto"/>
              <w:right w:val="single" w:sz="4" w:space="0" w:color="auto"/>
            </w:tcBorders>
            <w:shd w:val="clear" w:color="auto" w:fill="auto"/>
            <w:vAlign w:val="center"/>
            <w:hideMark/>
          </w:tcPr>
          <w:p w14:paraId="29A5418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Partially aligned – strategy addressed engagement with the program more </w:t>
            </w:r>
            <w:proofErr w:type="gramStart"/>
            <w:r w:rsidRPr="007F535E">
              <w:rPr>
                <w:rFonts w:eastAsia="Times New Roman"/>
                <w:color w:val="000000"/>
                <w:sz w:val="22"/>
                <w:szCs w:val="22"/>
                <w:lang w:eastAsia="en-AU"/>
              </w:rPr>
              <w:t>than  leadership</w:t>
            </w:r>
            <w:proofErr w:type="gramEnd"/>
            <w:r w:rsidRPr="007F535E">
              <w:rPr>
                <w:rFonts w:eastAsia="Times New Roman"/>
                <w:color w:val="000000"/>
                <w:sz w:val="22"/>
                <w:szCs w:val="22"/>
                <w:lang w:eastAsia="en-AU"/>
              </w:rPr>
              <w:t xml:space="preserve"> accountability issues.</w:t>
            </w:r>
          </w:p>
        </w:tc>
        <w:tc>
          <w:tcPr>
            <w:tcW w:w="1275" w:type="dxa"/>
            <w:vMerge/>
            <w:tcBorders>
              <w:top w:val="nil"/>
              <w:left w:val="single" w:sz="4" w:space="0" w:color="auto"/>
              <w:bottom w:val="single" w:sz="4" w:space="0" w:color="000000"/>
              <w:right w:val="single" w:sz="4" w:space="0" w:color="auto"/>
            </w:tcBorders>
            <w:vAlign w:val="center"/>
            <w:hideMark/>
          </w:tcPr>
          <w:p w14:paraId="43CFBD59" w14:textId="77777777" w:rsidR="0020314F" w:rsidRPr="007F535E" w:rsidRDefault="0020314F" w:rsidP="007F535E">
            <w:pPr>
              <w:spacing w:line="240" w:lineRule="auto"/>
              <w:rPr>
                <w:rFonts w:eastAsia="Times New Roman"/>
                <w:color w:val="000000"/>
                <w:sz w:val="22"/>
                <w:szCs w:val="22"/>
                <w:lang w:eastAsia="en-AU"/>
              </w:rPr>
            </w:pPr>
          </w:p>
        </w:tc>
      </w:tr>
      <w:tr w:rsidR="0020314F" w:rsidRPr="007F535E" w14:paraId="331FD7AC" w14:textId="77777777" w:rsidTr="00FA1C76">
        <w:trPr>
          <w:trHeight w:val="12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3EE5A9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Conduct educational outreach visits</w:t>
            </w:r>
          </w:p>
        </w:tc>
        <w:tc>
          <w:tcPr>
            <w:tcW w:w="2410" w:type="dxa"/>
            <w:tcBorders>
              <w:top w:val="nil"/>
              <w:left w:val="nil"/>
              <w:bottom w:val="single" w:sz="4" w:space="0" w:color="auto"/>
              <w:right w:val="single" w:sz="4" w:space="0" w:color="auto"/>
            </w:tcBorders>
            <w:shd w:val="clear" w:color="auto" w:fill="auto"/>
            <w:vAlign w:val="center"/>
            <w:hideMark/>
          </w:tcPr>
          <w:p w14:paraId="60D72DB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auto" w:fill="auto"/>
            <w:vAlign w:val="center"/>
            <w:hideMark/>
          </w:tcPr>
          <w:p w14:paraId="3A0277C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0BBA48D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04892C63"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1D7881FF"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294ED6FC" w14:textId="77777777" w:rsidTr="00FA1C76">
        <w:trPr>
          <w:trHeight w:val="9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7A1B8A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lastRenderedPageBreak/>
              <w:t>Conduct local needs assessment</w:t>
            </w:r>
          </w:p>
        </w:tc>
        <w:tc>
          <w:tcPr>
            <w:tcW w:w="2410" w:type="dxa"/>
            <w:tcBorders>
              <w:top w:val="nil"/>
              <w:left w:val="nil"/>
              <w:bottom w:val="single" w:sz="4" w:space="0" w:color="auto"/>
              <w:right w:val="single" w:sz="4" w:space="0" w:color="auto"/>
            </w:tcBorders>
            <w:shd w:val="clear" w:color="auto" w:fill="auto"/>
            <w:vAlign w:val="center"/>
            <w:hideMark/>
          </w:tcPr>
          <w:p w14:paraId="7B2303F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auto" w:fill="auto"/>
            <w:vAlign w:val="center"/>
            <w:hideMark/>
          </w:tcPr>
          <w:p w14:paraId="095C74E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3AFE592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4AAFEC3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5A05BDC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23D49E72" w14:textId="77777777" w:rsidTr="00FA1C76">
        <w:trPr>
          <w:trHeight w:val="6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09A4AE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Use an implementation adviser</w:t>
            </w:r>
          </w:p>
        </w:tc>
        <w:tc>
          <w:tcPr>
            <w:tcW w:w="2410" w:type="dxa"/>
            <w:tcBorders>
              <w:top w:val="nil"/>
              <w:left w:val="nil"/>
              <w:bottom w:val="single" w:sz="4" w:space="0" w:color="auto"/>
              <w:right w:val="nil"/>
            </w:tcBorders>
            <w:shd w:val="clear" w:color="auto" w:fill="auto"/>
            <w:vAlign w:val="center"/>
            <w:hideMark/>
          </w:tcPr>
          <w:p w14:paraId="6DD864A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19A6FE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3CC4AA5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5FC7C43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0DC042F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50B1421E" w14:textId="77777777" w:rsidTr="00FA1C76">
        <w:trPr>
          <w:trHeight w:val="15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ECF4A2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Assess for readiness and identify barriers and facilitators</w:t>
            </w:r>
          </w:p>
        </w:tc>
        <w:tc>
          <w:tcPr>
            <w:tcW w:w="2410" w:type="dxa"/>
            <w:tcBorders>
              <w:top w:val="nil"/>
              <w:left w:val="nil"/>
              <w:bottom w:val="single" w:sz="4" w:space="0" w:color="auto"/>
              <w:right w:val="single" w:sz="4" w:space="0" w:color="auto"/>
            </w:tcBorders>
            <w:shd w:val="clear" w:color="auto" w:fill="auto"/>
            <w:vAlign w:val="center"/>
            <w:hideMark/>
          </w:tcPr>
          <w:p w14:paraId="4859421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Assessment of readiness for implementation was planned for each site 4-6 months prior to implementation. </w:t>
            </w:r>
          </w:p>
        </w:tc>
        <w:tc>
          <w:tcPr>
            <w:tcW w:w="1134" w:type="dxa"/>
            <w:tcBorders>
              <w:top w:val="nil"/>
              <w:left w:val="nil"/>
              <w:bottom w:val="single" w:sz="4" w:space="0" w:color="auto"/>
              <w:right w:val="single" w:sz="4" w:space="0" w:color="auto"/>
            </w:tcBorders>
            <w:shd w:val="clear" w:color="auto" w:fill="auto"/>
            <w:vAlign w:val="center"/>
            <w:hideMark/>
          </w:tcPr>
          <w:p w14:paraId="23494FD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Knowledge &amp; Beliefs about the Intervention</w:t>
            </w:r>
          </w:p>
        </w:tc>
        <w:tc>
          <w:tcPr>
            <w:tcW w:w="4394" w:type="dxa"/>
            <w:tcBorders>
              <w:top w:val="nil"/>
              <w:left w:val="nil"/>
              <w:bottom w:val="nil"/>
              <w:right w:val="nil"/>
            </w:tcBorders>
            <w:shd w:val="clear" w:color="auto" w:fill="auto"/>
            <w:vAlign w:val="bottom"/>
            <w:hideMark/>
          </w:tcPr>
          <w:p w14:paraId="4E898D2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On balance beliefs were distrusting, sceptical or measured in their view of the program and how effective it could be. </w:t>
            </w:r>
          </w:p>
        </w:tc>
        <w:tc>
          <w:tcPr>
            <w:tcW w:w="4111" w:type="dxa"/>
            <w:tcBorders>
              <w:top w:val="nil"/>
              <w:left w:val="single" w:sz="4" w:space="0" w:color="auto"/>
              <w:bottom w:val="single" w:sz="4" w:space="0" w:color="auto"/>
              <w:right w:val="single" w:sz="4" w:space="0" w:color="auto"/>
            </w:tcBorders>
            <w:shd w:val="clear" w:color="auto" w:fill="auto"/>
            <w:vAlign w:val="center"/>
            <w:hideMark/>
          </w:tcPr>
          <w:p w14:paraId="0DF8F00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Partially aligned – limited detail on how assessment conducted, and lack of evidence to suggest it adequately evaluated knowledge and beliefs of staff prior to implementation. </w:t>
            </w:r>
          </w:p>
        </w:tc>
        <w:tc>
          <w:tcPr>
            <w:tcW w:w="1275" w:type="dxa"/>
            <w:tcBorders>
              <w:top w:val="nil"/>
              <w:left w:val="nil"/>
              <w:bottom w:val="single" w:sz="4" w:space="0" w:color="auto"/>
              <w:right w:val="single" w:sz="4" w:space="0" w:color="auto"/>
            </w:tcBorders>
            <w:shd w:val="clear" w:color="auto" w:fill="auto"/>
            <w:vAlign w:val="center"/>
            <w:hideMark/>
          </w:tcPr>
          <w:p w14:paraId="221D14BC"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Partially aligned</w:t>
            </w:r>
          </w:p>
        </w:tc>
      </w:tr>
      <w:tr w:rsidR="0020314F" w:rsidRPr="007F535E" w14:paraId="1F0FB797" w14:textId="77777777" w:rsidTr="00FA1C76">
        <w:trPr>
          <w:trHeight w:val="12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B42603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Alter incentive/allowance structures</w:t>
            </w:r>
          </w:p>
        </w:tc>
        <w:tc>
          <w:tcPr>
            <w:tcW w:w="2410" w:type="dxa"/>
            <w:tcBorders>
              <w:top w:val="nil"/>
              <w:left w:val="nil"/>
              <w:bottom w:val="single" w:sz="4" w:space="0" w:color="auto"/>
              <w:right w:val="single" w:sz="4" w:space="0" w:color="auto"/>
            </w:tcBorders>
            <w:shd w:val="clear" w:color="auto" w:fill="auto"/>
            <w:vAlign w:val="center"/>
            <w:hideMark/>
          </w:tcPr>
          <w:p w14:paraId="4982809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auto" w:fill="auto"/>
            <w:vAlign w:val="center"/>
            <w:hideMark/>
          </w:tcPr>
          <w:p w14:paraId="2E8BE5D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7FE344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7E28CF0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7E9B18B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42B131C5" w14:textId="77777777" w:rsidTr="00FA1C76">
        <w:trPr>
          <w:trHeight w:val="12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902DB9F"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Identify early adopters</w:t>
            </w:r>
          </w:p>
        </w:tc>
        <w:tc>
          <w:tcPr>
            <w:tcW w:w="2410" w:type="dxa"/>
            <w:tcBorders>
              <w:top w:val="nil"/>
              <w:left w:val="nil"/>
              <w:bottom w:val="single" w:sz="4" w:space="0" w:color="auto"/>
              <w:right w:val="single" w:sz="4" w:space="0" w:color="auto"/>
            </w:tcBorders>
            <w:shd w:val="clear" w:color="auto" w:fill="auto"/>
            <w:vAlign w:val="center"/>
            <w:hideMark/>
          </w:tcPr>
          <w:p w14:paraId="2AA1EDAF"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The independent review examined the process of adoption at two sites first to implement Ethos and learned from their experience.</w:t>
            </w:r>
          </w:p>
        </w:tc>
        <w:tc>
          <w:tcPr>
            <w:tcW w:w="1134" w:type="dxa"/>
            <w:tcBorders>
              <w:top w:val="nil"/>
              <w:left w:val="nil"/>
              <w:bottom w:val="single" w:sz="4" w:space="0" w:color="auto"/>
              <w:right w:val="single" w:sz="4" w:space="0" w:color="auto"/>
            </w:tcBorders>
            <w:shd w:val="clear" w:color="auto" w:fill="auto"/>
            <w:vAlign w:val="center"/>
            <w:hideMark/>
          </w:tcPr>
          <w:p w14:paraId="2128118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Knowledge &amp; Beliefs about the Intervention</w:t>
            </w:r>
          </w:p>
        </w:tc>
        <w:tc>
          <w:tcPr>
            <w:tcW w:w="4394" w:type="dxa"/>
            <w:tcBorders>
              <w:top w:val="nil"/>
              <w:left w:val="nil"/>
              <w:bottom w:val="single" w:sz="4" w:space="0" w:color="auto"/>
              <w:right w:val="single" w:sz="4" w:space="0" w:color="auto"/>
            </w:tcBorders>
            <w:shd w:val="clear" w:color="auto" w:fill="auto"/>
            <w:vAlign w:val="center"/>
            <w:hideMark/>
          </w:tcPr>
          <w:p w14:paraId="1934BE9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On balance beliefs were distrusting, sceptical or measured in their view of the program and how effective it could be. </w:t>
            </w:r>
          </w:p>
        </w:tc>
        <w:tc>
          <w:tcPr>
            <w:tcW w:w="4111" w:type="dxa"/>
            <w:tcBorders>
              <w:top w:val="nil"/>
              <w:left w:val="nil"/>
              <w:bottom w:val="single" w:sz="4" w:space="0" w:color="auto"/>
              <w:right w:val="single" w:sz="4" w:space="0" w:color="auto"/>
            </w:tcBorders>
            <w:shd w:val="clear" w:color="auto" w:fill="auto"/>
            <w:vAlign w:val="center"/>
            <w:hideMark/>
          </w:tcPr>
          <w:p w14:paraId="17812F5B"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Aligned – from analysis of early implementing sites, identified a range of misconceptions about the program and how it worked, recommended improvements. </w:t>
            </w:r>
          </w:p>
        </w:tc>
        <w:tc>
          <w:tcPr>
            <w:tcW w:w="1275" w:type="dxa"/>
            <w:tcBorders>
              <w:top w:val="nil"/>
              <w:left w:val="nil"/>
              <w:bottom w:val="nil"/>
              <w:right w:val="single" w:sz="4" w:space="0" w:color="auto"/>
            </w:tcBorders>
            <w:shd w:val="clear" w:color="auto" w:fill="auto"/>
            <w:vAlign w:val="center"/>
            <w:hideMark/>
          </w:tcPr>
          <w:p w14:paraId="520270E0"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Aligned</w:t>
            </w:r>
          </w:p>
        </w:tc>
      </w:tr>
      <w:tr w:rsidR="0020314F" w:rsidRPr="007F535E" w14:paraId="195D5288" w14:textId="77777777" w:rsidTr="00FA1C76">
        <w:trPr>
          <w:trHeight w:val="12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2CF17B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Facilitate relay of clinical data to providers</w:t>
            </w:r>
          </w:p>
        </w:tc>
        <w:tc>
          <w:tcPr>
            <w:tcW w:w="2410" w:type="dxa"/>
            <w:tcBorders>
              <w:top w:val="nil"/>
              <w:left w:val="nil"/>
              <w:bottom w:val="single" w:sz="4" w:space="0" w:color="auto"/>
              <w:right w:val="single" w:sz="4" w:space="0" w:color="auto"/>
            </w:tcBorders>
            <w:shd w:val="clear" w:color="auto" w:fill="auto"/>
            <w:vAlign w:val="center"/>
            <w:hideMark/>
          </w:tcPr>
          <w:p w14:paraId="63F508B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auto" w:fill="auto"/>
            <w:vAlign w:val="center"/>
            <w:hideMark/>
          </w:tcPr>
          <w:p w14:paraId="4A5BE1B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41F015A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327AB90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291803F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5BAB6ADF" w14:textId="77777777" w:rsidTr="00FA1C76">
        <w:trPr>
          <w:trHeight w:val="87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C33F48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Use advisory boards and workgroups</w:t>
            </w:r>
          </w:p>
        </w:tc>
        <w:tc>
          <w:tcPr>
            <w:tcW w:w="2410" w:type="dxa"/>
            <w:tcBorders>
              <w:top w:val="nil"/>
              <w:left w:val="nil"/>
              <w:bottom w:val="single" w:sz="4" w:space="0" w:color="auto"/>
              <w:right w:val="nil"/>
            </w:tcBorders>
            <w:shd w:val="clear" w:color="auto" w:fill="auto"/>
            <w:vAlign w:val="center"/>
            <w:hideMark/>
          </w:tcPr>
          <w:p w14:paraId="0836F0B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Ethos Action Plan Working Group created with both internal Ethos program leads from each hospital and some external academics. In a series of formal meetings, oversaw refinements to the </w:t>
            </w:r>
            <w:r w:rsidRPr="007F535E">
              <w:rPr>
                <w:rFonts w:eastAsia="Times New Roman"/>
                <w:color w:val="000000"/>
                <w:sz w:val="22"/>
                <w:szCs w:val="22"/>
                <w:lang w:eastAsia="en-AU"/>
              </w:rPr>
              <w:lastRenderedPageBreak/>
              <w:t xml:space="preserve">program following Internal Review.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EBDB09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lastRenderedPageBreak/>
              <w:t>No individual barrier with Level 1 or 2 endorsement.</w:t>
            </w:r>
          </w:p>
        </w:tc>
        <w:tc>
          <w:tcPr>
            <w:tcW w:w="4394" w:type="dxa"/>
            <w:tcBorders>
              <w:top w:val="nil"/>
              <w:left w:val="nil"/>
              <w:bottom w:val="single" w:sz="4" w:space="0" w:color="auto"/>
              <w:right w:val="single" w:sz="4" w:space="0" w:color="auto"/>
            </w:tcBorders>
            <w:shd w:val="clear" w:color="auto" w:fill="auto"/>
            <w:vAlign w:val="center"/>
            <w:hideMark/>
          </w:tcPr>
          <w:p w14:paraId="0E2D54D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N/A</w:t>
            </w:r>
          </w:p>
        </w:tc>
        <w:tc>
          <w:tcPr>
            <w:tcW w:w="4111" w:type="dxa"/>
            <w:tcBorders>
              <w:top w:val="nil"/>
              <w:left w:val="nil"/>
              <w:bottom w:val="single" w:sz="4" w:space="0" w:color="auto"/>
              <w:right w:val="single" w:sz="4" w:space="0" w:color="auto"/>
            </w:tcBorders>
            <w:shd w:val="clear" w:color="auto" w:fill="auto"/>
            <w:vAlign w:val="center"/>
            <w:hideMark/>
          </w:tcPr>
          <w:p w14:paraId="7C1CCC3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N/A</w:t>
            </w:r>
          </w:p>
        </w:tc>
        <w:tc>
          <w:tcPr>
            <w:tcW w:w="1275" w:type="dxa"/>
            <w:tcBorders>
              <w:top w:val="nil"/>
              <w:left w:val="nil"/>
              <w:bottom w:val="single" w:sz="4" w:space="0" w:color="auto"/>
              <w:right w:val="single" w:sz="4" w:space="0" w:color="auto"/>
            </w:tcBorders>
            <w:shd w:val="clear" w:color="auto" w:fill="auto"/>
            <w:vAlign w:val="center"/>
            <w:hideMark/>
          </w:tcPr>
          <w:p w14:paraId="77D258F3"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applicable</w:t>
            </w:r>
          </w:p>
        </w:tc>
      </w:tr>
      <w:tr w:rsidR="0020314F" w:rsidRPr="007F535E" w14:paraId="4C06694D" w14:textId="77777777" w:rsidTr="00FA1C76">
        <w:trPr>
          <w:trHeight w:val="9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A2FCBF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Conduct ongoing training</w:t>
            </w:r>
          </w:p>
        </w:tc>
        <w:tc>
          <w:tcPr>
            <w:tcW w:w="2410" w:type="dxa"/>
            <w:tcBorders>
              <w:top w:val="nil"/>
              <w:left w:val="nil"/>
              <w:bottom w:val="single" w:sz="4" w:space="0" w:color="auto"/>
              <w:right w:val="single" w:sz="4" w:space="0" w:color="auto"/>
            </w:tcBorders>
            <w:shd w:val="clear" w:color="auto" w:fill="auto"/>
            <w:vAlign w:val="center"/>
            <w:hideMark/>
          </w:tcPr>
          <w:p w14:paraId="5480C09A"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auto" w:fill="auto"/>
            <w:vAlign w:val="center"/>
            <w:hideMark/>
          </w:tcPr>
          <w:p w14:paraId="6A69BBB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755371A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1D3B545B"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081FEE5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55BB3F27" w14:textId="77777777" w:rsidTr="00FA1C76">
        <w:trPr>
          <w:trHeight w:val="178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2D027A9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Involve executive boards</w:t>
            </w:r>
          </w:p>
        </w:tc>
        <w:tc>
          <w:tcPr>
            <w:tcW w:w="2410" w:type="dxa"/>
            <w:tcBorders>
              <w:top w:val="nil"/>
              <w:left w:val="nil"/>
              <w:bottom w:val="single" w:sz="4" w:space="0" w:color="auto"/>
              <w:right w:val="single" w:sz="4" w:space="0" w:color="auto"/>
            </w:tcBorders>
            <w:shd w:val="clear" w:color="auto" w:fill="auto"/>
            <w:vAlign w:val="center"/>
            <w:hideMark/>
          </w:tcPr>
          <w:p w14:paraId="56C0F0F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The program had the full support of the group executive, and at a hospital level, a member of the executive was designated the Ethos sponsor. Engagement sessions were run with hospital executive and senior leaders so they could support the program.</w:t>
            </w:r>
          </w:p>
        </w:tc>
        <w:tc>
          <w:tcPr>
            <w:tcW w:w="1134" w:type="dxa"/>
            <w:tcBorders>
              <w:top w:val="nil"/>
              <w:left w:val="nil"/>
              <w:bottom w:val="nil"/>
              <w:right w:val="nil"/>
            </w:tcBorders>
            <w:shd w:val="clear" w:color="auto" w:fill="auto"/>
            <w:vAlign w:val="center"/>
            <w:hideMark/>
          </w:tcPr>
          <w:p w14:paraId="42E8E123"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Leadership Engagement</w:t>
            </w:r>
          </w:p>
        </w:tc>
        <w:tc>
          <w:tcPr>
            <w:tcW w:w="4394" w:type="dxa"/>
            <w:tcBorders>
              <w:top w:val="nil"/>
              <w:left w:val="single" w:sz="4" w:space="0" w:color="auto"/>
              <w:bottom w:val="single" w:sz="4" w:space="0" w:color="auto"/>
              <w:right w:val="single" w:sz="4" w:space="0" w:color="auto"/>
            </w:tcBorders>
            <w:shd w:val="clear" w:color="auto" w:fill="auto"/>
            <w:vAlign w:val="center"/>
            <w:hideMark/>
          </w:tcPr>
          <w:p w14:paraId="7B11D86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Staff perceived leaders as not accountable with a poor track record of addressing unprofessional behaviours. Senior leaders were supportive of Ethos but not core implementers and not always knowledgeable on the program. </w:t>
            </w:r>
          </w:p>
        </w:tc>
        <w:tc>
          <w:tcPr>
            <w:tcW w:w="4111" w:type="dxa"/>
            <w:tcBorders>
              <w:top w:val="nil"/>
              <w:left w:val="nil"/>
              <w:bottom w:val="single" w:sz="4" w:space="0" w:color="auto"/>
              <w:right w:val="single" w:sz="4" w:space="0" w:color="auto"/>
            </w:tcBorders>
            <w:shd w:val="clear" w:color="auto" w:fill="auto"/>
            <w:vAlign w:val="center"/>
            <w:hideMark/>
          </w:tcPr>
          <w:p w14:paraId="76A7B55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 Partially aligned – addressed program engagement but not accountability issues with leadership.</w:t>
            </w:r>
          </w:p>
        </w:tc>
        <w:tc>
          <w:tcPr>
            <w:tcW w:w="1275" w:type="dxa"/>
            <w:tcBorders>
              <w:top w:val="nil"/>
              <w:left w:val="nil"/>
              <w:bottom w:val="single" w:sz="4" w:space="0" w:color="auto"/>
              <w:right w:val="single" w:sz="4" w:space="0" w:color="auto"/>
            </w:tcBorders>
            <w:shd w:val="clear" w:color="auto" w:fill="auto"/>
            <w:vAlign w:val="center"/>
            <w:hideMark/>
          </w:tcPr>
          <w:p w14:paraId="1AE4C737"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Partially aligned</w:t>
            </w:r>
          </w:p>
        </w:tc>
      </w:tr>
      <w:tr w:rsidR="0020314F" w:rsidRPr="007F535E" w14:paraId="708BD2BA" w14:textId="77777777" w:rsidTr="00FA1C76">
        <w:trPr>
          <w:trHeight w:val="6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0B72A18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Provide ongoing consultation</w:t>
            </w:r>
          </w:p>
        </w:tc>
        <w:tc>
          <w:tcPr>
            <w:tcW w:w="2410" w:type="dxa"/>
            <w:tcBorders>
              <w:top w:val="nil"/>
              <w:left w:val="nil"/>
              <w:bottom w:val="single" w:sz="4" w:space="0" w:color="auto"/>
              <w:right w:val="nil"/>
            </w:tcBorders>
            <w:shd w:val="clear" w:color="auto" w:fill="auto"/>
            <w:vAlign w:val="center"/>
            <w:hideMark/>
          </w:tcPr>
          <w:p w14:paraId="113B193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single" w:sz="4" w:space="0" w:color="auto"/>
              <w:left w:val="single" w:sz="4" w:space="0" w:color="auto"/>
              <w:bottom w:val="single" w:sz="4" w:space="0" w:color="auto"/>
              <w:right w:val="nil"/>
            </w:tcBorders>
            <w:shd w:val="clear" w:color="auto" w:fill="auto"/>
            <w:vAlign w:val="center"/>
            <w:hideMark/>
          </w:tcPr>
          <w:p w14:paraId="23420681"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nil"/>
            </w:tcBorders>
            <w:shd w:val="clear" w:color="auto" w:fill="auto"/>
            <w:vAlign w:val="center"/>
            <w:hideMark/>
          </w:tcPr>
          <w:p w14:paraId="370041F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1FEF053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2FA88F3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15F42F6A" w14:textId="77777777" w:rsidTr="00FA1C76">
        <w:trPr>
          <w:trHeight w:val="15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3F2012EB"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Develop and implement tools for quality monitoring</w:t>
            </w:r>
          </w:p>
        </w:tc>
        <w:tc>
          <w:tcPr>
            <w:tcW w:w="2410" w:type="dxa"/>
            <w:tcBorders>
              <w:top w:val="nil"/>
              <w:left w:val="nil"/>
              <w:bottom w:val="single" w:sz="4" w:space="0" w:color="auto"/>
              <w:right w:val="single" w:sz="4" w:space="0" w:color="auto"/>
            </w:tcBorders>
            <w:shd w:val="clear" w:color="auto" w:fill="auto"/>
            <w:vAlign w:val="center"/>
            <w:hideMark/>
          </w:tcPr>
          <w:p w14:paraId="4BC81E6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auto" w:fill="auto"/>
            <w:vAlign w:val="center"/>
            <w:hideMark/>
          </w:tcPr>
          <w:p w14:paraId="5744026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671D1C3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62D0019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60D9934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19D0188B" w14:textId="77777777" w:rsidTr="00FA1C76">
        <w:trPr>
          <w:trHeight w:val="18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3CBAB7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Obtain and use patients/consumers and family feedback</w:t>
            </w:r>
          </w:p>
        </w:tc>
        <w:tc>
          <w:tcPr>
            <w:tcW w:w="2410" w:type="dxa"/>
            <w:tcBorders>
              <w:top w:val="nil"/>
              <w:left w:val="nil"/>
              <w:bottom w:val="single" w:sz="4" w:space="0" w:color="auto"/>
              <w:right w:val="nil"/>
            </w:tcBorders>
            <w:shd w:val="clear" w:color="auto" w:fill="auto"/>
            <w:vAlign w:val="center"/>
            <w:hideMark/>
          </w:tcPr>
          <w:p w14:paraId="3395ED2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Not applicable.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19B6BF3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nil"/>
            </w:tcBorders>
            <w:shd w:val="clear" w:color="auto" w:fill="auto"/>
            <w:vAlign w:val="center"/>
            <w:hideMark/>
          </w:tcPr>
          <w:p w14:paraId="12D26B9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2D77163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4C9C0DF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applicable</w:t>
            </w:r>
          </w:p>
        </w:tc>
      </w:tr>
      <w:tr w:rsidR="0020314F" w:rsidRPr="007F535E" w14:paraId="1DA8CE4D" w14:textId="77777777" w:rsidTr="00FA1C76">
        <w:trPr>
          <w:trHeight w:val="6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F4A4A3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lastRenderedPageBreak/>
              <w:t>Model and simulate change</w:t>
            </w:r>
          </w:p>
        </w:tc>
        <w:tc>
          <w:tcPr>
            <w:tcW w:w="2410" w:type="dxa"/>
            <w:tcBorders>
              <w:top w:val="nil"/>
              <w:left w:val="nil"/>
              <w:bottom w:val="single" w:sz="4" w:space="0" w:color="auto"/>
              <w:right w:val="nil"/>
            </w:tcBorders>
            <w:shd w:val="clear" w:color="auto" w:fill="auto"/>
            <w:vAlign w:val="center"/>
            <w:hideMark/>
          </w:tcPr>
          <w:p w14:paraId="13D1476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single" w:sz="4" w:space="0" w:color="auto"/>
              <w:bottom w:val="single" w:sz="4" w:space="0" w:color="auto"/>
              <w:right w:val="nil"/>
            </w:tcBorders>
            <w:shd w:val="clear" w:color="auto" w:fill="auto"/>
            <w:vAlign w:val="center"/>
            <w:hideMark/>
          </w:tcPr>
          <w:p w14:paraId="5EACEF3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nil"/>
            </w:tcBorders>
            <w:shd w:val="clear" w:color="auto" w:fill="auto"/>
            <w:vAlign w:val="center"/>
            <w:hideMark/>
          </w:tcPr>
          <w:p w14:paraId="2B62F98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0F0BD8B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54856CB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r w:rsidR="0020314F" w:rsidRPr="007F535E" w14:paraId="47D863E6" w14:textId="77777777" w:rsidTr="00FA1C76">
        <w:trPr>
          <w:trHeight w:val="465"/>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6FFF125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Involve patients/consumers and family members</w:t>
            </w:r>
          </w:p>
        </w:tc>
        <w:tc>
          <w:tcPr>
            <w:tcW w:w="2410" w:type="dxa"/>
            <w:tcBorders>
              <w:top w:val="nil"/>
              <w:left w:val="nil"/>
              <w:bottom w:val="single" w:sz="4" w:space="0" w:color="auto"/>
              <w:right w:val="nil"/>
            </w:tcBorders>
            <w:shd w:val="clear" w:color="auto" w:fill="auto"/>
            <w:vAlign w:val="center"/>
            <w:hideMark/>
          </w:tcPr>
          <w:p w14:paraId="622384E1"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Not applicable.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07ADA1A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2B203FF1"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0F41CF1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6AB1F38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applicable</w:t>
            </w:r>
          </w:p>
        </w:tc>
      </w:tr>
      <w:tr w:rsidR="0020314F" w:rsidRPr="007F535E" w14:paraId="2FA1EA55" w14:textId="77777777" w:rsidTr="00FA1C76">
        <w:trPr>
          <w:trHeight w:val="21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537D50EF"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Obtain formal commitments</w:t>
            </w:r>
          </w:p>
        </w:tc>
        <w:tc>
          <w:tcPr>
            <w:tcW w:w="2410" w:type="dxa"/>
            <w:tcBorders>
              <w:top w:val="nil"/>
              <w:left w:val="nil"/>
              <w:bottom w:val="single" w:sz="4" w:space="0" w:color="auto"/>
              <w:right w:val="single" w:sz="4" w:space="0" w:color="auto"/>
            </w:tcBorders>
            <w:shd w:val="clear" w:color="auto" w:fill="auto"/>
            <w:vAlign w:val="center"/>
            <w:hideMark/>
          </w:tcPr>
          <w:p w14:paraId="795B1CB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The program information and implementation plan specified the full commitment of the group’s board and outlined various roles and responsibilities of key leaders and Ethos sponsors. Commitments were also made related to the evaluation of the Ethos program. </w:t>
            </w:r>
          </w:p>
        </w:tc>
        <w:tc>
          <w:tcPr>
            <w:tcW w:w="1134" w:type="dxa"/>
            <w:tcBorders>
              <w:top w:val="nil"/>
              <w:left w:val="nil"/>
              <w:bottom w:val="single" w:sz="4" w:space="0" w:color="auto"/>
              <w:right w:val="single" w:sz="4" w:space="0" w:color="auto"/>
            </w:tcBorders>
            <w:shd w:val="clear" w:color="auto" w:fill="auto"/>
            <w:vAlign w:val="center"/>
            <w:hideMark/>
          </w:tcPr>
          <w:p w14:paraId="376944B0"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Leadership Engagement</w:t>
            </w:r>
          </w:p>
        </w:tc>
        <w:tc>
          <w:tcPr>
            <w:tcW w:w="4394" w:type="dxa"/>
            <w:tcBorders>
              <w:top w:val="nil"/>
              <w:left w:val="nil"/>
              <w:bottom w:val="single" w:sz="4" w:space="0" w:color="auto"/>
              <w:right w:val="single" w:sz="4" w:space="0" w:color="auto"/>
            </w:tcBorders>
            <w:shd w:val="clear" w:color="auto" w:fill="auto"/>
            <w:vAlign w:val="center"/>
            <w:hideMark/>
          </w:tcPr>
          <w:p w14:paraId="5C7CF45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Staff perceived leaders as not accountable with a poor track record of addressing unprofessional behaviours. Senior leaders were supportive of Ethos but not core implementers and not always knowledgeable on the program. </w:t>
            </w:r>
          </w:p>
        </w:tc>
        <w:tc>
          <w:tcPr>
            <w:tcW w:w="4111" w:type="dxa"/>
            <w:tcBorders>
              <w:top w:val="nil"/>
              <w:left w:val="nil"/>
              <w:bottom w:val="single" w:sz="4" w:space="0" w:color="auto"/>
              <w:right w:val="single" w:sz="4" w:space="0" w:color="auto"/>
            </w:tcBorders>
            <w:shd w:val="clear" w:color="auto" w:fill="auto"/>
            <w:vAlign w:val="center"/>
            <w:hideMark/>
          </w:tcPr>
          <w:p w14:paraId="40B7B19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Partially aligned – numerous key partners were not in a leadership relationship. Commitment from leadership explicit at a group but not hospital level. </w:t>
            </w:r>
          </w:p>
        </w:tc>
        <w:tc>
          <w:tcPr>
            <w:tcW w:w="1275" w:type="dxa"/>
            <w:tcBorders>
              <w:top w:val="nil"/>
              <w:left w:val="nil"/>
              <w:bottom w:val="single" w:sz="4" w:space="0" w:color="auto"/>
              <w:right w:val="single" w:sz="4" w:space="0" w:color="auto"/>
            </w:tcBorders>
            <w:shd w:val="clear" w:color="auto" w:fill="auto"/>
            <w:vAlign w:val="center"/>
            <w:hideMark/>
          </w:tcPr>
          <w:p w14:paraId="62248F7F"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Partially aligned</w:t>
            </w:r>
          </w:p>
        </w:tc>
      </w:tr>
      <w:tr w:rsidR="0020314F" w:rsidRPr="007F535E" w14:paraId="6FA70B4E" w14:textId="77777777" w:rsidTr="00FA1C76">
        <w:trPr>
          <w:trHeight w:val="21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1A787A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Purposely re-examine the implementation</w:t>
            </w:r>
          </w:p>
        </w:tc>
        <w:tc>
          <w:tcPr>
            <w:tcW w:w="2410" w:type="dxa"/>
            <w:tcBorders>
              <w:top w:val="nil"/>
              <w:left w:val="nil"/>
              <w:bottom w:val="single" w:sz="4" w:space="0" w:color="auto"/>
              <w:right w:val="single" w:sz="4" w:space="0" w:color="auto"/>
            </w:tcBorders>
            <w:shd w:val="clear" w:color="auto" w:fill="auto"/>
            <w:vAlign w:val="center"/>
            <w:hideMark/>
          </w:tcPr>
          <w:p w14:paraId="20BCFE6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The independent review and the researcher-led evaluation of the program implementation were conducted. A working group was established, and an action plan put into place following this to ensure recommendation revisions were adopted.</w:t>
            </w:r>
          </w:p>
        </w:tc>
        <w:tc>
          <w:tcPr>
            <w:tcW w:w="1134" w:type="dxa"/>
            <w:tcBorders>
              <w:top w:val="nil"/>
              <w:left w:val="nil"/>
              <w:bottom w:val="single" w:sz="4" w:space="0" w:color="auto"/>
              <w:right w:val="single" w:sz="4" w:space="0" w:color="auto"/>
            </w:tcBorders>
            <w:shd w:val="clear" w:color="auto" w:fill="auto"/>
            <w:vAlign w:val="center"/>
            <w:hideMark/>
          </w:tcPr>
          <w:p w14:paraId="0D7948B5"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Design Quality &amp; Packaging</w:t>
            </w:r>
          </w:p>
        </w:tc>
        <w:tc>
          <w:tcPr>
            <w:tcW w:w="4394" w:type="dxa"/>
            <w:tcBorders>
              <w:top w:val="nil"/>
              <w:left w:val="nil"/>
              <w:bottom w:val="single" w:sz="4" w:space="0" w:color="auto"/>
              <w:right w:val="single" w:sz="4" w:space="0" w:color="auto"/>
            </w:tcBorders>
            <w:shd w:val="clear" w:color="auto" w:fill="auto"/>
            <w:vAlign w:val="center"/>
            <w:hideMark/>
          </w:tcPr>
          <w:p w14:paraId="00E7089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Poor perceptions of the reporting tool and process, scepticism about anonymity, dislike of the lack of “natural justice”, confusion about the inclusion of both positive and negative reports in the one system.  </w:t>
            </w:r>
          </w:p>
        </w:tc>
        <w:tc>
          <w:tcPr>
            <w:tcW w:w="4111" w:type="dxa"/>
            <w:tcBorders>
              <w:top w:val="nil"/>
              <w:left w:val="nil"/>
              <w:bottom w:val="single" w:sz="4" w:space="0" w:color="auto"/>
              <w:right w:val="single" w:sz="4" w:space="0" w:color="auto"/>
            </w:tcBorders>
            <w:shd w:val="clear" w:color="auto" w:fill="auto"/>
            <w:vAlign w:val="center"/>
            <w:hideMark/>
          </w:tcPr>
          <w:p w14:paraId="3A40811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Aligned – evidence of materials and strategies being revised </w:t>
            </w:r>
            <w:proofErr w:type="gramStart"/>
            <w:r w:rsidRPr="007F535E">
              <w:rPr>
                <w:rFonts w:eastAsia="Times New Roman"/>
                <w:color w:val="000000"/>
                <w:sz w:val="22"/>
                <w:szCs w:val="22"/>
                <w:lang w:eastAsia="en-AU"/>
              </w:rPr>
              <w:t>in light of</w:t>
            </w:r>
            <w:proofErr w:type="gramEnd"/>
            <w:r w:rsidRPr="007F535E">
              <w:rPr>
                <w:rFonts w:eastAsia="Times New Roman"/>
                <w:color w:val="000000"/>
                <w:sz w:val="22"/>
                <w:szCs w:val="22"/>
                <w:lang w:eastAsia="en-AU"/>
              </w:rPr>
              <w:t xml:space="preserve"> new information and recommendations. </w:t>
            </w:r>
          </w:p>
        </w:tc>
        <w:tc>
          <w:tcPr>
            <w:tcW w:w="1275" w:type="dxa"/>
            <w:tcBorders>
              <w:top w:val="nil"/>
              <w:left w:val="nil"/>
              <w:bottom w:val="single" w:sz="4" w:space="0" w:color="auto"/>
              <w:right w:val="single" w:sz="4" w:space="0" w:color="auto"/>
            </w:tcBorders>
            <w:shd w:val="clear" w:color="auto" w:fill="auto"/>
            <w:vAlign w:val="center"/>
            <w:hideMark/>
          </w:tcPr>
          <w:p w14:paraId="57A4FDBC" w14:textId="77777777" w:rsidR="0020314F" w:rsidRPr="007F535E" w:rsidRDefault="0020314F" w:rsidP="007F535E">
            <w:pPr>
              <w:spacing w:line="240" w:lineRule="auto"/>
              <w:jc w:val="center"/>
              <w:rPr>
                <w:rFonts w:eastAsia="Times New Roman"/>
                <w:color w:val="000000"/>
                <w:sz w:val="22"/>
                <w:szCs w:val="22"/>
                <w:lang w:eastAsia="en-AU"/>
              </w:rPr>
            </w:pPr>
            <w:r w:rsidRPr="007F535E">
              <w:rPr>
                <w:rFonts w:eastAsia="Times New Roman"/>
                <w:color w:val="000000"/>
                <w:sz w:val="22"/>
                <w:szCs w:val="22"/>
                <w:lang w:eastAsia="en-AU"/>
              </w:rPr>
              <w:t>Aligned</w:t>
            </w:r>
          </w:p>
        </w:tc>
      </w:tr>
      <w:tr w:rsidR="0020314F" w:rsidRPr="007F535E" w14:paraId="66F8F8A2" w14:textId="77777777" w:rsidTr="00FA1C76">
        <w:trPr>
          <w:trHeight w:val="12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669B2C2"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Increase demand</w:t>
            </w:r>
          </w:p>
        </w:tc>
        <w:tc>
          <w:tcPr>
            <w:tcW w:w="2410" w:type="dxa"/>
            <w:tcBorders>
              <w:top w:val="nil"/>
              <w:left w:val="nil"/>
              <w:bottom w:val="single" w:sz="4" w:space="0" w:color="auto"/>
              <w:right w:val="nil"/>
            </w:tcBorders>
            <w:shd w:val="clear" w:color="auto" w:fill="auto"/>
            <w:vAlign w:val="center"/>
            <w:hideMark/>
          </w:tcPr>
          <w:p w14:paraId="0537CB58"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xml:space="preserve">Not applicable.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4880A5AB"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nil"/>
            </w:tcBorders>
            <w:shd w:val="clear" w:color="auto" w:fill="auto"/>
            <w:vAlign w:val="center"/>
            <w:hideMark/>
          </w:tcPr>
          <w:p w14:paraId="0A605B87"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2DA40BAE"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0960F08D"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applicable</w:t>
            </w:r>
          </w:p>
        </w:tc>
      </w:tr>
      <w:tr w:rsidR="0020314F" w:rsidRPr="007F535E" w14:paraId="37B2A571" w14:textId="77777777" w:rsidTr="00FA1C76">
        <w:trPr>
          <w:trHeight w:val="900"/>
        </w:trPr>
        <w:tc>
          <w:tcPr>
            <w:tcW w:w="1413" w:type="dxa"/>
            <w:tcBorders>
              <w:top w:val="nil"/>
              <w:left w:val="single" w:sz="4" w:space="0" w:color="auto"/>
              <w:bottom w:val="single" w:sz="4" w:space="0" w:color="auto"/>
              <w:right w:val="single" w:sz="4" w:space="0" w:color="auto"/>
            </w:tcBorders>
            <w:shd w:val="clear" w:color="auto" w:fill="auto"/>
            <w:vAlign w:val="center"/>
            <w:hideMark/>
          </w:tcPr>
          <w:p w14:paraId="78674D8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lastRenderedPageBreak/>
              <w:t>Provide local technical assistance</w:t>
            </w:r>
          </w:p>
        </w:tc>
        <w:tc>
          <w:tcPr>
            <w:tcW w:w="2410" w:type="dxa"/>
            <w:tcBorders>
              <w:top w:val="nil"/>
              <w:left w:val="nil"/>
              <w:bottom w:val="single" w:sz="4" w:space="0" w:color="auto"/>
              <w:right w:val="single" w:sz="4" w:space="0" w:color="auto"/>
            </w:tcBorders>
            <w:shd w:val="clear" w:color="auto" w:fill="auto"/>
            <w:vAlign w:val="center"/>
            <w:hideMark/>
          </w:tcPr>
          <w:p w14:paraId="1540BA74"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c>
          <w:tcPr>
            <w:tcW w:w="1134" w:type="dxa"/>
            <w:tcBorders>
              <w:top w:val="nil"/>
              <w:left w:val="nil"/>
              <w:bottom w:val="single" w:sz="4" w:space="0" w:color="auto"/>
              <w:right w:val="single" w:sz="4" w:space="0" w:color="auto"/>
            </w:tcBorders>
            <w:shd w:val="clear" w:color="auto" w:fill="auto"/>
            <w:vAlign w:val="center"/>
            <w:hideMark/>
          </w:tcPr>
          <w:p w14:paraId="6F3DB76C"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394" w:type="dxa"/>
            <w:tcBorders>
              <w:top w:val="nil"/>
              <w:left w:val="nil"/>
              <w:bottom w:val="single" w:sz="4" w:space="0" w:color="auto"/>
              <w:right w:val="single" w:sz="4" w:space="0" w:color="auto"/>
            </w:tcBorders>
            <w:shd w:val="clear" w:color="auto" w:fill="auto"/>
            <w:vAlign w:val="center"/>
            <w:hideMark/>
          </w:tcPr>
          <w:p w14:paraId="2DB2AEC9"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4111" w:type="dxa"/>
            <w:tcBorders>
              <w:top w:val="nil"/>
              <w:left w:val="nil"/>
              <w:bottom w:val="single" w:sz="4" w:space="0" w:color="auto"/>
              <w:right w:val="single" w:sz="4" w:space="0" w:color="auto"/>
            </w:tcBorders>
            <w:shd w:val="clear" w:color="auto" w:fill="auto"/>
            <w:vAlign w:val="center"/>
            <w:hideMark/>
          </w:tcPr>
          <w:p w14:paraId="3AE814EF"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 </w:t>
            </w:r>
          </w:p>
        </w:tc>
        <w:tc>
          <w:tcPr>
            <w:tcW w:w="1275" w:type="dxa"/>
            <w:tcBorders>
              <w:top w:val="nil"/>
              <w:left w:val="nil"/>
              <w:bottom w:val="single" w:sz="4" w:space="0" w:color="auto"/>
              <w:right w:val="single" w:sz="4" w:space="0" w:color="auto"/>
            </w:tcBorders>
            <w:shd w:val="clear" w:color="auto" w:fill="auto"/>
            <w:vAlign w:val="center"/>
            <w:hideMark/>
          </w:tcPr>
          <w:p w14:paraId="7477EC56" w14:textId="77777777" w:rsidR="0020314F" w:rsidRPr="007F535E" w:rsidRDefault="0020314F" w:rsidP="007F535E">
            <w:pPr>
              <w:spacing w:line="240" w:lineRule="auto"/>
              <w:rPr>
                <w:rFonts w:eastAsia="Times New Roman"/>
                <w:color w:val="000000"/>
                <w:sz w:val="22"/>
                <w:szCs w:val="22"/>
                <w:lang w:eastAsia="en-AU"/>
              </w:rPr>
            </w:pPr>
            <w:r w:rsidRPr="007F535E">
              <w:rPr>
                <w:rFonts w:eastAsia="Times New Roman"/>
                <w:color w:val="000000"/>
                <w:sz w:val="22"/>
                <w:szCs w:val="22"/>
                <w:lang w:eastAsia="en-AU"/>
              </w:rPr>
              <w:t>Not identified.</w:t>
            </w:r>
          </w:p>
        </w:tc>
      </w:tr>
    </w:tbl>
    <w:p w14:paraId="5BBE77F9" w14:textId="77777777" w:rsidR="002B64A5" w:rsidRPr="00FE1D30" w:rsidRDefault="00FA1C76" w:rsidP="00FE1D30">
      <w:pPr>
        <w:pStyle w:val="Heading4"/>
      </w:pPr>
    </w:p>
    <w:sectPr w:rsidR="002B64A5" w:rsidRPr="00FE1D30" w:rsidSect="007F535E">
      <w:headerReference w:type="default" r:id="rId7"/>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9A63D" w14:textId="77777777" w:rsidR="000A0104" w:rsidRDefault="000A0104" w:rsidP="000A0104">
      <w:pPr>
        <w:spacing w:line="240" w:lineRule="auto"/>
      </w:pPr>
      <w:r>
        <w:separator/>
      </w:r>
    </w:p>
  </w:endnote>
  <w:endnote w:type="continuationSeparator" w:id="0">
    <w:p w14:paraId="591AD8AE" w14:textId="77777777" w:rsidR="000A0104" w:rsidRDefault="000A0104" w:rsidP="000A01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1728442"/>
      <w:docPartObj>
        <w:docPartGallery w:val="Page Numbers (Bottom of Page)"/>
        <w:docPartUnique/>
      </w:docPartObj>
    </w:sdtPr>
    <w:sdtEndPr>
      <w:rPr>
        <w:noProof/>
      </w:rPr>
    </w:sdtEndPr>
    <w:sdtContent>
      <w:p w14:paraId="3FA2FF35" w14:textId="13769D7E" w:rsidR="000A0104" w:rsidRDefault="000A01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EAEB95" w14:textId="77777777" w:rsidR="000A0104" w:rsidRDefault="000A0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436C0" w14:textId="77777777" w:rsidR="000A0104" w:rsidRDefault="000A0104" w:rsidP="000A0104">
      <w:pPr>
        <w:spacing w:line="240" w:lineRule="auto"/>
      </w:pPr>
      <w:r>
        <w:separator/>
      </w:r>
    </w:p>
  </w:footnote>
  <w:footnote w:type="continuationSeparator" w:id="0">
    <w:p w14:paraId="66ADE770" w14:textId="77777777" w:rsidR="000A0104" w:rsidRDefault="000A0104" w:rsidP="000A01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D7E5D" w14:textId="7F22EEE9" w:rsidR="000A0104" w:rsidRDefault="000A0104">
    <w:pPr>
      <w:pStyle w:val="Header"/>
    </w:pPr>
    <w:r>
      <w:t xml:space="preserve">Supplementary file – use of ERIC strategies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35E"/>
    <w:rsid w:val="000A0104"/>
    <w:rsid w:val="0020314F"/>
    <w:rsid w:val="004F27F0"/>
    <w:rsid w:val="007F535E"/>
    <w:rsid w:val="00814537"/>
    <w:rsid w:val="008D78AB"/>
    <w:rsid w:val="00C141F2"/>
    <w:rsid w:val="00FA1C76"/>
    <w:rsid w:val="00FE1D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580C6"/>
  <w15:chartTrackingRefBased/>
  <w15:docId w15:val="{7DC31418-EC0D-42F0-9B83-20C7DB056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D30"/>
    <w:pPr>
      <w:spacing w:after="0"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FE1D30"/>
    <w:pPr>
      <w:jc w:val="center"/>
      <w:outlineLvl w:val="0"/>
    </w:pPr>
    <w:rPr>
      <w:b/>
      <w:bCs/>
    </w:rPr>
  </w:style>
  <w:style w:type="paragraph" w:styleId="Heading2">
    <w:name w:val="heading 2"/>
    <w:basedOn w:val="Heading1"/>
    <w:next w:val="Normal"/>
    <w:link w:val="Heading2Char"/>
    <w:uiPriority w:val="9"/>
    <w:unhideWhenUsed/>
    <w:qFormat/>
    <w:rsid w:val="00FE1D30"/>
    <w:pPr>
      <w:jc w:val="left"/>
      <w:outlineLvl w:val="1"/>
    </w:pPr>
  </w:style>
  <w:style w:type="paragraph" w:styleId="Heading3">
    <w:name w:val="heading 3"/>
    <w:basedOn w:val="Heading2"/>
    <w:next w:val="Normal"/>
    <w:link w:val="Heading3Char"/>
    <w:uiPriority w:val="9"/>
    <w:unhideWhenUsed/>
    <w:qFormat/>
    <w:rsid w:val="00FE1D30"/>
    <w:pPr>
      <w:outlineLvl w:val="2"/>
    </w:pPr>
    <w:rPr>
      <w:i/>
      <w:iCs/>
    </w:rPr>
  </w:style>
  <w:style w:type="paragraph" w:styleId="Heading4">
    <w:name w:val="heading 4"/>
    <w:basedOn w:val="Heading3"/>
    <w:next w:val="Normal"/>
    <w:link w:val="Heading4Char"/>
    <w:uiPriority w:val="9"/>
    <w:unhideWhenUsed/>
    <w:qFormat/>
    <w:rsid w:val="00FE1D30"/>
    <w:pPr>
      <w:outlineLvl w:val="3"/>
    </w:pPr>
    <w:rPr>
      <w:b w:val="0"/>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D30"/>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FE1D30"/>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FE1D30"/>
    <w:rPr>
      <w:rFonts w:ascii="Times New Roman" w:hAnsi="Times New Roman" w:cs="Times New Roman"/>
      <w:b/>
      <w:bCs/>
      <w:i/>
      <w:iCs/>
      <w:sz w:val="24"/>
      <w:szCs w:val="24"/>
    </w:rPr>
  </w:style>
  <w:style w:type="character" w:customStyle="1" w:styleId="Heading4Char">
    <w:name w:val="Heading 4 Char"/>
    <w:basedOn w:val="DefaultParagraphFont"/>
    <w:link w:val="Heading4"/>
    <w:uiPriority w:val="9"/>
    <w:rsid w:val="00FE1D30"/>
    <w:rPr>
      <w:rFonts w:ascii="Times New Roman" w:hAnsi="Times New Roman" w:cs="Times New Roman"/>
      <w:i/>
      <w:iCs/>
      <w:sz w:val="24"/>
      <w:szCs w:val="24"/>
    </w:rPr>
  </w:style>
  <w:style w:type="paragraph" w:styleId="Header">
    <w:name w:val="header"/>
    <w:basedOn w:val="Normal"/>
    <w:link w:val="HeaderChar"/>
    <w:uiPriority w:val="99"/>
    <w:unhideWhenUsed/>
    <w:rsid w:val="000A0104"/>
    <w:pPr>
      <w:tabs>
        <w:tab w:val="center" w:pos="4513"/>
        <w:tab w:val="right" w:pos="9026"/>
      </w:tabs>
      <w:spacing w:line="240" w:lineRule="auto"/>
    </w:pPr>
  </w:style>
  <w:style w:type="character" w:customStyle="1" w:styleId="HeaderChar">
    <w:name w:val="Header Char"/>
    <w:basedOn w:val="DefaultParagraphFont"/>
    <w:link w:val="Header"/>
    <w:uiPriority w:val="99"/>
    <w:rsid w:val="000A0104"/>
    <w:rPr>
      <w:rFonts w:ascii="Times New Roman" w:hAnsi="Times New Roman" w:cs="Times New Roman"/>
      <w:sz w:val="24"/>
      <w:szCs w:val="24"/>
    </w:rPr>
  </w:style>
  <w:style w:type="paragraph" w:styleId="Footer">
    <w:name w:val="footer"/>
    <w:basedOn w:val="Normal"/>
    <w:link w:val="FooterChar"/>
    <w:uiPriority w:val="99"/>
    <w:unhideWhenUsed/>
    <w:rsid w:val="000A0104"/>
    <w:pPr>
      <w:tabs>
        <w:tab w:val="center" w:pos="4513"/>
        <w:tab w:val="right" w:pos="9026"/>
      </w:tabs>
      <w:spacing w:line="240" w:lineRule="auto"/>
    </w:pPr>
  </w:style>
  <w:style w:type="character" w:customStyle="1" w:styleId="FooterChar">
    <w:name w:val="Footer Char"/>
    <w:basedOn w:val="DefaultParagraphFont"/>
    <w:link w:val="Footer"/>
    <w:uiPriority w:val="99"/>
    <w:rsid w:val="000A010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50C70-DA81-4646-AB46-5251AFA3C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1813</Words>
  <Characters>10335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Churruca</dc:creator>
  <cp:keywords/>
  <dc:description/>
  <cp:lastModifiedBy>Kate Churruca</cp:lastModifiedBy>
  <cp:revision>4</cp:revision>
  <dcterms:created xsi:type="dcterms:W3CDTF">2022-06-17T06:12:00Z</dcterms:created>
  <dcterms:modified xsi:type="dcterms:W3CDTF">2022-07-07T05:36:00Z</dcterms:modified>
</cp:coreProperties>
</file>