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B6B59" w14:textId="77777777" w:rsidR="009455DC" w:rsidRPr="006F4EC7" w:rsidRDefault="009455DC" w:rsidP="006F4EC7">
      <w:pPr>
        <w:spacing w:after="160" w:line="259" w:lineRule="auto"/>
        <w:ind w:firstLine="0"/>
        <w:rPr>
          <w:rFonts w:eastAsiaTheme="minorHAnsi"/>
        </w:rPr>
      </w:pPr>
      <w:bookmarkStart w:id="0" w:name="_GoBack"/>
      <w:bookmarkEnd w:id="0"/>
      <w:r w:rsidRPr="006F4EC7">
        <w:rPr>
          <w:rFonts w:eastAsiaTheme="minorHAnsi"/>
        </w:rPr>
        <w:t>Appendix 3:  CRH Evaluation Design Based on Logic Model Inputs, Outputs, and Formative and Summative Outcomes</w:t>
      </w:r>
    </w:p>
    <w:tbl>
      <w:tblPr>
        <w:tblStyle w:val="TableGrid71"/>
        <w:tblW w:w="12955" w:type="dxa"/>
        <w:tblLook w:val="04A0" w:firstRow="1" w:lastRow="0" w:firstColumn="1" w:lastColumn="0" w:noHBand="0" w:noVBand="1"/>
      </w:tblPr>
      <w:tblGrid>
        <w:gridCol w:w="2122"/>
        <w:gridCol w:w="1450"/>
        <w:gridCol w:w="2716"/>
        <w:gridCol w:w="1506"/>
        <w:gridCol w:w="5161"/>
      </w:tblGrid>
      <w:tr w:rsidR="009455DC" w:rsidRPr="006F4EC7" w14:paraId="7634419E" w14:textId="77777777" w:rsidTr="000E3079">
        <w:trPr>
          <w:tblHeader/>
        </w:trPr>
        <w:tc>
          <w:tcPr>
            <w:tcW w:w="2155" w:type="dxa"/>
            <w:vMerge w:val="restart"/>
            <w:tcBorders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FD22A85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Logic Model Elements</w:t>
            </w:r>
          </w:p>
        </w:tc>
        <w:tc>
          <w:tcPr>
            <w:tcW w:w="386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7CB60D73" w14:textId="77777777" w:rsidR="009455DC" w:rsidRPr="006F4EC7" w:rsidRDefault="009455DC" w:rsidP="006F4EC7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6F4EC7">
              <w:rPr>
                <w:b/>
                <w:bCs/>
              </w:rPr>
              <w:t xml:space="preserve">Qualitative </w:t>
            </w:r>
          </w:p>
        </w:tc>
        <w:tc>
          <w:tcPr>
            <w:tcW w:w="6936" w:type="dxa"/>
            <w:gridSpan w:val="2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6F2EEC83" w14:textId="77777777" w:rsidR="009455DC" w:rsidRPr="006F4EC7" w:rsidRDefault="009455DC" w:rsidP="006F4EC7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6F4EC7">
              <w:rPr>
                <w:b/>
                <w:bCs/>
              </w:rPr>
              <w:t xml:space="preserve">Quantitative </w:t>
            </w:r>
          </w:p>
        </w:tc>
      </w:tr>
      <w:tr w:rsidR="009455DC" w:rsidRPr="006F4EC7" w14:paraId="4A2BE124" w14:textId="77777777" w:rsidTr="000E3079">
        <w:trPr>
          <w:tblHeader/>
        </w:trPr>
        <w:tc>
          <w:tcPr>
            <w:tcW w:w="2155" w:type="dxa"/>
            <w:vMerge/>
            <w:tcBorders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DC6371E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3D6951" w14:textId="77777777" w:rsidR="009455DC" w:rsidRPr="006F4EC7" w:rsidRDefault="009455DC" w:rsidP="006F4EC7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6F4EC7">
              <w:rPr>
                <w:b/>
                <w:bCs/>
              </w:rPr>
              <w:t>Design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76FE2615" w14:textId="77777777" w:rsidR="009455DC" w:rsidRPr="006F4EC7" w:rsidRDefault="009455DC" w:rsidP="006F4EC7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6F4EC7">
              <w:rPr>
                <w:b/>
                <w:bCs/>
              </w:rPr>
              <w:t>Data Collection &amp; Analysis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0F07F5C8" w14:textId="77777777" w:rsidR="009455DC" w:rsidRPr="006F4EC7" w:rsidRDefault="009455DC" w:rsidP="006F4EC7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6F4EC7">
              <w:rPr>
                <w:b/>
                <w:bCs/>
              </w:rPr>
              <w:t>Design</w:t>
            </w:r>
          </w:p>
        </w:tc>
        <w:tc>
          <w:tcPr>
            <w:tcW w:w="5430" w:type="dxa"/>
            <w:shd w:val="clear" w:color="auto" w:fill="E7E6E6" w:themeFill="background2"/>
            <w:vAlign w:val="center"/>
          </w:tcPr>
          <w:p w14:paraId="3F6CC0C3" w14:textId="77777777" w:rsidR="009455DC" w:rsidRPr="006F4EC7" w:rsidRDefault="009455DC" w:rsidP="006F4EC7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6F4EC7">
              <w:rPr>
                <w:b/>
                <w:bCs/>
              </w:rPr>
              <w:t>Data Collection &amp; Analysis</w:t>
            </w:r>
          </w:p>
        </w:tc>
      </w:tr>
      <w:tr w:rsidR="009455DC" w:rsidRPr="006F4EC7" w14:paraId="25AF4264" w14:textId="77777777" w:rsidTr="000E3079">
        <w:tc>
          <w:tcPr>
            <w:tcW w:w="12955" w:type="dxa"/>
            <w:gridSpan w:val="5"/>
            <w:vAlign w:val="center"/>
          </w:tcPr>
          <w:p w14:paraId="1068F5ED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rPr>
                <w:b/>
                <w:bCs/>
              </w:rPr>
              <w:t>Context and Inputs:</w:t>
            </w:r>
          </w:p>
        </w:tc>
      </w:tr>
      <w:tr w:rsidR="009455DC" w:rsidRPr="006F4EC7" w14:paraId="3BE452E9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4F92C022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Baseline readiness &amp; pre-program history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AEF8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Descriptive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023909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 xml:space="preserve">Regional hub analysis based on baseline interviews and program records 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6C52D90C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 xml:space="preserve">Descriptive, multi-method </w:t>
            </w:r>
          </w:p>
        </w:tc>
        <w:tc>
          <w:tcPr>
            <w:tcW w:w="5430" w:type="dxa"/>
            <w:vAlign w:val="center"/>
          </w:tcPr>
          <w:p w14:paraId="415D85D7" w14:textId="77777777" w:rsidR="009455DC" w:rsidRPr="006F4EC7" w:rsidRDefault="009455DC" w:rsidP="009455DC">
            <w:pPr>
              <w:numPr>
                <w:ilvl w:val="0"/>
                <w:numId w:val="9"/>
              </w:numPr>
              <w:spacing w:line="240" w:lineRule="auto"/>
              <w:ind w:left="343"/>
              <w:contextualSpacing/>
            </w:pPr>
            <w:r w:rsidRPr="006F4EC7">
              <w:t xml:space="preserve">Integrates relevant qualitative findings as variables into the CRH evaluation core data base </w:t>
            </w:r>
          </w:p>
        </w:tc>
      </w:tr>
      <w:tr w:rsidR="009455DC" w:rsidRPr="006F4EC7" w14:paraId="71E6B0D2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414D8B43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Program governance, planned and unplanned services and features, staffing patterns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6247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Descriptive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9B2EF0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Longitudinal, regional hub analyses based on periodic (yearly) all-hub interviews and observational analysis of implementation barriers and facilitators based on analysis of themes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66646B4D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 xml:space="preserve">Observational, multi-method </w:t>
            </w:r>
          </w:p>
        </w:tc>
        <w:tc>
          <w:tcPr>
            <w:tcW w:w="5430" w:type="dxa"/>
            <w:vAlign w:val="center"/>
          </w:tcPr>
          <w:p w14:paraId="35755911" w14:textId="77777777" w:rsidR="009455DC" w:rsidRPr="006F4EC7" w:rsidRDefault="009455DC" w:rsidP="009455DC">
            <w:pPr>
              <w:numPr>
                <w:ilvl w:val="0"/>
                <w:numId w:val="9"/>
              </w:numPr>
              <w:spacing w:line="240" w:lineRule="auto"/>
              <w:ind w:left="343"/>
              <w:contextualSpacing/>
            </w:pPr>
            <w:r w:rsidRPr="006F4EC7">
              <w:t xml:space="preserve">Longitudinal, regional hub analyses based on periodic all-hub surveys and on periodic assessment of CRH program staffing records and qualitatively derived scores or variables   </w:t>
            </w:r>
          </w:p>
        </w:tc>
      </w:tr>
      <w:tr w:rsidR="009455DC" w:rsidRPr="006F4EC7" w14:paraId="469E255E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3A1A6BB7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Program labor and capital investments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1609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9126D7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NA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0C8C0291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Observational</w:t>
            </w:r>
          </w:p>
        </w:tc>
        <w:tc>
          <w:tcPr>
            <w:tcW w:w="5430" w:type="dxa"/>
            <w:vAlign w:val="center"/>
          </w:tcPr>
          <w:p w14:paraId="724B1CD6" w14:textId="77777777" w:rsidR="009455DC" w:rsidRPr="006F4EC7" w:rsidRDefault="009455DC" w:rsidP="009455DC">
            <w:pPr>
              <w:numPr>
                <w:ilvl w:val="0"/>
                <w:numId w:val="9"/>
              </w:numPr>
              <w:spacing w:line="240" w:lineRule="auto"/>
              <w:ind w:left="343"/>
              <w:contextualSpacing/>
            </w:pPr>
            <w:r w:rsidRPr="006F4EC7">
              <w:t xml:space="preserve">Longitudinal, regional hub data analysis based on periodic assessment of hub labor costs, funding </w:t>
            </w:r>
          </w:p>
        </w:tc>
      </w:tr>
      <w:tr w:rsidR="009455DC" w:rsidRPr="006F4EC7" w14:paraId="4025C520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3C0C6915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Implementation variations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0D9D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9F28B5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NA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5EE99E70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Observational</w:t>
            </w:r>
          </w:p>
        </w:tc>
        <w:tc>
          <w:tcPr>
            <w:tcW w:w="5430" w:type="dxa"/>
            <w:vAlign w:val="center"/>
          </w:tcPr>
          <w:p w14:paraId="4370241A" w14:textId="77777777" w:rsidR="009455DC" w:rsidRPr="006F4EC7" w:rsidRDefault="009455DC" w:rsidP="009455DC">
            <w:pPr>
              <w:numPr>
                <w:ilvl w:val="0"/>
                <w:numId w:val="9"/>
              </w:numPr>
              <w:spacing w:line="240" w:lineRule="auto"/>
              <w:ind w:left="343"/>
              <w:contextualSpacing/>
            </w:pPr>
            <w:r w:rsidRPr="006F4EC7">
              <w:t>Regression or cross-case analysis of regional variations in hub implementation achievement (dependent variable) based on readiness and context features (independent variables) after completion of initial implementation efforts (Evaluation Year 3)</w:t>
            </w:r>
          </w:p>
        </w:tc>
      </w:tr>
      <w:tr w:rsidR="009455DC" w:rsidRPr="006F4EC7" w14:paraId="46FF28DB" w14:textId="77777777" w:rsidTr="000E3079">
        <w:tc>
          <w:tcPr>
            <w:tcW w:w="12955" w:type="dxa"/>
            <w:gridSpan w:val="5"/>
            <w:vAlign w:val="center"/>
          </w:tcPr>
          <w:p w14:paraId="040821A3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Outputs:</w:t>
            </w:r>
          </w:p>
        </w:tc>
      </w:tr>
      <w:tr w:rsidR="009455DC" w:rsidRPr="006F4EC7" w14:paraId="259CCECF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45CF2DB4" w14:textId="77777777" w:rsidR="009455DC" w:rsidRPr="006F4EC7" w:rsidRDefault="009455DC" w:rsidP="006F4EC7">
            <w:pPr>
              <w:keepNext/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Program reach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2B8E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A8C645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NA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3DCB1D2F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Observational</w:t>
            </w:r>
          </w:p>
        </w:tc>
        <w:tc>
          <w:tcPr>
            <w:tcW w:w="5430" w:type="dxa"/>
            <w:vAlign w:val="center"/>
          </w:tcPr>
          <w:p w14:paraId="342B5EEE" w14:textId="77777777" w:rsidR="009455DC" w:rsidRPr="006F4EC7" w:rsidRDefault="009455DC" w:rsidP="009455DC">
            <w:pPr>
              <w:numPr>
                <w:ilvl w:val="0"/>
                <w:numId w:val="8"/>
              </w:numPr>
              <w:spacing w:line="240" w:lineRule="auto"/>
              <w:ind w:left="343"/>
            </w:pPr>
            <w:r w:rsidRPr="006F4EC7">
              <w:t>Longitudinal assessment of achievement of all key program features across hubs</w:t>
            </w:r>
          </w:p>
          <w:p w14:paraId="7EE5958B" w14:textId="77777777" w:rsidR="009455DC" w:rsidRPr="006F4EC7" w:rsidRDefault="009455DC" w:rsidP="009455DC">
            <w:pPr>
              <w:numPr>
                <w:ilvl w:val="0"/>
                <w:numId w:val="8"/>
              </w:numPr>
              <w:spacing w:line="240" w:lineRule="auto"/>
              <w:ind w:left="343"/>
            </w:pPr>
            <w:r w:rsidRPr="006F4EC7">
              <w:t>Longitudinal assessment of provision of hub services relative to regional site gaps in staffing</w:t>
            </w:r>
          </w:p>
          <w:p w14:paraId="48A6E178" w14:textId="77777777" w:rsidR="009455DC" w:rsidRPr="006F4EC7" w:rsidRDefault="009455DC" w:rsidP="009455DC">
            <w:pPr>
              <w:numPr>
                <w:ilvl w:val="0"/>
                <w:numId w:val="8"/>
              </w:numPr>
              <w:spacing w:line="240" w:lineRule="auto"/>
              <w:ind w:left="343"/>
            </w:pPr>
            <w:r w:rsidRPr="006F4EC7">
              <w:t>Analysis of the distribution of spoke sites in terms of the proportion of their assigned patients who receive CRH care over the course of a year (penetration)</w:t>
            </w:r>
          </w:p>
          <w:p w14:paraId="452488B1" w14:textId="77777777" w:rsidR="009455DC" w:rsidRPr="006F4EC7" w:rsidRDefault="009455DC" w:rsidP="009455DC">
            <w:pPr>
              <w:numPr>
                <w:ilvl w:val="0"/>
                <w:numId w:val="8"/>
              </w:numPr>
              <w:spacing w:line="240" w:lineRule="auto"/>
              <w:ind w:left="343"/>
            </w:pPr>
            <w:r w:rsidRPr="006F4EC7">
              <w:t>Analysis of the relationship between penetration and staffing gaps documented through analysis of data on site-level staffing over time</w:t>
            </w:r>
          </w:p>
        </w:tc>
      </w:tr>
      <w:tr w:rsidR="009455DC" w:rsidRPr="006F4EC7" w14:paraId="434F22B8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0BB6B33E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 xml:space="preserve">Program implementation impacts: quantity </w:t>
            </w:r>
            <w:r w:rsidRPr="006F4EC7">
              <w:rPr>
                <w:b/>
                <w:bCs/>
              </w:rPr>
              <w:lastRenderedPageBreak/>
              <w:t xml:space="preserve">and types of care delivered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1568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lastRenderedPageBreak/>
              <w:t>NA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CD2659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NA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2E451001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Repeated measures</w:t>
            </w:r>
          </w:p>
        </w:tc>
        <w:tc>
          <w:tcPr>
            <w:tcW w:w="5430" w:type="dxa"/>
            <w:vAlign w:val="center"/>
          </w:tcPr>
          <w:p w14:paraId="2A83D0E1" w14:textId="77777777" w:rsidR="009455DC" w:rsidRPr="006F4EC7" w:rsidRDefault="009455DC" w:rsidP="009455DC">
            <w:pPr>
              <w:numPr>
                <w:ilvl w:val="0"/>
                <w:numId w:val="8"/>
              </w:numPr>
              <w:spacing w:line="240" w:lineRule="auto"/>
              <w:ind w:left="343"/>
              <w:contextualSpacing/>
            </w:pPr>
            <w:r w:rsidRPr="006F4EC7">
              <w:t>Longitudinal assessment of national utilization (by care modality) of CRH services over time</w:t>
            </w:r>
          </w:p>
          <w:p w14:paraId="1DF10B67" w14:textId="77777777" w:rsidR="009455DC" w:rsidRPr="006F4EC7" w:rsidRDefault="009455DC" w:rsidP="006F4EC7">
            <w:pPr>
              <w:spacing w:line="240" w:lineRule="auto"/>
              <w:ind w:left="343" w:firstLine="0"/>
            </w:pPr>
          </w:p>
        </w:tc>
      </w:tr>
      <w:tr w:rsidR="009455DC" w:rsidRPr="006F4EC7" w14:paraId="6BF4A94E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4DF3BE71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lastRenderedPageBreak/>
              <w:t>Program Adoption: Acceptability of key CRH features to stakeholders; stakeholder perceptions of program quality and costs; integration of hub staff into spoke site teams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C779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Observational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3A3F4E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Analysis of acceptability based on - key stakeholder interviews (Evaluation Years 3 and 5) including hub and representative spoke leaders and staff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5A9B5EB6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  <w:tc>
          <w:tcPr>
            <w:tcW w:w="5430" w:type="dxa"/>
            <w:vAlign w:val="center"/>
          </w:tcPr>
          <w:p w14:paraId="158D61FB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</w:tr>
      <w:tr w:rsidR="009455DC" w:rsidRPr="006F4EC7" w14:paraId="7A7BE0B0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24100E59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Program adoption: barriers and facilitators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2D4C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Observational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ED8297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 xml:space="preserve">Longitudinal, regional hub analyses based on identification of themes in periodic (yearly) all-hub interviews and </w:t>
            </w:r>
          </w:p>
          <w:p w14:paraId="05B7CDB9" w14:textId="77777777" w:rsidR="009455DC" w:rsidRPr="006F4EC7" w:rsidRDefault="009455DC" w:rsidP="006F4EC7">
            <w:pPr>
              <w:spacing w:line="240" w:lineRule="auto"/>
              <w:ind w:left="19" w:firstLine="0"/>
            </w:pP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775BF737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  <w:tc>
          <w:tcPr>
            <w:tcW w:w="5430" w:type="dxa"/>
            <w:vAlign w:val="center"/>
          </w:tcPr>
          <w:p w14:paraId="1E27DDFC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</w:tr>
      <w:tr w:rsidR="009455DC" w:rsidRPr="006F4EC7" w14:paraId="10291811" w14:textId="77777777" w:rsidTr="000E3079">
        <w:tc>
          <w:tcPr>
            <w:tcW w:w="12955" w:type="dxa"/>
            <w:gridSpan w:val="5"/>
            <w:vAlign w:val="center"/>
          </w:tcPr>
          <w:p w14:paraId="7D67BF76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rPr>
                <w:b/>
                <w:bCs/>
              </w:rPr>
              <w:t>Formative Program Outcomes:</w:t>
            </w:r>
          </w:p>
        </w:tc>
      </w:tr>
      <w:tr w:rsidR="009455DC" w:rsidRPr="006F4EC7" w14:paraId="18C0BB45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138D03F1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Patient utilization and costs for CRH services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FE22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0E2010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NA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68F0EB1D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Repeated measures</w:t>
            </w:r>
          </w:p>
        </w:tc>
        <w:tc>
          <w:tcPr>
            <w:tcW w:w="5430" w:type="dxa"/>
            <w:vAlign w:val="center"/>
          </w:tcPr>
          <w:p w14:paraId="7D78A78D" w14:textId="77777777" w:rsidR="009455DC" w:rsidRPr="006F4EC7" w:rsidRDefault="009455DC" w:rsidP="009455DC">
            <w:pPr>
              <w:numPr>
                <w:ilvl w:val="0"/>
                <w:numId w:val="7"/>
              </w:numPr>
              <w:spacing w:line="240" w:lineRule="auto"/>
              <w:ind w:left="343"/>
              <w:contextualSpacing/>
            </w:pPr>
            <w:r w:rsidRPr="006F4EC7">
              <w:t>Quantity, types of clinical services (modalities, encounter types) over time</w:t>
            </w:r>
          </w:p>
        </w:tc>
      </w:tr>
      <w:tr w:rsidR="009455DC" w:rsidRPr="006F4EC7" w14:paraId="449D3168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34DD0109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Hub workload efficiency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8E3D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C67713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NA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7CD30797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Repeated measures</w:t>
            </w:r>
          </w:p>
        </w:tc>
        <w:tc>
          <w:tcPr>
            <w:tcW w:w="5430" w:type="dxa"/>
            <w:vAlign w:val="center"/>
          </w:tcPr>
          <w:p w14:paraId="46D71714" w14:textId="77777777" w:rsidR="009455DC" w:rsidRPr="006F4EC7" w:rsidRDefault="009455DC" w:rsidP="009455DC">
            <w:pPr>
              <w:numPr>
                <w:ilvl w:val="0"/>
                <w:numId w:val="7"/>
              </w:numPr>
              <w:spacing w:line="240" w:lineRule="auto"/>
              <w:ind w:left="343"/>
              <w:contextualSpacing/>
            </w:pPr>
            <w:r w:rsidRPr="006F4EC7">
              <w:t>Longitudinal assessment of hub workload (utilization) versus staffing (labor) costs</w:t>
            </w:r>
          </w:p>
        </w:tc>
      </w:tr>
      <w:tr w:rsidR="009455DC" w:rsidRPr="006F4EC7" w14:paraId="609F0952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5D7D4622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CRH patient access to and quality of care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8103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7A10D4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NA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0EE46C76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Repeated measures</w:t>
            </w:r>
          </w:p>
        </w:tc>
        <w:tc>
          <w:tcPr>
            <w:tcW w:w="5430" w:type="dxa"/>
            <w:vAlign w:val="center"/>
          </w:tcPr>
          <w:p w14:paraId="6C219D5E" w14:textId="77777777" w:rsidR="009455DC" w:rsidRPr="006F4EC7" w:rsidRDefault="009455DC" w:rsidP="009455DC">
            <w:pPr>
              <w:numPr>
                <w:ilvl w:val="0"/>
                <w:numId w:val="7"/>
              </w:numPr>
              <w:spacing w:line="240" w:lineRule="auto"/>
              <w:ind w:left="343"/>
              <w:contextualSpacing/>
            </w:pPr>
            <w:r w:rsidRPr="006F4EC7">
              <w:t xml:space="preserve">Longitudinal assessment of national VA data on patient access experiences (based on monthly surveys) and quality of care measures for patients cared for by CRH </w:t>
            </w:r>
          </w:p>
        </w:tc>
      </w:tr>
      <w:tr w:rsidR="009455DC" w:rsidRPr="006F4EC7" w14:paraId="7F819A46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50357777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CRH staffing service delivery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E08E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9776A3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NA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76AF16E4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Observational</w:t>
            </w:r>
          </w:p>
        </w:tc>
        <w:tc>
          <w:tcPr>
            <w:tcW w:w="5430" w:type="dxa"/>
            <w:vAlign w:val="center"/>
          </w:tcPr>
          <w:p w14:paraId="360E1434" w14:textId="77777777" w:rsidR="009455DC" w:rsidRPr="006F4EC7" w:rsidRDefault="009455DC" w:rsidP="009455DC">
            <w:pPr>
              <w:numPr>
                <w:ilvl w:val="0"/>
                <w:numId w:val="7"/>
              </w:numPr>
              <w:spacing w:line="240" w:lineRule="auto"/>
              <w:ind w:left="343"/>
            </w:pPr>
            <w:r w:rsidRPr="006F4EC7">
              <w:t>Degree to which spoke site staffing gaps are filled by CRH in a timely manner</w:t>
            </w:r>
          </w:p>
          <w:p w14:paraId="5529CD9B" w14:textId="77777777" w:rsidR="009455DC" w:rsidRPr="006F4EC7" w:rsidRDefault="009455DC" w:rsidP="009455DC">
            <w:pPr>
              <w:numPr>
                <w:ilvl w:val="0"/>
                <w:numId w:val="7"/>
              </w:numPr>
              <w:spacing w:line="240" w:lineRule="auto"/>
              <w:ind w:left="343"/>
            </w:pPr>
            <w:r w:rsidRPr="006F4EC7">
              <w:t>Duration of gap fulfillment per spoke site</w:t>
            </w:r>
          </w:p>
          <w:p w14:paraId="3FC18E6C" w14:textId="77777777" w:rsidR="009455DC" w:rsidRPr="006F4EC7" w:rsidRDefault="009455DC" w:rsidP="009455DC">
            <w:pPr>
              <w:numPr>
                <w:ilvl w:val="0"/>
                <w:numId w:val="7"/>
              </w:numPr>
              <w:spacing w:line="240" w:lineRule="auto"/>
              <w:ind w:left="343"/>
            </w:pPr>
            <w:r w:rsidRPr="006F4EC7">
              <w:t>Use of locum tenens (VA or non-VA staff)</w:t>
            </w:r>
          </w:p>
        </w:tc>
      </w:tr>
      <w:tr w:rsidR="009455DC" w:rsidRPr="006F4EC7" w14:paraId="01ABA5F5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2A0875DA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CRH Challenges and Successes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00F1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Observational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96E1BC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 xml:space="preserve">Qualitative synthesis of themes showing challenges or successes (in Evaluation </w:t>
            </w:r>
            <w:r w:rsidRPr="006F4EC7">
              <w:lastRenderedPageBreak/>
              <w:t>Year 3)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485ECE60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lastRenderedPageBreak/>
              <w:t>NA</w:t>
            </w:r>
          </w:p>
        </w:tc>
        <w:tc>
          <w:tcPr>
            <w:tcW w:w="5430" w:type="dxa"/>
            <w:vAlign w:val="center"/>
          </w:tcPr>
          <w:p w14:paraId="782013FC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</w:tr>
      <w:tr w:rsidR="009455DC" w:rsidRPr="006F4EC7" w14:paraId="7655C47E" w14:textId="77777777" w:rsidTr="000E3079">
        <w:tc>
          <w:tcPr>
            <w:tcW w:w="12955" w:type="dxa"/>
            <w:gridSpan w:val="5"/>
            <w:vAlign w:val="center"/>
          </w:tcPr>
          <w:p w14:paraId="310A61C6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rPr>
                <w:b/>
                <w:bCs/>
              </w:rPr>
              <w:lastRenderedPageBreak/>
              <w:t>Summative Program Outcomes:</w:t>
            </w:r>
          </w:p>
        </w:tc>
      </w:tr>
      <w:tr w:rsidR="009455DC" w:rsidRPr="006F4EC7" w14:paraId="764E7D42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53600544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 xml:space="preserve">Effects of CRH Participation on Patients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E655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NA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AF228B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NA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7DCD1C43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Quasi-experimental</w:t>
            </w:r>
          </w:p>
        </w:tc>
        <w:tc>
          <w:tcPr>
            <w:tcW w:w="5430" w:type="dxa"/>
            <w:vAlign w:val="center"/>
          </w:tcPr>
          <w:p w14:paraId="40C23A97" w14:textId="77777777" w:rsidR="009455DC" w:rsidRPr="006F4EC7" w:rsidRDefault="009455DC" w:rsidP="009455DC">
            <w:pPr>
              <w:numPr>
                <w:ilvl w:val="0"/>
                <w:numId w:val="6"/>
              </w:numPr>
              <w:spacing w:line="240" w:lineRule="auto"/>
              <w:ind w:left="343"/>
              <w:contextualSpacing/>
            </w:pPr>
            <w:r w:rsidRPr="006F4EC7">
              <w:t>Non-inferiority comparison of access and clinical quality of care for CRH spoke site patients versus equivalent sites not receiving CRH support</w:t>
            </w:r>
          </w:p>
        </w:tc>
      </w:tr>
      <w:tr w:rsidR="009455DC" w:rsidRPr="006F4EC7" w14:paraId="4E239997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3C2834FA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>Workplace outcomes and CRH Maintenance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3927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Observational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EE814F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 xml:space="preserve">Analysis of qualitative data on workplace effects of CRH, including attitudes toward program maintenance, program stability and equitability, and overall desirability of access to the CRH program 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1AE37C28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Quasi-experimental, multi-method</w:t>
            </w:r>
          </w:p>
        </w:tc>
        <w:tc>
          <w:tcPr>
            <w:tcW w:w="5430" w:type="dxa"/>
            <w:vAlign w:val="center"/>
          </w:tcPr>
          <w:p w14:paraId="241ED6CF" w14:textId="77777777" w:rsidR="009455DC" w:rsidRPr="006F4EC7" w:rsidRDefault="009455DC" w:rsidP="009455DC">
            <w:pPr>
              <w:numPr>
                <w:ilvl w:val="0"/>
                <w:numId w:val="5"/>
              </w:numPr>
              <w:spacing w:line="240" w:lineRule="auto"/>
              <w:ind w:left="343"/>
              <w:contextualSpacing/>
            </w:pPr>
            <w:r w:rsidRPr="006F4EC7">
              <w:t>Comparison of staff burnout, morale and turnover between CRH spoke site staff versus equivalent sites not receiving CRH support</w:t>
            </w:r>
          </w:p>
        </w:tc>
      </w:tr>
      <w:tr w:rsidR="009455DC" w:rsidRPr="006F4EC7" w14:paraId="2D5FD6FD" w14:textId="77777777" w:rsidTr="000E3079">
        <w:tc>
          <w:tcPr>
            <w:tcW w:w="2155" w:type="dxa"/>
            <w:tcBorders>
              <w:right w:val="single" w:sz="18" w:space="0" w:color="auto"/>
            </w:tcBorders>
            <w:vAlign w:val="center"/>
          </w:tcPr>
          <w:p w14:paraId="46C82041" w14:textId="77777777" w:rsidR="009455DC" w:rsidRPr="006F4EC7" w:rsidRDefault="009455DC" w:rsidP="006F4EC7">
            <w:pPr>
              <w:spacing w:line="240" w:lineRule="auto"/>
              <w:ind w:firstLine="0"/>
              <w:rPr>
                <w:b/>
                <w:bCs/>
              </w:rPr>
            </w:pPr>
            <w:r w:rsidRPr="006F4EC7">
              <w:rPr>
                <w:b/>
                <w:bCs/>
              </w:rPr>
              <w:t xml:space="preserve">Return on Investment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34C2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>Qualitative Synthesis; Modified Delphi Stakeholder Panel Synthesis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16B377" w14:textId="77777777" w:rsidR="009455DC" w:rsidRPr="006F4EC7" w:rsidRDefault="009455DC" w:rsidP="006F4EC7">
            <w:pPr>
              <w:spacing w:line="240" w:lineRule="auto"/>
              <w:ind w:left="19" w:firstLine="0"/>
            </w:pPr>
            <w:r w:rsidRPr="006F4EC7">
              <w:t>Integration of qualitative and quantitative findings pertaining to the value of maintaining the CRH program, considering its successes, costs, and benefits</w:t>
            </w:r>
          </w:p>
        </w:tc>
        <w:tc>
          <w:tcPr>
            <w:tcW w:w="1506" w:type="dxa"/>
            <w:tcBorders>
              <w:left w:val="single" w:sz="18" w:space="0" w:color="auto"/>
            </w:tcBorders>
            <w:vAlign w:val="center"/>
          </w:tcPr>
          <w:p w14:paraId="24EFD6E4" w14:textId="77777777" w:rsidR="009455DC" w:rsidRPr="006F4EC7" w:rsidRDefault="009455DC" w:rsidP="006F4EC7">
            <w:pPr>
              <w:spacing w:line="240" w:lineRule="auto"/>
              <w:ind w:firstLine="0"/>
            </w:pPr>
            <w:r w:rsidRPr="006F4EC7">
              <w:t xml:space="preserve">Multi-Method Synthesis of Quasi-Experimental and Qualitative Results </w:t>
            </w:r>
          </w:p>
        </w:tc>
        <w:tc>
          <w:tcPr>
            <w:tcW w:w="5430" w:type="dxa"/>
            <w:vAlign w:val="center"/>
          </w:tcPr>
          <w:p w14:paraId="2013A9A5" w14:textId="77777777" w:rsidR="009455DC" w:rsidRPr="006F4EC7" w:rsidRDefault="009455DC" w:rsidP="009455DC">
            <w:pPr>
              <w:numPr>
                <w:ilvl w:val="0"/>
                <w:numId w:val="5"/>
              </w:numPr>
              <w:spacing w:line="240" w:lineRule="auto"/>
              <w:ind w:left="343"/>
              <w:contextualSpacing/>
            </w:pPr>
            <w:r w:rsidRPr="006F4EC7">
              <w:t>Integration of findings on program outcomes to develop a synthetic measure of program benefits, and analysis of these in relationship to program labor and capital costs</w:t>
            </w:r>
          </w:p>
        </w:tc>
      </w:tr>
    </w:tbl>
    <w:p w14:paraId="50C77CA7" w14:textId="77777777" w:rsidR="009455DC" w:rsidRPr="006F4EC7" w:rsidRDefault="009455DC" w:rsidP="006F4EC7">
      <w:pPr>
        <w:rPr>
          <w:rFonts w:eastAsia="+mn-ea"/>
        </w:rPr>
      </w:pPr>
    </w:p>
    <w:p w14:paraId="1005FD38" w14:textId="77777777" w:rsidR="009455DC" w:rsidRPr="006F4EC7" w:rsidRDefault="009455DC" w:rsidP="006F4EC7">
      <w:pPr>
        <w:spacing w:after="160" w:line="259" w:lineRule="auto"/>
        <w:ind w:firstLine="0"/>
        <w:rPr>
          <w:rFonts w:asciiTheme="minorHAnsi" w:eastAsiaTheme="minorHAnsi" w:hAnsiTheme="minorHAnsi" w:cstheme="minorBidi"/>
          <w:sz w:val="22"/>
          <w:szCs w:val="22"/>
        </w:rPr>
      </w:pPr>
    </w:p>
    <w:p w14:paraId="50D00C0F" w14:textId="77777777" w:rsidR="009455DC" w:rsidRDefault="009455DC">
      <w:pPr>
        <w:spacing w:after="160" w:line="259" w:lineRule="auto"/>
        <w:ind w:firstLine="0"/>
        <w:rPr>
          <w:rFonts w:eastAsiaTheme="minorHAnsi"/>
        </w:rPr>
      </w:pPr>
    </w:p>
    <w:p w14:paraId="586B7690" w14:textId="77777777" w:rsidR="009455DC" w:rsidRPr="008E2F01" w:rsidRDefault="009455DC" w:rsidP="00937FD5">
      <w:pPr>
        <w:ind w:firstLine="0"/>
        <w:rPr>
          <w:rFonts w:eastAsia="+mn-ea"/>
        </w:rPr>
      </w:pPr>
    </w:p>
    <w:p w14:paraId="2DB0475C" w14:textId="77777777" w:rsidR="00EA30CC" w:rsidRDefault="00EA30CC"/>
    <w:sectPr w:rsidR="00EA30CC" w:rsidSect="00FF7A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011543" w14:textId="77777777" w:rsidR="00FF210C" w:rsidRDefault="00FF210C">
      <w:pPr>
        <w:spacing w:line="240" w:lineRule="auto"/>
      </w:pPr>
      <w:r>
        <w:separator/>
      </w:r>
    </w:p>
  </w:endnote>
  <w:endnote w:type="continuationSeparator" w:id="0">
    <w:p w14:paraId="7DDAFF4A" w14:textId="77777777" w:rsidR="00FF210C" w:rsidRDefault="00FF21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2E1E5" w14:textId="77777777" w:rsidR="006F4EC7" w:rsidRDefault="00FF21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E385A6" w14:textId="77777777" w:rsidR="006F4EC7" w:rsidRDefault="00FF210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822308" w14:textId="77777777" w:rsidR="006F4EC7" w:rsidRDefault="00FF21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8DE1E3" w14:textId="77777777" w:rsidR="00FF210C" w:rsidRDefault="00FF210C">
      <w:pPr>
        <w:spacing w:line="240" w:lineRule="auto"/>
      </w:pPr>
      <w:r>
        <w:separator/>
      </w:r>
    </w:p>
  </w:footnote>
  <w:footnote w:type="continuationSeparator" w:id="0">
    <w:p w14:paraId="301AB91A" w14:textId="77777777" w:rsidR="00FF210C" w:rsidRDefault="00FF21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0C1CE" w14:textId="77777777" w:rsidR="006F4EC7" w:rsidRDefault="00FF21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7CD80" w14:textId="77777777" w:rsidR="006F4EC7" w:rsidRDefault="00FF210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A50F1" w14:textId="77777777" w:rsidR="006F4EC7" w:rsidRDefault="00FF21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2032"/>
    <w:multiLevelType w:val="hybridMultilevel"/>
    <w:tmpl w:val="CD1AF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046B9"/>
    <w:multiLevelType w:val="hybridMultilevel"/>
    <w:tmpl w:val="B90E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292226"/>
    <w:multiLevelType w:val="hybridMultilevel"/>
    <w:tmpl w:val="8BBC3E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D5F72"/>
    <w:multiLevelType w:val="hybridMultilevel"/>
    <w:tmpl w:val="76365F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9235719"/>
    <w:multiLevelType w:val="hybridMultilevel"/>
    <w:tmpl w:val="D5360DFE"/>
    <w:lvl w:ilvl="0" w:tplc="B94ACDDC">
      <w:start w:val="1"/>
      <w:numFmt w:val="bullet"/>
      <w:lvlText w:val=""/>
      <w:lvlJc w:val="left"/>
      <w:pPr>
        <w:ind w:left="288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A537BFA"/>
    <w:multiLevelType w:val="hybridMultilevel"/>
    <w:tmpl w:val="8F8C8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95CC1"/>
    <w:multiLevelType w:val="hybridMultilevel"/>
    <w:tmpl w:val="4E78B3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FE23DCE"/>
    <w:multiLevelType w:val="hybridMultilevel"/>
    <w:tmpl w:val="701C7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DB4A30"/>
    <w:multiLevelType w:val="hybridMultilevel"/>
    <w:tmpl w:val="BF4E8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DA0221"/>
    <w:multiLevelType w:val="hybridMultilevel"/>
    <w:tmpl w:val="AFE43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F5C1A"/>
    <w:multiLevelType w:val="hybridMultilevel"/>
    <w:tmpl w:val="A284391C"/>
    <w:lvl w:ilvl="0" w:tplc="B2528A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F5578D"/>
    <w:multiLevelType w:val="hybridMultilevel"/>
    <w:tmpl w:val="260057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9707208"/>
    <w:multiLevelType w:val="hybridMultilevel"/>
    <w:tmpl w:val="D59EC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B1036F"/>
    <w:multiLevelType w:val="hybridMultilevel"/>
    <w:tmpl w:val="ACEA0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D2707A"/>
    <w:multiLevelType w:val="hybridMultilevel"/>
    <w:tmpl w:val="8AA8D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D90509"/>
    <w:multiLevelType w:val="hybridMultilevel"/>
    <w:tmpl w:val="8F788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BD5182"/>
    <w:multiLevelType w:val="hybridMultilevel"/>
    <w:tmpl w:val="82D46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9"/>
  </w:num>
  <w:num w:numId="5">
    <w:abstractNumId w:val="15"/>
  </w:num>
  <w:num w:numId="6">
    <w:abstractNumId w:val="14"/>
  </w:num>
  <w:num w:numId="7">
    <w:abstractNumId w:val="17"/>
  </w:num>
  <w:num w:numId="8">
    <w:abstractNumId w:val="10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8"/>
  </w:num>
  <w:num w:numId="14">
    <w:abstractNumId w:val="5"/>
  </w:num>
  <w:num w:numId="15">
    <w:abstractNumId w:val="2"/>
  </w:num>
  <w:num w:numId="16">
    <w:abstractNumId w:val="7"/>
  </w:num>
  <w:num w:numId="17">
    <w:abstractNumId w:val="4"/>
  </w:num>
  <w:num w:numId="18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9455DC"/>
    <w:rsid w:val="0000598C"/>
    <w:rsid w:val="00036F70"/>
    <w:rsid w:val="00051D51"/>
    <w:rsid w:val="00055378"/>
    <w:rsid w:val="00061074"/>
    <w:rsid w:val="00064115"/>
    <w:rsid w:val="000738FE"/>
    <w:rsid w:val="000742DA"/>
    <w:rsid w:val="000743EA"/>
    <w:rsid w:val="00075F82"/>
    <w:rsid w:val="00076040"/>
    <w:rsid w:val="0008030B"/>
    <w:rsid w:val="000832F0"/>
    <w:rsid w:val="00084E7E"/>
    <w:rsid w:val="00087039"/>
    <w:rsid w:val="00095793"/>
    <w:rsid w:val="000973F2"/>
    <w:rsid w:val="00097A3A"/>
    <w:rsid w:val="000B2A41"/>
    <w:rsid w:val="000B6FE2"/>
    <w:rsid w:val="000C7C0B"/>
    <w:rsid w:val="000D3FB6"/>
    <w:rsid w:val="000D58CC"/>
    <w:rsid w:val="000E08BC"/>
    <w:rsid w:val="000F3F5F"/>
    <w:rsid w:val="00105018"/>
    <w:rsid w:val="00105A83"/>
    <w:rsid w:val="0011613B"/>
    <w:rsid w:val="00122F3C"/>
    <w:rsid w:val="0012534E"/>
    <w:rsid w:val="001259D1"/>
    <w:rsid w:val="0015480A"/>
    <w:rsid w:val="00171D6E"/>
    <w:rsid w:val="0017657A"/>
    <w:rsid w:val="0018025E"/>
    <w:rsid w:val="00186FC5"/>
    <w:rsid w:val="00190E15"/>
    <w:rsid w:val="001A2991"/>
    <w:rsid w:val="001B0F01"/>
    <w:rsid w:val="001B1F6D"/>
    <w:rsid w:val="001C28A9"/>
    <w:rsid w:val="001D02B8"/>
    <w:rsid w:val="001F5C2E"/>
    <w:rsid w:val="00200CB1"/>
    <w:rsid w:val="002070F5"/>
    <w:rsid w:val="00210A46"/>
    <w:rsid w:val="00234982"/>
    <w:rsid w:val="002351EC"/>
    <w:rsid w:val="0024020D"/>
    <w:rsid w:val="00243F77"/>
    <w:rsid w:val="0025094C"/>
    <w:rsid w:val="00252394"/>
    <w:rsid w:val="00254147"/>
    <w:rsid w:val="00261719"/>
    <w:rsid w:val="0026180C"/>
    <w:rsid w:val="00266D64"/>
    <w:rsid w:val="00275A61"/>
    <w:rsid w:val="00277C56"/>
    <w:rsid w:val="002A2288"/>
    <w:rsid w:val="002B6581"/>
    <w:rsid w:val="002C7227"/>
    <w:rsid w:val="002D24DC"/>
    <w:rsid w:val="002E0724"/>
    <w:rsid w:val="002E2EAE"/>
    <w:rsid w:val="002E457D"/>
    <w:rsid w:val="002F5487"/>
    <w:rsid w:val="002F7202"/>
    <w:rsid w:val="00310B02"/>
    <w:rsid w:val="00316263"/>
    <w:rsid w:val="00333535"/>
    <w:rsid w:val="00362818"/>
    <w:rsid w:val="00364AA8"/>
    <w:rsid w:val="00373C1D"/>
    <w:rsid w:val="00376DE4"/>
    <w:rsid w:val="0038126B"/>
    <w:rsid w:val="0038146D"/>
    <w:rsid w:val="0038796B"/>
    <w:rsid w:val="0039386E"/>
    <w:rsid w:val="003A524D"/>
    <w:rsid w:val="003A681F"/>
    <w:rsid w:val="003B377D"/>
    <w:rsid w:val="003D63B2"/>
    <w:rsid w:val="003E2565"/>
    <w:rsid w:val="003E362C"/>
    <w:rsid w:val="003E6ABC"/>
    <w:rsid w:val="003F4BC9"/>
    <w:rsid w:val="003F754E"/>
    <w:rsid w:val="003F7CDA"/>
    <w:rsid w:val="00400C78"/>
    <w:rsid w:val="00401927"/>
    <w:rsid w:val="00411F45"/>
    <w:rsid w:val="004178AD"/>
    <w:rsid w:val="00425663"/>
    <w:rsid w:val="00432797"/>
    <w:rsid w:val="00432812"/>
    <w:rsid w:val="004332BE"/>
    <w:rsid w:val="00433847"/>
    <w:rsid w:val="00433C49"/>
    <w:rsid w:val="00440655"/>
    <w:rsid w:val="00452733"/>
    <w:rsid w:val="00457AF4"/>
    <w:rsid w:val="0046245C"/>
    <w:rsid w:val="004676AD"/>
    <w:rsid w:val="00474DA2"/>
    <w:rsid w:val="00482FAA"/>
    <w:rsid w:val="00484B27"/>
    <w:rsid w:val="004A0E65"/>
    <w:rsid w:val="004A2282"/>
    <w:rsid w:val="004B03BE"/>
    <w:rsid w:val="004B511A"/>
    <w:rsid w:val="004E11EE"/>
    <w:rsid w:val="004F0D98"/>
    <w:rsid w:val="004F4BD6"/>
    <w:rsid w:val="004F4FAC"/>
    <w:rsid w:val="00503BE6"/>
    <w:rsid w:val="00511C2A"/>
    <w:rsid w:val="00512564"/>
    <w:rsid w:val="005145A8"/>
    <w:rsid w:val="00524143"/>
    <w:rsid w:val="005244CF"/>
    <w:rsid w:val="00524719"/>
    <w:rsid w:val="00524F7A"/>
    <w:rsid w:val="00527073"/>
    <w:rsid w:val="00530051"/>
    <w:rsid w:val="00530C38"/>
    <w:rsid w:val="005338E5"/>
    <w:rsid w:val="00551FEC"/>
    <w:rsid w:val="00565594"/>
    <w:rsid w:val="005701F0"/>
    <w:rsid w:val="00570C00"/>
    <w:rsid w:val="005A0C04"/>
    <w:rsid w:val="005A450A"/>
    <w:rsid w:val="005A64E6"/>
    <w:rsid w:val="005B15F2"/>
    <w:rsid w:val="005B5B94"/>
    <w:rsid w:val="005B785A"/>
    <w:rsid w:val="005C385E"/>
    <w:rsid w:val="005D5678"/>
    <w:rsid w:val="005D7B5C"/>
    <w:rsid w:val="005D7BAF"/>
    <w:rsid w:val="005E1A9E"/>
    <w:rsid w:val="00602B7C"/>
    <w:rsid w:val="006143E1"/>
    <w:rsid w:val="0061756B"/>
    <w:rsid w:val="006176CA"/>
    <w:rsid w:val="00625249"/>
    <w:rsid w:val="00634554"/>
    <w:rsid w:val="006503DB"/>
    <w:rsid w:val="00650EED"/>
    <w:rsid w:val="00653519"/>
    <w:rsid w:val="00666CAF"/>
    <w:rsid w:val="00673F7B"/>
    <w:rsid w:val="00691CCA"/>
    <w:rsid w:val="00691F01"/>
    <w:rsid w:val="006A1726"/>
    <w:rsid w:val="006B2882"/>
    <w:rsid w:val="006B6952"/>
    <w:rsid w:val="006C03B1"/>
    <w:rsid w:val="006C1343"/>
    <w:rsid w:val="006C27A2"/>
    <w:rsid w:val="006D0749"/>
    <w:rsid w:val="006D3F7D"/>
    <w:rsid w:val="006E2E9A"/>
    <w:rsid w:val="006E3F2F"/>
    <w:rsid w:val="006F162C"/>
    <w:rsid w:val="00751C59"/>
    <w:rsid w:val="007715DC"/>
    <w:rsid w:val="007756DC"/>
    <w:rsid w:val="007805EC"/>
    <w:rsid w:val="00780710"/>
    <w:rsid w:val="007824D0"/>
    <w:rsid w:val="0078366C"/>
    <w:rsid w:val="00791323"/>
    <w:rsid w:val="007942E0"/>
    <w:rsid w:val="007944FC"/>
    <w:rsid w:val="007A3341"/>
    <w:rsid w:val="007A6845"/>
    <w:rsid w:val="007D700B"/>
    <w:rsid w:val="007E3614"/>
    <w:rsid w:val="007F3315"/>
    <w:rsid w:val="00802D08"/>
    <w:rsid w:val="00813F4D"/>
    <w:rsid w:val="00816AA3"/>
    <w:rsid w:val="0081712C"/>
    <w:rsid w:val="00826852"/>
    <w:rsid w:val="00832721"/>
    <w:rsid w:val="00832BF7"/>
    <w:rsid w:val="008501DB"/>
    <w:rsid w:val="00850417"/>
    <w:rsid w:val="008523CB"/>
    <w:rsid w:val="0085515A"/>
    <w:rsid w:val="00862235"/>
    <w:rsid w:val="008647F5"/>
    <w:rsid w:val="00876850"/>
    <w:rsid w:val="00885BD1"/>
    <w:rsid w:val="008941AC"/>
    <w:rsid w:val="008D027B"/>
    <w:rsid w:val="008D2804"/>
    <w:rsid w:val="008E245E"/>
    <w:rsid w:val="008E4A57"/>
    <w:rsid w:val="008E54FE"/>
    <w:rsid w:val="008F0CD3"/>
    <w:rsid w:val="00900479"/>
    <w:rsid w:val="00901AB7"/>
    <w:rsid w:val="0090716C"/>
    <w:rsid w:val="00944B5A"/>
    <w:rsid w:val="009455DC"/>
    <w:rsid w:val="009602FF"/>
    <w:rsid w:val="00964C55"/>
    <w:rsid w:val="0096530C"/>
    <w:rsid w:val="00986A2C"/>
    <w:rsid w:val="00994EBD"/>
    <w:rsid w:val="009A15A5"/>
    <w:rsid w:val="009C652A"/>
    <w:rsid w:val="009D202D"/>
    <w:rsid w:val="009D49D9"/>
    <w:rsid w:val="009D620E"/>
    <w:rsid w:val="009D6F6F"/>
    <w:rsid w:val="009E03B5"/>
    <w:rsid w:val="009E07A2"/>
    <w:rsid w:val="009E3C2D"/>
    <w:rsid w:val="009E5C4D"/>
    <w:rsid w:val="009F314E"/>
    <w:rsid w:val="009F7086"/>
    <w:rsid w:val="00A16509"/>
    <w:rsid w:val="00A17C69"/>
    <w:rsid w:val="00A40B61"/>
    <w:rsid w:val="00A439CB"/>
    <w:rsid w:val="00A501AD"/>
    <w:rsid w:val="00A5759D"/>
    <w:rsid w:val="00A65578"/>
    <w:rsid w:val="00A72AB9"/>
    <w:rsid w:val="00A81120"/>
    <w:rsid w:val="00A816DB"/>
    <w:rsid w:val="00A936E3"/>
    <w:rsid w:val="00A9494E"/>
    <w:rsid w:val="00AA497C"/>
    <w:rsid w:val="00AC0A1C"/>
    <w:rsid w:val="00AC447A"/>
    <w:rsid w:val="00AD06D8"/>
    <w:rsid w:val="00AD668D"/>
    <w:rsid w:val="00AE39BE"/>
    <w:rsid w:val="00AE5C6D"/>
    <w:rsid w:val="00AE60A5"/>
    <w:rsid w:val="00B006DC"/>
    <w:rsid w:val="00B02964"/>
    <w:rsid w:val="00B030F3"/>
    <w:rsid w:val="00B05B16"/>
    <w:rsid w:val="00B11728"/>
    <w:rsid w:val="00B2069E"/>
    <w:rsid w:val="00B2708D"/>
    <w:rsid w:val="00B425C4"/>
    <w:rsid w:val="00B43BF9"/>
    <w:rsid w:val="00B45F65"/>
    <w:rsid w:val="00B5539D"/>
    <w:rsid w:val="00B64369"/>
    <w:rsid w:val="00B73A0D"/>
    <w:rsid w:val="00B75352"/>
    <w:rsid w:val="00B91ACC"/>
    <w:rsid w:val="00BA3404"/>
    <w:rsid w:val="00BC6200"/>
    <w:rsid w:val="00BE6670"/>
    <w:rsid w:val="00BF1714"/>
    <w:rsid w:val="00BF19B1"/>
    <w:rsid w:val="00C05BDB"/>
    <w:rsid w:val="00C30B6E"/>
    <w:rsid w:val="00C3153A"/>
    <w:rsid w:val="00C31A6B"/>
    <w:rsid w:val="00C4277D"/>
    <w:rsid w:val="00C43864"/>
    <w:rsid w:val="00C56A07"/>
    <w:rsid w:val="00C612A4"/>
    <w:rsid w:val="00C617FD"/>
    <w:rsid w:val="00C747BE"/>
    <w:rsid w:val="00C7610C"/>
    <w:rsid w:val="00CA0893"/>
    <w:rsid w:val="00CC1B0F"/>
    <w:rsid w:val="00CD633D"/>
    <w:rsid w:val="00CF1EB0"/>
    <w:rsid w:val="00D051EE"/>
    <w:rsid w:val="00D10DB7"/>
    <w:rsid w:val="00D22C6B"/>
    <w:rsid w:val="00D30FB3"/>
    <w:rsid w:val="00D31AE7"/>
    <w:rsid w:val="00D3450F"/>
    <w:rsid w:val="00D36C68"/>
    <w:rsid w:val="00D45F9B"/>
    <w:rsid w:val="00D56D24"/>
    <w:rsid w:val="00D666C0"/>
    <w:rsid w:val="00D77DF1"/>
    <w:rsid w:val="00D833DD"/>
    <w:rsid w:val="00DA0F1A"/>
    <w:rsid w:val="00DA0F91"/>
    <w:rsid w:val="00DB593E"/>
    <w:rsid w:val="00DB63F5"/>
    <w:rsid w:val="00DC15F5"/>
    <w:rsid w:val="00DC47B2"/>
    <w:rsid w:val="00DD4C66"/>
    <w:rsid w:val="00DE2343"/>
    <w:rsid w:val="00DF5CD9"/>
    <w:rsid w:val="00DF733F"/>
    <w:rsid w:val="00E07BE0"/>
    <w:rsid w:val="00E138D5"/>
    <w:rsid w:val="00E245E9"/>
    <w:rsid w:val="00E25AF2"/>
    <w:rsid w:val="00E2747B"/>
    <w:rsid w:val="00E27E28"/>
    <w:rsid w:val="00E558E0"/>
    <w:rsid w:val="00E70272"/>
    <w:rsid w:val="00E7490C"/>
    <w:rsid w:val="00E74D21"/>
    <w:rsid w:val="00E750EF"/>
    <w:rsid w:val="00E86FCD"/>
    <w:rsid w:val="00E9042A"/>
    <w:rsid w:val="00E92DFC"/>
    <w:rsid w:val="00EA14CB"/>
    <w:rsid w:val="00EA30CC"/>
    <w:rsid w:val="00EB796A"/>
    <w:rsid w:val="00EC6CF8"/>
    <w:rsid w:val="00ED005C"/>
    <w:rsid w:val="00ED0863"/>
    <w:rsid w:val="00EF5D1F"/>
    <w:rsid w:val="00F11731"/>
    <w:rsid w:val="00F14751"/>
    <w:rsid w:val="00F14F1F"/>
    <w:rsid w:val="00F31744"/>
    <w:rsid w:val="00F44B21"/>
    <w:rsid w:val="00F77E06"/>
    <w:rsid w:val="00F81FF8"/>
    <w:rsid w:val="00F96AC0"/>
    <w:rsid w:val="00FA1B52"/>
    <w:rsid w:val="00FA7095"/>
    <w:rsid w:val="00FA7EDC"/>
    <w:rsid w:val="00FC1B12"/>
    <w:rsid w:val="00FD3CAA"/>
    <w:rsid w:val="00FE5404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00E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5DC"/>
    <w:pPr>
      <w:spacing w:after="0" w:line="480" w:lineRule="auto"/>
      <w:ind w:firstLine="720"/>
    </w:pPr>
    <w:rPr>
      <w:rFonts w:ascii="Arial" w:eastAsiaTheme="minorEastAsia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5D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55DC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55DC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5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5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5D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5D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5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5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5D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455D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5D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5DC"/>
    <w:rPr>
      <w:rFonts w:asciiTheme="majorHAnsi" w:eastAsiaTheme="majorEastAsia" w:hAnsiTheme="majorHAnsi" w:cstheme="majorBidi"/>
      <w:caps/>
      <w:color w:val="2F5496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5DC"/>
    <w:rPr>
      <w:rFonts w:asciiTheme="majorHAnsi" w:eastAsiaTheme="majorEastAsia" w:hAnsiTheme="majorHAnsi" w:cstheme="majorBidi"/>
      <w:i/>
      <w:iCs/>
      <w:caps/>
      <w:color w:val="1F3864" w:themeColor="accent1" w:themeShade="8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5DC"/>
    <w:rPr>
      <w:rFonts w:asciiTheme="majorHAnsi" w:eastAsiaTheme="majorEastAsia" w:hAnsiTheme="majorHAnsi" w:cstheme="majorBidi"/>
      <w:b/>
      <w:bCs/>
      <w:color w:val="1F3864" w:themeColor="accent1" w:themeShade="8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5DC"/>
    <w:rPr>
      <w:rFonts w:asciiTheme="majorHAnsi" w:eastAsiaTheme="majorEastAsia" w:hAnsiTheme="majorHAnsi" w:cstheme="majorBidi"/>
      <w:b/>
      <w:bCs/>
      <w:i/>
      <w:iCs/>
      <w:color w:val="1F3864" w:themeColor="accent1" w:themeShade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5DC"/>
    <w:rPr>
      <w:rFonts w:asciiTheme="majorHAnsi" w:eastAsiaTheme="majorEastAsia" w:hAnsiTheme="majorHAnsi" w:cstheme="majorBidi"/>
      <w:i/>
      <w:iCs/>
      <w:color w:val="1F3864" w:themeColor="accent1" w:themeShade="80"/>
      <w:sz w:val="20"/>
      <w:szCs w:val="20"/>
    </w:rPr>
  </w:style>
  <w:style w:type="paragraph" w:styleId="ListParagraph">
    <w:name w:val="List Paragraph"/>
    <w:basedOn w:val="Normal"/>
    <w:uiPriority w:val="34"/>
    <w:qFormat/>
    <w:rsid w:val="009455D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9455DC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9455DC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9455D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9455DC"/>
    <w:rPr>
      <w:rFonts w:ascii="Arial" w:eastAsiaTheme="minorEastAsia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5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5DC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16"/>
      <w:szCs w:val="16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55DC"/>
    <w:rPr>
      <w:rFonts w:ascii="Calibri" w:eastAsia="Calibri" w:hAnsi="Calibri" w:cs="Calibri"/>
      <w:sz w:val="16"/>
      <w:szCs w:val="16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5D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5DC"/>
    <w:rPr>
      <w:rFonts w:ascii="Arial" w:eastAsiaTheme="minorEastAsia" w:hAnsi="Arial" w:cs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455DC"/>
    <w:rPr>
      <w:i/>
      <w:iCs/>
    </w:rPr>
  </w:style>
  <w:style w:type="paragraph" w:styleId="Revision">
    <w:name w:val="Revision"/>
    <w:hidden/>
    <w:uiPriority w:val="99"/>
    <w:semiHidden/>
    <w:rsid w:val="009455DC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55DC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55DC"/>
    <w:rPr>
      <w:rFonts w:ascii="Arial" w:eastAsiaTheme="minorEastAsia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455DC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455DC"/>
    <w:pPr>
      <w:jc w:val="center"/>
    </w:pPr>
    <w:rPr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55DC"/>
    <w:rPr>
      <w:rFonts w:ascii="Arial" w:eastAsiaTheme="minorEastAsia" w:hAnsi="Arial" w:cs="Arial"/>
      <w:noProof/>
      <w:szCs w:val="20"/>
    </w:rPr>
  </w:style>
  <w:style w:type="paragraph" w:customStyle="1" w:styleId="EndNoteBibliography">
    <w:name w:val="EndNote Bibliography"/>
    <w:basedOn w:val="Normal"/>
    <w:link w:val="EndNoteBibliographyChar"/>
    <w:rsid w:val="009455DC"/>
    <w:pPr>
      <w:spacing w:line="240" w:lineRule="auto"/>
    </w:pPr>
    <w:rPr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455DC"/>
    <w:rPr>
      <w:rFonts w:ascii="Arial" w:eastAsiaTheme="minorEastAsia" w:hAnsi="Arial" w:cs="Arial"/>
      <w:noProof/>
      <w:szCs w:val="20"/>
    </w:rPr>
  </w:style>
  <w:style w:type="paragraph" w:customStyle="1" w:styleId="MDPI71References">
    <w:name w:val="MDPI_7.1_References"/>
    <w:rsid w:val="009455DC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character" w:customStyle="1" w:styleId="ref-journal">
    <w:name w:val="ref-journal"/>
    <w:basedOn w:val="DefaultParagraphFont"/>
    <w:rsid w:val="009455DC"/>
  </w:style>
  <w:style w:type="character" w:customStyle="1" w:styleId="ref-vol">
    <w:name w:val="ref-vol"/>
    <w:basedOn w:val="DefaultParagraphFont"/>
    <w:rsid w:val="009455DC"/>
  </w:style>
  <w:style w:type="character" w:customStyle="1" w:styleId="nowrap">
    <w:name w:val="nowrap"/>
    <w:basedOn w:val="DefaultParagraphFont"/>
    <w:rsid w:val="009455DC"/>
  </w:style>
  <w:style w:type="character" w:customStyle="1" w:styleId="docurl">
    <w:name w:val="docurl"/>
    <w:basedOn w:val="DefaultParagraphFont"/>
    <w:rsid w:val="009455DC"/>
  </w:style>
  <w:style w:type="character" w:styleId="FollowedHyperlink">
    <w:name w:val="FollowedHyperlink"/>
    <w:basedOn w:val="DefaultParagraphFont"/>
    <w:uiPriority w:val="99"/>
    <w:semiHidden/>
    <w:unhideWhenUsed/>
    <w:rsid w:val="009455DC"/>
    <w:rPr>
      <w:color w:val="954F72" w:themeColor="followedHyperlink"/>
      <w:u w:val="single"/>
    </w:rPr>
  </w:style>
  <w:style w:type="character" w:customStyle="1" w:styleId="Subtitle1">
    <w:name w:val="Subtitle1"/>
    <w:basedOn w:val="DefaultParagraphFont"/>
    <w:rsid w:val="009455DC"/>
  </w:style>
  <w:style w:type="character" w:customStyle="1" w:styleId="colon-for-citation-subtitle">
    <w:name w:val="colon-for-citation-subtitle"/>
    <w:basedOn w:val="DefaultParagraphFont"/>
    <w:rsid w:val="009455DC"/>
  </w:style>
  <w:style w:type="paragraph" w:styleId="Bibliography">
    <w:name w:val="Bibliography"/>
    <w:basedOn w:val="Normal"/>
    <w:next w:val="Normal"/>
    <w:uiPriority w:val="37"/>
    <w:unhideWhenUsed/>
    <w:rsid w:val="009455DC"/>
  </w:style>
  <w:style w:type="paragraph" w:styleId="Caption">
    <w:name w:val="caption"/>
    <w:basedOn w:val="Normal"/>
    <w:next w:val="Normal"/>
    <w:uiPriority w:val="35"/>
    <w:semiHidden/>
    <w:unhideWhenUsed/>
    <w:qFormat/>
    <w:rsid w:val="009455D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455DC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455D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5DC"/>
    <w:pPr>
      <w:numPr>
        <w:ilvl w:val="1"/>
      </w:numPr>
      <w:spacing w:after="240" w:line="240" w:lineRule="auto"/>
      <w:ind w:firstLine="72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5D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455DC"/>
    <w:rPr>
      <w:b/>
      <w:bCs/>
    </w:rPr>
  </w:style>
  <w:style w:type="paragraph" w:styleId="NoSpacing">
    <w:name w:val="No Spacing"/>
    <w:uiPriority w:val="1"/>
    <w:qFormat/>
    <w:rsid w:val="009455DC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9455D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55DC"/>
    <w:rPr>
      <w:rFonts w:ascii="Arial" w:eastAsiaTheme="minorEastAsia" w:hAnsi="Arial" w:cs="Arial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5D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5D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455D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455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455D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455D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455D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55DC"/>
    <w:pPr>
      <w:outlineLvl w:val="9"/>
    </w:pPr>
  </w:style>
  <w:style w:type="character" w:customStyle="1" w:styleId="Subtitle2">
    <w:name w:val="Subtitle2"/>
    <w:basedOn w:val="DefaultParagraphFont"/>
    <w:rsid w:val="009455DC"/>
  </w:style>
  <w:style w:type="paragraph" w:customStyle="1" w:styleId="ReferenceText">
    <w:name w:val="Reference Text"/>
    <w:basedOn w:val="Normal"/>
    <w:qFormat/>
    <w:rsid w:val="009455DC"/>
    <w:pPr>
      <w:spacing w:before="120" w:after="120"/>
      <w:ind w:left="1440" w:hanging="1440"/>
    </w:pPr>
    <w:rPr>
      <w:rFonts w:eastAsiaTheme="minorHAnsi"/>
    </w:rPr>
  </w:style>
  <w:style w:type="paragraph" w:customStyle="1" w:styleId="NumberListReadings">
    <w:name w:val="NumberListReadings"/>
    <w:basedOn w:val="Normal"/>
    <w:rsid w:val="009455DC"/>
    <w:pPr>
      <w:spacing w:after="120" w:line="240" w:lineRule="auto"/>
    </w:pPr>
    <w:rPr>
      <w:rFonts w:ascii="Times New Roman" w:eastAsia="Times New Roman" w:hAnsi="Times New Roman" w:cs="Times New Roman"/>
    </w:rPr>
  </w:style>
  <w:style w:type="paragraph" w:customStyle="1" w:styleId="DataField11pt-Single">
    <w:name w:val="Data Field 11pt-Single"/>
    <w:basedOn w:val="Normal"/>
    <w:rsid w:val="009455DC"/>
    <w:pPr>
      <w:autoSpaceDE w:val="0"/>
      <w:autoSpaceDN w:val="0"/>
      <w:spacing w:line="240" w:lineRule="auto"/>
    </w:pPr>
    <w:rPr>
      <w:rFonts w:eastAsia="Times New Roman"/>
    </w:rPr>
  </w:style>
  <w:style w:type="table" w:customStyle="1" w:styleId="TableGrid2">
    <w:name w:val="Table Grid2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9455D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normaltextrun">
    <w:name w:val="normaltextrun"/>
    <w:basedOn w:val="DefaultParagraphFont"/>
    <w:rsid w:val="009455DC"/>
  </w:style>
  <w:style w:type="paragraph" w:customStyle="1" w:styleId="paragraph">
    <w:name w:val="paragraph"/>
    <w:basedOn w:val="Normal"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kciteavail">
    <w:name w:val="bk_cite_avail"/>
    <w:basedOn w:val="DefaultParagraphFont"/>
    <w:rsid w:val="009455DC"/>
  </w:style>
  <w:style w:type="character" w:customStyle="1" w:styleId="highwire-citation-authors">
    <w:name w:val="highwire-citation-authors"/>
    <w:basedOn w:val="DefaultParagraphFont"/>
    <w:rsid w:val="009455DC"/>
  </w:style>
  <w:style w:type="character" w:customStyle="1" w:styleId="highwire-citation-author">
    <w:name w:val="highwire-citation-author"/>
    <w:basedOn w:val="DefaultParagraphFont"/>
    <w:rsid w:val="009455DC"/>
  </w:style>
  <w:style w:type="character" w:customStyle="1" w:styleId="nlm-surname">
    <w:name w:val="nlm-surname"/>
    <w:basedOn w:val="DefaultParagraphFont"/>
    <w:rsid w:val="009455DC"/>
  </w:style>
  <w:style w:type="character" w:customStyle="1" w:styleId="citation-et">
    <w:name w:val="citation-et"/>
    <w:basedOn w:val="DefaultParagraphFont"/>
    <w:rsid w:val="009455DC"/>
  </w:style>
  <w:style w:type="character" w:customStyle="1" w:styleId="highwire-cite-metadata-journal">
    <w:name w:val="highwire-cite-metadata-journal"/>
    <w:basedOn w:val="DefaultParagraphFont"/>
    <w:rsid w:val="009455DC"/>
  </w:style>
  <w:style w:type="character" w:customStyle="1" w:styleId="highwire-cite-metadata-year">
    <w:name w:val="highwire-cite-metadata-year"/>
    <w:basedOn w:val="DefaultParagraphFont"/>
    <w:rsid w:val="009455DC"/>
  </w:style>
  <w:style w:type="character" w:customStyle="1" w:styleId="highwire-cite-metadata-volume">
    <w:name w:val="highwire-cite-metadata-volume"/>
    <w:basedOn w:val="DefaultParagraphFont"/>
    <w:rsid w:val="009455DC"/>
  </w:style>
  <w:style w:type="character" w:customStyle="1" w:styleId="highwire-cite-metadata-elocation-id">
    <w:name w:val="highwire-cite-metadata-elocation-id"/>
    <w:basedOn w:val="DefaultParagraphFont"/>
    <w:rsid w:val="009455DC"/>
  </w:style>
  <w:style w:type="character" w:customStyle="1" w:styleId="highwire-cite-metadata-doi">
    <w:name w:val="highwire-cite-metadata-doi"/>
    <w:basedOn w:val="DefaultParagraphFont"/>
    <w:rsid w:val="009455DC"/>
  </w:style>
  <w:style w:type="character" w:customStyle="1" w:styleId="label">
    <w:name w:val="label"/>
    <w:basedOn w:val="DefaultParagraphFont"/>
    <w:rsid w:val="009455DC"/>
  </w:style>
  <w:style w:type="paragraph" w:styleId="NormalWeb">
    <w:name w:val="Normal (Web)"/>
    <w:basedOn w:val="Normal"/>
    <w:uiPriority w:val="99"/>
    <w:unhideWhenUsed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DefaultParagraphFont"/>
    <w:rsid w:val="00254147"/>
  </w:style>
  <w:style w:type="character" w:customStyle="1" w:styleId="pubyear">
    <w:name w:val="pubyear"/>
    <w:basedOn w:val="DefaultParagraphFont"/>
    <w:rsid w:val="00254147"/>
  </w:style>
  <w:style w:type="character" w:customStyle="1" w:styleId="articletitle">
    <w:name w:val="articletitle"/>
    <w:basedOn w:val="DefaultParagraphFont"/>
    <w:rsid w:val="00254147"/>
  </w:style>
  <w:style w:type="character" w:customStyle="1" w:styleId="vol">
    <w:name w:val="vol"/>
    <w:basedOn w:val="DefaultParagraphFont"/>
    <w:rsid w:val="00254147"/>
  </w:style>
  <w:style w:type="character" w:customStyle="1" w:styleId="citedissue">
    <w:name w:val="citedissue"/>
    <w:basedOn w:val="DefaultParagraphFont"/>
    <w:rsid w:val="00254147"/>
  </w:style>
  <w:style w:type="character" w:customStyle="1" w:styleId="pagefirst">
    <w:name w:val="pagefirst"/>
    <w:basedOn w:val="DefaultParagraphFont"/>
    <w:rsid w:val="00254147"/>
  </w:style>
  <w:style w:type="character" w:customStyle="1" w:styleId="pagelast">
    <w:name w:val="pagelast"/>
    <w:basedOn w:val="DefaultParagraphFont"/>
    <w:rsid w:val="00254147"/>
  </w:style>
  <w:style w:type="character" w:customStyle="1" w:styleId="hlfld-contribauthor">
    <w:name w:val="hlfld-contribauthor"/>
    <w:basedOn w:val="DefaultParagraphFont"/>
    <w:rsid w:val="00527073"/>
  </w:style>
  <w:style w:type="character" w:customStyle="1" w:styleId="journalname">
    <w:name w:val="journalname"/>
    <w:basedOn w:val="DefaultParagraphFont"/>
    <w:rsid w:val="00527073"/>
  </w:style>
  <w:style w:type="character" w:customStyle="1" w:styleId="year">
    <w:name w:val="year"/>
    <w:basedOn w:val="DefaultParagraphFont"/>
    <w:rsid w:val="00527073"/>
  </w:style>
  <w:style w:type="character" w:customStyle="1" w:styleId="volume">
    <w:name w:val="volume"/>
    <w:basedOn w:val="DefaultParagraphFont"/>
    <w:rsid w:val="00527073"/>
  </w:style>
  <w:style w:type="character" w:customStyle="1" w:styleId="issue">
    <w:name w:val="issue"/>
    <w:basedOn w:val="DefaultParagraphFont"/>
    <w:rsid w:val="00527073"/>
  </w:style>
  <w:style w:type="character" w:customStyle="1" w:styleId="page">
    <w:name w:val="page"/>
    <w:basedOn w:val="DefaultParagraphFont"/>
    <w:rsid w:val="005270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5DC"/>
    <w:pPr>
      <w:spacing w:after="0" w:line="480" w:lineRule="auto"/>
      <w:ind w:firstLine="720"/>
    </w:pPr>
    <w:rPr>
      <w:rFonts w:ascii="Arial" w:eastAsiaTheme="minorEastAsia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5D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55DC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55DC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5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5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5D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5D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5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5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5D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455D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5D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5DC"/>
    <w:rPr>
      <w:rFonts w:asciiTheme="majorHAnsi" w:eastAsiaTheme="majorEastAsia" w:hAnsiTheme="majorHAnsi" w:cstheme="majorBidi"/>
      <w:caps/>
      <w:color w:val="2F5496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5DC"/>
    <w:rPr>
      <w:rFonts w:asciiTheme="majorHAnsi" w:eastAsiaTheme="majorEastAsia" w:hAnsiTheme="majorHAnsi" w:cstheme="majorBidi"/>
      <w:i/>
      <w:iCs/>
      <w:caps/>
      <w:color w:val="1F3864" w:themeColor="accent1" w:themeShade="8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5DC"/>
    <w:rPr>
      <w:rFonts w:asciiTheme="majorHAnsi" w:eastAsiaTheme="majorEastAsia" w:hAnsiTheme="majorHAnsi" w:cstheme="majorBidi"/>
      <w:b/>
      <w:bCs/>
      <w:color w:val="1F3864" w:themeColor="accent1" w:themeShade="8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5DC"/>
    <w:rPr>
      <w:rFonts w:asciiTheme="majorHAnsi" w:eastAsiaTheme="majorEastAsia" w:hAnsiTheme="majorHAnsi" w:cstheme="majorBidi"/>
      <w:b/>
      <w:bCs/>
      <w:i/>
      <w:iCs/>
      <w:color w:val="1F3864" w:themeColor="accent1" w:themeShade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5DC"/>
    <w:rPr>
      <w:rFonts w:asciiTheme="majorHAnsi" w:eastAsiaTheme="majorEastAsia" w:hAnsiTheme="majorHAnsi" w:cstheme="majorBidi"/>
      <w:i/>
      <w:iCs/>
      <w:color w:val="1F3864" w:themeColor="accent1" w:themeShade="80"/>
      <w:sz w:val="20"/>
      <w:szCs w:val="20"/>
    </w:rPr>
  </w:style>
  <w:style w:type="paragraph" w:styleId="ListParagraph">
    <w:name w:val="List Paragraph"/>
    <w:basedOn w:val="Normal"/>
    <w:uiPriority w:val="34"/>
    <w:qFormat/>
    <w:rsid w:val="009455D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9455DC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9455DC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9455D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9455DC"/>
    <w:rPr>
      <w:rFonts w:ascii="Arial" w:eastAsiaTheme="minorEastAsia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5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5DC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16"/>
      <w:szCs w:val="16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55DC"/>
    <w:rPr>
      <w:rFonts w:ascii="Calibri" w:eastAsia="Calibri" w:hAnsi="Calibri" w:cs="Calibri"/>
      <w:sz w:val="16"/>
      <w:szCs w:val="16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5D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5DC"/>
    <w:rPr>
      <w:rFonts w:ascii="Arial" w:eastAsiaTheme="minorEastAsia" w:hAnsi="Arial" w:cs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455DC"/>
    <w:rPr>
      <w:i/>
      <w:iCs/>
    </w:rPr>
  </w:style>
  <w:style w:type="paragraph" w:styleId="Revision">
    <w:name w:val="Revision"/>
    <w:hidden/>
    <w:uiPriority w:val="99"/>
    <w:semiHidden/>
    <w:rsid w:val="009455DC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55DC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55DC"/>
    <w:rPr>
      <w:rFonts w:ascii="Arial" w:eastAsiaTheme="minorEastAsia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455DC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455DC"/>
    <w:pPr>
      <w:jc w:val="center"/>
    </w:pPr>
    <w:rPr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55DC"/>
    <w:rPr>
      <w:rFonts w:ascii="Arial" w:eastAsiaTheme="minorEastAsia" w:hAnsi="Arial" w:cs="Arial"/>
      <w:noProof/>
      <w:szCs w:val="20"/>
    </w:rPr>
  </w:style>
  <w:style w:type="paragraph" w:customStyle="1" w:styleId="EndNoteBibliography">
    <w:name w:val="EndNote Bibliography"/>
    <w:basedOn w:val="Normal"/>
    <w:link w:val="EndNoteBibliographyChar"/>
    <w:rsid w:val="009455DC"/>
    <w:pPr>
      <w:spacing w:line="240" w:lineRule="auto"/>
    </w:pPr>
    <w:rPr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455DC"/>
    <w:rPr>
      <w:rFonts w:ascii="Arial" w:eastAsiaTheme="minorEastAsia" w:hAnsi="Arial" w:cs="Arial"/>
      <w:noProof/>
      <w:szCs w:val="20"/>
    </w:rPr>
  </w:style>
  <w:style w:type="paragraph" w:customStyle="1" w:styleId="MDPI71References">
    <w:name w:val="MDPI_7.1_References"/>
    <w:rsid w:val="009455DC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character" w:customStyle="1" w:styleId="ref-journal">
    <w:name w:val="ref-journal"/>
    <w:basedOn w:val="DefaultParagraphFont"/>
    <w:rsid w:val="009455DC"/>
  </w:style>
  <w:style w:type="character" w:customStyle="1" w:styleId="ref-vol">
    <w:name w:val="ref-vol"/>
    <w:basedOn w:val="DefaultParagraphFont"/>
    <w:rsid w:val="009455DC"/>
  </w:style>
  <w:style w:type="character" w:customStyle="1" w:styleId="nowrap">
    <w:name w:val="nowrap"/>
    <w:basedOn w:val="DefaultParagraphFont"/>
    <w:rsid w:val="009455DC"/>
  </w:style>
  <w:style w:type="character" w:customStyle="1" w:styleId="docurl">
    <w:name w:val="docurl"/>
    <w:basedOn w:val="DefaultParagraphFont"/>
    <w:rsid w:val="009455DC"/>
  </w:style>
  <w:style w:type="character" w:styleId="FollowedHyperlink">
    <w:name w:val="FollowedHyperlink"/>
    <w:basedOn w:val="DefaultParagraphFont"/>
    <w:uiPriority w:val="99"/>
    <w:semiHidden/>
    <w:unhideWhenUsed/>
    <w:rsid w:val="009455DC"/>
    <w:rPr>
      <w:color w:val="954F72" w:themeColor="followedHyperlink"/>
      <w:u w:val="single"/>
    </w:rPr>
  </w:style>
  <w:style w:type="character" w:customStyle="1" w:styleId="Subtitle1">
    <w:name w:val="Subtitle1"/>
    <w:basedOn w:val="DefaultParagraphFont"/>
    <w:rsid w:val="009455DC"/>
  </w:style>
  <w:style w:type="character" w:customStyle="1" w:styleId="colon-for-citation-subtitle">
    <w:name w:val="colon-for-citation-subtitle"/>
    <w:basedOn w:val="DefaultParagraphFont"/>
    <w:rsid w:val="009455DC"/>
  </w:style>
  <w:style w:type="paragraph" w:styleId="Bibliography">
    <w:name w:val="Bibliography"/>
    <w:basedOn w:val="Normal"/>
    <w:next w:val="Normal"/>
    <w:uiPriority w:val="37"/>
    <w:unhideWhenUsed/>
    <w:rsid w:val="009455DC"/>
  </w:style>
  <w:style w:type="paragraph" w:styleId="Caption">
    <w:name w:val="caption"/>
    <w:basedOn w:val="Normal"/>
    <w:next w:val="Normal"/>
    <w:uiPriority w:val="35"/>
    <w:semiHidden/>
    <w:unhideWhenUsed/>
    <w:qFormat/>
    <w:rsid w:val="009455D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455DC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455D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5DC"/>
    <w:pPr>
      <w:numPr>
        <w:ilvl w:val="1"/>
      </w:numPr>
      <w:spacing w:after="240" w:line="240" w:lineRule="auto"/>
      <w:ind w:firstLine="72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5D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455DC"/>
    <w:rPr>
      <w:b/>
      <w:bCs/>
    </w:rPr>
  </w:style>
  <w:style w:type="paragraph" w:styleId="NoSpacing">
    <w:name w:val="No Spacing"/>
    <w:uiPriority w:val="1"/>
    <w:qFormat/>
    <w:rsid w:val="009455DC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9455D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55DC"/>
    <w:rPr>
      <w:rFonts w:ascii="Arial" w:eastAsiaTheme="minorEastAsia" w:hAnsi="Arial" w:cs="Arial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5D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5D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455D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455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455D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455D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455D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55DC"/>
    <w:pPr>
      <w:outlineLvl w:val="9"/>
    </w:pPr>
  </w:style>
  <w:style w:type="character" w:customStyle="1" w:styleId="Subtitle2">
    <w:name w:val="Subtitle2"/>
    <w:basedOn w:val="DefaultParagraphFont"/>
    <w:rsid w:val="009455DC"/>
  </w:style>
  <w:style w:type="paragraph" w:customStyle="1" w:styleId="ReferenceText">
    <w:name w:val="Reference Text"/>
    <w:basedOn w:val="Normal"/>
    <w:qFormat/>
    <w:rsid w:val="009455DC"/>
    <w:pPr>
      <w:spacing w:before="120" w:after="120"/>
      <w:ind w:left="1440" w:hanging="1440"/>
    </w:pPr>
    <w:rPr>
      <w:rFonts w:eastAsiaTheme="minorHAnsi"/>
    </w:rPr>
  </w:style>
  <w:style w:type="paragraph" w:customStyle="1" w:styleId="NumberListReadings">
    <w:name w:val="NumberListReadings"/>
    <w:basedOn w:val="Normal"/>
    <w:rsid w:val="009455DC"/>
    <w:pPr>
      <w:spacing w:after="120" w:line="240" w:lineRule="auto"/>
    </w:pPr>
    <w:rPr>
      <w:rFonts w:ascii="Times New Roman" w:eastAsia="Times New Roman" w:hAnsi="Times New Roman" w:cs="Times New Roman"/>
    </w:rPr>
  </w:style>
  <w:style w:type="paragraph" w:customStyle="1" w:styleId="DataField11pt-Single">
    <w:name w:val="Data Field 11pt-Single"/>
    <w:basedOn w:val="Normal"/>
    <w:rsid w:val="009455DC"/>
    <w:pPr>
      <w:autoSpaceDE w:val="0"/>
      <w:autoSpaceDN w:val="0"/>
      <w:spacing w:line="240" w:lineRule="auto"/>
    </w:pPr>
    <w:rPr>
      <w:rFonts w:eastAsia="Times New Roman"/>
    </w:rPr>
  </w:style>
  <w:style w:type="table" w:customStyle="1" w:styleId="TableGrid2">
    <w:name w:val="Table Grid2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9455D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normaltextrun">
    <w:name w:val="normaltextrun"/>
    <w:basedOn w:val="DefaultParagraphFont"/>
    <w:rsid w:val="009455DC"/>
  </w:style>
  <w:style w:type="paragraph" w:customStyle="1" w:styleId="paragraph">
    <w:name w:val="paragraph"/>
    <w:basedOn w:val="Normal"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kciteavail">
    <w:name w:val="bk_cite_avail"/>
    <w:basedOn w:val="DefaultParagraphFont"/>
    <w:rsid w:val="009455DC"/>
  </w:style>
  <w:style w:type="character" w:customStyle="1" w:styleId="highwire-citation-authors">
    <w:name w:val="highwire-citation-authors"/>
    <w:basedOn w:val="DefaultParagraphFont"/>
    <w:rsid w:val="009455DC"/>
  </w:style>
  <w:style w:type="character" w:customStyle="1" w:styleId="highwire-citation-author">
    <w:name w:val="highwire-citation-author"/>
    <w:basedOn w:val="DefaultParagraphFont"/>
    <w:rsid w:val="009455DC"/>
  </w:style>
  <w:style w:type="character" w:customStyle="1" w:styleId="nlm-surname">
    <w:name w:val="nlm-surname"/>
    <w:basedOn w:val="DefaultParagraphFont"/>
    <w:rsid w:val="009455DC"/>
  </w:style>
  <w:style w:type="character" w:customStyle="1" w:styleId="citation-et">
    <w:name w:val="citation-et"/>
    <w:basedOn w:val="DefaultParagraphFont"/>
    <w:rsid w:val="009455DC"/>
  </w:style>
  <w:style w:type="character" w:customStyle="1" w:styleId="highwire-cite-metadata-journal">
    <w:name w:val="highwire-cite-metadata-journal"/>
    <w:basedOn w:val="DefaultParagraphFont"/>
    <w:rsid w:val="009455DC"/>
  </w:style>
  <w:style w:type="character" w:customStyle="1" w:styleId="highwire-cite-metadata-year">
    <w:name w:val="highwire-cite-metadata-year"/>
    <w:basedOn w:val="DefaultParagraphFont"/>
    <w:rsid w:val="009455DC"/>
  </w:style>
  <w:style w:type="character" w:customStyle="1" w:styleId="highwire-cite-metadata-volume">
    <w:name w:val="highwire-cite-metadata-volume"/>
    <w:basedOn w:val="DefaultParagraphFont"/>
    <w:rsid w:val="009455DC"/>
  </w:style>
  <w:style w:type="character" w:customStyle="1" w:styleId="highwire-cite-metadata-elocation-id">
    <w:name w:val="highwire-cite-metadata-elocation-id"/>
    <w:basedOn w:val="DefaultParagraphFont"/>
    <w:rsid w:val="009455DC"/>
  </w:style>
  <w:style w:type="character" w:customStyle="1" w:styleId="highwire-cite-metadata-doi">
    <w:name w:val="highwire-cite-metadata-doi"/>
    <w:basedOn w:val="DefaultParagraphFont"/>
    <w:rsid w:val="009455DC"/>
  </w:style>
  <w:style w:type="character" w:customStyle="1" w:styleId="label">
    <w:name w:val="label"/>
    <w:basedOn w:val="DefaultParagraphFont"/>
    <w:rsid w:val="009455DC"/>
  </w:style>
  <w:style w:type="paragraph" w:styleId="NormalWeb">
    <w:name w:val="Normal (Web)"/>
    <w:basedOn w:val="Normal"/>
    <w:uiPriority w:val="99"/>
    <w:unhideWhenUsed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DefaultParagraphFont"/>
    <w:rsid w:val="00254147"/>
  </w:style>
  <w:style w:type="character" w:customStyle="1" w:styleId="pubyear">
    <w:name w:val="pubyear"/>
    <w:basedOn w:val="DefaultParagraphFont"/>
    <w:rsid w:val="00254147"/>
  </w:style>
  <w:style w:type="character" w:customStyle="1" w:styleId="articletitle">
    <w:name w:val="articletitle"/>
    <w:basedOn w:val="DefaultParagraphFont"/>
    <w:rsid w:val="00254147"/>
  </w:style>
  <w:style w:type="character" w:customStyle="1" w:styleId="vol">
    <w:name w:val="vol"/>
    <w:basedOn w:val="DefaultParagraphFont"/>
    <w:rsid w:val="00254147"/>
  </w:style>
  <w:style w:type="character" w:customStyle="1" w:styleId="citedissue">
    <w:name w:val="citedissue"/>
    <w:basedOn w:val="DefaultParagraphFont"/>
    <w:rsid w:val="00254147"/>
  </w:style>
  <w:style w:type="character" w:customStyle="1" w:styleId="pagefirst">
    <w:name w:val="pagefirst"/>
    <w:basedOn w:val="DefaultParagraphFont"/>
    <w:rsid w:val="00254147"/>
  </w:style>
  <w:style w:type="character" w:customStyle="1" w:styleId="pagelast">
    <w:name w:val="pagelast"/>
    <w:basedOn w:val="DefaultParagraphFont"/>
    <w:rsid w:val="00254147"/>
  </w:style>
  <w:style w:type="character" w:customStyle="1" w:styleId="hlfld-contribauthor">
    <w:name w:val="hlfld-contribauthor"/>
    <w:basedOn w:val="DefaultParagraphFont"/>
    <w:rsid w:val="00527073"/>
  </w:style>
  <w:style w:type="character" w:customStyle="1" w:styleId="journalname">
    <w:name w:val="journalname"/>
    <w:basedOn w:val="DefaultParagraphFont"/>
    <w:rsid w:val="00527073"/>
  </w:style>
  <w:style w:type="character" w:customStyle="1" w:styleId="year">
    <w:name w:val="year"/>
    <w:basedOn w:val="DefaultParagraphFont"/>
    <w:rsid w:val="00527073"/>
  </w:style>
  <w:style w:type="character" w:customStyle="1" w:styleId="volume">
    <w:name w:val="volume"/>
    <w:basedOn w:val="DefaultParagraphFont"/>
    <w:rsid w:val="00527073"/>
  </w:style>
  <w:style w:type="character" w:customStyle="1" w:styleId="issue">
    <w:name w:val="issue"/>
    <w:basedOn w:val="DefaultParagraphFont"/>
    <w:rsid w:val="00527073"/>
  </w:style>
  <w:style w:type="character" w:customStyle="1" w:styleId="page">
    <w:name w:val="page"/>
    <w:basedOn w:val="DefaultParagraphFont"/>
    <w:rsid w:val="00527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160B3-A203-49A9-92CF-9BF7E5F60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Rubenstein</dc:creator>
  <cp:lastModifiedBy>E754049</cp:lastModifiedBy>
  <cp:revision>2</cp:revision>
  <cp:lastPrinted>2023-04-22T15:05:00Z</cp:lastPrinted>
  <dcterms:created xsi:type="dcterms:W3CDTF">2023-07-12T02:08:00Z</dcterms:created>
  <dcterms:modified xsi:type="dcterms:W3CDTF">2023-07-12T02:08:00Z</dcterms:modified>
</cp:coreProperties>
</file>