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DC" w:rsidRPr="00FD3E0C" w:rsidRDefault="000504DC" w:rsidP="000504DC">
      <w:pPr>
        <w:spacing w:line="360" w:lineRule="auto"/>
        <w:rPr>
          <w:rFonts w:ascii="Calibri" w:eastAsia="Calibri" w:hAnsi="Calibri" w:cs="Calibri"/>
          <w:b/>
          <w:color w:val="000000" w:themeColor="text1"/>
          <w:lang w:val="en-GB"/>
        </w:rPr>
      </w:pPr>
      <w:r w:rsidRPr="00FD3E0C">
        <w:rPr>
          <w:rFonts w:ascii="Calibri" w:eastAsia="Calibri" w:hAnsi="Calibri" w:cs="Calibri"/>
          <w:b/>
          <w:color w:val="000000" w:themeColor="text1"/>
          <w:lang w:val="en-GB"/>
        </w:rPr>
        <w:t xml:space="preserve">Supplementary 2: Subgroup comparison for class 2 and 5.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851"/>
        <w:gridCol w:w="1105"/>
        <w:gridCol w:w="1012"/>
        <w:gridCol w:w="1941"/>
        <w:gridCol w:w="1105"/>
        <w:gridCol w:w="1012"/>
      </w:tblGrid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Class number and name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 xml:space="preserve">2: High use GP 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Without hospital use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With hospital use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5: GP, hospital and physiotherapy, high use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Without hospital use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With hospital use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Total health care cost (Euro)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268 (337)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171 (167)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459 (663)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838 (1537)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532 (459)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1917 (4120)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Age (mean (SD))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45.6 (16.3)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44.9 (16.5)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46.5 (16.0)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53.0 (17.8)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53.4 (18.0)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52.6 (17.6)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Gender (female)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45.4%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47.7%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42.7%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55.5%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60.8%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50.5%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Large/high income municipality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86.3%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88.2%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84.0%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84.8%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87.4%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82.3%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Income below 400 000 NOK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62.2%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63.2%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61.0%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52.8%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53.9%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51.8%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Education, 13 years or less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69.8%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69.9%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69.6%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55.5%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54.5%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56.4%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Employed/self-employed*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82.5%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83.6%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81.1%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81.5%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79.0%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83.7%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ICPC comorbidity index, 2 or more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4.7%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4.9%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5.8%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6.1%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5.6%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Immigrant background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47.4%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50.3%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54.0%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24.1%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23.5%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24.8%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Days with sick leave first year (median (IQR))**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79 (197)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72 (179)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88.5 (218.5)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0 (83)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0 (43)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20 (119)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Proportion with any sick leave first year**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74.5%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74%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75%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48.1%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36.1%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58.7%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Proportion on permanent disability pension before index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6.5%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6.0%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7.1%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10.4%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11.6%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9.3%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High-cost user year 1-5 (Above 95</w:t>
            </w: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val="en-GB"/>
              </w:rPr>
              <w:t>th</w:t>
            </w: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 xml:space="preserve"> percentile)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11.8%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5.0%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20.1%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28.7%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11.3%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46.0%</w:t>
            </w:r>
          </w:p>
        </w:tc>
      </w:tr>
      <w:tr w:rsidR="000504DC" w:rsidTr="00F54075"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No MSD-related health care costs year 2-5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11.0%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12.6%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9.0%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10.6%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11.0%</w:t>
            </w:r>
          </w:p>
        </w:tc>
        <w:tc>
          <w:tcPr>
            <w:tcW w:w="0" w:type="auto"/>
          </w:tcPr>
          <w:p w:rsidR="000504DC" w:rsidRPr="00FD3E0C" w:rsidRDefault="000504DC" w:rsidP="00F54075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FD3E0C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10.1%</w:t>
            </w:r>
          </w:p>
        </w:tc>
      </w:tr>
    </w:tbl>
    <w:p w:rsidR="000504DC" w:rsidRDefault="000504DC" w:rsidP="000504DC">
      <w:pPr>
        <w:spacing w:line="360" w:lineRule="auto"/>
        <w:rPr>
          <w:rFonts w:ascii="Calibri" w:eastAsia="Calibri" w:hAnsi="Calibri" w:cs="Calibri"/>
          <w:color w:val="000000" w:themeColor="text1"/>
          <w:lang w:val="en-GB"/>
        </w:rPr>
      </w:pPr>
    </w:p>
    <w:p w:rsidR="000504DC" w:rsidRPr="00961499" w:rsidRDefault="00667C42" w:rsidP="000504DC">
      <w:pPr>
        <w:spacing w:line="360" w:lineRule="auto"/>
        <w:rPr>
          <w:rFonts w:ascii="Calibri" w:hAnsi="Calibri" w:cs="Calibri"/>
          <w:color w:val="000000"/>
          <w:shd w:val="clear" w:color="auto" w:fill="FFFFFF"/>
          <w:lang w:val="en-GB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GB"/>
        </w:rPr>
        <w:t>Supplementary f</w:t>
      </w:r>
      <w:r w:rsidR="00961499">
        <w:rPr>
          <w:rStyle w:val="normaltextrun"/>
          <w:rFonts w:ascii="Calibri" w:hAnsi="Calibri" w:cs="Calibri"/>
          <w:color w:val="000000"/>
          <w:shd w:val="clear" w:color="auto" w:fill="FFFFFF"/>
          <w:lang w:val="en-GB"/>
        </w:rPr>
        <w:t>igure: Subgroup comparison of diagnosis prevalence for class 2 and 5. Diagnosis do not add up to exactly 100% as some patients have more than one index diagnosis. </w:t>
      </w:r>
      <w:r w:rsidR="00961499" w:rsidRPr="00961499">
        <w:rPr>
          <w:rStyle w:val="eop"/>
          <w:rFonts w:ascii="Calibri" w:hAnsi="Calibri" w:cs="Calibri"/>
          <w:color w:val="000000"/>
          <w:shd w:val="clear" w:color="auto" w:fill="FFFFFF"/>
          <w:lang w:val="en-GB"/>
        </w:rPr>
        <w:t> </w:t>
      </w:r>
    </w:p>
    <w:p w:rsidR="000504DC" w:rsidRDefault="00A91018" w:rsidP="000504DC">
      <w:pPr>
        <w:spacing w:line="360" w:lineRule="auto"/>
        <w:rPr>
          <w:rFonts w:ascii="Calibri" w:eastAsia="Calibri" w:hAnsi="Calibri" w:cs="Calibri"/>
          <w:color w:val="000000" w:themeColor="text1"/>
          <w:lang w:val="en-GB"/>
        </w:rPr>
      </w:pPr>
      <w:bookmarkStart w:id="0" w:name="_GoBack"/>
      <w:bookmarkEnd w:id="0"/>
      <w:r>
        <w:rPr>
          <w:rFonts w:ascii="Calibri" w:eastAsia="Calibri" w:hAnsi="Calibri" w:cs="Calibri"/>
          <w:noProof/>
          <w:color w:val="000000" w:themeColor="text1"/>
          <w:lang w:val="en-PH" w:eastAsia="en-PH"/>
        </w:rPr>
        <w:lastRenderedPageBreak/>
        <w:drawing>
          <wp:inline distT="0" distB="0" distL="0" distR="0">
            <wp:extent cx="5760720" cy="37757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13_2023_9852_MOESM5_ESM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4DC" w:rsidRDefault="000504DC" w:rsidP="000504DC">
      <w:pPr>
        <w:spacing w:line="360" w:lineRule="auto"/>
        <w:rPr>
          <w:rFonts w:ascii="Calibri" w:eastAsia="Calibri" w:hAnsi="Calibri" w:cs="Calibri"/>
          <w:color w:val="000000" w:themeColor="text1"/>
          <w:lang w:val="en-GB"/>
        </w:rPr>
      </w:pPr>
    </w:p>
    <w:p w:rsidR="000504DC" w:rsidRDefault="000504DC" w:rsidP="000504DC">
      <w:pPr>
        <w:spacing w:line="360" w:lineRule="auto"/>
        <w:rPr>
          <w:rFonts w:ascii="Calibri" w:eastAsia="Calibri" w:hAnsi="Calibri" w:cs="Calibri"/>
          <w:color w:val="000000" w:themeColor="text1"/>
          <w:lang w:val="en-GB"/>
        </w:rPr>
      </w:pPr>
    </w:p>
    <w:p w:rsidR="000326F9" w:rsidRPr="00961499" w:rsidRDefault="00A91018">
      <w:pPr>
        <w:rPr>
          <w:lang w:val="en-GB"/>
        </w:rPr>
      </w:pPr>
    </w:p>
    <w:sectPr w:rsidR="000326F9" w:rsidRPr="00961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DC"/>
    <w:rsid w:val="000504DC"/>
    <w:rsid w:val="002E5C1D"/>
    <w:rsid w:val="00667C42"/>
    <w:rsid w:val="00961499"/>
    <w:rsid w:val="00972672"/>
    <w:rsid w:val="00A91018"/>
    <w:rsid w:val="00F7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4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04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961499"/>
  </w:style>
  <w:style w:type="character" w:customStyle="1" w:styleId="eop">
    <w:name w:val="eop"/>
    <w:basedOn w:val="DefaultParagraphFont"/>
    <w:rsid w:val="00961499"/>
  </w:style>
  <w:style w:type="paragraph" w:styleId="BalloonText">
    <w:name w:val="Balloon Text"/>
    <w:basedOn w:val="Normal"/>
    <w:link w:val="BalloonTextChar"/>
    <w:uiPriority w:val="99"/>
    <w:semiHidden/>
    <w:unhideWhenUsed/>
    <w:rsid w:val="00A9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0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4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04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961499"/>
  </w:style>
  <w:style w:type="character" w:customStyle="1" w:styleId="eop">
    <w:name w:val="eop"/>
    <w:basedOn w:val="DefaultParagraphFont"/>
    <w:rsid w:val="00961499"/>
  </w:style>
  <w:style w:type="paragraph" w:styleId="BalloonText">
    <w:name w:val="Balloon Text"/>
    <w:basedOn w:val="Normal"/>
    <w:link w:val="BalloonTextChar"/>
    <w:uiPriority w:val="99"/>
    <w:semiHidden/>
    <w:unhideWhenUsed/>
    <w:rsid w:val="00A9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0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Olav Amundsen</dc:creator>
  <cp:keywords/>
  <dc:description/>
  <cp:lastModifiedBy>Jan Michael Laput</cp:lastModifiedBy>
  <cp:revision>5</cp:revision>
  <dcterms:created xsi:type="dcterms:W3CDTF">2023-05-03T09:58:00Z</dcterms:created>
  <dcterms:modified xsi:type="dcterms:W3CDTF">2023-08-12T03:46:00Z</dcterms:modified>
</cp:coreProperties>
</file>