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39E90" w14:textId="1CB031BA" w:rsidR="00634199" w:rsidRPr="002821A1" w:rsidRDefault="00000000" w:rsidP="000D0782">
      <w:pPr>
        <w:pStyle w:val="Heading1"/>
        <w:numPr>
          <w:ilvl w:val="0"/>
          <w:numId w:val="0"/>
        </w:numPr>
        <w:ind w:left="720"/>
      </w:pPr>
      <w:bookmarkStart w:id="0" w:name="_heading=h.30j0zll" w:colFirst="0" w:colLast="0"/>
      <w:bookmarkEnd w:id="0"/>
      <w:r w:rsidRPr="002821A1">
        <w:t>Additional File 1: Codebook employed throughout the thematic analysis</w:t>
      </w:r>
      <w:r w:rsidRPr="002821A1">
        <w:br/>
      </w:r>
    </w:p>
    <w:tbl>
      <w:tblPr>
        <w:tblStyle w:val="a1"/>
        <w:tblW w:w="13958" w:type="dxa"/>
        <w:tblBorders>
          <w:top w:val="nil"/>
          <w:left w:val="nil"/>
          <w:bottom w:val="single" w:sz="8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469"/>
        <w:gridCol w:w="5108"/>
        <w:gridCol w:w="7381"/>
      </w:tblGrid>
      <w:tr w:rsidR="00634199" w:rsidRPr="002821A1" w14:paraId="737EFFBE" w14:textId="77777777">
        <w:trPr>
          <w:trHeight w:val="224"/>
          <w:tblHeader/>
        </w:trPr>
        <w:tc>
          <w:tcPr>
            <w:tcW w:w="13958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246DC53" w14:textId="77777777" w:rsidR="00634199" w:rsidRPr="002821A1" w:rsidRDefault="00000000">
            <w:pPr>
              <w:spacing w:after="240"/>
              <w:rPr>
                <w:rFonts w:ascii="Garamond" w:eastAsia="Garamond" w:hAnsi="Garamond" w:cs="Garamond"/>
                <w:b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b/>
                <w:sz w:val="20"/>
                <w:szCs w:val="20"/>
              </w:rPr>
              <w:t xml:space="preserve">Table A1: </w:t>
            </w: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>Codebook employed in the thematic coding process.</w:t>
            </w:r>
          </w:p>
        </w:tc>
      </w:tr>
      <w:tr w:rsidR="00634199" w:rsidRPr="002821A1" w14:paraId="39F21075" w14:textId="77777777">
        <w:trPr>
          <w:trHeight w:val="224"/>
          <w:tblHeader/>
        </w:trPr>
        <w:tc>
          <w:tcPr>
            <w:tcW w:w="1469" w:type="dxa"/>
            <w:tcBorders>
              <w:top w:val="single" w:sz="8" w:space="0" w:color="000000"/>
              <w:bottom w:val="single" w:sz="8" w:space="0" w:color="000000"/>
            </w:tcBorders>
          </w:tcPr>
          <w:p w14:paraId="6A260094" w14:textId="77777777" w:rsidR="00634199" w:rsidRPr="002821A1" w:rsidRDefault="00000000">
            <w:pPr>
              <w:rPr>
                <w:rFonts w:ascii="Garamond" w:eastAsia="Garamond" w:hAnsi="Garamond" w:cs="Garamond"/>
                <w:b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b/>
                <w:color w:val="000000"/>
                <w:sz w:val="20"/>
                <w:szCs w:val="20"/>
              </w:rPr>
              <w:t xml:space="preserve">• </w:t>
            </w:r>
            <w:r w:rsidRPr="002821A1">
              <w:rPr>
                <w:rFonts w:ascii="Garamond" w:eastAsia="Garamond" w:hAnsi="Garamond" w:cs="Garamond"/>
                <w:b/>
                <w:sz w:val="20"/>
                <w:szCs w:val="20"/>
              </w:rPr>
              <w:t xml:space="preserve">Code </w:t>
            </w:r>
          </w:p>
        </w:tc>
        <w:tc>
          <w:tcPr>
            <w:tcW w:w="5108" w:type="dxa"/>
            <w:tcBorders>
              <w:top w:val="single" w:sz="8" w:space="0" w:color="000000"/>
              <w:bottom w:val="single" w:sz="8" w:space="0" w:color="000000"/>
            </w:tcBorders>
          </w:tcPr>
          <w:p w14:paraId="4EF11564" w14:textId="77777777" w:rsidR="00634199" w:rsidRPr="002821A1" w:rsidRDefault="00000000">
            <w:pPr>
              <w:rPr>
                <w:rFonts w:ascii="Garamond" w:eastAsia="Garamond" w:hAnsi="Garamond" w:cs="Garamond"/>
                <w:b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b/>
                <w:color w:val="000000"/>
                <w:sz w:val="20"/>
                <w:szCs w:val="20"/>
              </w:rPr>
              <w:t xml:space="preserve">• </w:t>
            </w:r>
            <w:r w:rsidRPr="002821A1">
              <w:rPr>
                <w:rFonts w:ascii="Garamond" w:eastAsia="Garamond" w:hAnsi="Garamond" w:cs="Garamond"/>
                <w:b/>
                <w:sz w:val="20"/>
                <w:szCs w:val="20"/>
              </w:rPr>
              <w:t>Definition</w:t>
            </w:r>
          </w:p>
        </w:tc>
        <w:tc>
          <w:tcPr>
            <w:tcW w:w="7381" w:type="dxa"/>
            <w:tcBorders>
              <w:top w:val="single" w:sz="8" w:space="0" w:color="000000"/>
              <w:bottom w:val="single" w:sz="8" w:space="0" w:color="000000"/>
            </w:tcBorders>
          </w:tcPr>
          <w:p w14:paraId="11CE7F30" w14:textId="77777777" w:rsidR="00634199" w:rsidRPr="002821A1" w:rsidRDefault="00000000">
            <w:pPr>
              <w:tabs>
                <w:tab w:val="left" w:pos="2560"/>
              </w:tabs>
              <w:rPr>
                <w:rFonts w:ascii="Garamond" w:eastAsia="Garamond" w:hAnsi="Garamond" w:cs="Garamond"/>
                <w:b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b/>
                <w:color w:val="000000"/>
                <w:sz w:val="20"/>
                <w:szCs w:val="20"/>
              </w:rPr>
              <w:t xml:space="preserve">• </w:t>
            </w:r>
            <w:r w:rsidRPr="002821A1">
              <w:rPr>
                <w:rFonts w:ascii="Garamond" w:eastAsia="Garamond" w:hAnsi="Garamond" w:cs="Garamond"/>
                <w:b/>
                <w:sz w:val="20"/>
                <w:szCs w:val="20"/>
              </w:rPr>
              <w:t>Example</w:t>
            </w:r>
            <w:r w:rsidRPr="002821A1">
              <w:rPr>
                <w:rFonts w:ascii="Garamond" w:eastAsia="Garamond" w:hAnsi="Garamond" w:cs="Garamond"/>
                <w:b/>
                <w:sz w:val="20"/>
                <w:szCs w:val="20"/>
              </w:rPr>
              <w:tab/>
            </w:r>
          </w:p>
        </w:tc>
      </w:tr>
      <w:tr w:rsidR="00634199" w:rsidRPr="002821A1" w14:paraId="25FBD2CE" w14:textId="77777777">
        <w:trPr>
          <w:trHeight w:val="665"/>
        </w:trPr>
        <w:tc>
          <w:tcPr>
            <w:tcW w:w="1469" w:type="dxa"/>
            <w:tcBorders>
              <w:top w:val="single" w:sz="8" w:space="0" w:color="000000"/>
              <w:bottom w:val="single" w:sz="8" w:space="0" w:color="000000"/>
            </w:tcBorders>
          </w:tcPr>
          <w:p w14:paraId="166E1EF0" w14:textId="77777777" w:rsidR="00634199" w:rsidRPr="002821A1" w:rsidRDefault="00000000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>Change agent (n=173)</w:t>
            </w:r>
          </w:p>
        </w:tc>
        <w:tc>
          <w:tcPr>
            <w:tcW w:w="5108" w:type="dxa"/>
            <w:tcBorders>
              <w:top w:val="single" w:sz="8" w:space="0" w:color="000000"/>
              <w:bottom w:val="single" w:sz="8" w:space="0" w:color="000000"/>
            </w:tcBorders>
          </w:tcPr>
          <w:p w14:paraId="19A5AD23" w14:textId="77777777" w:rsidR="00634199" w:rsidRPr="002821A1" w:rsidRDefault="00000000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>Individuals that participated in the Lean in healthcare application process with varying knowledge of Lean, their different application/implementation approaches and associated effects</w:t>
            </w:r>
          </w:p>
        </w:tc>
        <w:tc>
          <w:tcPr>
            <w:tcW w:w="7381" w:type="dxa"/>
            <w:tcBorders>
              <w:top w:val="single" w:sz="8" w:space="0" w:color="000000"/>
              <w:bottom w:val="single" w:sz="8" w:space="0" w:color="000000"/>
            </w:tcBorders>
          </w:tcPr>
          <w:p w14:paraId="03EFEA4A" w14:textId="7D473702" w:rsidR="00634199" w:rsidRPr="002821A1" w:rsidRDefault="00000000">
            <w:pPr>
              <w:rPr>
                <w:rFonts w:ascii="Garamond" w:eastAsia="Garamond" w:hAnsi="Garamond" w:cs="Garamond"/>
                <w:i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i/>
                <w:sz w:val="20"/>
                <w:szCs w:val="20"/>
              </w:rPr>
              <w:t xml:space="preserve">‘Development of clinical “champions” and mid-level managers is a key element for successful, sustained Lean intervention.’ </w:t>
            </w: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>Naik et al. [1</w:t>
            </w:r>
            <w:r w:rsidR="002821A1" w:rsidRPr="002821A1">
              <w:rPr>
                <w:rFonts w:ascii="Garamond" w:eastAsia="Garamond" w:hAnsi="Garamond" w:cs="Garamond"/>
                <w:sz w:val="20"/>
                <w:szCs w:val="20"/>
              </w:rPr>
              <w:t>7</w:t>
            </w: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 xml:space="preserve"> p. 9c5]</w:t>
            </w:r>
          </w:p>
        </w:tc>
      </w:tr>
      <w:tr w:rsidR="00634199" w:rsidRPr="002821A1" w14:paraId="05A7838B" w14:textId="77777777">
        <w:trPr>
          <w:trHeight w:val="451"/>
        </w:trPr>
        <w:tc>
          <w:tcPr>
            <w:tcW w:w="1469" w:type="dxa"/>
            <w:tcBorders>
              <w:top w:val="single" w:sz="8" w:space="0" w:color="000000"/>
              <w:bottom w:val="single" w:sz="8" w:space="0" w:color="000000"/>
            </w:tcBorders>
          </w:tcPr>
          <w:p w14:paraId="48D2EBF9" w14:textId="77777777" w:rsidR="00634199" w:rsidRPr="002821A1" w:rsidRDefault="00000000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>Communication (n=35)</w:t>
            </w:r>
          </w:p>
        </w:tc>
        <w:tc>
          <w:tcPr>
            <w:tcW w:w="5108" w:type="dxa"/>
            <w:tcBorders>
              <w:top w:val="single" w:sz="8" w:space="0" w:color="000000"/>
              <w:bottom w:val="single" w:sz="8" w:space="0" w:color="000000"/>
            </w:tcBorders>
          </w:tcPr>
          <w:p w14:paraId="5EB37FB4" w14:textId="77777777" w:rsidR="00634199" w:rsidRPr="002821A1" w:rsidRDefault="00000000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>Types of verbal and non-verbal communication that affect or may affect the process of applying Lean to healthcare settings</w:t>
            </w:r>
          </w:p>
        </w:tc>
        <w:tc>
          <w:tcPr>
            <w:tcW w:w="7381" w:type="dxa"/>
            <w:tcBorders>
              <w:top w:val="single" w:sz="8" w:space="0" w:color="000000"/>
              <w:bottom w:val="single" w:sz="8" w:space="0" w:color="000000"/>
            </w:tcBorders>
          </w:tcPr>
          <w:p w14:paraId="27370AD6" w14:textId="323E4AEB" w:rsidR="00634199" w:rsidRPr="002821A1" w:rsidRDefault="00000000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i/>
                <w:sz w:val="20"/>
                <w:szCs w:val="20"/>
              </w:rPr>
              <w:t xml:space="preserve">‘Lack of adequate communication sometimes blocked effective implementation of steps recommended by [Rapid Improvement Event] teams.’ </w:t>
            </w: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>Harrison et al. [3</w:t>
            </w:r>
            <w:r w:rsidR="002821A1" w:rsidRPr="002821A1">
              <w:rPr>
                <w:rFonts w:ascii="Garamond" w:eastAsia="Garamond" w:hAnsi="Garamond" w:cs="Garamond"/>
                <w:sz w:val="20"/>
                <w:szCs w:val="20"/>
              </w:rPr>
              <w:t>6</w:t>
            </w: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 xml:space="preserve"> p. 139]</w:t>
            </w:r>
          </w:p>
        </w:tc>
      </w:tr>
      <w:tr w:rsidR="00634199" w:rsidRPr="002821A1" w14:paraId="39C5571A" w14:textId="77777777">
        <w:trPr>
          <w:trHeight w:val="676"/>
        </w:trPr>
        <w:tc>
          <w:tcPr>
            <w:tcW w:w="1469" w:type="dxa"/>
            <w:tcBorders>
              <w:top w:val="single" w:sz="8" w:space="0" w:color="000000"/>
              <w:bottom w:val="single" w:sz="8" w:space="0" w:color="000000"/>
            </w:tcBorders>
          </w:tcPr>
          <w:p w14:paraId="066E3022" w14:textId="77777777" w:rsidR="00634199" w:rsidRPr="002821A1" w:rsidRDefault="00000000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>Continuous</w:t>
            </w:r>
          </w:p>
          <w:p w14:paraId="4C394A83" w14:textId="77777777" w:rsidR="00634199" w:rsidRPr="002821A1" w:rsidRDefault="00000000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 xml:space="preserve">improvement </w:t>
            </w:r>
          </w:p>
          <w:p w14:paraId="4CEC6C57" w14:textId="77777777" w:rsidR="00634199" w:rsidRPr="002821A1" w:rsidRDefault="00000000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>(n=87)</w:t>
            </w:r>
          </w:p>
        </w:tc>
        <w:tc>
          <w:tcPr>
            <w:tcW w:w="5108" w:type="dxa"/>
            <w:tcBorders>
              <w:top w:val="single" w:sz="8" w:space="0" w:color="000000"/>
              <w:bottom w:val="single" w:sz="8" w:space="0" w:color="000000"/>
            </w:tcBorders>
          </w:tcPr>
          <w:p w14:paraId="25051CE6" w14:textId="77777777" w:rsidR="00634199" w:rsidRPr="002821A1" w:rsidRDefault="00000000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 xml:space="preserve">A culture wherein all members of an organisation work together on an ongoing basis improving processes and reducing errors to improve overall performances </w:t>
            </w:r>
          </w:p>
        </w:tc>
        <w:tc>
          <w:tcPr>
            <w:tcW w:w="7381" w:type="dxa"/>
            <w:tcBorders>
              <w:top w:val="single" w:sz="8" w:space="0" w:color="000000"/>
              <w:bottom w:val="single" w:sz="8" w:space="0" w:color="000000"/>
            </w:tcBorders>
          </w:tcPr>
          <w:p w14:paraId="50326E7B" w14:textId="6B606C5E" w:rsidR="00634199" w:rsidRPr="002821A1" w:rsidRDefault="00000000">
            <w:pPr>
              <w:rPr>
                <w:rFonts w:ascii="Garamond" w:eastAsia="Garamond" w:hAnsi="Garamond" w:cs="Garamond"/>
                <w:i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i/>
                <w:sz w:val="20"/>
                <w:szCs w:val="20"/>
              </w:rPr>
              <w:t xml:space="preserve">‘Integration of CI into the organisation is an indicator of CI. Extensive and widely distributed learning behaviour is stage in which CI is fully integrated.’ </w:t>
            </w: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>Fryer et al. [</w:t>
            </w:r>
            <w:r w:rsidR="002821A1" w:rsidRPr="002821A1">
              <w:rPr>
                <w:rFonts w:ascii="Garamond" w:eastAsia="Garamond" w:hAnsi="Garamond" w:cs="Garamond"/>
                <w:sz w:val="20"/>
                <w:szCs w:val="20"/>
              </w:rPr>
              <w:t>6</w:t>
            </w: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 xml:space="preserve"> p. 484]</w:t>
            </w:r>
          </w:p>
        </w:tc>
      </w:tr>
      <w:tr w:rsidR="00634199" w:rsidRPr="002821A1" w14:paraId="48583520" w14:textId="77777777">
        <w:trPr>
          <w:trHeight w:val="238"/>
        </w:trPr>
        <w:tc>
          <w:tcPr>
            <w:tcW w:w="1469" w:type="dxa"/>
            <w:tcBorders>
              <w:top w:val="single" w:sz="8" w:space="0" w:color="000000"/>
              <w:bottom w:val="single" w:sz="8" w:space="0" w:color="000000"/>
            </w:tcBorders>
          </w:tcPr>
          <w:p w14:paraId="62AB41EE" w14:textId="77777777" w:rsidR="00634199" w:rsidRPr="002821A1" w:rsidRDefault="00000000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>Culture (n=108)</w:t>
            </w:r>
          </w:p>
        </w:tc>
        <w:tc>
          <w:tcPr>
            <w:tcW w:w="5108" w:type="dxa"/>
            <w:tcBorders>
              <w:top w:val="single" w:sz="8" w:space="0" w:color="000000"/>
              <w:bottom w:val="single" w:sz="8" w:space="0" w:color="000000"/>
            </w:tcBorders>
          </w:tcPr>
          <w:p w14:paraId="5F0D3E39" w14:textId="77777777" w:rsidR="00634199" w:rsidRPr="002821A1" w:rsidRDefault="00000000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>The ideas, customs, and social behaviour of a particular people or society</w:t>
            </w:r>
          </w:p>
        </w:tc>
        <w:tc>
          <w:tcPr>
            <w:tcW w:w="7381" w:type="dxa"/>
            <w:tcBorders>
              <w:top w:val="single" w:sz="8" w:space="0" w:color="000000"/>
              <w:bottom w:val="single" w:sz="8" w:space="0" w:color="000000"/>
            </w:tcBorders>
          </w:tcPr>
          <w:p w14:paraId="1A18E6BA" w14:textId="120C419F" w:rsidR="00634199" w:rsidRPr="002821A1" w:rsidRDefault="00000000">
            <w:pPr>
              <w:rPr>
                <w:rFonts w:ascii="Garamond" w:eastAsia="Garamond" w:hAnsi="Garamond" w:cs="Garamond"/>
                <w:i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i/>
                <w:sz w:val="20"/>
                <w:szCs w:val="20"/>
              </w:rPr>
              <w:t xml:space="preserve">‘Flexibility and individual initiative cannot be ascribed to a healthcare setting's hierarchy without the visible and sustained support of the senior executive.’ </w:t>
            </w: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>Al-</w:t>
            </w:r>
            <w:proofErr w:type="spellStart"/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>Balushi</w:t>
            </w:r>
            <w:proofErr w:type="spellEnd"/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 xml:space="preserve"> et al. [2</w:t>
            </w:r>
            <w:r w:rsidR="002821A1" w:rsidRPr="002821A1">
              <w:rPr>
                <w:rFonts w:ascii="Garamond" w:eastAsia="Garamond" w:hAnsi="Garamond" w:cs="Garamond"/>
                <w:sz w:val="20"/>
                <w:szCs w:val="20"/>
              </w:rPr>
              <w:t>8</w:t>
            </w: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 xml:space="preserve"> p. 142]</w:t>
            </w:r>
          </w:p>
        </w:tc>
      </w:tr>
      <w:tr w:rsidR="00634199" w:rsidRPr="002821A1" w14:paraId="5D777441" w14:textId="77777777">
        <w:trPr>
          <w:trHeight w:val="676"/>
        </w:trPr>
        <w:tc>
          <w:tcPr>
            <w:tcW w:w="1469" w:type="dxa"/>
            <w:tcBorders>
              <w:top w:val="single" w:sz="8" w:space="0" w:color="000000"/>
              <w:bottom w:val="single" w:sz="8" w:space="0" w:color="000000"/>
            </w:tcBorders>
          </w:tcPr>
          <w:p w14:paraId="7AFAF85E" w14:textId="77777777" w:rsidR="00634199" w:rsidRPr="002821A1" w:rsidRDefault="00000000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>Finance (n=37)</w:t>
            </w:r>
          </w:p>
        </w:tc>
        <w:tc>
          <w:tcPr>
            <w:tcW w:w="5108" w:type="dxa"/>
            <w:tcBorders>
              <w:top w:val="single" w:sz="8" w:space="0" w:color="000000"/>
              <w:bottom w:val="single" w:sz="8" w:space="0" w:color="000000"/>
            </w:tcBorders>
          </w:tcPr>
          <w:p w14:paraId="091735FF" w14:textId="77777777" w:rsidR="00634199" w:rsidRPr="002821A1" w:rsidRDefault="00000000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>Matters related to finance were mentioned as a result of Lean adoption</w:t>
            </w:r>
          </w:p>
        </w:tc>
        <w:tc>
          <w:tcPr>
            <w:tcW w:w="7381" w:type="dxa"/>
            <w:tcBorders>
              <w:top w:val="single" w:sz="8" w:space="0" w:color="000000"/>
              <w:bottom w:val="single" w:sz="8" w:space="0" w:color="000000"/>
            </w:tcBorders>
          </w:tcPr>
          <w:p w14:paraId="5A7F3740" w14:textId="5CC8CF83" w:rsidR="00634199" w:rsidRPr="002821A1" w:rsidRDefault="00000000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i/>
                <w:sz w:val="20"/>
                <w:szCs w:val="20"/>
              </w:rPr>
              <w:t xml:space="preserve">‘Implementing Lean programs required a considerable investment of employee time. Chronic staffing shortages due to turnover were reported and made it difficult for staff to find the time for a robust Lean program.’  </w:t>
            </w: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>Azevedo et al. [3</w:t>
            </w:r>
            <w:r w:rsidR="002821A1" w:rsidRPr="002821A1">
              <w:rPr>
                <w:rFonts w:ascii="Garamond" w:eastAsia="Garamond" w:hAnsi="Garamond" w:cs="Garamond"/>
                <w:sz w:val="20"/>
                <w:szCs w:val="20"/>
              </w:rPr>
              <w:t>3</w:t>
            </w: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 xml:space="preserve"> p. 9] </w:t>
            </w:r>
          </w:p>
        </w:tc>
      </w:tr>
      <w:tr w:rsidR="00634199" w:rsidRPr="002821A1" w14:paraId="042C81C6" w14:textId="77777777">
        <w:trPr>
          <w:trHeight w:val="287"/>
        </w:trPr>
        <w:tc>
          <w:tcPr>
            <w:tcW w:w="1469" w:type="dxa"/>
            <w:tcBorders>
              <w:top w:val="single" w:sz="8" w:space="0" w:color="000000"/>
              <w:bottom w:val="single" w:sz="8" w:space="0" w:color="000000"/>
            </w:tcBorders>
          </w:tcPr>
          <w:p w14:paraId="4AB3D1EE" w14:textId="77777777" w:rsidR="00634199" w:rsidRPr="002821A1" w:rsidRDefault="00000000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>Leadership (n=194)</w:t>
            </w:r>
          </w:p>
        </w:tc>
        <w:tc>
          <w:tcPr>
            <w:tcW w:w="5108" w:type="dxa"/>
            <w:tcBorders>
              <w:top w:val="single" w:sz="8" w:space="0" w:color="000000"/>
              <w:bottom w:val="single" w:sz="8" w:space="0" w:color="000000"/>
            </w:tcBorders>
          </w:tcPr>
          <w:p w14:paraId="6F897C03" w14:textId="77777777" w:rsidR="00634199" w:rsidRPr="002821A1" w:rsidRDefault="00000000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>The action of leading a group of people OR an organisation</w:t>
            </w:r>
          </w:p>
        </w:tc>
        <w:tc>
          <w:tcPr>
            <w:tcW w:w="7381" w:type="dxa"/>
            <w:tcBorders>
              <w:top w:val="single" w:sz="8" w:space="0" w:color="000000"/>
              <w:bottom w:val="single" w:sz="8" w:space="0" w:color="000000"/>
            </w:tcBorders>
          </w:tcPr>
          <w:p w14:paraId="08677628" w14:textId="498B9489" w:rsidR="00634199" w:rsidRPr="002821A1" w:rsidRDefault="00000000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i/>
                <w:sz w:val="20"/>
                <w:szCs w:val="20"/>
              </w:rPr>
              <w:t xml:space="preserve">‘This comment illustrates the value of leaders who interact with frontline staff and gain an appreciation for the day-to- day work that is involved in implementing Lean.’ </w:t>
            </w: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>Azevedo et al., 2020 [3</w:t>
            </w:r>
            <w:r w:rsidR="002821A1" w:rsidRPr="002821A1">
              <w:rPr>
                <w:rFonts w:ascii="Garamond" w:eastAsia="Garamond" w:hAnsi="Garamond" w:cs="Garamond"/>
                <w:sz w:val="20"/>
                <w:szCs w:val="20"/>
              </w:rPr>
              <w:t>3</w:t>
            </w: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 xml:space="preserve"> p. 5]</w:t>
            </w:r>
          </w:p>
        </w:tc>
      </w:tr>
      <w:tr w:rsidR="00634199" w:rsidRPr="002821A1" w14:paraId="3C86D639" w14:textId="77777777">
        <w:trPr>
          <w:trHeight w:val="451"/>
        </w:trPr>
        <w:tc>
          <w:tcPr>
            <w:tcW w:w="1469" w:type="dxa"/>
            <w:tcBorders>
              <w:top w:val="single" w:sz="8" w:space="0" w:color="000000"/>
              <w:bottom w:val="single" w:sz="8" w:space="0" w:color="000000"/>
            </w:tcBorders>
          </w:tcPr>
          <w:p w14:paraId="3A7B46F9" w14:textId="77777777" w:rsidR="00634199" w:rsidRPr="002821A1" w:rsidRDefault="00000000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>Lean combination (n=38)</w:t>
            </w:r>
          </w:p>
        </w:tc>
        <w:tc>
          <w:tcPr>
            <w:tcW w:w="5108" w:type="dxa"/>
            <w:tcBorders>
              <w:top w:val="single" w:sz="8" w:space="0" w:color="000000"/>
              <w:bottom w:val="single" w:sz="8" w:space="0" w:color="000000"/>
            </w:tcBorders>
          </w:tcPr>
          <w:p w14:paraId="265E8138" w14:textId="77777777" w:rsidR="00634199" w:rsidRPr="002821A1" w:rsidRDefault="00000000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>Combination of Lean with other theories, like Six Sigma or Supply Chain Management</w:t>
            </w:r>
          </w:p>
        </w:tc>
        <w:tc>
          <w:tcPr>
            <w:tcW w:w="7381" w:type="dxa"/>
            <w:tcBorders>
              <w:top w:val="single" w:sz="8" w:space="0" w:color="000000"/>
              <w:bottom w:val="single" w:sz="8" w:space="0" w:color="000000"/>
            </w:tcBorders>
          </w:tcPr>
          <w:p w14:paraId="1290151E" w14:textId="73AF3806" w:rsidR="00634199" w:rsidRPr="002821A1" w:rsidRDefault="00000000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i/>
                <w:sz w:val="20"/>
                <w:szCs w:val="20"/>
              </w:rPr>
              <w:t xml:space="preserve">‘Shah and Ward (2003) were the first to recognize the four lean bundles model consisting of total quality management (TQM), human resource management (HRM), the just-in-time (JIT) system and total productive maintenance (TPM), which have proved successful in manufacturing.’ </w:t>
            </w: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 xml:space="preserve">Abdallah and </w:t>
            </w:r>
            <w:proofErr w:type="spellStart"/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>Alkhaldi</w:t>
            </w:r>
            <w:proofErr w:type="spellEnd"/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 xml:space="preserve"> [4</w:t>
            </w:r>
            <w:r w:rsidR="002821A1" w:rsidRPr="002821A1">
              <w:rPr>
                <w:rFonts w:ascii="Garamond" w:eastAsia="Garamond" w:hAnsi="Garamond" w:cs="Garamond"/>
                <w:sz w:val="20"/>
                <w:szCs w:val="20"/>
              </w:rPr>
              <w:t>4</w:t>
            </w: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 xml:space="preserve"> p. 488]</w:t>
            </w:r>
          </w:p>
        </w:tc>
      </w:tr>
      <w:tr w:rsidR="00634199" w:rsidRPr="002821A1" w14:paraId="61527818" w14:textId="77777777">
        <w:trPr>
          <w:trHeight w:val="451"/>
        </w:trPr>
        <w:tc>
          <w:tcPr>
            <w:tcW w:w="1469" w:type="dxa"/>
            <w:tcBorders>
              <w:top w:val="single" w:sz="8" w:space="0" w:color="000000"/>
              <w:bottom w:val="single" w:sz="8" w:space="0" w:color="000000"/>
            </w:tcBorders>
          </w:tcPr>
          <w:p w14:paraId="1BD516A3" w14:textId="77777777" w:rsidR="00634199" w:rsidRPr="002821A1" w:rsidRDefault="00000000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>Lean definition (n=68)</w:t>
            </w:r>
          </w:p>
        </w:tc>
        <w:tc>
          <w:tcPr>
            <w:tcW w:w="5108" w:type="dxa"/>
            <w:tcBorders>
              <w:top w:val="single" w:sz="8" w:space="0" w:color="000000"/>
              <w:bottom w:val="single" w:sz="8" w:space="0" w:color="000000"/>
            </w:tcBorders>
          </w:tcPr>
          <w:p w14:paraId="58D21B18" w14:textId="77777777" w:rsidR="00634199" w:rsidRPr="002821A1" w:rsidRDefault="00000000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>A definition explicitly mentioned in studies regarding what Lean entails</w:t>
            </w:r>
          </w:p>
        </w:tc>
        <w:tc>
          <w:tcPr>
            <w:tcW w:w="7381" w:type="dxa"/>
            <w:tcBorders>
              <w:top w:val="single" w:sz="8" w:space="0" w:color="000000"/>
              <w:bottom w:val="single" w:sz="8" w:space="0" w:color="000000"/>
            </w:tcBorders>
          </w:tcPr>
          <w:p w14:paraId="0F66442F" w14:textId="27220183" w:rsidR="00634199" w:rsidRPr="002821A1" w:rsidRDefault="00000000">
            <w:pPr>
              <w:rPr>
                <w:rFonts w:ascii="Garamond" w:eastAsia="Garamond" w:hAnsi="Garamond" w:cs="Garamond"/>
                <w:color w:val="000000"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i/>
                <w:color w:val="000000"/>
                <w:sz w:val="20"/>
                <w:szCs w:val="20"/>
              </w:rPr>
              <w:t xml:space="preserve">‘… we define Lean as an overall management/operating system that uses a continuous improvement culture that empowers frontline workers to solve problems and eliminate waste by standardizing work to improve the value of care delivered to patients.’ </w:t>
            </w:r>
            <w:proofErr w:type="spellStart"/>
            <w:r w:rsidRPr="002821A1">
              <w:rPr>
                <w:rFonts w:ascii="Garamond" w:eastAsia="Garamond" w:hAnsi="Garamond" w:cs="Garamond"/>
                <w:color w:val="000000"/>
                <w:sz w:val="20"/>
                <w:szCs w:val="20"/>
              </w:rPr>
              <w:t>Rundall</w:t>
            </w:r>
            <w:proofErr w:type="spellEnd"/>
            <w:r w:rsidRPr="002821A1">
              <w:rPr>
                <w:rFonts w:ascii="Garamond" w:eastAsia="Garamond" w:hAnsi="Garamond" w:cs="Garamond"/>
                <w:color w:val="000000"/>
                <w:sz w:val="20"/>
                <w:szCs w:val="20"/>
              </w:rPr>
              <w:t xml:space="preserve"> et al. [4</w:t>
            </w:r>
            <w:r w:rsidR="002821A1" w:rsidRPr="002821A1">
              <w:rPr>
                <w:rFonts w:ascii="Garamond" w:eastAsia="Garamond" w:hAnsi="Garamond" w:cs="Garamond"/>
                <w:color w:val="000000"/>
                <w:sz w:val="20"/>
                <w:szCs w:val="20"/>
              </w:rPr>
              <w:t>1</w:t>
            </w:r>
            <w:r w:rsidRPr="002821A1">
              <w:rPr>
                <w:rFonts w:ascii="Garamond" w:eastAsia="Garamond" w:hAnsi="Garamond" w:cs="Garamond"/>
                <w:color w:val="000000"/>
                <w:sz w:val="20"/>
                <w:szCs w:val="20"/>
              </w:rPr>
              <w:t xml:space="preserve"> p. 11]</w:t>
            </w:r>
          </w:p>
        </w:tc>
      </w:tr>
      <w:tr w:rsidR="00634199" w:rsidRPr="002821A1" w14:paraId="7B58D01D" w14:textId="77777777">
        <w:trPr>
          <w:trHeight w:val="440"/>
        </w:trPr>
        <w:tc>
          <w:tcPr>
            <w:tcW w:w="1469" w:type="dxa"/>
            <w:tcBorders>
              <w:top w:val="single" w:sz="8" w:space="0" w:color="000000"/>
              <w:bottom w:val="single" w:sz="8" w:space="0" w:color="000000"/>
            </w:tcBorders>
          </w:tcPr>
          <w:p w14:paraId="33D61353" w14:textId="77777777" w:rsidR="00634199" w:rsidRPr="002821A1" w:rsidRDefault="00000000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>Lean scope (n=100)</w:t>
            </w:r>
          </w:p>
        </w:tc>
        <w:tc>
          <w:tcPr>
            <w:tcW w:w="5108" w:type="dxa"/>
            <w:tcBorders>
              <w:top w:val="single" w:sz="8" w:space="0" w:color="000000"/>
              <w:bottom w:val="single" w:sz="8" w:space="0" w:color="000000"/>
            </w:tcBorders>
          </w:tcPr>
          <w:p w14:paraId="36B0327E" w14:textId="77777777" w:rsidR="00634199" w:rsidRPr="002821A1" w:rsidRDefault="00000000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>The extent to which lean tool types and the frequency of those tools are applied</w:t>
            </w:r>
          </w:p>
        </w:tc>
        <w:tc>
          <w:tcPr>
            <w:tcW w:w="7381" w:type="dxa"/>
            <w:tcBorders>
              <w:top w:val="single" w:sz="8" w:space="0" w:color="000000"/>
              <w:bottom w:val="single" w:sz="8" w:space="0" w:color="000000"/>
            </w:tcBorders>
          </w:tcPr>
          <w:p w14:paraId="208DCF5C" w14:textId="628BE9C4" w:rsidR="00634199" w:rsidRPr="002821A1" w:rsidRDefault="00000000">
            <w:pPr>
              <w:rPr>
                <w:rFonts w:ascii="Garamond" w:eastAsia="Garamond" w:hAnsi="Garamond" w:cs="Garamond"/>
                <w:i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i/>
                <w:sz w:val="20"/>
                <w:szCs w:val="20"/>
              </w:rPr>
              <w:t xml:space="preserve">‘We further quantify the scope by </w:t>
            </w:r>
            <w:proofErr w:type="spellStart"/>
            <w:r w:rsidRPr="002821A1">
              <w:rPr>
                <w:rFonts w:ascii="Garamond" w:eastAsia="Garamond" w:hAnsi="Garamond" w:cs="Garamond"/>
                <w:i/>
                <w:sz w:val="20"/>
                <w:szCs w:val="20"/>
              </w:rPr>
              <w:t>analyzing</w:t>
            </w:r>
            <w:proofErr w:type="spellEnd"/>
            <w:r w:rsidRPr="002821A1">
              <w:rPr>
                <w:rFonts w:ascii="Garamond" w:eastAsia="Garamond" w:hAnsi="Garamond" w:cs="Garamond"/>
                <w:i/>
                <w:sz w:val="20"/>
                <w:szCs w:val="20"/>
              </w:rPr>
              <w:t xml:space="preserve"> Lean tool types and frequency, and the wastes addressed’ </w:t>
            </w: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>Hallam and Contreras [1</w:t>
            </w:r>
            <w:r w:rsidR="002821A1" w:rsidRPr="002821A1">
              <w:rPr>
                <w:rFonts w:ascii="Garamond" w:eastAsia="Garamond" w:hAnsi="Garamond" w:cs="Garamond"/>
                <w:sz w:val="20"/>
                <w:szCs w:val="20"/>
              </w:rPr>
              <w:t>2</w:t>
            </w: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 xml:space="preserve"> p. 687]</w:t>
            </w:r>
          </w:p>
        </w:tc>
      </w:tr>
      <w:tr w:rsidR="00634199" w:rsidRPr="002821A1" w14:paraId="246B3424" w14:textId="77777777">
        <w:trPr>
          <w:trHeight w:val="451"/>
        </w:trPr>
        <w:tc>
          <w:tcPr>
            <w:tcW w:w="1469" w:type="dxa"/>
            <w:tcBorders>
              <w:top w:val="single" w:sz="8" w:space="0" w:color="000000"/>
              <w:bottom w:val="single" w:sz="8" w:space="0" w:color="000000"/>
            </w:tcBorders>
          </w:tcPr>
          <w:p w14:paraId="1934E49E" w14:textId="77777777" w:rsidR="00634199" w:rsidRPr="002821A1" w:rsidRDefault="00000000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>Lean tool (n=142)</w:t>
            </w:r>
          </w:p>
        </w:tc>
        <w:tc>
          <w:tcPr>
            <w:tcW w:w="5108" w:type="dxa"/>
            <w:tcBorders>
              <w:top w:val="single" w:sz="8" w:space="0" w:color="000000"/>
              <w:bottom w:val="single" w:sz="8" w:space="0" w:color="000000"/>
            </w:tcBorders>
          </w:tcPr>
          <w:p w14:paraId="1D335373" w14:textId="77777777" w:rsidR="00634199" w:rsidRPr="002821A1" w:rsidRDefault="00000000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>Lean methods used in a healthcare organisation</w:t>
            </w:r>
          </w:p>
        </w:tc>
        <w:tc>
          <w:tcPr>
            <w:tcW w:w="7381" w:type="dxa"/>
            <w:tcBorders>
              <w:top w:val="single" w:sz="8" w:space="0" w:color="000000"/>
              <w:bottom w:val="single" w:sz="8" w:space="0" w:color="000000"/>
            </w:tcBorders>
          </w:tcPr>
          <w:p w14:paraId="55151248" w14:textId="54FD6D0B" w:rsidR="00634199" w:rsidRPr="002821A1" w:rsidRDefault="00000000">
            <w:pPr>
              <w:rPr>
                <w:rFonts w:ascii="Garamond" w:eastAsia="Garamond" w:hAnsi="Garamond" w:cs="Garamond"/>
                <w:i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i/>
                <w:sz w:val="20"/>
                <w:szCs w:val="20"/>
              </w:rPr>
              <w:t xml:space="preserve">‘Whereas all of them mentioned the tools being used to facilitate the lean implementation process’ </w:t>
            </w: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>Akmal et al. [</w:t>
            </w:r>
            <w:r w:rsidR="002821A1" w:rsidRPr="002821A1">
              <w:rPr>
                <w:rFonts w:ascii="Garamond" w:eastAsia="Garamond" w:hAnsi="Garamond" w:cs="Garamond"/>
                <w:sz w:val="20"/>
                <w:szCs w:val="20"/>
              </w:rPr>
              <w:t>4</w:t>
            </w: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 xml:space="preserve"> p. 624]</w:t>
            </w:r>
          </w:p>
        </w:tc>
      </w:tr>
      <w:tr w:rsidR="00634199" w:rsidRPr="002821A1" w14:paraId="423B7124" w14:textId="77777777">
        <w:trPr>
          <w:trHeight w:val="451"/>
        </w:trPr>
        <w:tc>
          <w:tcPr>
            <w:tcW w:w="1469" w:type="dxa"/>
            <w:tcBorders>
              <w:top w:val="single" w:sz="8" w:space="0" w:color="000000"/>
              <w:bottom w:val="single" w:sz="8" w:space="0" w:color="000000"/>
            </w:tcBorders>
          </w:tcPr>
          <w:p w14:paraId="3FBC16B4" w14:textId="77777777" w:rsidR="00634199" w:rsidRPr="002821A1" w:rsidRDefault="00000000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>Lean objective (n=65)</w:t>
            </w:r>
          </w:p>
        </w:tc>
        <w:tc>
          <w:tcPr>
            <w:tcW w:w="5108" w:type="dxa"/>
            <w:tcBorders>
              <w:top w:val="single" w:sz="8" w:space="0" w:color="000000"/>
              <w:bottom w:val="single" w:sz="8" w:space="0" w:color="000000"/>
            </w:tcBorders>
          </w:tcPr>
          <w:p w14:paraId="2DBFD820" w14:textId="77777777" w:rsidR="00634199" w:rsidRPr="002821A1" w:rsidRDefault="00000000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>Aim of Lean implementation or adoption</w:t>
            </w:r>
          </w:p>
        </w:tc>
        <w:tc>
          <w:tcPr>
            <w:tcW w:w="7381" w:type="dxa"/>
            <w:tcBorders>
              <w:top w:val="single" w:sz="8" w:space="0" w:color="000000"/>
              <w:bottom w:val="single" w:sz="8" w:space="0" w:color="000000"/>
            </w:tcBorders>
          </w:tcPr>
          <w:p w14:paraId="33D30A35" w14:textId="2D564160" w:rsidR="00634199" w:rsidRPr="002821A1" w:rsidRDefault="00000000">
            <w:pPr>
              <w:rPr>
                <w:rFonts w:ascii="Garamond" w:eastAsia="Garamond" w:hAnsi="Garamond" w:cs="Garamond"/>
                <w:i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i/>
                <w:sz w:val="20"/>
                <w:szCs w:val="20"/>
              </w:rPr>
              <w:t xml:space="preserve">‘Lean in health care serves to eliminate waste in processes and create value for patients across the continuum of care’ </w:t>
            </w: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>Azevedo et al. [3</w:t>
            </w:r>
            <w:r w:rsidR="002821A1" w:rsidRPr="002821A1">
              <w:rPr>
                <w:rFonts w:ascii="Garamond" w:eastAsia="Garamond" w:hAnsi="Garamond" w:cs="Garamond"/>
                <w:sz w:val="20"/>
                <w:szCs w:val="20"/>
              </w:rPr>
              <w:t>3</w:t>
            </w: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 xml:space="preserve"> p. 2]</w:t>
            </w:r>
          </w:p>
        </w:tc>
      </w:tr>
      <w:tr w:rsidR="00634199" w:rsidRPr="002821A1" w14:paraId="70AD5516" w14:textId="77777777">
        <w:trPr>
          <w:trHeight w:val="36"/>
        </w:trPr>
        <w:tc>
          <w:tcPr>
            <w:tcW w:w="1469" w:type="dxa"/>
            <w:tcBorders>
              <w:top w:val="single" w:sz="8" w:space="0" w:color="000000"/>
              <w:bottom w:val="single" w:sz="8" w:space="0" w:color="000000"/>
            </w:tcBorders>
          </w:tcPr>
          <w:p w14:paraId="7D703C67" w14:textId="77777777" w:rsidR="00634199" w:rsidRPr="002821A1" w:rsidRDefault="00000000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>Staff empowerment (n=69)</w:t>
            </w:r>
          </w:p>
        </w:tc>
        <w:tc>
          <w:tcPr>
            <w:tcW w:w="5108" w:type="dxa"/>
            <w:tcBorders>
              <w:top w:val="single" w:sz="8" w:space="0" w:color="000000"/>
              <w:bottom w:val="single" w:sz="8" w:space="0" w:color="000000"/>
            </w:tcBorders>
          </w:tcPr>
          <w:p w14:paraId="55CA42D0" w14:textId="77777777" w:rsidR="00634199" w:rsidRPr="002821A1" w:rsidRDefault="00000000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>Allows employees to make more decisions for themselves</w:t>
            </w:r>
          </w:p>
        </w:tc>
        <w:tc>
          <w:tcPr>
            <w:tcW w:w="7381" w:type="dxa"/>
            <w:tcBorders>
              <w:top w:val="single" w:sz="8" w:space="0" w:color="000000"/>
              <w:bottom w:val="single" w:sz="8" w:space="0" w:color="000000"/>
            </w:tcBorders>
          </w:tcPr>
          <w:p w14:paraId="4B720818" w14:textId="75F95C88" w:rsidR="00634199" w:rsidRPr="002821A1" w:rsidRDefault="00000000">
            <w:pPr>
              <w:rPr>
                <w:rFonts w:ascii="Garamond" w:eastAsia="Garamond" w:hAnsi="Garamond" w:cs="Garamond"/>
                <w:i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i/>
                <w:sz w:val="20"/>
                <w:szCs w:val="20"/>
              </w:rPr>
              <w:t xml:space="preserve">‘Both studies stressed leadership commitment to the change and employee empowerment as key instruments in the success of [Lean thinking]’ </w:t>
            </w: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>Akmal et al. [</w:t>
            </w:r>
            <w:r w:rsidR="002821A1" w:rsidRPr="002821A1">
              <w:rPr>
                <w:rFonts w:ascii="Garamond" w:eastAsia="Garamond" w:hAnsi="Garamond" w:cs="Garamond"/>
                <w:sz w:val="20"/>
                <w:szCs w:val="20"/>
              </w:rPr>
              <w:t>4</w:t>
            </w: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 xml:space="preserve"> p. 621]</w:t>
            </w:r>
          </w:p>
        </w:tc>
      </w:tr>
      <w:tr w:rsidR="00634199" w:rsidRPr="002821A1" w14:paraId="6913C665" w14:textId="77777777">
        <w:trPr>
          <w:trHeight w:val="451"/>
        </w:trPr>
        <w:tc>
          <w:tcPr>
            <w:tcW w:w="1469" w:type="dxa"/>
            <w:tcBorders>
              <w:top w:val="single" w:sz="8" w:space="0" w:color="000000"/>
              <w:bottom w:val="single" w:sz="8" w:space="0" w:color="000000"/>
            </w:tcBorders>
          </w:tcPr>
          <w:p w14:paraId="44A61B10" w14:textId="77777777" w:rsidR="00634199" w:rsidRPr="002821A1" w:rsidRDefault="00000000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lastRenderedPageBreak/>
              <w:t>Staff engagement (n=131)</w:t>
            </w:r>
          </w:p>
        </w:tc>
        <w:tc>
          <w:tcPr>
            <w:tcW w:w="5108" w:type="dxa"/>
            <w:tcBorders>
              <w:top w:val="single" w:sz="8" w:space="0" w:color="000000"/>
              <w:bottom w:val="single" w:sz="8" w:space="0" w:color="000000"/>
            </w:tcBorders>
          </w:tcPr>
          <w:p w14:paraId="33690835" w14:textId="77777777" w:rsidR="00634199" w:rsidRPr="002821A1" w:rsidRDefault="00000000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>Staff engagement is the extent to which employees feel passionate about their jobs, are committed to the organisation, and put discretionary effort into their work</w:t>
            </w:r>
          </w:p>
        </w:tc>
        <w:tc>
          <w:tcPr>
            <w:tcW w:w="7381" w:type="dxa"/>
            <w:tcBorders>
              <w:top w:val="single" w:sz="8" w:space="0" w:color="000000"/>
              <w:bottom w:val="single" w:sz="8" w:space="0" w:color="000000"/>
            </w:tcBorders>
          </w:tcPr>
          <w:p w14:paraId="5F6CB976" w14:textId="2E39BDDF" w:rsidR="00634199" w:rsidRPr="002821A1" w:rsidRDefault="00000000">
            <w:pPr>
              <w:rPr>
                <w:rFonts w:ascii="Garamond" w:eastAsia="Garamond" w:hAnsi="Garamond" w:cs="Garamond"/>
                <w:i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i/>
                <w:sz w:val="20"/>
                <w:szCs w:val="20"/>
              </w:rPr>
              <w:t xml:space="preserve">‘As showed by previous studies of the same hospital, efforts to integrate operational and sociotechnical improvement activities with the kaizen system may lead to a better understanding of the relationship between work and health and a higher engagement in health promotion, as well as more engagement in using kaizen for improvement work in general.’ </w:t>
            </w:r>
            <w:proofErr w:type="spellStart"/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>Mazzocato</w:t>
            </w:r>
            <w:proofErr w:type="spellEnd"/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 xml:space="preserve"> et al. [</w:t>
            </w:r>
            <w:r w:rsidR="002821A1" w:rsidRPr="002821A1">
              <w:rPr>
                <w:rFonts w:ascii="Garamond" w:eastAsia="Garamond" w:hAnsi="Garamond" w:cs="Garamond"/>
                <w:sz w:val="20"/>
                <w:szCs w:val="20"/>
              </w:rPr>
              <w:t>29</w:t>
            </w: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 xml:space="preserve"> p. 7]</w:t>
            </w:r>
          </w:p>
        </w:tc>
      </w:tr>
      <w:tr w:rsidR="00634199" w:rsidRPr="002821A1" w14:paraId="0953B0D8" w14:textId="77777777">
        <w:trPr>
          <w:trHeight w:val="451"/>
        </w:trPr>
        <w:tc>
          <w:tcPr>
            <w:tcW w:w="1469" w:type="dxa"/>
            <w:tcBorders>
              <w:top w:val="single" w:sz="8" w:space="0" w:color="000000"/>
              <w:bottom w:val="single" w:sz="8" w:space="0" w:color="000000"/>
            </w:tcBorders>
          </w:tcPr>
          <w:p w14:paraId="36AF0B6D" w14:textId="77777777" w:rsidR="00634199" w:rsidRPr="002821A1" w:rsidRDefault="00000000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>Training</w:t>
            </w:r>
          </w:p>
          <w:p w14:paraId="74561C4D" w14:textId="77777777" w:rsidR="00634199" w:rsidRPr="002821A1" w:rsidRDefault="00000000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 xml:space="preserve">and learning </w:t>
            </w:r>
          </w:p>
          <w:p w14:paraId="2688AFA8" w14:textId="77777777" w:rsidR="00634199" w:rsidRPr="002821A1" w:rsidRDefault="00000000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>(n=97)</w:t>
            </w:r>
          </w:p>
        </w:tc>
        <w:tc>
          <w:tcPr>
            <w:tcW w:w="5108" w:type="dxa"/>
            <w:tcBorders>
              <w:top w:val="single" w:sz="8" w:space="0" w:color="000000"/>
              <w:bottom w:val="single" w:sz="8" w:space="0" w:color="000000"/>
            </w:tcBorders>
          </w:tcPr>
          <w:p w14:paraId="64C79945" w14:textId="77777777" w:rsidR="00634199" w:rsidRPr="002821A1" w:rsidRDefault="00000000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>Any event that encompasses training or learning individuals about Lean tools or methodologies throughout an organisation</w:t>
            </w:r>
          </w:p>
        </w:tc>
        <w:tc>
          <w:tcPr>
            <w:tcW w:w="7381" w:type="dxa"/>
            <w:tcBorders>
              <w:top w:val="single" w:sz="8" w:space="0" w:color="000000"/>
              <w:bottom w:val="single" w:sz="8" w:space="0" w:color="000000"/>
            </w:tcBorders>
          </w:tcPr>
          <w:p w14:paraId="584FD2B8" w14:textId="1D3B719B" w:rsidR="00634199" w:rsidRPr="002821A1" w:rsidRDefault="00000000">
            <w:pPr>
              <w:rPr>
                <w:rFonts w:ascii="Garamond" w:eastAsia="Garamond" w:hAnsi="Garamond" w:cs="Garamond"/>
                <w:i/>
                <w:sz w:val="20"/>
                <w:szCs w:val="20"/>
              </w:rPr>
            </w:pPr>
            <w:r w:rsidRPr="002821A1">
              <w:rPr>
                <w:rFonts w:ascii="Garamond" w:eastAsia="Garamond" w:hAnsi="Garamond" w:cs="Garamond"/>
                <w:i/>
                <w:sz w:val="20"/>
                <w:szCs w:val="20"/>
              </w:rPr>
              <w:t xml:space="preserve">‘There was lots of training, lots of workshops, lots of sort of self-assessment workshops, lots of facilitated self-assessments so that each business unit was undertaking its own assessment and then identifying the way forward’ </w:t>
            </w: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>Fryer et al. [</w:t>
            </w:r>
            <w:r w:rsidR="002821A1" w:rsidRPr="002821A1">
              <w:rPr>
                <w:rFonts w:ascii="Garamond" w:eastAsia="Garamond" w:hAnsi="Garamond" w:cs="Garamond"/>
                <w:sz w:val="20"/>
                <w:szCs w:val="20"/>
              </w:rPr>
              <w:t>6</w:t>
            </w:r>
            <w:r w:rsidRPr="002821A1">
              <w:rPr>
                <w:rFonts w:ascii="Garamond" w:eastAsia="Garamond" w:hAnsi="Garamond" w:cs="Garamond"/>
                <w:sz w:val="20"/>
                <w:szCs w:val="20"/>
              </w:rPr>
              <w:t xml:space="preserve"> p. 488]</w:t>
            </w:r>
          </w:p>
        </w:tc>
      </w:tr>
    </w:tbl>
    <w:p w14:paraId="6AB3F355" w14:textId="77777777" w:rsidR="00634199" w:rsidRDefault="00000000">
      <w:r w:rsidRPr="002821A1">
        <w:rPr>
          <w:rFonts w:ascii="Garamond" w:eastAsia="Garamond" w:hAnsi="Garamond" w:cs="Garamond"/>
          <w:i/>
          <w:color w:val="000000"/>
          <w:sz w:val="20"/>
          <w:szCs w:val="20"/>
        </w:rPr>
        <w:t xml:space="preserve">Note. </w:t>
      </w:r>
      <w:r w:rsidRPr="002821A1">
        <w:rPr>
          <w:rFonts w:ascii="Garamond" w:eastAsia="Garamond" w:hAnsi="Garamond" w:cs="Garamond"/>
          <w:color w:val="000000"/>
          <w:sz w:val="20"/>
          <w:szCs w:val="20"/>
        </w:rPr>
        <w:t>Abbreviation list</w:t>
      </w:r>
      <w:r w:rsidRPr="002821A1">
        <w:rPr>
          <w:rFonts w:ascii="Garamond" w:eastAsia="Garamond" w:hAnsi="Garamond" w:cs="Garamond"/>
          <w:i/>
          <w:color w:val="000000"/>
          <w:sz w:val="20"/>
          <w:szCs w:val="20"/>
        </w:rPr>
        <w:t xml:space="preserve">: </w:t>
      </w:r>
      <w:r w:rsidRPr="002821A1">
        <w:rPr>
          <w:rFonts w:ascii="Garamond" w:eastAsia="Garamond" w:hAnsi="Garamond" w:cs="Garamond"/>
          <w:color w:val="000000"/>
          <w:sz w:val="20"/>
          <w:szCs w:val="20"/>
        </w:rPr>
        <w:t xml:space="preserve">CI, </w:t>
      </w:r>
      <w:r w:rsidRPr="002821A1">
        <w:rPr>
          <w:rFonts w:ascii="Garamond" w:eastAsia="Garamond" w:hAnsi="Garamond" w:cs="Garamond"/>
          <w:i/>
          <w:color w:val="000000"/>
          <w:sz w:val="20"/>
          <w:szCs w:val="20"/>
        </w:rPr>
        <w:t>Continuous Improvement</w:t>
      </w:r>
      <w:r w:rsidRPr="002821A1">
        <w:rPr>
          <w:rFonts w:ascii="Garamond" w:eastAsia="Garamond" w:hAnsi="Garamond" w:cs="Garamond"/>
          <w:color w:val="000000"/>
          <w:sz w:val="20"/>
          <w:szCs w:val="20"/>
        </w:rPr>
        <w:t>; HRM</w:t>
      </w:r>
      <w:r w:rsidRPr="002821A1">
        <w:rPr>
          <w:rFonts w:ascii="Garamond" w:eastAsia="Garamond" w:hAnsi="Garamond" w:cs="Garamond"/>
          <w:i/>
          <w:color w:val="000000"/>
          <w:sz w:val="20"/>
          <w:szCs w:val="20"/>
        </w:rPr>
        <w:t xml:space="preserve">, Human Resource Management; </w:t>
      </w:r>
      <w:r w:rsidRPr="002821A1">
        <w:rPr>
          <w:rFonts w:ascii="Garamond" w:eastAsia="Garamond" w:hAnsi="Garamond" w:cs="Garamond"/>
          <w:color w:val="000000"/>
          <w:sz w:val="20"/>
          <w:szCs w:val="20"/>
        </w:rPr>
        <w:t>JIT</w:t>
      </w:r>
      <w:r w:rsidRPr="002821A1">
        <w:rPr>
          <w:rFonts w:ascii="Garamond" w:eastAsia="Garamond" w:hAnsi="Garamond" w:cs="Garamond"/>
          <w:i/>
          <w:color w:val="000000"/>
          <w:sz w:val="20"/>
          <w:szCs w:val="20"/>
        </w:rPr>
        <w:t xml:space="preserve">, Just-in-Time; </w:t>
      </w:r>
      <w:r w:rsidRPr="002821A1">
        <w:rPr>
          <w:rFonts w:ascii="Garamond" w:eastAsia="Garamond" w:hAnsi="Garamond" w:cs="Garamond"/>
          <w:color w:val="000000"/>
          <w:sz w:val="20"/>
          <w:szCs w:val="20"/>
        </w:rPr>
        <w:t>TPM</w:t>
      </w:r>
      <w:r w:rsidRPr="002821A1">
        <w:rPr>
          <w:rFonts w:ascii="Garamond" w:eastAsia="Garamond" w:hAnsi="Garamond" w:cs="Garamond"/>
          <w:i/>
          <w:color w:val="000000"/>
          <w:sz w:val="20"/>
          <w:szCs w:val="20"/>
        </w:rPr>
        <w:t xml:space="preserve">, System and Total Productive Maintenance; </w:t>
      </w:r>
      <w:r w:rsidRPr="002821A1">
        <w:rPr>
          <w:rFonts w:ascii="Garamond" w:eastAsia="Garamond" w:hAnsi="Garamond" w:cs="Garamond"/>
          <w:color w:val="000000"/>
          <w:sz w:val="20"/>
          <w:szCs w:val="20"/>
        </w:rPr>
        <w:t>TQM</w:t>
      </w:r>
      <w:r w:rsidRPr="002821A1">
        <w:rPr>
          <w:rFonts w:ascii="Garamond" w:eastAsia="Garamond" w:hAnsi="Garamond" w:cs="Garamond"/>
          <w:i/>
          <w:color w:val="000000"/>
          <w:sz w:val="20"/>
          <w:szCs w:val="20"/>
        </w:rPr>
        <w:t>, Total Quality Management.</w:t>
      </w:r>
    </w:p>
    <w:p w14:paraId="148AEBCF" w14:textId="77777777" w:rsidR="00634199" w:rsidRDefault="00634199"/>
    <w:sectPr w:rsidR="00634199">
      <w:headerReference w:type="even" r:id="rId8"/>
      <w:headerReference w:type="default" r:id="rId9"/>
      <w:footerReference w:type="even" r:id="rId10"/>
      <w:footerReference w:type="default" r:id="rId11"/>
      <w:pgSz w:w="16838" w:h="11906" w:orient="landscape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9CC7A8" w14:textId="77777777" w:rsidR="00B23A8C" w:rsidRDefault="00B23A8C">
      <w:r>
        <w:separator/>
      </w:r>
    </w:p>
  </w:endnote>
  <w:endnote w:type="continuationSeparator" w:id="0">
    <w:p w14:paraId="68F971C2" w14:textId="77777777" w:rsidR="00B23A8C" w:rsidRDefault="00B23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AF0B0" w14:textId="77777777" w:rsidR="0063419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32F05074" w14:textId="77777777" w:rsidR="00634199" w:rsidRDefault="0063419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0B614" w14:textId="77777777" w:rsidR="0063419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45B7E">
      <w:rPr>
        <w:noProof/>
        <w:color w:val="000000"/>
      </w:rPr>
      <w:t>1</w:t>
    </w:r>
    <w:r>
      <w:rPr>
        <w:color w:val="000000"/>
      </w:rPr>
      <w:fldChar w:fldCharType="end"/>
    </w:r>
  </w:p>
  <w:p w14:paraId="4FC5DFF3" w14:textId="77777777" w:rsidR="00634199" w:rsidRDefault="0063419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</w:p>
  <w:p w14:paraId="752D6070" w14:textId="77777777" w:rsidR="00634199" w:rsidRDefault="0063419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BF1191" w14:textId="77777777" w:rsidR="00B23A8C" w:rsidRDefault="00B23A8C">
      <w:r>
        <w:separator/>
      </w:r>
    </w:p>
  </w:footnote>
  <w:footnote w:type="continuationSeparator" w:id="0">
    <w:p w14:paraId="0A5C0991" w14:textId="77777777" w:rsidR="00B23A8C" w:rsidRDefault="00B23A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A6ACA" w14:textId="77777777" w:rsidR="0063419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144F90AA" w14:textId="77777777" w:rsidR="00634199" w:rsidRDefault="0063419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ECDCB" w14:textId="77777777" w:rsidR="00634199" w:rsidRDefault="0063419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right="36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C63670"/>
    <w:multiLevelType w:val="multilevel"/>
    <w:tmpl w:val="4B58FDD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389232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199"/>
    <w:rsid w:val="000D0782"/>
    <w:rsid w:val="00113625"/>
    <w:rsid w:val="00257410"/>
    <w:rsid w:val="002821A1"/>
    <w:rsid w:val="00345B7E"/>
    <w:rsid w:val="00634199"/>
    <w:rsid w:val="00827444"/>
    <w:rsid w:val="00AB0549"/>
    <w:rsid w:val="00B11EEC"/>
    <w:rsid w:val="00B23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504CAEB"/>
  <w15:docId w15:val="{A3472FF2-9F4C-8E41-84CC-FBD48CF02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01EF"/>
  </w:style>
  <w:style w:type="paragraph" w:styleId="Heading1">
    <w:name w:val="heading 1"/>
    <w:basedOn w:val="Normal"/>
    <w:next w:val="Normal"/>
    <w:link w:val="Heading1Char"/>
    <w:uiPriority w:val="9"/>
    <w:qFormat/>
    <w:rsid w:val="006C6736"/>
    <w:pPr>
      <w:keepNext/>
      <w:keepLines/>
      <w:numPr>
        <w:numId w:val="1"/>
      </w:numPr>
      <w:spacing w:before="240"/>
      <w:jc w:val="center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Heading2">
    <w:name w:val="heading 2"/>
    <w:basedOn w:val="Heading1"/>
    <w:next w:val="Normal"/>
    <w:link w:val="Heading2Char"/>
    <w:uiPriority w:val="9"/>
    <w:semiHidden/>
    <w:unhideWhenUsed/>
    <w:qFormat/>
    <w:rsid w:val="006C6736"/>
    <w:pPr>
      <w:numPr>
        <w:ilvl w:val="1"/>
      </w:numPr>
      <w:spacing w:line="360" w:lineRule="auto"/>
      <w:ind w:left="357" w:hanging="357"/>
      <w:jc w:val="left"/>
      <w:outlineLvl w:val="1"/>
    </w:pPr>
    <w:rPr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6736"/>
    <w:pPr>
      <w:keepNext/>
      <w:keepLines/>
      <w:spacing w:before="40" w:line="360" w:lineRule="auto"/>
      <w:ind w:left="357"/>
      <w:outlineLvl w:val="2"/>
    </w:pPr>
    <w:rPr>
      <w:rFonts w:eastAsiaTheme="majorEastAsia"/>
      <w:b/>
      <w:bCs/>
      <w:i/>
      <w:color w:val="000000" w:themeColor="text1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6C6736"/>
    <w:rPr>
      <w:rFonts w:ascii="Times New Roman" w:eastAsiaTheme="majorEastAsia" w:hAnsi="Times New Roman" w:cstheme="majorBidi"/>
      <w:b/>
      <w:bCs/>
      <w:color w:val="000000" w:themeColor="text1"/>
      <w:sz w:val="28"/>
      <w:szCs w:val="28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6C6736"/>
    <w:rPr>
      <w:rFonts w:ascii="Times New Roman" w:eastAsiaTheme="majorEastAsia" w:hAnsi="Times New Roman" w:cstheme="majorBidi"/>
      <w:b/>
      <w:bCs/>
      <w:color w:val="000000" w:themeColor="text1"/>
      <w:sz w:val="26"/>
      <w:szCs w:val="26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6C6736"/>
    <w:rPr>
      <w:rFonts w:ascii="Times New Roman" w:eastAsiaTheme="majorEastAsia" w:hAnsi="Times New Roman" w:cs="Times New Roman"/>
      <w:b/>
      <w:bCs/>
      <w:i/>
      <w:color w:val="000000" w:themeColor="text1"/>
      <w:lang w:val="en-GB" w:eastAsia="en-GB"/>
    </w:rPr>
  </w:style>
  <w:style w:type="paragraph" w:styleId="NoSpacing">
    <w:name w:val="No Spacing"/>
    <w:link w:val="NoSpacingChar"/>
    <w:uiPriority w:val="1"/>
    <w:qFormat/>
    <w:rsid w:val="006C6736"/>
    <w:pPr>
      <w:spacing w:line="360" w:lineRule="auto"/>
    </w:pPr>
    <w:rPr>
      <w:noProof/>
      <w:sz w:val="22"/>
      <w:lang w:val="nl-NL"/>
    </w:rPr>
  </w:style>
  <w:style w:type="paragraph" w:styleId="NormalWeb">
    <w:name w:val="Normal (Web)"/>
    <w:basedOn w:val="Normal"/>
    <w:uiPriority w:val="99"/>
    <w:unhideWhenUsed/>
    <w:rsid w:val="006C6736"/>
    <w:pPr>
      <w:spacing w:before="100" w:beforeAutospacing="1" w:after="100" w:afterAutospacing="1"/>
    </w:pPr>
  </w:style>
  <w:style w:type="paragraph" w:styleId="TOCHeading">
    <w:name w:val="TOC Heading"/>
    <w:basedOn w:val="Heading1"/>
    <w:next w:val="Normal"/>
    <w:uiPriority w:val="39"/>
    <w:unhideWhenUsed/>
    <w:qFormat/>
    <w:rsid w:val="006C6736"/>
    <w:pPr>
      <w:spacing w:before="480" w:line="276" w:lineRule="auto"/>
      <w:outlineLvl w:val="9"/>
    </w:pPr>
    <w:rPr>
      <w:rFonts w:asciiTheme="majorHAnsi" w:hAnsiTheme="majorHAnsi"/>
      <w:b w:val="0"/>
      <w:bCs w:val="0"/>
      <w:color w:val="2F5496" w:themeColor="accent1" w:themeShade="BF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6C6736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6C6736"/>
    <w:pPr>
      <w:ind w:left="240"/>
    </w:pPr>
    <w:rPr>
      <w:rFonts w:asciiTheme="minorHAnsi" w:hAnsiTheme="minorHAnsi"/>
      <w:smallCap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C6736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C67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673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6736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Caption">
    <w:name w:val="caption"/>
    <w:basedOn w:val="Normal"/>
    <w:next w:val="Normal"/>
    <w:uiPriority w:val="35"/>
    <w:unhideWhenUsed/>
    <w:qFormat/>
    <w:rsid w:val="006C6736"/>
    <w:pPr>
      <w:spacing w:after="200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6C67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6C6736"/>
    <w:rPr>
      <w:rFonts w:ascii="Times New Roman" w:hAnsi="Times New Roman"/>
      <w:noProof/>
      <w:sz w:val="22"/>
      <w:lang w:val="nl-NL"/>
    </w:rPr>
  </w:style>
  <w:style w:type="paragraph" w:styleId="Footer">
    <w:name w:val="footer"/>
    <w:basedOn w:val="Normal"/>
    <w:link w:val="FooterChar"/>
    <w:uiPriority w:val="99"/>
    <w:unhideWhenUsed/>
    <w:rsid w:val="008A264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264D"/>
    <w:rPr>
      <w:rFonts w:ascii="Times New Roman" w:eastAsia="Times New Roman" w:hAnsi="Times New Roman" w:cs="Times New Roman"/>
      <w:lang w:val="en-GB" w:eastAsia="en-GB"/>
    </w:rPr>
  </w:style>
  <w:style w:type="character" w:styleId="PageNumber">
    <w:name w:val="page number"/>
    <w:basedOn w:val="DefaultParagraphFont"/>
    <w:uiPriority w:val="99"/>
    <w:semiHidden/>
    <w:unhideWhenUsed/>
    <w:rsid w:val="008A264D"/>
  </w:style>
  <w:style w:type="paragraph" w:styleId="Header">
    <w:name w:val="header"/>
    <w:basedOn w:val="Normal"/>
    <w:link w:val="HeaderChar"/>
    <w:uiPriority w:val="99"/>
    <w:unhideWhenUsed/>
    <w:rsid w:val="008A264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264D"/>
    <w:rPr>
      <w:rFonts w:ascii="Times New Roman" w:eastAsia="Times New Roman" w:hAnsi="Times New Roman" w:cs="Times New Roman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1C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1C23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8690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86904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86904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28690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F273D"/>
    <w:rPr>
      <w:color w:val="954F72" w:themeColor="followedHyperlink"/>
      <w:u w:val="single"/>
    </w:rPr>
  </w:style>
  <w:style w:type="paragraph" w:styleId="Bibliography">
    <w:name w:val="Bibliography"/>
    <w:basedOn w:val="Normal"/>
    <w:next w:val="Normal"/>
    <w:uiPriority w:val="37"/>
    <w:unhideWhenUsed/>
    <w:rsid w:val="00090B5A"/>
    <w:pPr>
      <w:tabs>
        <w:tab w:val="left" w:pos="500"/>
      </w:tabs>
      <w:spacing w:line="480" w:lineRule="auto"/>
      <w:ind w:left="720" w:hanging="720"/>
    </w:pPr>
  </w:style>
  <w:style w:type="paragraph" w:styleId="Revision">
    <w:name w:val="Revision"/>
    <w:hidden/>
    <w:uiPriority w:val="99"/>
    <w:semiHidden/>
    <w:rsid w:val="008D76DD"/>
  </w:style>
  <w:style w:type="paragraph" w:styleId="EndnoteText">
    <w:name w:val="endnote text"/>
    <w:basedOn w:val="Normal"/>
    <w:link w:val="EndnoteTextChar"/>
    <w:uiPriority w:val="99"/>
    <w:semiHidden/>
    <w:unhideWhenUsed/>
    <w:rsid w:val="001015A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015A3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EndnoteReference">
    <w:name w:val="endnote reference"/>
    <w:basedOn w:val="DefaultParagraphFont"/>
    <w:uiPriority w:val="99"/>
    <w:semiHidden/>
    <w:unhideWhenUsed/>
    <w:rsid w:val="001015A3"/>
    <w:rPr>
      <w:vertAlign w:val="superscript"/>
    </w:rPr>
  </w:style>
  <w:style w:type="paragraph" w:styleId="ListParagraph">
    <w:name w:val="List Paragraph"/>
    <w:basedOn w:val="Normal"/>
    <w:uiPriority w:val="34"/>
    <w:qFormat/>
    <w:rsid w:val="00262F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5E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E0D"/>
    <w:rPr>
      <w:rFonts w:ascii="Segoe UI" w:eastAsia="Times New Roman" w:hAnsi="Segoe UI" w:cs="Segoe UI"/>
      <w:sz w:val="18"/>
      <w:szCs w:val="18"/>
      <w:lang w:val="en-GB" w:eastAsia="en-GB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mm+wQJdGjy1qPhXbQT42j4bjSQ==">CgMxLjAyCGguZ2pkZ3hzMgloLjMwajB6bGw4AHIhMUlhS2pFRmI2NU40czk0TlR2N2dOcnZQU0E1YzdDcjZY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732</Words>
  <Characters>4175</Characters>
  <Application>Microsoft Office Word</Application>
  <DocSecurity>0</DocSecurity>
  <Lines>34</Lines>
  <Paragraphs>9</Paragraphs>
  <ScaleCrop>false</ScaleCrop>
  <Company/>
  <LinksUpToDate>false</LinksUpToDate>
  <CharactersWithSpaces>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Yannick Kunnen</dc:creator>
  <cp:lastModifiedBy>Yannick Kunnen</cp:lastModifiedBy>
  <cp:revision>8</cp:revision>
  <dcterms:created xsi:type="dcterms:W3CDTF">2022-06-09T14:16:00Z</dcterms:created>
  <dcterms:modified xsi:type="dcterms:W3CDTF">2023-08-21T19:05:00Z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zotero-version="6.0.9-beta.3+d12f3eda6"&gt;&lt;session id="hdty3UtM"/&gt;&lt;style id="http://www.zotero.org/styles/apa" locale="en-US" hasBibliography="1" bibliographyStyleHasBeenSet="1"/&gt;&lt;prefs&gt;&lt;pref name="fieldType" value="Field"/&gt;&lt;pref name</vt:lpwstr>
  </property>
  <property fmtid="{D5CDD505-2E9C-101B-9397-08002B2CF9AE}" pid="3" name="ZOTERO_PREF_2">
    <vt:lpwstr>="automaticJournalAbbreviations" value="true"/&gt;&lt;pref name="dontAskDelayCitationUpdates" value="true"/&gt;&lt;/prefs&gt;&lt;/data&gt;</vt:lpwstr>
  </property>
</Properties>
</file>