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E6A28" w:rsidRPr="00680D3C" w:rsidRDefault="001E6A28">
      <w:pPr>
        <w:widowControl w:val="0"/>
        <w:pBdr>
          <w:top w:val="nil"/>
          <w:left w:val="nil"/>
          <w:bottom w:val="nil"/>
          <w:right w:val="nil"/>
          <w:between w:val="nil"/>
        </w:pBdr>
        <w:spacing w:line="276" w:lineRule="auto"/>
        <w:rPr>
          <w:rFonts w:ascii="Arial" w:eastAsia="Arial" w:hAnsi="Arial" w:cs="Arial"/>
          <w:color w:val="000000"/>
          <w:sz w:val="2"/>
          <w:szCs w:val="2"/>
        </w:rPr>
      </w:pPr>
    </w:p>
    <w:tbl>
      <w:tblPr>
        <w:tblStyle w:val="a"/>
        <w:tblW w:w="13958" w:type="dxa"/>
        <w:tblBorders>
          <w:top w:val="nil"/>
          <w:left w:val="nil"/>
          <w:bottom w:val="nil"/>
          <w:right w:val="nil"/>
          <w:insideH w:val="single" w:sz="8" w:space="0" w:color="000000"/>
          <w:insideV w:val="nil"/>
        </w:tblBorders>
        <w:tblLayout w:type="fixed"/>
        <w:tblLook w:val="0400" w:firstRow="0" w:lastRow="0" w:firstColumn="0" w:lastColumn="0" w:noHBand="0" w:noVBand="1"/>
      </w:tblPr>
      <w:tblGrid>
        <w:gridCol w:w="13958"/>
      </w:tblGrid>
      <w:tr w:rsidR="001E6A28" w14:paraId="49B9080C" w14:textId="77777777">
        <w:trPr>
          <w:trHeight w:val="346"/>
          <w:tblHeader/>
        </w:trPr>
        <w:tc>
          <w:tcPr>
            <w:tcW w:w="13958" w:type="dxa"/>
            <w:shd w:val="clear" w:color="auto" w:fill="auto"/>
          </w:tcPr>
          <w:p w14:paraId="00000002" w14:textId="77777777" w:rsidR="001E6A28" w:rsidRDefault="00000000" w:rsidP="003A2D9C">
            <w:pPr>
              <w:pStyle w:val="Heading1"/>
              <w:numPr>
                <w:ilvl w:val="0"/>
                <w:numId w:val="0"/>
              </w:numPr>
              <w:ind w:left="720" w:hanging="720"/>
            </w:pPr>
            <w:bookmarkStart w:id="0" w:name="_heading=h.gjdgxs" w:colFirst="0" w:colLast="0"/>
            <w:bookmarkEnd w:id="0"/>
            <w:r>
              <w:t>Additional File 3: Characteristics of included studies</w:t>
            </w:r>
          </w:p>
          <w:p w14:paraId="00000003" w14:textId="77777777" w:rsidR="001E6A28" w:rsidRDefault="001E6A28"/>
        </w:tc>
      </w:tr>
    </w:tbl>
    <w:p w14:paraId="00000004" w14:textId="77777777" w:rsidR="001E6A28" w:rsidRDefault="001E6A28">
      <w:pPr>
        <w:rPr>
          <w:sz w:val="2"/>
          <w:szCs w:val="2"/>
        </w:rPr>
      </w:pPr>
    </w:p>
    <w:tbl>
      <w:tblPr>
        <w:tblStyle w:val="a0"/>
        <w:tblW w:w="13958" w:type="dxa"/>
        <w:tblBorders>
          <w:top w:val="nil"/>
          <w:left w:val="nil"/>
          <w:bottom w:val="nil"/>
          <w:right w:val="nil"/>
          <w:insideH w:val="single" w:sz="8" w:space="0" w:color="000000"/>
          <w:insideV w:val="nil"/>
        </w:tblBorders>
        <w:tblLayout w:type="fixed"/>
        <w:tblLook w:val="0400" w:firstRow="0" w:lastRow="0" w:firstColumn="0" w:lastColumn="0" w:noHBand="0" w:noVBand="1"/>
      </w:tblPr>
      <w:tblGrid>
        <w:gridCol w:w="1824"/>
        <w:gridCol w:w="3202"/>
        <w:gridCol w:w="1177"/>
        <w:gridCol w:w="5107"/>
        <w:gridCol w:w="1171"/>
        <w:gridCol w:w="1477"/>
      </w:tblGrid>
      <w:tr w:rsidR="001E6A28" w14:paraId="5A769A1C" w14:textId="77777777">
        <w:trPr>
          <w:trHeight w:val="346"/>
          <w:tblHeader/>
        </w:trPr>
        <w:tc>
          <w:tcPr>
            <w:tcW w:w="13958" w:type="dxa"/>
            <w:gridSpan w:val="6"/>
            <w:shd w:val="clear" w:color="auto" w:fill="auto"/>
          </w:tcPr>
          <w:p w14:paraId="00000005" w14:textId="0C32519A" w:rsidR="001E6A28" w:rsidRDefault="00000000">
            <w:pPr>
              <w:keepNext/>
              <w:pBdr>
                <w:top w:val="nil"/>
                <w:left w:val="nil"/>
                <w:bottom w:val="nil"/>
                <w:right w:val="nil"/>
                <w:between w:val="nil"/>
              </w:pBdr>
              <w:spacing w:after="200"/>
              <w:rPr>
                <w:rFonts w:ascii="Garamond" w:eastAsia="Garamond" w:hAnsi="Garamond" w:cs="Garamond"/>
                <w:b/>
                <w:color w:val="000000"/>
                <w:sz w:val="18"/>
                <w:szCs w:val="18"/>
              </w:rPr>
            </w:pPr>
            <w:bookmarkStart w:id="1" w:name="_heading=h.30j0zll" w:colFirst="0" w:colLast="0"/>
            <w:bookmarkEnd w:id="1"/>
            <w:r>
              <w:rPr>
                <w:rFonts w:ascii="Garamond" w:eastAsia="Garamond" w:hAnsi="Garamond" w:cs="Garamond"/>
                <w:b/>
                <w:color w:val="000000"/>
                <w:sz w:val="18"/>
                <w:szCs w:val="18"/>
              </w:rPr>
              <w:t xml:space="preserve">Table </w:t>
            </w:r>
            <w:r w:rsidR="004D407B">
              <w:rPr>
                <w:rFonts w:ascii="Garamond" w:eastAsia="Garamond" w:hAnsi="Garamond" w:cs="Garamond"/>
                <w:b/>
                <w:sz w:val="18"/>
                <w:szCs w:val="18"/>
              </w:rPr>
              <w:t>B1</w:t>
            </w:r>
            <w:r>
              <w:rPr>
                <w:rFonts w:ascii="Garamond" w:eastAsia="Garamond" w:hAnsi="Garamond" w:cs="Garamond"/>
                <w:b/>
                <w:color w:val="000000"/>
                <w:sz w:val="18"/>
                <w:szCs w:val="18"/>
              </w:rPr>
              <w:t xml:space="preserve">: </w:t>
            </w:r>
            <w:r>
              <w:rPr>
                <w:rFonts w:ascii="Garamond" w:eastAsia="Garamond" w:hAnsi="Garamond" w:cs="Garamond"/>
                <w:color w:val="000000"/>
                <w:sz w:val="18"/>
                <w:szCs w:val="18"/>
              </w:rPr>
              <w:t>Summary of the characteristics and relevant findings of included articles for the literature review. A cross (X) indicates that a facilitator or barrier was not mentioned in an article.</w:t>
            </w:r>
          </w:p>
        </w:tc>
      </w:tr>
      <w:tr w:rsidR="001E6A28" w14:paraId="130317A4" w14:textId="77777777" w:rsidTr="00BD091D">
        <w:trPr>
          <w:trHeight w:val="346"/>
          <w:tblHeader/>
        </w:trPr>
        <w:tc>
          <w:tcPr>
            <w:tcW w:w="1824" w:type="dxa"/>
            <w:shd w:val="clear" w:color="auto" w:fill="auto"/>
          </w:tcPr>
          <w:p w14:paraId="0000000B"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Author(s) (year)</w:t>
            </w:r>
          </w:p>
          <w:p w14:paraId="0000000C"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Journal</w:t>
            </w:r>
          </w:p>
        </w:tc>
        <w:tc>
          <w:tcPr>
            <w:tcW w:w="3202" w:type="dxa"/>
            <w:tcBorders>
              <w:top w:val="single" w:sz="8" w:space="0" w:color="000000"/>
              <w:bottom w:val="single" w:sz="8" w:space="0" w:color="auto"/>
            </w:tcBorders>
            <w:shd w:val="clear" w:color="auto" w:fill="auto"/>
          </w:tcPr>
          <w:p w14:paraId="0000000D" w14:textId="77777777" w:rsidR="001E6A28" w:rsidRDefault="00000000">
            <w:pPr>
              <w:spacing w:line="276" w:lineRule="auto"/>
              <w:rPr>
                <w:rFonts w:ascii="Garamond" w:eastAsia="Garamond" w:hAnsi="Garamond" w:cs="Garamond"/>
                <w:b/>
                <w:i/>
                <w:color w:val="000000"/>
                <w:sz w:val="20"/>
                <w:szCs w:val="20"/>
              </w:rPr>
            </w:pPr>
            <w:r>
              <w:rPr>
                <w:rFonts w:ascii="Garamond" w:eastAsia="Garamond" w:hAnsi="Garamond" w:cs="Garamond"/>
                <w:b/>
                <w:color w:val="000000"/>
                <w:sz w:val="20"/>
                <w:szCs w:val="20"/>
              </w:rPr>
              <w:t xml:space="preserve">• Country, study setting </w:t>
            </w:r>
          </w:p>
          <w:p w14:paraId="0000000E"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Research aim</w:t>
            </w:r>
          </w:p>
        </w:tc>
        <w:tc>
          <w:tcPr>
            <w:tcW w:w="1177" w:type="dxa"/>
            <w:tcBorders>
              <w:top w:val="single" w:sz="8" w:space="0" w:color="000000"/>
              <w:bottom w:val="single" w:sz="8" w:space="0" w:color="auto"/>
            </w:tcBorders>
          </w:tcPr>
          <w:p w14:paraId="0000000F"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Research method </w:t>
            </w:r>
          </w:p>
        </w:tc>
        <w:tc>
          <w:tcPr>
            <w:tcW w:w="5107" w:type="dxa"/>
            <w:tcBorders>
              <w:top w:val="single" w:sz="8" w:space="0" w:color="000000"/>
              <w:bottom w:val="single" w:sz="8" w:space="0" w:color="auto"/>
            </w:tcBorders>
            <w:shd w:val="clear" w:color="auto" w:fill="auto"/>
          </w:tcPr>
          <w:p w14:paraId="00000010" w14:textId="77777777" w:rsidR="001E6A28" w:rsidRDefault="00000000">
            <w:pPr>
              <w:spacing w:line="276" w:lineRule="auto"/>
              <w:rPr>
                <w:rFonts w:ascii="Garamond" w:eastAsia="Garamond" w:hAnsi="Garamond" w:cs="Garamond"/>
                <w:b/>
                <w:color w:val="FF0000"/>
                <w:sz w:val="20"/>
                <w:szCs w:val="20"/>
              </w:rPr>
            </w:pPr>
            <w:r>
              <w:rPr>
                <w:rFonts w:ascii="Garamond" w:eastAsia="Garamond" w:hAnsi="Garamond" w:cs="Garamond"/>
                <w:b/>
                <w:color w:val="000000"/>
                <w:sz w:val="20"/>
                <w:szCs w:val="20"/>
              </w:rPr>
              <w:t>Main findings</w:t>
            </w:r>
          </w:p>
        </w:tc>
        <w:tc>
          <w:tcPr>
            <w:tcW w:w="1171" w:type="dxa"/>
            <w:shd w:val="clear" w:color="auto" w:fill="auto"/>
          </w:tcPr>
          <w:p w14:paraId="00000011" w14:textId="77777777" w:rsidR="001E6A28" w:rsidRDefault="00000000">
            <w:pPr>
              <w:rPr>
                <w:rFonts w:ascii="Garamond" w:eastAsia="Garamond" w:hAnsi="Garamond" w:cs="Garamond"/>
                <w:b/>
                <w:sz w:val="20"/>
                <w:szCs w:val="20"/>
              </w:rPr>
            </w:pPr>
            <w:r>
              <w:rPr>
                <w:rFonts w:ascii="Garamond" w:eastAsia="Garamond" w:hAnsi="Garamond" w:cs="Garamond"/>
                <w:b/>
                <w:color w:val="000000"/>
                <w:sz w:val="20"/>
                <w:szCs w:val="20"/>
              </w:rPr>
              <w:t xml:space="preserve">Facilitators in study </w:t>
            </w:r>
          </w:p>
        </w:tc>
        <w:tc>
          <w:tcPr>
            <w:tcW w:w="1477" w:type="dxa"/>
          </w:tcPr>
          <w:p w14:paraId="00000012"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Barriers in study </w:t>
            </w:r>
          </w:p>
        </w:tc>
      </w:tr>
      <w:tr w:rsidR="003A2D9C" w14:paraId="461D4A64" w14:textId="77777777" w:rsidTr="00BD091D">
        <w:tc>
          <w:tcPr>
            <w:tcW w:w="1824" w:type="dxa"/>
            <w:tcBorders>
              <w:top w:val="single" w:sz="8" w:space="0" w:color="auto"/>
            </w:tcBorders>
          </w:tcPr>
          <w:p w14:paraId="7DD6E8E6" w14:textId="1B4B70CB" w:rsidR="003A2D9C" w:rsidRPr="003A2D9C" w:rsidRDefault="003A2D9C" w:rsidP="003A2D9C">
            <w:pPr>
              <w:spacing w:line="276" w:lineRule="auto"/>
              <w:rPr>
                <w:rFonts w:ascii="Garamond" w:eastAsia="Garamond" w:hAnsi="Garamond" w:cs="Garamond"/>
                <w:color w:val="000000"/>
                <w:sz w:val="20"/>
                <w:szCs w:val="20"/>
              </w:rPr>
            </w:pPr>
            <w:r w:rsidRPr="003A2D9C">
              <w:rPr>
                <w:rFonts w:ascii="Garamond" w:eastAsia="Garamond" w:hAnsi="Garamond" w:cs="Garamond"/>
                <w:color w:val="000000"/>
                <w:sz w:val="20"/>
                <w:szCs w:val="20"/>
              </w:rPr>
              <w:t xml:space="preserve">Abdallah and </w:t>
            </w:r>
            <w:proofErr w:type="spellStart"/>
            <w:r w:rsidRPr="003A2D9C">
              <w:rPr>
                <w:rFonts w:ascii="Garamond" w:eastAsia="Garamond" w:hAnsi="Garamond" w:cs="Garamond"/>
                <w:color w:val="000000"/>
                <w:sz w:val="20"/>
                <w:szCs w:val="20"/>
              </w:rPr>
              <w:t>Alkhaldi</w:t>
            </w:r>
            <w:proofErr w:type="spellEnd"/>
            <w:r w:rsidRPr="003A2D9C">
              <w:rPr>
                <w:rFonts w:ascii="Garamond" w:eastAsia="Garamond" w:hAnsi="Garamond" w:cs="Garamond"/>
                <w:color w:val="000000"/>
                <w:sz w:val="20"/>
                <w:szCs w:val="20"/>
              </w:rPr>
              <w:t xml:space="preserve"> [4</w:t>
            </w:r>
            <w:r w:rsidR="002C68C0">
              <w:rPr>
                <w:rFonts w:ascii="Garamond" w:eastAsia="Garamond" w:hAnsi="Garamond" w:cs="Garamond"/>
                <w:color w:val="000000"/>
                <w:sz w:val="20"/>
                <w:szCs w:val="20"/>
              </w:rPr>
              <w:t>4</w:t>
            </w:r>
            <w:r w:rsidRPr="003A2D9C">
              <w:rPr>
                <w:rFonts w:ascii="Garamond" w:eastAsia="Garamond" w:hAnsi="Garamond" w:cs="Garamond"/>
                <w:color w:val="000000"/>
                <w:sz w:val="20"/>
                <w:szCs w:val="20"/>
              </w:rPr>
              <w:t>]</w:t>
            </w:r>
          </w:p>
          <w:p w14:paraId="63102F51" w14:textId="38B1B498" w:rsidR="003A2D9C" w:rsidRDefault="003A2D9C" w:rsidP="003A2D9C">
            <w:pPr>
              <w:spacing w:line="276" w:lineRule="auto"/>
              <w:rPr>
                <w:rFonts w:ascii="Garamond" w:eastAsia="Garamond" w:hAnsi="Garamond" w:cs="Garamond"/>
                <w:color w:val="000000"/>
                <w:sz w:val="20"/>
                <w:szCs w:val="20"/>
              </w:rPr>
            </w:pPr>
            <w:r w:rsidRPr="003A2D9C">
              <w:rPr>
                <w:rFonts w:ascii="Garamond" w:eastAsia="Garamond" w:hAnsi="Garamond" w:cs="Garamond"/>
                <w:color w:val="000000"/>
                <w:sz w:val="20"/>
                <w:szCs w:val="20"/>
              </w:rPr>
              <w:t>• Journal of Health Organization and Management</w:t>
            </w:r>
          </w:p>
        </w:tc>
        <w:tc>
          <w:tcPr>
            <w:tcW w:w="3202" w:type="dxa"/>
            <w:tcBorders>
              <w:top w:val="single" w:sz="8" w:space="0" w:color="auto"/>
            </w:tcBorders>
          </w:tcPr>
          <w:p w14:paraId="23B081E7" w14:textId="77777777" w:rsidR="003A2D9C" w:rsidRPr="003A2D9C" w:rsidRDefault="003A2D9C" w:rsidP="003A2D9C">
            <w:pPr>
              <w:spacing w:line="276" w:lineRule="auto"/>
              <w:rPr>
                <w:rFonts w:ascii="Garamond" w:eastAsia="Garamond" w:hAnsi="Garamond" w:cs="Garamond"/>
                <w:color w:val="000000"/>
                <w:sz w:val="20"/>
                <w:szCs w:val="20"/>
              </w:rPr>
            </w:pPr>
            <w:r w:rsidRPr="003A2D9C">
              <w:rPr>
                <w:rFonts w:ascii="Garamond" w:eastAsia="Garamond" w:hAnsi="Garamond" w:cs="Garamond"/>
                <w:color w:val="000000"/>
                <w:sz w:val="20"/>
                <w:szCs w:val="20"/>
              </w:rPr>
              <w:t>• Jordan, scoping review</w:t>
            </w:r>
          </w:p>
          <w:p w14:paraId="457431C4" w14:textId="77777777" w:rsidR="003A2D9C" w:rsidRPr="003A2D9C" w:rsidRDefault="003A2D9C" w:rsidP="003A2D9C">
            <w:pPr>
              <w:spacing w:line="276" w:lineRule="auto"/>
              <w:rPr>
                <w:rFonts w:ascii="Garamond" w:eastAsia="Garamond" w:hAnsi="Garamond" w:cs="Garamond"/>
                <w:color w:val="000000"/>
                <w:sz w:val="20"/>
                <w:szCs w:val="20"/>
              </w:rPr>
            </w:pPr>
            <w:r w:rsidRPr="003A2D9C">
              <w:rPr>
                <w:rFonts w:ascii="Garamond" w:eastAsia="Garamond" w:hAnsi="Garamond" w:cs="Garamond"/>
                <w:color w:val="000000"/>
                <w:sz w:val="20"/>
                <w:szCs w:val="20"/>
              </w:rPr>
              <w:t>• Identify research gaps and provide recommendations for future research on LM in healthcare</w:t>
            </w:r>
          </w:p>
          <w:p w14:paraId="7EF423F8" w14:textId="77777777" w:rsidR="003A2D9C" w:rsidRDefault="003A2D9C">
            <w:pPr>
              <w:spacing w:line="276" w:lineRule="auto"/>
              <w:rPr>
                <w:rFonts w:ascii="Garamond" w:eastAsia="Garamond" w:hAnsi="Garamond" w:cs="Garamond"/>
                <w:color w:val="000000"/>
                <w:sz w:val="20"/>
                <w:szCs w:val="20"/>
              </w:rPr>
            </w:pPr>
          </w:p>
        </w:tc>
        <w:tc>
          <w:tcPr>
            <w:tcW w:w="1177" w:type="dxa"/>
            <w:tcBorders>
              <w:top w:val="single" w:sz="8" w:space="0" w:color="auto"/>
            </w:tcBorders>
          </w:tcPr>
          <w:p w14:paraId="7714D05C" w14:textId="4AD44882" w:rsidR="003A2D9C" w:rsidRDefault="003A2D9C">
            <w:pPr>
              <w:spacing w:line="276" w:lineRule="auto"/>
              <w:rPr>
                <w:rFonts w:ascii="Garamond" w:eastAsia="Garamond" w:hAnsi="Garamond" w:cs="Garamond"/>
                <w:color w:val="000000"/>
                <w:sz w:val="20"/>
                <w:szCs w:val="20"/>
              </w:rPr>
            </w:pPr>
            <w:r w:rsidRPr="003A2D9C">
              <w:rPr>
                <w:rFonts w:ascii="Garamond" w:eastAsia="Garamond" w:hAnsi="Garamond" w:cs="Garamond"/>
                <w:color w:val="000000"/>
                <w:sz w:val="20"/>
                <w:szCs w:val="20"/>
              </w:rPr>
              <w:t>Literature review</w:t>
            </w:r>
          </w:p>
        </w:tc>
        <w:tc>
          <w:tcPr>
            <w:tcW w:w="5107" w:type="dxa"/>
            <w:tcBorders>
              <w:top w:val="single" w:sz="8" w:space="0" w:color="auto"/>
            </w:tcBorders>
          </w:tcPr>
          <w:p w14:paraId="748A4F95" w14:textId="0A0174E7" w:rsidR="003A2D9C" w:rsidRDefault="003A2D9C">
            <w:pPr>
              <w:spacing w:line="276" w:lineRule="auto"/>
              <w:rPr>
                <w:rFonts w:ascii="Garamond" w:eastAsia="Garamond" w:hAnsi="Garamond" w:cs="Garamond"/>
                <w:color w:val="000000"/>
                <w:sz w:val="20"/>
                <w:szCs w:val="20"/>
              </w:rPr>
            </w:pPr>
            <w:r w:rsidRPr="003A2D9C">
              <w:rPr>
                <w:rFonts w:ascii="Garamond" w:eastAsia="Garamond" w:hAnsi="Garamond" w:cs="Garamond"/>
                <w:color w:val="000000"/>
                <w:sz w:val="20"/>
                <w:szCs w:val="20"/>
              </w:rPr>
              <w:t>Most studies demonstrated application of selective LM practices in healthcare as opposed to LM bundles, which comprehensively reviews LM and all of its aspects in a multidimensional approach. Adopting LM bundles (i.e. TQM, HRM, JIT, and TPM) may aid HCOs to maximise their performance.</w:t>
            </w:r>
          </w:p>
        </w:tc>
        <w:tc>
          <w:tcPr>
            <w:tcW w:w="1171" w:type="dxa"/>
          </w:tcPr>
          <w:p w14:paraId="791BF233" w14:textId="5F316125" w:rsidR="003A2D9C" w:rsidRPr="003A2D9C" w:rsidRDefault="00397318">
            <w:pPr>
              <w:spacing w:line="276" w:lineRule="auto"/>
              <w:rPr>
                <w:rFonts w:ascii="Garamond" w:hAnsi="Garamond"/>
                <w:sz w:val="20"/>
                <w:szCs w:val="20"/>
              </w:rPr>
            </w:pPr>
            <w:r>
              <w:rPr>
                <w:rFonts w:ascii="Garamond" w:hAnsi="Garamond"/>
                <w:sz w:val="20"/>
                <w:szCs w:val="20"/>
              </w:rPr>
              <w:t xml:space="preserve">1a, </w:t>
            </w:r>
            <w:r w:rsidR="003A2D9C" w:rsidRPr="003A2D9C">
              <w:rPr>
                <w:rFonts w:ascii="Garamond" w:hAnsi="Garamond"/>
                <w:sz w:val="20"/>
                <w:szCs w:val="20"/>
              </w:rPr>
              <w:t xml:space="preserve">1b, 2a, 2b, 3a, 3b, </w:t>
            </w:r>
            <w:r>
              <w:rPr>
                <w:rFonts w:ascii="Garamond" w:hAnsi="Garamond"/>
                <w:sz w:val="20"/>
                <w:szCs w:val="20"/>
              </w:rPr>
              <w:t>3c</w:t>
            </w:r>
          </w:p>
        </w:tc>
        <w:tc>
          <w:tcPr>
            <w:tcW w:w="1477" w:type="dxa"/>
          </w:tcPr>
          <w:p w14:paraId="40277E19" w14:textId="21C5BEB9" w:rsidR="003A2D9C" w:rsidRPr="003A2D9C" w:rsidRDefault="003A2D9C">
            <w:pPr>
              <w:spacing w:line="276" w:lineRule="auto"/>
              <w:rPr>
                <w:rFonts w:ascii="Garamond" w:hAnsi="Garamond"/>
                <w:sz w:val="20"/>
                <w:szCs w:val="20"/>
              </w:rPr>
            </w:pPr>
            <w:r w:rsidRPr="003A2D9C">
              <w:rPr>
                <w:rFonts w:ascii="Garamond" w:hAnsi="Garamond"/>
                <w:sz w:val="20"/>
                <w:szCs w:val="20"/>
              </w:rPr>
              <w:t xml:space="preserve">2a, </w:t>
            </w:r>
            <w:r w:rsidR="00397318">
              <w:rPr>
                <w:rFonts w:ascii="Garamond" w:hAnsi="Garamond"/>
                <w:sz w:val="20"/>
                <w:szCs w:val="20"/>
              </w:rPr>
              <w:t>3b</w:t>
            </w:r>
          </w:p>
        </w:tc>
      </w:tr>
      <w:tr w:rsidR="001E6A28" w14:paraId="4B7A1899" w14:textId="77777777">
        <w:tc>
          <w:tcPr>
            <w:tcW w:w="1824" w:type="dxa"/>
          </w:tcPr>
          <w:p w14:paraId="0000001C" w14:textId="12E25140"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 </w:t>
            </w:r>
            <w:proofErr w:type="spellStart"/>
            <w:r>
              <w:rPr>
                <w:rFonts w:ascii="Garamond" w:eastAsia="Garamond" w:hAnsi="Garamond" w:cs="Garamond"/>
                <w:color w:val="000000"/>
                <w:sz w:val="20"/>
                <w:szCs w:val="20"/>
              </w:rPr>
              <w:t>Aij</w:t>
            </w:r>
            <w:proofErr w:type="spellEnd"/>
            <w:r>
              <w:rPr>
                <w:rFonts w:ascii="Garamond" w:eastAsia="Garamond" w:hAnsi="Garamond" w:cs="Garamond"/>
                <w:color w:val="000000"/>
                <w:sz w:val="20"/>
                <w:szCs w:val="20"/>
              </w:rPr>
              <w:t xml:space="preserve"> and </w:t>
            </w:r>
            <w:proofErr w:type="spellStart"/>
            <w:r>
              <w:rPr>
                <w:rFonts w:ascii="Garamond" w:eastAsia="Garamond" w:hAnsi="Garamond" w:cs="Garamond"/>
                <w:color w:val="000000"/>
                <w:sz w:val="20"/>
                <w:szCs w:val="20"/>
              </w:rPr>
              <w:t>Teunissen</w:t>
            </w:r>
            <w:proofErr w:type="spellEnd"/>
            <w:r>
              <w:rPr>
                <w:rFonts w:ascii="Garamond" w:eastAsia="Garamond" w:hAnsi="Garamond" w:cs="Garamond"/>
                <w:color w:val="000000"/>
                <w:sz w:val="20"/>
                <w:szCs w:val="20"/>
              </w:rPr>
              <w:t xml:space="preserve"> [</w:t>
            </w:r>
            <w:r w:rsidR="003A2D9C">
              <w:rPr>
                <w:rFonts w:ascii="Garamond" w:eastAsia="Garamond" w:hAnsi="Garamond" w:cs="Garamond"/>
                <w:color w:val="000000"/>
                <w:sz w:val="20"/>
                <w:szCs w:val="20"/>
              </w:rPr>
              <w:t>3</w:t>
            </w:r>
            <w:r w:rsidR="002C68C0">
              <w:rPr>
                <w:rFonts w:ascii="Garamond" w:eastAsia="Garamond" w:hAnsi="Garamond" w:cs="Garamond"/>
                <w:color w:val="000000"/>
                <w:sz w:val="20"/>
                <w:szCs w:val="20"/>
              </w:rPr>
              <w:t>5</w:t>
            </w:r>
            <w:r>
              <w:rPr>
                <w:rFonts w:ascii="Garamond" w:eastAsia="Garamond" w:hAnsi="Garamond" w:cs="Garamond"/>
                <w:color w:val="000000"/>
                <w:sz w:val="20"/>
                <w:szCs w:val="20"/>
              </w:rPr>
              <w:t>]</w:t>
            </w:r>
          </w:p>
          <w:p w14:paraId="0000001D"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 Organization and Management</w:t>
            </w:r>
          </w:p>
        </w:tc>
        <w:tc>
          <w:tcPr>
            <w:tcW w:w="3202" w:type="dxa"/>
          </w:tcPr>
          <w:p w14:paraId="0000001E"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NL, systematic literature review</w:t>
            </w:r>
          </w:p>
          <w:p w14:paraId="0000001F"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Identify ideal leadership attributes to achieve LM in HCOs</w:t>
            </w:r>
          </w:p>
        </w:tc>
        <w:tc>
          <w:tcPr>
            <w:tcW w:w="1177" w:type="dxa"/>
          </w:tcPr>
          <w:p w14:paraId="00000020"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Literature review </w:t>
            </w:r>
          </w:p>
        </w:tc>
        <w:tc>
          <w:tcPr>
            <w:tcW w:w="5107" w:type="dxa"/>
          </w:tcPr>
          <w:p w14:paraId="00000021" w14:textId="1189B1BE"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Attributes of Lean leadership values were identified that can aid to achieve desired outcomes concerning workers and processes in an organisation.</w:t>
            </w:r>
          </w:p>
        </w:tc>
        <w:tc>
          <w:tcPr>
            <w:tcW w:w="1171" w:type="dxa"/>
          </w:tcPr>
          <w:p w14:paraId="00000022" w14:textId="6A747FF1"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 xml:space="preserve">1a, 1c, 2a, 2b, 3a, 3b, </w:t>
            </w:r>
            <w:r w:rsidR="002C2CC4">
              <w:rPr>
                <w:rFonts w:ascii="Garamond" w:eastAsia="Garamond" w:hAnsi="Garamond" w:cs="Garamond"/>
                <w:color w:val="000000"/>
                <w:sz w:val="20"/>
                <w:szCs w:val="20"/>
              </w:rPr>
              <w:t>3c</w:t>
            </w:r>
          </w:p>
        </w:tc>
        <w:tc>
          <w:tcPr>
            <w:tcW w:w="1477" w:type="dxa"/>
          </w:tcPr>
          <w:p w14:paraId="00000023" w14:textId="6A57B93E"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1b, 2a</w:t>
            </w:r>
          </w:p>
        </w:tc>
      </w:tr>
      <w:tr w:rsidR="001E6A28" w14:paraId="2A90F5D1" w14:textId="77777777">
        <w:tc>
          <w:tcPr>
            <w:tcW w:w="1824" w:type="dxa"/>
          </w:tcPr>
          <w:p w14:paraId="00000024" w14:textId="197FCEF6"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Akmal et al. [</w:t>
            </w:r>
            <w:r w:rsidR="002C68C0">
              <w:rPr>
                <w:rFonts w:ascii="Garamond" w:eastAsia="Garamond" w:hAnsi="Garamond" w:cs="Garamond"/>
                <w:color w:val="000000"/>
                <w:sz w:val="20"/>
                <w:szCs w:val="20"/>
              </w:rPr>
              <w:t>4</w:t>
            </w:r>
            <w:r>
              <w:rPr>
                <w:rFonts w:ascii="Garamond" w:eastAsia="Garamond" w:hAnsi="Garamond" w:cs="Garamond"/>
                <w:color w:val="000000"/>
                <w:sz w:val="20"/>
                <w:szCs w:val="20"/>
              </w:rPr>
              <w:t>]</w:t>
            </w:r>
          </w:p>
          <w:p w14:paraId="0000002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Health Policy</w:t>
            </w:r>
          </w:p>
        </w:tc>
        <w:tc>
          <w:tcPr>
            <w:tcW w:w="3202" w:type="dxa"/>
          </w:tcPr>
          <w:p w14:paraId="00000026"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NZ, systematic literature review</w:t>
            </w:r>
          </w:p>
          <w:p w14:paraId="00000027"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b/>
                <w:color w:val="000000"/>
                <w:sz w:val="20"/>
                <w:szCs w:val="20"/>
              </w:rPr>
              <w:t>•</w:t>
            </w:r>
            <w:r>
              <w:rPr>
                <w:rFonts w:ascii="Garamond" w:eastAsia="Garamond" w:hAnsi="Garamond" w:cs="Garamond"/>
                <w:color w:val="000000"/>
                <w:sz w:val="20"/>
                <w:szCs w:val="20"/>
              </w:rPr>
              <w:t xml:space="preserve"> Identify core LM characteristics and find the relationship between LM and HSCM</w:t>
            </w:r>
          </w:p>
        </w:tc>
        <w:tc>
          <w:tcPr>
            <w:tcW w:w="1177" w:type="dxa"/>
          </w:tcPr>
          <w:p w14:paraId="00000028"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color w:val="000000"/>
                <w:sz w:val="20"/>
                <w:szCs w:val="20"/>
              </w:rPr>
              <w:t>Literature review</w:t>
            </w:r>
          </w:p>
        </w:tc>
        <w:tc>
          <w:tcPr>
            <w:tcW w:w="5107" w:type="dxa"/>
          </w:tcPr>
          <w:p w14:paraId="00000029"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This study has found that LM in healthcare is still in its infancy. Furthermore, a lack of system wide LM implementation in healthcare, which contradicts the core LM principles was highlighted in this study.</w:t>
            </w:r>
          </w:p>
        </w:tc>
        <w:tc>
          <w:tcPr>
            <w:tcW w:w="1171" w:type="dxa"/>
          </w:tcPr>
          <w:p w14:paraId="0000002A" w14:textId="29828C8A"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 xml:space="preserve">3a, </w:t>
            </w:r>
            <w:r w:rsidR="002C2CC4">
              <w:rPr>
                <w:rFonts w:ascii="Garamond" w:eastAsia="Garamond" w:hAnsi="Garamond" w:cs="Garamond"/>
                <w:color w:val="000000"/>
                <w:sz w:val="20"/>
                <w:szCs w:val="20"/>
              </w:rPr>
              <w:t>3b</w:t>
            </w:r>
            <w:r w:rsidR="003A2D9C" w:rsidRPr="003A2D9C">
              <w:rPr>
                <w:rFonts w:ascii="Garamond" w:eastAsia="Garamond" w:hAnsi="Garamond" w:cs="Garamond"/>
                <w:color w:val="000000"/>
                <w:sz w:val="20"/>
                <w:szCs w:val="20"/>
              </w:rPr>
              <w:t xml:space="preserve"> </w:t>
            </w:r>
          </w:p>
          <w:p w14:paraId="0000002B" w14:textId="1BBDDABE" w:rsidR="001E6A28" w:rsidRPr="00BD091D" w:rsidRDefault="001E6A28">
            <w:pPr>
              <w:spacing w:line="276" w:lineRule="auto"/>
              <w:rPr>
                <w:rFonts w:ascii="Garamond" w:eastAsia="Garamond" w:hAnsi="Garamond" w:cs="Garamond"/>
                <w:color w:val="000000"/>
                <w:sz w:val="20"/>
                <w:szCs w:val="20"/>
              </w:rPr>
            </w:pPr>
          </w:p>
        </w:tc>
        <w:tc>
          <w:tcPr>
            <w:tcW w:w="1477" w:type="dxa"/>
          </w:tcPr>
          <w:p w14:paraId="0000002C" w14:textId="105659EF" w:rsidR="001E6A28" w:rsidRPr="00BD091D" w:rsidRDefault="002C2CC4">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3b</w:t>
            </w:r>
          </w:p>
        </w:tc>
      </w:tr>
      <w:tr w:rsidR="001E6A28" w14:paraId="3ED68B07" w14:textId="77777777">
        <w:trPr>
          <w:trHeight w:val="268"/>
        </w:trPr>
        <w:tc>
          <w:tcPr>
            <w:tcW w:w="1824" w:type="dxa"/>
          </w:tcPr>
          <w:p w14:paraId="0000002D" w14:textId="6B648DF9"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Azevedo et al. [3</w:t>
            </w:r>
            <w:r w:rsidR="002C68C0">
              <w:rPr>
                <w:rFonts w:ascii="Garamond" w:eastAsia="Garamond" w:hAnsi="Garamond" w:cs="Garamond"/>
                <w:color w:val="000000"/>
                <w:sz w:val="20"/>
                <w:szCs w:val="20"/>
              </w:rPr>
              <w:t>3</w:t>
            </w:r>
            <w:r>
              <w:rPr>
                <w:rFonts w:ascii="Garamond" w:eastAsia="Garamond" w:hAnsi="Garamond" w:cs="Garamond"/>
                <w:color w:val="000000"/>
                <w:sz w:val="20"/>
                <w:szCs w:val="20"/>
              </w:rPr>
              <w:t>]</w:t>
            </w:r>
          </w:p>
          <w:p w14:paraId="0000002E"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Health Care Management Review</w:t>
            </w:r>
          </w:p>
        </w:tc>
        <w:tc>
          <w:tcPr>
            <w:tcW w:w="3202" w:type="dxa"/>
          </w:tcPr>
          <w:p w14:paraId="0000002F"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US, multi-case study in ten Veterans Health Administration medical centres</w:t>
            </w:r>
            <w:r>
              <w:rPr>
                <w:rFonts w:ascii="Garamond" w:eastAsia="Garamond" w:hAnsi="Garamond" w:cs="Garamond"/>
                <w:b/>
                <w:color w:val="000000"/>
                <w:sz w:val="20"/>
                <w:szCs w:val="20"/>
              </w:rPr>
              <w:br/>
              <w:t>•</w:t>
            </w:r>
            <w:r>
              <w:rPr>
                <w:rFonts w:ascii="Garamond" w:eastAsia="Garamond" w:hAnsi="Garamond" w:cs="Garamond"/>
                <w:sz w:val="20"/>
                <w:szCs w:val="20"/>
              </w:rPr>
              <w:t xml:space="preserve"> </w:t>
            </w:r>
            <w:r>
              <w:rPr>
                <w:rFonts w:ascii="Garamond" w:eastAsia="Garamond" w:hAnsi="Garamond" w:cs="Garamond"/>
                <w:color w:val="000000"/>
                <w:sz w:val="20"/>
                <w:szCs w:val="20"/>
              </w:rPr>
              <w:t>Evaluate barriers and facilitators to LM implementation</w:t>
            </w:r>
            <w:r>
              <w:rPr>
                <w:rFonts w:ascii="Garamond" w:eastAsia="Garamond" w:hAnsi="Garamond" w:cs="Garamond"/>
                <w:b/>
                <w:color w:val="000000"/>
                <w:sz w:val="20"/>
                <w:szCs w:val="20"/>
              </w:rPr>
              <w:t xml:space="preserve"> </w:t>
            </w:r>
          </w:p>
        </w:tc>
        <w:tc>
          <w:tcPr>
            <w:tcW w:w="1177" w:type="dxa"/>
          </w:tcPr>
          <w:p w14:paraId="00000030" w14:textId="77777777" w:rsidR="001E6A28" w:rsidRDefault="00000000">
            <w:pPr>
              <w:spacing w:line="276" w:lineRule="auto"/>
              <w:rPr>
                <w:rFonts w:ascii="Garamond" w:eastAsia="Garamond" w:hAnsi="Garamond" w:cs="Garamond"/>
                <w:i/>
                <w:color w:val="000000"/>
                <w:sz w:val="20"/>
                <w:szCs w:val="20"/>
              </w:rPr>
            </w:pPr>
            <w:r>
              <w:rPr>
                <w:rFonts w:ascii="Garamond" w:eastAsia="Garamond" w:hAnsi="Garamond" w:cs="Garamond"/>
                <w:color w:val="000000"/>
                <w:sz w:val="20"/>
                <w:szCs w:val="20"/>
              </w:rPr>
              <w:t>Qualitative</w:t>
            </w:r>
            <w:r>
              <w:rPr>
                <w:rFonts w:ascii="Garamond" w:eastAsia="Garamond" w:hAnsi="Garamond" w:cs="Garamond"/>
                <w:color w:val="000000"/>
                <w:sz w:val="20"/>
                <w:szCs w:val="20"/>
              </w:rPr>
              <w:br/>
            </w:r>
          </w:p>
        </w:tc>
        <w:tc>
          <w:tcPr>
            <w:tcW w:w="5107" w:type="dxa"/>
          </w:tcPr>
          <w:p w14:paraId="00000031"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A cultural transformation was achieved during LM implementation, which was facilitated through careful planning, scoping, </w:t>
            </w:r>
            <w:proofErr w:type="gramStart"/>
            <w:r>
              <w:rPr>
                <w:rFonts w:ascii="Garamond" w:eastAsia="Garamond" w:hAnsi="Garamond" w:cs="Garamond"/>
                <w:color w:val="000000"/>
                <w:sz w:val="20"/>
                <w:szCs w:val="20"/>
              </w:rPr>
              <w:t>pacing</w:t>
            </w:r>
            <w:proofErr w:type="gramEnd"/>
            <w:r>
              <w:rPr>
                <w:rFonts w:ascii="Garamond" w:eastAsia="Garamond" w:hAnsi="Garamond" w:cs="Garamond"/>
                <w:color w:val="000000"/>
                <w:sz w:val="20"/>
                <w:szCs w:val="20"/>
              </w:rPr>
              <w:t xml:space="preserve"> and implementing accountability measures. This study has demonstrated the importance of training and coaching to cement LM in daily routine.</w:t>
            </w:r>
          </w:p>
        </w:tc>
        <w:tc>
          <w:tcPr>
            <w:tcW w:w="1171" w:type="dxa"/>
          </w:tcPr>
          <w:p w14:paraId="00000032" w14:textId="2C637308"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1c</w:t>
            </w:r>
          </w:p>
        </w:tc>
        <w:tc>
          <w:tcPr>
            <w:tcW w:w="1477" w:type="dxa"/>
          </w:tcPr>
          <w:p w14:paraId="00000033" w14:textId="541E0D21"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2a, 2b</w:t>
            </w:r>
          </w:p>
        </w:tc>
      </w:tr>
      <w:tr w:rsidR="001E6A28" w14:paraId="1384A9CA" w14:textId="77777777">
        <w:tc>
          <w:tcPr>
            <w:tcW w:w="1824" w:type="dxa"/>
          </w:tcPr>
          <w:p w14:paraId="00000034" w14:textId="32D2272A"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Card [</w:t>
            </w:r>
            <w:r w:rsidR="003A2D9C">
              <w:rPr>
                <w:rFonts w:ascii="Garamond" w:eastAsia="Garamond" w:hAnsi="Garamond" w:cs="Garamond"/>
                <w:color w:val="000000"/>
                <w:sz w:val="20"/>
                <w:szCs w:val="20"/>
              </w:rPr>
              <w:t>5</w:t>
            </w:r>
            <w:r w:rsidR="002C68C0">
              <w:rPr>
                <w:rFonts w:ascii="Garamond" w:eastAsia="Garamond" w:hAnsi="Garamond" w:cs="Garamond"/>
                <w:color w:val="000000"/>
                <w:sz w:val="20"/>
                <w:szCs w:val="20"/>
              </w:rPr>
              <w:t>3</w:t>
            </w:r>
            <w:r>
              <w:rPr>
                <w:rFonts w:ascii="Garamond" w:eastAsia="Garamond" w:hAnsi="Garamond" w:cs="Garamond"/>
                <w:color w:val="000000"/>
                <w:sz w:val="20"/>
                <w:szCs w:val="20"/>
              </w:rPr>
              <w:t>]</w:t>
            </w:r>
          </w:p>
          <w:p w14:paraId="0000003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BMJ Quality &amp; Safety</w:t>
            </w:r>
          </w:p>
        </w:tc>
        <w:tc>
          <w:tcPr>
            <w:tcW w:w="3202" w:type="dxa"/>
          </w:tcPr>
          <w:p w14:paraId="00000036"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US,</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narrative review</w:t>
            </w:r>
          </w:p>
          <w:p w14:paraId="00000037"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Discuss limitations of the ‘5 Whys’ method in root cause analysis</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 xml:space="preserve">in HCOs </w:t>
            </w:r>
          </w:p>
        </w:tc>
        <w:tc>
          <w:tcPr>
            <w:tcW w:w="1177" w:type="dxa"/>
          </w:tcPr>
          <w:p w14:paraId="00000038"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color w:val="000000"/>
                <w:sz w:val="20"/>
                <w:szCs w:val="20"/>
              </w:rPr>
              <w:t>Literature review</w:t>
            </w:r>
          </w:p>
        </w:tc>
        <w:tc>
          <w:tcPr>
            <w:tcW w:w="5107" w:type="dxa"/>
          </w:tcPr>
          <w:p w14:paraId="00000039" w14:textId="3D1172AC"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Results indicate that the use of ‘5-Whys’ is unfit for RCA in patient safety analysis in the healthcare context. The perceived simplicity of LM tools may provide a barrier for understanding of actual inner workings and for change to occur. </w:t>
            </w:r>
          </w:p>
        </w:tc>
        <w:tc>
          <w:tcPr>
            <w:tcW w:w="1171" w:type="dxa"/>
          </w:tcPr>
          <w:p w14:paraId="0000003A" w14:textId="48699065"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X</w:t>
            </w:r>
          </w:p>
        </w:tc>
        <w:tc>
          <w:tcPr>
            <w:tcW w:w="1477" w:type="dxa"/>
          </w:tcPr>
          <w:p w14:paraId="0000003B" w14:textId="5EC91A82"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3a</w:t>
            </w:r>
          </w:p>
        </w:tc>
      </w:tr>
      <w:tr w:rsidR="001E6A28" w14:paraId="61679137" w14:textId="77777777">
        <w:tc>
          <w:tcPr>
            <w:tcW w:w="1824" w:type="dxa"/>
          </w:tcPr>
          <w:p w14:paraId="0000003C" w14:textId="088BB484"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Esper et al. [</w:t>
            </w:r>
            <w:r w:rsidR="002C68C0">
              <w:rPr>
                <w:rFonts w:ascii="Garamond" w:eastAsia="Garamond" w:hAnsi="Garamond" w:cs="Garamond"/>
                <w:color w:val="000000"/>
                <w:sz w:val="20"/>
                <w:szCs w:val="20"/>
              </w:rPr>
              <w:t>49</w:t>
            </w:r>
            <w:r>
              <w:rPr>
                <w:rFonts w:ascii="Garamond" w:eastAsia="Garamond" w:hAnsi="Garamond" w:cs="Garamond"/>
                <w:color w:val="000000"/>
                <w:sz w:val="20"/>
                <w:szCs w:val="20"/>
              </w:rPr>
              <w:t>]</w:t>
            </w:r>
          </w:p>
          <w:p w14:paraId="0000003D"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lastRenderedPageBreak/>
              <w:t>• Journal of Healthcare Management</w:t>
            </w:r>
          </w:p>
        </w:tc>
        <w:tc>
          <w:tcPr>
            <w:tcW w:w="3202" w:type="dxa"/>
          </w:tcPr>
          <w:p w14:paraId="0000003E"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lastRenderedPageBreak/>
              <w:t>•</w:t>
            </w:r>
            <w:r>
              <w:rPr>
                <w:rFonts w:ascii="Garamond" w:eastAsia="Garamond" w:hAnsi="Garamond" w:cs="Garamond"/>
                <w:color w:val="000000"/>
                <w:sz w:val="20"/>
                <w:szCs w:val="20"/>
              </w:rPr>
              <w:t xml:space="preserve"> US, multi-case study in Emory Healthcare (academic medical centre with 11 hospitals and more than 250 </w:t>
            </w:r>
            <w:r>
              <w:rPr>
                <w:rFonts w:ascii="Garamond" w:eastAsia="Garamond" w:hAnsi="Garamond" w:cs="Garamond"/>
                <w:color w:val="000000"/>
                <w:sz w:val="20"/>
                <w:szCs w:val="20"/>
              </w:rPr>
              <w:lastRenderedPageBreak/>
              <w:t>clinical sites)</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Rapid implementation of Outpatient Telehealth in Emory’s physician group practice using Lean</w:t>
            </w:r>
          </w:p>
        </w:tc>
        <w:tc>
          <w:tcPr>
            <w:tcW w:w="1177" w:type="dxa"/>
          </w:tcPr>
          <w:p w14:paraId="0000003F"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lastRenderedPageBreak/>
              <w:t>Qualitative</w:t>
            </w:r>
          </w:p>
          <w:p w14:paraId="00000040" w14:textId="77777777" w:rsidR="001E6A28" w:rsidRDefault="001E6A28">
            <w:pPr>
              <w:spacing w:line="276" w:lineRule="auto"/>
              <w:rPr>
                <w:rFonts w:ascii="Garamond" w:eastAsia="Garamond" w:hAnsi="Garamond" w:cs="Garamond"/>
                <w:color w:val="000000"/>
                <w:sz w:val="20"/>
                <w:szCs w:val="20"/>
              </w:rPr>
            </w:pPr>
          </w:p>
        </w:tc>
        <w:tc>
          <w:tcPr>
            <w:tcW w:w="5107" w:type="dxa"/>
          </w:tcPr>
          <w:p w14:paraId="00000041" w14:textId="4324DED3"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A rapid system-wide deployment of an artifact was achieved by employing a standardised approach to LM. Various elements </w:t>
            </w:r>
            <w:r>
              <w:rPr>
                <w:rFonts w:ascii="Garamond" w:eastAsia="Garamond" w:hAnsi="Garamond" w:cs="Garamond"/>
                <w:color w:val="000000"/>
                <w:sz w:val="20"/>
                <w:szCs w:val="20"/>
              </w:rPr>
              <w:lastRenderedPageBreak/>
              <w:t xml:space="preserve">of LM were crucial in achieving this feat including leadership, daily </w:t>
            </w:r>
            <w:proofErr w:type="gramStart"/>
            <w:r>
              <w:rPr>
                <w:rFonts w:ascii="Garamond" w:eastAsia="Garamond" w:hAnsi="Garamond" w:cs="Garamond"/>
                <w:color w:val="000000"/>
                <w:sz w:val="20"/>
                <w:szCs w:val="20"/>
              </w:rPr>
              <w:t>huddles</w:t>
            </w:r>
            <w:proofErr w:type="gramEnd"/>
            <w:r>
              <w:rPr>
                <w:rFonts w:ascii="Garamond" w:eastAsia="Garamond" w:hAnsi="Garamond" w:cs="Garamond"/>
                <w:color w:val="000000"/>
                <w:sz w:val="20"/>
                <w:szCs w:val="20"/>
              </w:rPr>
              <w:t xml:space="preserve"> and standardised work.</w:t>
            </w:r>
          </w:p>
        </w:tc>
        <w:tc>
          <w:tcPr>
            <w:tcW w:w="1171" w:type="dxa"/>
          </w:tcPr>
          <w:p w14:paraId="00000042" w14:textId="45F602D6"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lastRenderedPageBreak/>
              <w:t>1c, 2a</w:t>
            </w:r>
          </w:p>
        </w:tc>
        <w:tc>
          <w:tcPr>
            <w:tcW w:w="1477" w:type="dxa"/>
          </w:tcPr>
          <w:p w14:paraId="00000043" w14:textId="0CAA8C80"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X</w:t>
            </w:r>
          </w:p>
        </w:tc>
      </w:tr>
      <w:tr w:rsidR="001E6A28" w14:paraId="0A6664E8" w14:textId="77777777">
        <w:tc>
          <w:tcPr>
            <w:tcW w:w="1824" w:type="dxa"/>
          </w:tcPr>
          <w:p w14:paraId="00000044" w14:textId="6EE2A391"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Harrison et al. [</w:t>
            </w:r>
            <w:r w:rsidR="003A2D9C">
              <w:rPr>
                <w:rFonts w:ascii="Garamond" w:eastAsia="Garamond" w:hAnsi="Garamond" w:cs="Garamond"/>
                <w:color w:val="000000"/>
                <w:sz w:val="20"/>
                <w:szCs w:val="20"/>
              </w:rPr>
              <w:t>3</w:t>
            </w:r>
            <w:r w:rsidR="002C68C0">
              <w:rPr>
                <w:rFonts w:ascii="Garamond" w:eastAsia="Garamond" w:hAnsi="Garamond" w:cs="Garamond"/>
                <w:color w:val="000000"/>
                <w:sz w:val="20"/>
                <w:szCs w:val="20"/>
              </w:rPr>
              <w:t>6</w:t>
            </w:r>
            <w:r>
              <w:rPr>
                <w:rFonts w:ascii="Garamond" w:eastAsia="Garamond" w:hAnsi="Garamond" w:cs="Garamond"/>
                <w:color w:val="000000"/>
                <w:sz w:val="20"/>
                <w:szCs w:val="20"/>
              </w:rPr>
              <w:t>]</w:t>
            </w:r>
          </w:p>
          <w:p w14:paraId="0000004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Health Care Management Review</w:t>
            </w:r>
          </w:p>
        </w:tc>
        <w:tc>
          <w:tcPr>
            <w:tcW w:w="3202" w:type="dxa"/>
          </w:tcPr>
          <w:p w14:paraId="00000046"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US,</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multi-case study in</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five hospital systems</w:t>
            </w:r>
            <w:r>
              <w:rPr>
                <w:rFonts w:ascii="Garamond" w:eastAsia="Garamond" w:hAnsi="Garamond" w:cs="Garamond"/>
                <w:color w:val="000000"/>
                <w:sz w:val="20"/>
                <w:szCs w:val="20"/>
              </w:rPr>
              <w:br/>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 xml:space="preserve">To further researchers’ awareness of internal organisational conditions and processes that can affect implementation of LM and other improvement initiatives </w:t>
            </w:r>
          </w:p>
        </w:tc>
        <w:tc>
          <w:tcPr>
            <w:tcW w:w="1177" w:type="dxa"/>
          </w:tcPr>
          <w:p w14:paraId="00000047"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Qualitative</w:t>
            </w:r>
          </w:p>
        </w:tc>
        <w:tc>
          <w:tcPr>
            <w:tcW w:w="5107" w:type="dxa"/>
          </w:tcPr>
          <w:p w14:paraId="00000048"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By analysis of 5 HCOs that deployed LM in their operations, multiple contextual factors were identified that facilitated or hindered LM project success throughout 8 constructed domains.</w:t>
            </w:r>
          </w:p>
        </w:tc>
        <w:tc>
          <w:tcPr>
            <w:tcW w:w="1171" w:type="dxa"/>
          </w:tcPr>
          <w:p w14:paraId="00000049" w14:textId="5B721E06"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1b, 1c, 2a, 2b, 3a, 3</w:t>
            </w:r>
            <w:r w:rsidR="002C2CC4">
              <w:rPr>
                <w:rFonts w:ascii="Garamond" w:eastAsia="Garamond" w:hAnsi="Garamond" w:cs="Garamond"/>
                <w:color w:val="000000"/>
                <w:sz w:val="20"/>
                <w:szCs w:val="20"/>
              </w:rPr>
              <w:t>c</w:t>
            </w:r>
            <w:r w:rsidRPr="00BD091D">
              <w:rPr>
                <w:rFonts w:ascii="Garamond" w:eastAsia="Garamond" w:hAnsi="Garamond" w:cs="Garamond"/>
                <w:color w:val="000000"/>
                <w:sz w:val="20"/>
                <w:szCs w:val="20"/>
              </w:rPr>
              <w:t xml:space="preserve">, </w:t>
            </w:r>
            <w:r w:rsidRPr="00BD091D">
              <w:rPr>
                <w:rFonts w:ascii="Garamond" w:eastAsia="Garamond" w:hAnsi="Garamond" w:cs="Garamond"/>
                <w:strike/>
                <w:color w:val="000000"/>
                <w:sz w:val="20"/>
                <w:szCs w:val="20"/>
              </w:rPr>
              <w:t>4</w:t>
            </w:r>
            <w:r w:rsidRPr="00BD091D">
              <w:rPr>
                <w:rFonts w:ascii="Garamond" w:eastAsia="Garamond" w:hAnsi="Garamond" w:cs="Garamond"/>
                <w:color w:val="000000"/>
                <w:sz w:val="20"/>
                <w:szCs w:val="20"/>
              </w:rPr>
              <w:t>b</w:t>
            </w:r>
          </w:p>
          <w:p w14:paraId="0000004A" w14:textId="30C726ED"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 xml:space="preserve"> </w:t>
            </w:r>
          </w:p>
        </w:tc>
        <w:tc>
          <w:tcPr>
            <w:tcW w:w="1477" w:type="dxa"/>
          </w:tcPr>
          <w:p w14:paraId="0000004B" w14:textId="016A09BA"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1a, 1b, 2a, 2b, 3a</w:t>
            </w:r>
          </w:p>
          <w:p w14:paraId="0000004C" w14:textId="433E41BF" w:rsidR="001E6A28" w:rsidRPr="00BD091D" w:rsidRDefault="001E6A28">
            <w:pPr>
              <w:spacing w:line="276" w:lineRule="auto"/>
              <w:rPr>
                <w:rFonts w:ascii="Garamond" w:eastAsia="Garamond" w:hAnsi="Garamond" w:cs="Garamond"/>
                <w:color w:val="000000"/>
                <w:sz w:val="20"/>
                <w:szCs w:val="20"/>
              </w:rPr>
            </w:pPr>
          </w:p>
        </w:tc>
      </w:tr>
      <w:tr w:rsidR="001E6A28" w14:paraId="613ED7E5" w14:textId="77777777">
        <w:tc>
          <w:tcPr>
            <w:tcW w:w="1824" w:type="dxa"/>
          </w:tcPr>
          <w:p w14:paraId="0000004D" w14:textId="1E800D2D"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Hung et al. [</w:t>
            </w:r>
            <w:r w:rsidR="003A2D9C">
              <w:rPr>
                <w:rFonts w:ascii="Garamond" w:eastAsia="Garamond" w:hAnsi="Garamond" w:cs="Garamond"/>
                <w:color w:val="000000"/>
                <w:sz w:val="20"/>
                <w:szCs w:val="20"/>
              </w:rPr>
              <w:t>3</w:t>
            </w:r>
            <w:r w:rsidR="002C68C0">
              <w:rPr>
                <w:rFonts w:ascii="Garamond" w:eastAsia="Garamond" w:hAnsi="Garamond" w:cs="Garamond"/>
                <w:color w:val="000000"/>
                <w:sz w:val="20"/>
                <w:szCs w:val="20"/>
              </w:rPr>
              <w:t>7</w:t>
            </w:r>
            <w:r>
              <w:rPr>
                <w:rFonts w:ascii="Garamond" w:eastAsia="Garamond" w:hAnsi="Garamond" w:cs="Garamond"/>
                <w:color w:val="000000"/>
                <w:sz w:val="20"/>
                <w:szCs w:val="20"/>
              </w:rPr>
              <w:t>]</w:t>
            </w:r>
          </w:p>
          <w:p w14:paraId="0000004E"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Health Care Management Review</w:t>
            </w:r>
          </w:p>
        </w:tc>
        <w:tc>
          <w:tcPr>
            <w:tcW w:w="3202" w:type="dxa"/>
          </w:tcPr>
          <w:p w14:paraId="0000004F"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US,</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case study in a large, not-for-profit, ambulatory care delivery system</w:t>
            </w:r>
            <w:r>
              <w:rPr>
                <w:rFonts w:ascii="Garamond" w:eastAsia="Garamond" w:hAnsi="Garamond" w:cs="Garamond"/>
                <w:color w:val="000000"/>
                <w:sz w:val="20"/>
                <w:szCs w:val="20"/>
              </w:rPr>
              <w:br/>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Identify contextual factors most critical to implementing and scaling LM redesigns across primary care clinics</w:t>
            </w:r>
          </w:p>
        </w:tc>
        <w:tc>
          <w:tcPr>
            <w:tcW w:w="1177" w:type="dxa"/>
          </w:tcPr>
          <w:p w14:paraId="00000050"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Qualitative</w:t>
            </w:r>
          </w:p>
        </w:tc>
        <w:tc>
          <w:tcPr>
            <w:tcW w:w="5107" w:type="dxa"/>
          </w:tcPr>
          <w:p w14:paraId="00000051" w14:textId="7311B4F0"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Contextual factors were identified that influence the level of acceptance among frontline primary care physicians and staff. Contextual factors were categorised as (1) the implementation process, (2) inner setting and (3) individual and team characteristics.</w:t>
            </w:r>
          </w:p>
        </w:tc>
        <w:tc>
          <w:tcPr>
            <w:tcW w:w="1171" w:type="dxa"/>
          </w:tcPr>
          <w:p w14:paraId="00000052" w14:textId="68A2C91E"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1a, 1b, 2a, 2b, 3</w:t>
            </w:r>
            <w:r w:rsidR="002C2CC4">
              <w:rPr>
                <w:rFonts w:ascii="Garamond" w:eastAsia="Garamond" w:hAnsi="Garamond" w:cs="Garamond"/>
                <w:color w:val="000000"/>
                <w:sz w:val="20"/>
                <w:szCs w:val="20"/>
              </w:rPr>
              <w:t>c</w:t>
            </w:r>
          </w:p>
        </w:tc>
        <w:tc>
          <w:tcPr>
            <w:tcW w:w="1477" w:type="dxa"/>
          </w:tcPr>
          <w:p w14:paraId="00000053" w14:textId="6CAFCCEB"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1b, 3</w:t>
            </w:r>
            <w:r w:rsidR="002C2CC4">
              <w:rPr>
                <w:rFonts w:ascii="Garamond" w:eastAsia="Garamond" w:hAnsi="Garamond" w:cs="Garamond"/>
                <w:color w:val="000000"/>
                <w:sz w:val="20"/>
                <w:szCs w:val="20"/>
              </w:rPr>
              <w:t>c</w:t>
            </w:r>
          </w:p>
        </w:tc>
      </w:tr>
      <w:tr w:rsidR="001E6A28" w14:paraId="0421F4E5" w14:textId="77777777">
        <w:tc>
          <w:tcPr>
            <w:tcW w:w="1824" w:type="dxa"/>
          </w:tcPr>
          <w:p w14:paraId="00000054" w14:textId="05A6B57D"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Kaltenbrunner et al. [</w:t>
            </w:r>
            <w:r w:rsidR="003A2D9C">
              <w:rPr>
                <w:rFonts w:ascii="Garamond" w:eastAsia="Garamond" w:hAnsi="Garamond" w:cs="Garamond"/>
                <w:color w:val="000000"/>
                <w:sz w:val="20"/>
                <w:szCs w:val="20"/>
              </w:rPr>
              <w:t>5</w:t>
            </w:r>
            <w:r w:rsidR="002C68C0">
              <w:rPr>
                <w:rFonts w:ascii="Garamond" w:eastAsia="Garamond" w:hAnsi="Garamond" w:cs="Garamond"/>
                <w:color w:val="000000"/>
                <w:sz w:val="20"/>
                <w:szCs w:val="20"/>
              </w:rPr>
              <w:t>0</w:t>
            </w:r>
            <w:r>
              <w:rPr>
                <w:rFonts w:ascii="Garamond" w:eastAsia="Garamond" w:hAnsi="Garamond" w:cs="Garamond"/>
                <w:color w:val="000000"/>
                <w:sz w:val="20"/>
                <w:szCs w:val="20"/>
              </w:rPr>
              <w:t>]</w:t>
            </w:r>
          </w:p>
          <w:p w14:paraId="0000005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 Organization and Management</w:t>
            </w:r>
          </w:p>
        </w:tc>
        <w:tc>
          <w:tcPr>
            <w:tcW w:w="3202" w:type="dxa"/>
          </w:tcPr>
          <w:p w14:paraId="00000056"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SWE,</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mixed</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methods study (survey study n=298 in 45 primary care units, multi-case study observation in 4 primary care units)</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Describe LM maturity in primary care and to determine the extent to which Lean maturity is associated with quality of care</w:t>
            </w:r>
          </w:p>
        </w:tc>
        <w:tc>
          <w:tcPr>
            <w:tcW w:w="1177" w:type="dxa"/>
          </w:tcPr>
          <w:p w14:paraId="00000057"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Mixed-methods</w:t>
            </w:r>
          </w:p>
        </w:tc>
        <w:tc>
          <w:tcPr>
            <w:tcW w:w="5107" w:type="dxa"/>
          </w:tcPr>
          <w:p w14:paraId="00000058" w14:textId="775FE0FA"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Found that the maturity of LM in primary care units varied concerning adoption of LM principles and LM adoption between primary care units. Maturity of LM adoption was positively associated with quality of care.</w:t>
            </w:r>
          </w:p>
        </w:tc>
        <w:tc>
          <w:tcPr>
            <w:tcW w:w="1171" w:type="dxa"/>
          </w:tcPr>
          <w:p w14:paraId="00000059" w14:textId="4AEDA6C0"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1c</w:t>
            </w:r>
          </w:p>
        </w:tc>
        <w:tc>
          <w:tcPr>
            <w:tcW w:w="1477" w:type="dxa"/>
          </w:tcPr>
          <w:p w14:paraId="0000005A" w14:textId="3A7BD7CD"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X</w:t>
            </w:r>
          </w:p>
        </w:tc>
      </w:tr>
      <w:tr w:rsidR="001E6A28" w14:paraId="7E96E1A2" w14:textId="77777777">
        <w:tc>
          <w:tcPr>
            <w:tcW w:w="1824" w:type="dxa"/>
          </w:tcPr>
          <w:p w14:paraId="0000005B" w14:textId="1677BAF1"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Kellogg et al. [</w:t>
            </w:r>
            <w:r w:rsidR="003A2D9C">
              <w:rPr>
                <w:rFonts w:ascii="Garamond" w:eastAsia="Garamond" w:hAnsi="Garamond" w:cs="Garamond"/>
                <w:color w:val="000000"/>
                <w:sz w:val="20"/>
                <w:szCs w:val="20"/>
              </w:rPr>
              <w:t>5</w:t>
            </w:r>
            <w:r w:rsidR="00D66F52">
              <w:rPr>
                <w:rFonts w:ascii="Garamond" w:eastAsia="Garamond" w:hAnsi="Garamond" w:cs="Garamond"/>
                <w:color w:val="000000"/>
                <w:sz w:val="20"/>
                <w:szCs w:val="20"/>
              </w:rPr>
              <w:t>4</w:t>
            </w:r>
            <w:r>
              <w:rPr>
                <w:rFonts w:ascii="Garamond" w:eastAsia="Garamond" w:hAnsi="Garamond" w:cs="Garamond"/>
                <w:color w:val="000000"/>
                <w:sz w:val="20"/>
                <w:szCs w:val="20"/>
              </w:rPr>
              <w:t>]</w:t>
            </w:r>
          </w:p>
          <w:p w14:paraId="0000005C"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BMJ Quality &amp; Safety</w:t>
            </w:r>
          </w:p>
        </w:tc>
        <w:tc>
          <w:tcPr>
            <w:tcW w:w="3202" w:type="dxa"/>
          </w:tcPr>
          <w:p w14:paraId="0000005D"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US, case-study in large, tertiary care academic medical centre (750 beds)</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 xml:space="preserve">Aims to build on prior work by </w:t>
            </w:r>
            <w:r>
              <w:rPr>
                <w:rFonts w:ascii="Garamond" w:eastAsia="Garamond" w:hAnsi="Garamond" w:cs="Garamond"/>
                <w:color w:val="000000"/>
                <w:sz w:val="20"/>
                <w:szCs w:val="20"/>
              </w:rPr>
              <w:lastRenderedPageBreak/>
              <w:t>examining the types of solutions proposed in response to RCAs</w:t>
            </w:r>
          </w:p>
        </w:tc>
        <w:tc>
          <w:tcPr>
            <w:tcW w:w="1177" w:type="dxa"/>
          </w:tcPr>
          <w:p w14:paraId="0000005E"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lastRenderedPageBreak/>
              <w:t>Qualitative</w:t>
            </w:r>
          </w:p>
        </w:tc>
        <w:tc>
          <w:tcPr>
            <w:tcW w:w="5107" w:type="dxa"/>
          </w:tcPr>
          <w:p w14:paraId="0000005F"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Observed that certain types of events reoccur despite recommendations from RCA teams. Results have concluded that devised solutions for identified problems in healthcare (in </w:t>
            </w:r>
            <w:r>
              <w:rPr>
                <w:rFonts w:ascii="Garamond" w:eastAsia="Garamond" w:hAnsi="Garamond" w:cs="Garamond"/>
                <w:color w:val="000000"/>
                <w:sz w:val="20"/>
                <w:szCs w:val="20"/>
              </w:rPr>
              <w:lastRenderedPageBreak/>
              <w:t xml:space="preserve">particular patient safety) via RCA may not be effective compared to other industries. </w:t>
            </w:r>
          </w:p>
        </w:tc>
        <w:tc>
          <w:tcPr>
            <w:tcW w:w="1171" w:type="dxa"/>
          </w:tcPr>
          <w:p w14:paraId="00000060" w14:textId="643041BC"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lastRenderedPageBreak/>
              <w:t>X</w:t>
            </w:r>
          </w:p>
        </w:tc>
        <w:tc>
          <w:tcPr>
            <w:tcW w:w="1477" w:type="dxa"/>
          </w:tcPr>
          <w:p w14:paraId="00000061" w14:textId="1B35840E" w:rsidR="001E6A28" w:rsidRPr="00BD091D" w:rsidRDefault="00684EF8">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3b</w:t>
            </w:r>
          </w:p>
        </w:tc>
      </w:tr>
      <w:tr w:rsidR="001E6A28" w14:paraId="75445940" w14:textId="77777777">
        <w:tc>
          <w:tcPr>
            <w:tcW w:w="1824" w:type="dxa"/>
          </w:tcPr>
          <w:p w14:paraId="00000062" w14:textId="0881DC76"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 </w:t>
            </w:r>
            <w:proofErr w:type="spellStart"/>
            <w:r>
              <w:rPr>
                <w:rFonts w:ascii="Garamond" w:eastAsia="Garamond" w:hAnsi="Garamond" w:cs="Garamond"/>
                <w:color w:val="000000"/>
                <w:sz w:val="20"/>
                <w:szCs w:val="20"/>
              </w:rPr>
              <w:t>Kreindler</w:t>
            </w:r>
            <w:proofErr w:type="spellEnd"/>
            <w:r>
              <w:rPr>
                <w:rFonts w:ascii="Garamond" w:eastAsia="Garamond" w:hAnsi="Garamond" w:cs="Garamond"/>
                <w:color w:val="000000"/>
                <w:sz w:val="20"/>
                <w:szCs w:val="20"/>
              </w:rPr>
              <w:t xml:space="preserve"> [</w:t>
            </w:r>
            <w:r w:rsidR="003A2D9C">
              <w:rPr>
                <w:rFonts w:ascii="Garamond" w:eastAsia="Garamond" w:hAnsi="Garamond" w:cs="Garamond"/>
                <w:color w:val="000000"/>
                <w:sz w:val="20"/>
                <w:szCs w:val="20"/>
              </w:rPr>
              <w:t>5</w:t>
            </w:r>
            <w:r w:rsidR="00D66F52">
              <w:rPr>
                <w:rFonts w:ascii="Garamond" w:eastAsia="Garamond" w:hAnsi="Garamond" w:cs="Garamond"/>
                <w:color w:val="000000"/>
                <w:sz w:val="20"/>
                <w:szCs w:val="20"/>
              </w:rPr>
              <w:t>5</w:t>
            </w:r>
            <w:r>
              <w:rPr>
                <w:rFonts w:ascii="Garamond" w:eastAsia="Garamond" w:hAnsi="Garamond" w:cs="Garamond"/>
                <w:color w:val="000000"/>
                <w:sz w:val="20"/>
                <w:szCs w:val="20"/>
              </w:rPr>
              <w:t>]</w:t>
            </w:r>
          </w:p>
          <w:p w14:paraId="00000063"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BMJ Quality &amp; Safety</w:t>
            </w:r>
          </w:p>
        </w:tc>
        <w:tc>
          <w:tcPr>
            <w:tcW w:w="3202" w:type="dxa"/>
          </w:tcPr>
          <w:p w14:paraId="00000064"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 xml:space="preserve">CA, case study in a regional health system </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Identify common design flaws that limit the impact of (patient) flow Lean improvement initiatives in healthcare</w:t>
            </w:r>
          </w:p>
        </w:tc>
        <w:tc>
          <w:tcPr>
            <w:tcW w:w="1177" w:type="dxa"/>
          </w:tcPr>
          <w:p w14:paraId="0000006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Qualitative</w:t>
            </w:r>
          </w:p>
        </w:tc>
        <w:tc>
          <w:tcPr>
            <w:tcW w:w="5107" w:type="dxa"/>
          </w:tcPr>
          <w:p w14:paraId="00000066"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Concluded that initiatives to improve flow of patients focus on too small segments to properly address shortcomings. Instead, they suggest a system-level strategy is required to improve flow in healthcare, which can be achieved by rigorously evaluating proposed flow initiatives in terms of population, </w:t>
            </w:r>
            <w:proofErr w:type="gramStart"/>
            <w:r>
              <w:rPr>
                <w:rFonts w:ascii="Garamond" w:eastAsia="Garamond" w:hAnsi="Garamond" w:cs="Garamond"/>
                <w:color w:val="000000"/>
                <w:sz w:val="20"/>
                <w:szCs w:val="20"/>
              </w:rPr>
              <w:t>capacity</w:t>
            </w:r>
            <w:proofErr w:type="gramEnd"/>
            <w:r>
              <w:rPr>
                <w:rFonts w:ascii="Garamond" w:eastAsia="Garamond" w:hAnsi="Garamond" w:cs="Garamond"/>
                <w:color w:val="000000"/>
                <w:sz w:val="20"/>
                <w:szCs w:val="20"/>
              </w:rPr>
              <w:t xml:space="preserve"> and process.</w:t>
            </w:r>
          </w:p>
        </w:tc>
        <w:tc>
          <w:tcPr>
            <w:tcW w:w="1171" w:type="dxa"/>
          </w:tcPr>
          <w:p w14:paraId="00000067" w14:textId="7ED873BF" w:rsidR="001E6A28" w:rsidRPr="00BD091D" w:rsidRDefault="00684EF8">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3b</w:t>
            </w:r>
          </w:p>
        </w:tc>
        <w:tc>
          <w:tcPr>
            <w:tcW w:w="1477" w:type="dxa"/>
          </w:tcPr>
          <w:p w14:paraId="00000068" w14:textId="27E523C0"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X</w:t>
            </w:r>
          </w:p>
        </w:tc>
      </w:tr>
      <w:tr w:rsidR="001E6A28" w14:paraId="1969F435" w14:textId="77777777">
        <w:tc>
          <w:tcPr>
            <w:tcW w:w="1824" w:type="dxa"/>
          </w:tcPr>
          <w:p w14:paraId="00000069" w14:textId="29171762" w:rsidR="001E6A28" w:rsidRDefault="00000000">
            <w:pPr>
              <w:spacing w:line="276" w:lineRule="auto"/>
              <w:ind w:left="69" w:hanging="69"/>
              <w:rPr>
                <w:rFonts w:ascii="Garamond" w:eastAsia="Garamond" w:hAnsi="Garamond" w:cs="Garamond"/>
                <w:color w:val="000000"/>
                <w:sz w:val="20"/>
                <w:szCs w:val="20"/>
              </w:rPr>
            </w:pPr>
            <w:r>
              <w:rPr>
                <w:rFonts w:ascii="Garamond" w:eastAsia="Garamond" w:hAnsi="Garamond" w:cs="Garamond"/>
                <w:color w:val="000000"/>
                <w:sz w:val="20"/>
                <w:szCs w:val="20"/>
              </w:rPr>
              <w:t>• McNicholas et al. [</w:t>
            </w:r>
            <w:r w:rsidR="003A2D9C">
              <w:rPr>
                <w:rFonts w:ascii="Garamond" w:eastAsia="Garamond" w:hAnsi="Garamond" w:cs="Garamond"/>
                <w:color w:val="000000"/>
                <w:sz w:val="20"/>
                <w:szCs w:val="20"/>
              </w:rPr>
              <w:t>5</w:t>
            </w:r>
            <w:r w:rsidR="00D66F52">
              <w:rPr>
                <w:rFonts w:ascii="Garamond" w:eastAsia="Garamond" w:hAnsi="Garamond" w:cs="Garamond"/>
                <w:color w:val="000000"/>
                <w:sz w:val="20"/>
                <w:szCs w:val="20"/>
              </w:rPr>
              <w:t>6</w:t>
            </w:r>
            <w:r>
              <w:rPr>
                <w:rFonts w:ascii="Garamond" w:eastAsia="Garamond" w:hAnsi="Garamond" w:cs="Garamond"/>
                <w:color w:val="000000"/>
                <w:sz w:val="20"/>
                <w:szCs w:val="20"/>
              </w:rPr>
              <w:t>]</w:t>
            </w:r>
          </w:p>
          <w:p w14:paraId="0000006A"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BMJ Quality &amp; Safety</w:t>
            </w:r>
          </w:p>
        </w:tc>
        <w:tc>
          <w:tcPr>
            <w:tcW w:w="3202" w:type="dxa"/>
          </w:tcPr>
          <w:p w14:paraId="0000006B"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UK, case study in the National Institute for Health Research Collaboration for Leadership in Applied Health Research and Care</w:t>
            </w:r>
          </w:p>
          <w:p w14:paraId="0000006C"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color w:val="000000"/>
                <w:sz w:val="20"/>
                <w:szCs w:val="20"/>
              </w:rPr>
              <w:t>• Assess fidelity of PDSA cycles, determine changes in PDSA fidelity over time and explore strategies used to deploy PDSA</w:t>
            </w:r>
          </w:p>
        </w:tc>
        <w:tc>
          <w:tcPr>
            <w:tcW w:w="1177" w:type="dxa"/>
          </w:tcPr>
          <w:p w14:paraId="0000006D"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Quantitative</w:t>
            </w:r>
          </w:p>
        </w:tc>
        <w:tc>
          <w:tcPr>
            <w:tcW w:w="5107" w:type="dxa"/>
          </w:tcPr>
          <w:p w14:paraId="0000006E"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Demonstrated that fidelity of PDSA can improve over time through the deployment of quality improvement support strategies. They found that quality improvement technologies should be considered sociocultural interventions, which require technical skill. The findings suggest that the use of PDSA can be increased through the support strategies, though it is a gradual process which requires negotiation. </w:t>
            </w:r>
          </w:p>
        </w:tc>
        <w:tc>
          <w:tcPr>
            <w:tcW w:w="1171" w:type="dxa"/>
          </w:tcPr>
          <w:p w14:paraId="0000006F" w14:textId="57CF8AF2"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3</w:t>
            </w:r>
            <w:r w:rsidR="00684EF8">
              <w:rPr>
                <w:rFonts w:ascii="Garamond" w:eastAsia="Garamond" w:hAnsi="Garamond" w:cs="Garamond"/>
                <w:color w:val="000000"/>
                <w:sz w:val="20"/>
                <w:szCs w:val="20"/>
              </w:rPr>
              <w:t>c</w:t>
            </w:r>
          </w:p>
        </w:tc>
        <w:tc>
          <w:tcPr>
            <w:tcW w:w="1477" w:type="dxa"/>
          </w:tcPr>
          <w:p w14:paraId="00000070" w14:textId="7C4D6389"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X</w:t>
            </w:r>
          </w:p>
        </w:tc>
      </w:tr>
      <w:tr w:rsidR="001E6A28" w14:paraId="3F9E3311" w14:textId="77777777">
        <w:tc>
          <w:tcPr>
            <w:tcW w:w="1824" w:type="dxa"/>
          </w:tcPr>
          <w:p w14:paraId="00000071"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 </w:t>
            </w:r>
            <w:proofErr w:type="spellStart"/>
            <w:r>
              <w:rPr>
                <w:rFonts w:ascii="Garamond" w:eastAsia="Garamond" w:hAnsi="Garamond" w:cs="Garamond"/>
                <w:color w:val="000000"/>
                <w:sz w:val="20"/>
                <w:szCs w:val="20"/>
              </w:rPr>
              <w:t>Menachemi</w:t>
            </w:r>
            <w:proofErr w:type="spellEnd"/>
            <w:r>
              <w:rPr>
                <w:rFonts w:ascii="Garamond" w:eastAsia="Garamond" w:hAnsi="Garamond" w:cs="Garamond"/>
                <w:color w:val="000000"/>
                <w:sz w:val="20"/>
                <w:szCs w:val="20"/>
              </w:rPr>
              <w:t xml:space="preserve"> et al. </w:t>
            </w:r>
          </w:p>
          <w:p w14:paraId="00000072" w14:textId="2CC0A24A"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w:t>
            </w:r>
            <w:r w:rsidR="00D66F52">
              <w:rPr>
                <w:rFonts w:ascii="Garamond" w:eastAsia="Garamond" w:hAnsi="Garamond" w:cs="Garamond"/>
                <w:color w:val="000000"/>
                <w:sz w:val="20"/>
                <w:szCs w:val="20"/>
              </w:rPr>
              <w:t>38</w:t>
            </w:r>
            <w:r>
              <w:rPr>
                <w:rFonts w:ascii="Garamond" w:eastAsia="Garamond" w:hAnsi="Garamond" w:cs="Garamond"/>
                <w:color w:val="000000"/>
                <w:sz w:val="20"/>
                <w:szCs w:val="20"/>
              </w:rPr>
              <w:t>]</w:t>
            </w:r>
          </w:p>
          <w:p w14:paraId="00000073"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Healthcare Management</w:t>
            </w:r>
          </w:p>
        </w:tc>
        <w:tc>
          <w:tcPr>
            <w:tcW w:w="3202" w:type="dxa"/>
          </w:tcPr>
          <w:p w14:paraId="00000074"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color w:val="000000"/>
                <w:sz w:val="20"/>
                <w:szCs w:val="20"/>
              </w:rPr>
              <w:t>• US, pooled cross-sectional study in the Indiana University Healthcare system (16 hospitals)</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Analyse the experience implementing LM Rapid Improvement Events across a complex mix of settings in one system.</w:t>
            </w:r>
          </w:p>
        </w:tc>
        <w:tc>
          <w:tcPr>
            <w:tcW w:w="1177" w:type="dxa"/>
          </w:tcPr>
          <w:p w14:paraId="0000007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Quantitative</w:t>
            </w:r>
          </w:p>
        </w:tc>
        <w:tc>
          <w:tcPr>
            <w:tcW w:w="5107" w:type="dxa"/>
          </w:tcPr>
          <w:p w14:paraId="00000076" w14:textId="6B888E3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Financial returns following a system wide implementation of LM were observed across various healthcare settings. Five years after LM implementation, cost savings were the most reported benefit. Additional realised benefits include reduction in clinical defects, optimised </w:t>
            </w:r>
            <w:proofErr w:type="gramStart"/>
            <w:r>
              <w:rPr>
                <w:rFonts w:ascii="Garamond" w:eastAsia="Garamond" w:hAnsi="Garamond" w:cs="Garamond"/>
                <w:color w:val="000000"/>
                <w:sz w:val="20"/>
                <w:szCs w:val="20"/>
              </w:rPr>
              <w:t>workflows</w:t>
            </w:r>
            <w:proofErr w:type="gramEnd"/>
            <w:r>
              <w:rPr>
                <w:rFonts w:ascii="Garamond" w:eastAsia="Garamond" w:hAnsi="Garamond" w:cs="Garamond"/>
                <w:color w:val="000000"/>
                <w:sz w:val="20"/>
                <w:szCs w:val="20"/>
              </w:rPr>
              <w:t xml:space="preserve"> and time savings. </w:t>
            </w:r>
          </w:p>
        </w:tc>
        <w:tc>
          <w:tcPr>
            <w:tcW w:w="1171" w:type="dxa"/>
          </w:tcPr>
          <w:p w14:paraId="00000077" w14:textId="71F633F6"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1a</w:t>
            </w:r>
          </w:p>
        </w:tc>
        <w:tc>
          <w:tcPr>
            <w:tcW w:w="1477" w:type="dxa"/>
          </w:tcPr>
          <w:p w14:paraId="00000078" w14:textId="70C4D3A8" w:rsidR="001E6A28" w:rsidRPr="00BD091D" w:rsidRDefault="002C2CC4">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X</w:t>
            </w:r>
          </w:p>
        </w:tc>
      </w:tr>
      <w:tr w:rsidR="001E6A28" w14:paraId="421DEDF6" w14:textId="77777777">
        <w:tc>
          <w:tcPr>
            <w:tcW w:w="1824" w:type="dxa"/>
          </w:tcPr>
          <w:p w14:paraId="00000079" w14:textId="36EB589F"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Po et al. [</w:t>
            </w:r>
            <w:r w:rsidR="003A2D9C">
              <w:rPr>
                <w:rFonts w:ascii="Garamond" w:eastAsia="Garamond" w:hAnsi="Garamond" w:cs="Garamond"/>
                <w:color w:val="000000"/>
                <w:sz w:val="20"/>
                <w:szCs w:val="20"/>
              </w:rPr>
              <w:t>4</w:t>
            </w:r>
            <w:r w:rsidR="00D66F52">
              <w:rPr>
                <w:rFonts w:ascii="Garamond" w:eastAsia="Garamond" w:hAnsi="Garamond" w:cs="Garamond"/>
                <w:color w:val="000000"/>
                <w:sz w:val="20"/>
                <w:szCs w:val="20"/>
              </w:rPr>
              <w:t>7</w:t>
            </w:r>
            <w:r>
              <w:rPr>
                <w:rFonts w:ascii="Garamond" w:eastAsia="Garamond" w:hAnsi="Garamond" w:cs="Garamond"/>
                <w:color w:val="000000"/>
                <w:sz w:val="20"/>
                <w:szCs w:val="20"/>
              </w:rPr>
              <w:t>]</w:t>
            </w:r>
          </w:p>
          <w:p w14:paraId="0000007A"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Healthcare Management</w:t>
            </w:r>
          </w:p>
        </w:tc>
        <w:tc>
          <w:tcPr>
            <w:tcW w:w="3202" w:type="dxa"/>
          </w:tcPr>
          <w:p w14:paraId="0000007B"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US,</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survey study (n=1,222</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acute care general medical and surgical hospitals)</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 xml:space="preserve">Examining important independent performance measures between LM </w:t>
            </w:r>
            <w:r>
              <w:rPr>
                <w:rFonts w:ascii="Garamond" w:eastAsia="Garamond" w:hAnsi="Garamond" w:cs="Garamond"/>
                <w:color w:val="000000"/>
                <w:sz w:val="20"/>
                <w:szCs w:val="20"/>
              </w:rPr>
              <w:lastRenderedPageBreak/>
              <w:t>adoption by 2014 and performance measures in 2015</w:t>
            </w:r>
          </w:p>
        </w:tc>
        <w:tc>
          <w:tcPr>
            <w:tcW w:w="1177" w:type="dxa"/>
          </w:tcPr>
          <w:p w14:paraId="0000007C"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lastRenderedPageBreak/>
              <w:t>Quantitative</w:t>
            </w:r>
          </w:p>
        </w:tc>
        <w:tc>
          <w:tcPr>
            <w:tcW w:w="5107" w:type="dxa"/>
          </w:tcPr>
          <w:p w14:paraId="0000007D" w14:textId="3FDA94A9"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Results provide a benchmark for adoption of LM in both public and private hospitals. In particular, the extent of LM adoption is observed to be lower for public hospitals compared to non-profit or for-profit hospitals. The most common LM practices employed were daily huddles, PDSA cycles, visual </w:t>
            </w:r>
            <w:proofErr w:type="gramStart"/>
            <w:r>
              <w:rPr>
                <w:rFonts w:ascii="Garamond" w:eastAsia="Garamond" w:hAnsi="Garamond" w:cs="Garamond"/>
                <w:color w:val="000000"/>
                <w:sz w:val="20"/>
                <w:szCs w:val="20"/>
              </w:rPr>
              <w:t>management</w:t>
            </w:r>
            <w:proofErr w:type="gramEnd"/>
            <w:r>
              <w:rPr>
                <w:rFonts w:ascii="Garamond" w:eastAsia="Garamond" w:hAnsi="Garamond" w:cs="Garamond"/>
                <w:color w:val="000000"/>
                <w:sz w:val="20"/>
                <w:szCs w:val="20"/>
              </w:rPr>
              <w:t xml:space="preserve"> and standardised work.</w:t>
            </w:r>
          </w:p>
        </w:tc>
        <w:tc>
          <w:tcPr>
            <w:tcW w:w="1171" w:type="dxa"/>
          </w:tcPr>
          <w:p w14:paraId="0000007E" w14:textId="3ABE2BD5"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1b, 2a</w:t>
            </w:r>
          </w:p>
          <w:p w14:paraId="0000007F" w14:textId="5547150B" w:rsidR="001E6A28" w:rsidRPr="00BD091D" w:rsidRDefault="001E6A28">
            <w:pPr>
              <w:spacing w:line="276" w:lineRule="auto"/>
              <w:rPr>
                <w:rFonts w:ascii="Garamond" w:eastAsia="Garamond" w:hAnsi="Garamond" w:cs="Garamond"/>
                <w:color w:val="000000"/>
                <w:sz w:val="20"/>
                <w:szCs w:val="20"/>
              </w:rPr>
            </w:pPr>
          </w:p>
        </w:tc>
        <w:tc>
          <w:tcPr>
            <w:tcW w:w="1477" w:type="dxa"/>
          </w:tcPr>
          <w:p w14:paraId="00000080" w14:textId="38B19D0C" w:rsidR="001E6A28" w:rsidRPr="00BD091D" w:rsidRDefault="00534A42">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3b, </w:t>
            </w:r>
            <w:r w:rsidRPr="00BD091D">
              <w:rPr>
                <w:rFonts w:ascii="Garamond" w:eastAsia="Garamond" w:hAnsi="Garamond" w:cs="Garamond"/>
                <w:color w:val="000000"/>
                <w:sz w:val="20"/>
                <w:szCs w:val="20"/>
              </w:rPr>
              <w:t>4</w:t>
            </w:r>
            <w:r w:rsidR="00397318">
              <w:rPr>
                <w:rFonts w:ascii="Garamond" w:eastAsia="Garamond" w:hAnsi="Garamond" w:cs="Garamond"/>
                <w:color w:val="000000"/>
                <w:sz w:val="20"/>
                <w:szCs w:val="20"/>
              </w:rPr>
              <w:t>a</w:t>
            </w:r>
          </w:p>
        </w:tc>
      </w:tr>
      <w:tr w:rsidR="001E6A28" w14:paraId="18DE7FE8" w14:textId="77777777">
        <w:tc>
          <w:tcPr>
            <w:tcW w:w="1824" w:type="dxa"/>
          </w:tcPr>
          <w:p w14:paraId="00000081" w14:textId="6D32F5A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 </w:t>
            </w:r>
            <w:proofErr w:type="spellStart"/>
            <w:r>
              <w:rPr>
                <w:rFonts w:ascii="Garamond" w:eastAsia="Garamond" w:hAnsi="Garamond" w:cs="Garamond"/>
                <w:color w:val="000000"/>
                <w:sz w:val="20"/>
                <w:szCs w:val="20"/>
              </w:rPr>
              <w:t>Poksinska</w:t>
            </w:r>
            <w:proofErr w:type="spellEnd"/>
            <w:r>
              <w:rPr>
                <w:rFonts w:ascii="Garamond" w:eastAsia="Garamond" w:hAnsi="Garamond" w:cs="Garamond"/>
                <w:color w:val="000000"/>
                <w:sz w:val="20"/>
                <w:szCs w:val="20"/>
              </w:rPr>
              <w:t xml:space="preserve"> et al. [</w:t>
            </w:r>
            <w:r w:rsidR="003A2D9C">
              <w:rPr>
                <w:rFonts w:ascii="Garamond" w:eastAsia="Garamond" w:hAnsi="Garamond" w:cs="Garamond"/>
                <w:color w:val="000000"/>
                <w:sz w:val="20"/>
                <w:szCs w:val="20"/>
              </w:rPr>
              <w:t>5</w:t>
            </w:r>
            <w:r w:rsidR="00D66F52">
              <w:rPr>
                <w:rFonts w:ascii="Garamond" w:eastAsia="Garamond" w:hAnsi="Garamond" w:cs="Garamond"/>
                <w:color w:val="000000"/>
                <w:sz w:val="20"/>
                <w:szCs w:val="20"/>
              </w:rPr>
              <w:t>2</w:t>
            </w:r>
            <w:r>
              <w:rPr>
                <w:rFonts w:ascii="Garamond" w:eastAsia="Garamond" w:hAnsi="Garamond" w:cs="Garamond"/>
                <w:color w:val="000000"/>
                <w:sz w:val="20"/>
                <w:szCs w:val="20"/>
              </w:rPr>
              <w:t>]</w:t>
            </w:r>
          </w:p>
          <w:p w14:paraId="00000082"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BMJ Quality &amp; Safety</w:t>
            </w:r>
          </w:p>
        </w:tc>
        <w:tc>
          <w:tcPr>
            <w:tcW w:w="3202" w:type="dxa"/>
          </w:tcPr>
          <w:p w14:paraId="00000083"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SWE,</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quantitative study (survey via National Patient Survey, n=2400-2800) and two case studies (two primary care centres)</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Investigate how primary-care centres working with Lean define and improve value from the patient’s perspective, and how the application of Lean healthcare influences patient satisfaction</w:t>
            </w:r>
          </w:p>
        </w:tc>
        <w:tc>
          <w:tcPr>
            <w:tcW w:w="1177" w:type="dxa"/>
          </w:tcPr>
          <w:p w14:paraId="00000084"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Mixed-methods</w:t>
            </w:r>
          </w:p>
        </w:tc>
        <w:tc>
          <w:tcPr>
            <w:tcW w:w="5107" w:type="dxa"/>
          </w:tcPr>
          <w:p w14:paraId="0000008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Results indicated that, despite suggestions from literature, patient satisfaction did not increase in primary care centres that work with LM. This may be an indication for the limited scope in which LM is operationalised in HCOs, as tools insufficiently enhance customer participation in the improvement process. </w:t>
            </w:r>
          </w:p>
        </w:tc>
        <w:tc>
          <w:tcPr>
            <w:tcW w:w="1171" w:type="dxa"/>
          </w:tcPr>
          <w:p w14:paraId="00000086" w14:textId="4157448A"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3a</w:t>
            </w:r>
          </w:p>
        </w:tc>
        <w:tc>
          <w:tcPr>
            <w:tcW w:w="1477" w:type="dxa"/>
          </w:tcPr>
          <w:p w14:paraId="00000087" w14:textId="27A4F861" w:rsidR="001E6A28" w:rsidRPr="00BD091D" w:rsidRDefault="000009AB">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3b</w:t>
            </w:r>
          </w:p>
        </w:tc>
      </w:tr>
      <w:tr w:rsidR="001E6A28" w14:paraId="08321AF9" w14:textId="77777777">
        <w:tc>
          <w:tcPr>
            <w:tcW w:w="1824" w:type="dxa"/>
          </w:tcPr>
          <w:p w14:paraId="00000088" w14:textId="42729705"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Radcliffe et al. [</w:t>
            </w:r>
            <w:r w:rsidR="003A2D9C">
              <w:rPr>
                <w:rFonts w:ascii="Garamond" w:eastAsia="Garamond" w:hAnsi="Garamond" w:cs="Garamond"/>
                <w:color w:val="000000"/>
                <w:sz w:val="20"/>
                <w:szCs w:val="20"/>
              </w:rPr>
              <w:t>4</w:t>
            </w:r>
            <w:r w:rsidR="00D66F52">
              <w:rPr>
                <w:rFonts w:ascii="Garamond" w:eastAsia="Garamond" w:hAnsi="Garamond" w:cs="Garamond"/>
                <w:color w:val="000000"/>
                <w:sz w:val="20"/>
                <w:szCs w:val="20"/>
              </w:rPr>
              <w:t>8</w:t>
            </w:r>
            <w:r>
              <w:rPr>
                <w:rFonts w:ascii="Garamond" w:eastAsia="Garamond" w:hAnsi="Garamond" w:cs="Garamond"/>
                <w:color w:val="000000"/>
                <w:sz w:val="20"/>
                <w:szCs w:val="20"/>
              </w:rPr>
              <w:t>]</w:t>
            </w:r>
          </w:p>
          <w:p w14:paraId="00000089"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 Organization and Management</w:t>
            </w:r>
          </w:p>
        </w:tc>
        <w:tc>
          <w:tcPr>
            <w:tcW w:w="3202" w:type="dxa"/>
          </w:tcPr>
          <w:p w14:paraId="0000008A"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UK, ethnographic study in an NHS teaching hospital in medical imaging departments</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Identify barriers and enablers to Lean implementation as part of an imaging quality improvement programme from a socio-cultural perspective.</w:t>
            </w:r>
          </w:p>
        </w:tc>
        <w:tc>
          <w:tcPr>
            <w:tcW w:w="1177" w:type="dxa"/>
          </w:tcPr>
          <w:p w14:paraId="0000008B"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Qualitative</w:t>
            </w:r>
          </w:p>
        </w:tc>
        <w:tc>
          <w:tcPr>
            <w:tcW w:w="5107" w:type="dxa"/>
          </w:tcPr>
          <w:p w14:paraId="0000008C"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Barriers and enablers to LM implementation in healthcare were identified in a complex HCO setting. Three overarching themes were determined: (1) change agents and interprofessional relationships, (2) moving toward a cultural transition and (3) staff engagement and facilitator credibility. </w:t>
            </w:r>
          </w:p>
        </w:tc>
        <w:tc>
          <w:tcPr>
            <w:tcW w:w="1171" w:type="dxa"/>
          </w:tcPr>
          <w:p w14:paraId="0000008D" w14:textId="74EC871F"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 xml:space="preserve">1b, 1c, 2a, 3a, 3b, </w:t>
            </w:r>
            <w:r w:rsidR="00397318">
              <w:rPr>
                <w:rFonts w:ascii="Garamond" w:eastAsia="Garamond" w:hAnsi="Garamond" w:cs="Garamond"/>
                <w:color w:val="000000"/>
                <w:sz w:val="20"/>
                <w:szCs w:val="20"/>
              </w:rPr>
              <w:t>3c</w:t>
            </w:r>
            <w:r w:rsidRPr="00BD091D">
              <w:rPr>
                <w:rFonts w:ascii="Garamond" w:eastAsia="Garamond" w:hAnsi="Garamond" w:cs="Garamond"/>
                <w:color w:val="000000"/>
                <w:sz w:val="20"/>
                <w:szCs w:val="20"/>
              </w:rPr>
              <w:t>, 4</w:t>
            </w:r>
            <w:r w:rsidR="00397318">
              <w:rPr>
                <w:rFonts w:ascii="Garamond" w:eastAsia="Garamond" w:hAnsi="Garamond" w:cs="Garamond"/>
                <w:color w:val="000000"/>
                <w:sz w:val="20"/>
                <w:szCs w:val="20"/>
              </w:rPr>
              <w:t>a</w:t>
            </w:r>
          </w:p>
        </w:tc>
        <w:tc>
          <w:tcPr>
            <w:tcW w:w="1477" w:type="dxa"/>
          </w:tcPr>
          <w:p w14:paraId="0000008E" w14:textId="31089EC8"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3</w:t>
            </w:r>
            <w:r w:rsidR="00397318">
              <w:rPr>
                <w:rFonts w:ascii="Garamond" w:eastAsia="Garamond" w:hAnsi="Garamond" w:cs="Garamond"/>
                <w:color w:val="000000"/>
                <w:sz w:val="20"/>
                <w:szCs w:val="20"/>
              </w:rPr>
              <w:t>c</w:t>
            </w:r>
            <w:r w:rsidRPr="00BD091D">
              <w:rPr>
                <w:rFonts w:ascii="Garamond" w:eastAsia="Garamond" w:hAnsi="Garamond" w:cs="Garamond"/>
                <w:color w:val="000000"/>
                <w:sz w:val="20"/>
                <w:szCs w:val="20"/>
              </w:rPr>
              <w:t>, 4</w:t>
            </w:r>
            <w:r w:rsidR="00397318">
              <w:rPr>
                <w:rFonts w:ascii="Garamond" w:eastAsia="Garamond" w:hAnsi="Garamond" w:cs="Garamond"/>
                <w:color w:val="000000"/>
                <w:sz w:val="20"/>
                <w:szCs w:val="20"/>
              </w:rPr>
              <w:t>a</w:t>
            </w:r>
          </w:p>
        </w:tc>
      </w:tr>
      <w:tr w:rsidR="001E6A28" w14:paraId="4C402627" w14:textId="77777777">
        <w:tc>
          <w:tcPr>
            <w:tcW w:w="1824" w:type="dxa"/>
          </w:tcPr>
          <w:p w14:paraId="0000008F" w14:textId="38B602DD"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 Rees and </w:t>
            </w:r>
            <w:proofErr w:type="spellStart"/>
            <w:r>
              <w:rPr>
                <w:rFonts w:ascii="Garamond" w:eastAsia="Garamond" w:hAnsi="Garamond" w:cs="Garamond"/>
                <w:color w:val="000000"/>
                <w:sz w:val="20"/>
                <w:szCs w:val="20"/>
              </w:rPr>
              <w:t>Gauld</w:t>
            </w:r>
            <w:proofErr w:type="spellEnd"/>
            <w:r>
              <w:rPr>
                <w:rFonts w:ascii="Garamond" w:eastAsia="Garamond" w:hAnsi="Garamond" w:cs="Garamond"/>
                <w:color w:val="000000"/>
                <w:sz w:val="20"/>
                <w:szCs w:val="20"/>
              </w:rPr>
              <w:t xml:space="preserve"> [</w:t>
            </w:r>
            <w:r w:rsidR="00D66F52">
              <w:rPr>
                <w:rFonts w:ascii="Garamond" w:eastAsia="Garamond" w:hAnsi="Garamond" w:cs="Garamond"/>
                <w:color w:val="000000"/>
                <w:sz w:val="20"/>
                <w:szCs w:val="20"/>
              </w:rPr>
              <w:t>39</w:t>
            </w:r>
            <w:r>
              <w:rPr>
                <w:rFonts w:ascii="Garamond" w:eastAsia="Garamond" w:hAnsi="Garamond" w:cs="Garamond"/>
                <w:color w:val="000000"/>
                <w:sz w:val="20"/>
                <w:szCs w:val="20"/>
              </w:rPr>
              <w:t>]</w:t>
            </w:r>
          </w:p>
          <w:p w14:paraId="00000090"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 Organization and Management</w:t>
            </w:r>
          </w:p>
        </w:tc>
        <w:tc>
          <w:tcPr>
            <w:tcW w:w="3202" w:type="dxa"/>
          </w:tcPr>
          <w:p w14:paraId="00000091"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color w:val="000000"/>
                <w:sz w:val="20"/>
                <w:szCs w:val="20"/>
              </w:rPr>
              <w:t>• NZ, general review</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Discuss the effects of the introduction of Lean into HCOs concerning work intensification</w:t>
            </w:r>
          </w:p>
        </w:tc>
        <w:tc>
          <w:tcPr>
            <w:tcW w:w="1177" w:type="dxa"/>
          </w:tcPr>
          <w:p w14:paraId="00000092"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Literature review</w:t>
            </w:r>
          </w:p>
        </w:tc>
        <w:tc>
          <w:tcPr>
            <w:tcW w:w="5107" w:type="dxa"/>
          </w:tcPr>
          <w:p w14:paraId="00000093"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Results observed that much of the LM literature explores LM implementations with little attention paid to potential effects on cultural and situational factors. These factors, if unaddressed, may lead to work intensification for vulnerable workers.</w:t>
            </w:r>
          </w:p>
        </w:tc>
        <w:tc>
          <w:tcPr>
            <w:tcW w:w="1171" w:type="dxa"/>
          </w:tcPr>
          <w:p w14:paraId="00000094" w14:textId="12D136FC"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1b, 3a, 3</w:t>
            </w:r>
            <w:r w:rsidR="002C2CC4">
              <w:rPr>
                <w:rFonts w:ascii="Garamond" w:eastAsia="Garamond" w:hAnsi="Garamond" w:cs="Garamond"/>
                <w:color w:val="000000"/>
                <w:sz w:val="20"/>
                <w:szCs w:val="20"/>
              </w:rPr>
              <w:t>c</w:t>
            </w:r>
          </w:p>
          <w:p w14:paraId="00000095" w14:textId="0E9E3EA8" w:rsidR="001E6A28" w:rsidRPr="00BD091D" w:rsidRDefault="001E6A28">
            <w:pPr>
              <w:spacing w:line="276" w:lineRule="auto"/>
              <w:rPr>
                <w:rFonts w:ascii="Garamond" w:eastAsia="Garamond" w:hAnsi="Garamond" w:cs="Garamond"/>
                <w:color w:val="000000"/>
                <w:sz w:val="20"/>
                <w:szCs w:val="20"/>
              </w:rPr>
            </w:pPr>
          </w:p>
        </w:tc>
        <w:tc>
          <w:tcPr>
            <w:tcW w:w="1477" w:type="dxa"/>
          </w:tcPr>
          <w:p w14:paraId="00000096" w14:textId="204DA890"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1a, 2a, 2b, 3a</w:t>
            </w:r>
          </w:p>
          <w:p w14:paraId="00000097" w14:textId="7E5E8364" w:rsidR="001E6A28" w:rsidRPr="00BD091D" w:rsidRDefault="001E6A28">
            <w:pPr>
              <w:spacing w:line="276" w:lineRule="auto"/>
              <w:rPr>
                <w:rFonts w:ascii="Garamond" w:eastAsia="Garamond" w:hAnsi="Garamond" w:cs="Garamond"/>
                <w:color w:val="000000"/>
                <w:sz w:val="20"/>
                <w:szCs w:val="20"/>
              </w:rPr>
            </w:pPr>
          </w:p>
        </w:tc>
      </w:tr>
      <w:tr w:rsidR="001E6A28" w14:paraId="12C19D71" w14:textId="77777777">
        <w:tc>
          <w:tcPr>
            <w:tcW w:w="1824" w:type="dxa"/>
          </w:tcPr>
          <w:p w14:paraId="00000098" w14:textId="314CAEEE"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 </w:t>
            </w:r>
            <w:proofErr w:type="spellStart"/>
            <w:r>
              <w:rPr>
                <w:rFonts w:ascii="Garamond" w:eastAsia="Garamond" w:hAnsi="Garamond" w:cs="Garamond"/>
                <w:color w:val="000000"/>
                <w:sz w:val="20"/>
                <w:szCs w:val="20"/>
              </w:rPr>
              <w:t>Régis</w:t>
            </w:r>
            <w:proofErr w:type="spellEnd"/>
            <w:r>
              <w:rPr>
                <w:rFonts w:ascii="Garamond" w:eastAsia="Garamond" w:hAnsi="Garamond" w:cs="Garamond"/>
                <w:color w:val="000000"/>
                <w:sz w:val="20"/>
                <w:szCs w:val="20"/>
              </w:rPr>
              <w:t xml:space="preserve"> et al. [</w:t>
            </w:r>
            <w:r w:rsidR="003A2D9C">
              <w:rPr>
                <w:rFonts w:ascii="Garamond" w:eastAsia="Garamond" w:hAnsi="Garamond" w:cs="Garamond"/>
                <w:color w:val="000000"/>
                <w:sz w:val="20"/>
                <w:szCs w:val="20"/>
              </w:rPr>
              <w:t>5</w:t>
            </w:r>
            <w:r w:rsidR="00D66F52">
              <w:rPr>
                <w:rFonts w:ascii="Garamond" w:eastAsia="Garamond" w:hAnsi="Garamond" w:cs="Garamond"/>
                <w:color w:val="000000"/>
                <w:sz w:val="20"/>
                <w:szCs w:val="20"/>
              </w:rPr>
              <w:t>1</w:t>
            </w:r>
            <w:r>
              <w:rPr>
                <w:rFonts w:ascii="Garamond" w:eastAsia="Garamond" w:hAnsi="Garamond" w:cs="Garamond"/>
                <w:color w:val="000000"/>
                <w:sz w:val="20"/>
                <w:szCs w:val="20"/>
              </w:rPr>
              <w:t>]</w:t>
            </w:r>
          </w:p>
          <w:p w14:paraId="00000099"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 Organization and Management</w:t>
            </w:r>
          </w:p>
        </w:tc>
        <w:tc>
          <w:tcPr>
            <w:tcW w:w="3202" w:type="dxa"/>
          </w:tcPr>
          <w:p w14:paraId="0000009A"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BR,</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three case studies conducted in three hospitals</w:t>
            </w:r>
          </w:p>
          <w:p w14:paraId="0000009B"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Develop a practice-driven methodology for implementing Lean in hospital operations</w:t>
            </w:r>
          </w:p>
        </w:tc>
        <w:tc>
          <w:tcPr>
            <w:tcW w:w="1177" w:type="dxa"/>
          </w:tcPr>
          <w:p w14:paraId="0000009C"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Qualitative</w:t>
            </w:r>
          </w:p>
        </w:tc>
        <w:tc>
          <w:tcPr>
            <w:tcW w:w="5107" w:type="dxa"/>
          </w:tcPr>
          <w:p w14:paraId="0000009D"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Researched the implementation process and proposed a methodology for implementation of LM in a two-step process: preparation and application. The methodology is based on empirical findings that forms a roadmap for HCOs to employ during the LM implementation process. </w:t>
            </w:r>
          </w:p>
        </w:tc>
        <w:tc>
          <w:tcPr>
            <w:tcW w:w="1171" w:type="dxa"/>
          </w:tcPr>
          <w:p w14:paraId="0000009E" w14:textId="143BE0A0"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 xml:space="preserve">2b, 3a, 3b, </w:t>
            </w:r>
            <w:r w:rsidR="00397318">
              <w:rPr>
                <w:rFonts w:ascii="Garamond" w:eastAsia="Garamond" w:hAnsi="Garamond" w:cs="Garamond"/>
                <w:color w:val="000000"/>
                <w:sz w:val="20"/>
                <w:szCs w:val="20"/>
              </w:rPr>
              <w:t>3c</w:t>
            </w:r>
            <w:r w:rsidRPr="00BD091D">
              <w:rPr>
                <w:rFonts w:ascii="Garamond" w:eastAsia="Garamond" w:hAnsi="Garamond" w:cs="Garamond"/>
                <w:color w:val="000000"/>
                <w:sz w:val="20"/>
                <w:szCs w:val="20"/>
              </w:rPr>
              <w:t xml:space="preserve"> </w:t>
            </w:r>
          </w:p>
          <w:p w14:paraId="0000009F" w14:textId="30CE2E05" w:rsidR="001E6A28" w:rsidRPr="00BD091D" w:rsidRDefault="001E6A28">
            <w:pPr>
              <w:spacing w:line="276" w:lineRule="auto"/>
              <w:rPr>
                <w:rFonts w:ascii="Garamond" w:eastAsia="Garamond" w:hAnsi="Garamond" w:cs="Garamond"/>
                <w:color w:val="000000"/>
                <w:sz w:val="20"/>
                <w:szCs w:val="20"/>
              </w:rPr>
            </w:pPr>
          </w:p>
        </w:tc>
        <w:tc>
          <w:tcPr>
            <w:tcW w:w="1477" w:type="dxa"/>
          </w:tcPr>
          <w:p w14:paraId="000000A0" w14:textId="7466803F"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X</w:t>
            </w:r>
          </w:p>
        </w:tc>
      </w:tr>
      <w:tr w:rsidR="001E6A28" w14:paraId="2C2ACD32" w14:textId="77777777">
        <w:tc>
          <w:tcPr>
            <w:tcW w:w="1824" w:type="dxa"/>
          </w:tcPr>
          <w:p w14:paraId="000000A1" w14:textId="4F1B3A43"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lastRenderedPageBreak/>
              <w:t xml:space="preserve">• </w:t>
            </w:r>
            <w:proofErr w:type="spellStart"/>
            <w:r>
              <w:rPr>
                <w:rFonts w:ascii="Garamond" w:eastAsia="Garamond" w:hAnsi="Garamond" w:cs="Garamond"/>
                <w:color w:val="000000"/>
                <w:sz w:val="20"/>
                <w:szCs w:val="20"/>
              </w:rPr>
              <w:t>Rundall</w:t>
            </w:r>
            <w:proofErr w:type="spellEnd"/>
            <w:r>
              <w:rPr>
                <w:rFonts w:ascii="Garamond" w:eastAsia="Garamond" w:hAnsi="Garamond" w:cs="Garamond"/>
                <w:color w:val="000000"/>
                <w:sz w:val="20"/>
                <w:szCs w:val="20"/>
              </w:rPr>
              <w:t xml:space="preserve"> et al. [</w:t>
            </w:r>
            <w:r w:rsidR="003A2D9C">
              <w:rPr>
                <w:rFonts w:ascii="Garamond" w:eastAsia="Garamond" w:hAnsi="Garamond" w:cs="Garamond"/>
                <w:color w:val="000000"/>
                <w:sz w:val="20"/>
                <w:szCs w:val="20"/>
              </w:rPr>
              <w:t>4</w:t>
            </w:r>
            <w:r w:rsidR="00D66F52">
              <w:rPr>
                <w:rFonts w:ascii="Garamond" w:eastAsia="Garamond" w:hAnsi="Garamond" w:cs="Garamond"/>
                <w:color w:val="000000"/>
                <w:sz w:val="20"/>
                <w:szCs w:val="20"/>
              </w:rPr>
              <w:t>1</w:t>
            </w:r>
            <w:r>
              <w:rPr>
                <w:rFonts w:ascii="Garamond" w:eastAsia="Garamond" w:hAnsi="Garamond" w:cs="Garamond"/>
                <w:color w:val="000000"/>
                <w:sz w:val="20"/>
                <w:szCs w:val="20"/>
              </w:rPr>
              <w:t>]</w:t>
            </w:r>
          </w:p>
          <w:p w14:paraId="000000A2"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Health Care Management Review</w:t>
            </w:r>
          </w:p>
        </w:tc>
        <w:tc>
          <w:tcPr>
            <w:tcW w:w="3202" w:type="dxa"/>
          </w:tcPr>
          <w:p w14:paraId="000000A3" w14:textId="77777777" w:rsidR="001E6A28" w:rsidRDefault="00000000">
            <w:pPr>
              <w:spacing w:line="276" w:lineRule="auto"/>
              <w:rPr>
                <w:rFonts w:ascii="Garamond" w:eastAsia="Garamond" w:hAnsi="Garamond" w:cs="Garamond"/>
                <w:i/>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US,</w:t>
            </w:r>
            <w:r>
              <w:rPr>
                <w:rFonts w:ascii="Garamond" w:eastAsia="Garamond" w:hAnsi="Garamond" w:cs="Garamond"/>
                <w:b/>
                <w:color w:val="000000"/>
                <w:sz w:val="20"/>
                <w:szCs w:val="20"/>
              </w:rPr>
              <w:t xml:space="preserve"> </w:t>
            </w:r>
            <w:r>
              <w:rPr>
                <w:rFonts w:ascii="Garamond" w:eastAsia="Garamond" w:hAnsi="Garamond" w:cs="Garamond"/>
                <w:color w:val="000000"/>
                <w:sz w:val="20"/>
                <w:szCs w:val="20"/>
              </w:rPr>
              <w:t xml:space="preserve">survey study, filled out by n=1,152 hospitals </w:t>
            </w:r>
          </w:p>
          <w:p w14:paraId="000000A4"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Examine the relationships between LM and hospital financial performance, patient outcomes, and patient satisfaction</w:t>
            </w:r>
          </w:p>
        </w:tc>
        <w:tc>
          <w:tcPr>
            <w:tcW w:w="1177" w:type="dxa"/>
          </w:tcPr>
          <w:p w14:paraId="000000A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Quantitative</w:t>
            </w:r>
          </w:p>
        </w:tc>
        <w:tc>
          <w:tcPr>
            <w:tcW w:w="5107" w:type="dxa"/>
          </w:tcPr>
          <w:p w14:paraId="000000A6"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Demonstrated that the adoption of LM is not significantly linked with 9 out of 10 commonly used measures of hospital performance indicating that adoption of LM may not be associated with improved organisational performance. Localised LM approaches were observed to provide benefits, where they found improvements on a hospital wide measure of performance requires sustained LM. </w:t>
            </w:r>
          </w:p>
        </w:tc>
        <w:tc>
          <w:tcPr>
            <w:tcW w:w="1171" w:type="dxa"/>
          </w:tcPr>
          <w:p w14:paraId="000000A7" w14:textId="213CC1F9"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 xml:space="preserve">1b, 2b </w:t>
            </w:r>
          </w:p>
          <w:p w14:paraId="000000A8" w14:textId="41386568" w:rsidR="001E6A28" w:rsidRPr="00BD091D" w:rsidRDefault="001E6A28">
            <w:pPr>
              <w:spacing w:line="276" w:lineRule="auto"/>
              <w:rPr>
                <w:rFonts w:ascii="Garamond" w:eastAsia="Garamond" w:hAnsi="Garamond" w:cs="Garamond"/>
                <w:color w:val="000000"/>
                <w:sz w:val="20"/>
                <w:szCs w:val="20"/>
              </w:rPr>
            </w:pPr>
          </w:p>
        </w:tc>
        <w:tc>
          <w:tcPr>
            <w:tcW w:w="1477" w:type="dxa"/>
          </w:tcPr>
          <w:p w14:paraId="000000A9" w14:textId="32EA3816"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 xml:space="preserve">1a, 1b, 2a, 2b, </w:t>
            </w:r>
            <w:r w:rsidR="002C2CC4">
              <w:rPr>
                <w:rFonts w:ascii="Garamond" w:eastAsia="Garamond" w:hAnsi="Garamond" w:cs="Garamond"/>
                <w:color w:val="000000"/>
                <w:sz w:val="20"/>
                <w:szCs w:val="20"/>
              </w:rPr>
              <w:t>3b</w:t>
            </w:r>
            <w:r w:rsidRPr="00BD091D">
              <w:rPr>
                <w:rFonts w:ascii="Garamond" w:eastAsia="Garamond" w:hAnsi="Garamond" w:cs="Garamond"/>
                <w:color w:val="000000"/>
                <w:sz w:val="20"/>
                <w:szCs w:val="20"/>
              </w:rPr>
              <w:t xml:space="preserve"> </w:t>
            </w:r>
          </w:p>
          <w:p w14:paraId="000000AA" w14:textId="1722242D" w:rsidR="001E6A28" w:rsidRPr="00BD091D" w:rsidRDefault="001E6A28">
            <w:pPr>
              <w:spacing w:line="276" w:lineRule="auto"/>
              <w:rPr>
                <w:rFonts w:ascii="Garamond" w:eastAsia="Garamond" w:hAnsi="Garamond" w:cs="Garamond"/>
                <w:color w:val="000000"/>
                <w:sz w:val="20"/>
                <w:szCs w:val="20"/>
              </w:rPr>
            </w:pPr>
          </w:p>
        </w:tc>
      </w:tr>
      <w:tr w:rsidR="001E6A28" w14:paraId="5CBEC9B4" w14:textId="77777777">
        <w:tc>
          <w:tcPr>
            <w:tcW w:w="1824" w:type="dxa"/>
          </w:tcPr>
          <w:p w14:paraId="000000AB" w14:textId="54B6F126"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Santos et al. [</w:t>
            </w:r>
            <w:r w:rsidR="003A2D9C">
              <w:rPr>
                <w:rFonts w:ascii="Garamond" w:eastAsia="Garamond" w:hAnsi="Garamond" w:cs="Garamond"/>
                <w:color w:val="000000"/>
                <w:sz w:val="20"/>
                <w:szCs w:val="20"/>
              </w:rPr>
              <w:t>4</w:t>
            </w:r>
            <w:r w:rsidR="00D66F52">
              <w:rPr>
                <w:rFonts w:ascii="Garamond" w:eastAsia="Garamond" w:hAnsi="Garamond" w:cs="Garamond"/>
                <w:color w:val="000000"/>
                <w:sz w:val="20"/>
                <w:szCs w:val="20"/>
              </w:rPr>
              <w:t>6</w:t>
            </w:r>
            <w:r>
              <w:rPr>
                <w:rFonts w:ascii="Garamond" w:eastAsia="Garamond" w:hAnsi="Garamond" w:cs="Garamond"/>
                <w:color w:val="000000"/>
                <w:sz w:val="20"/>
                <w:szCs w:val="20"/>
              </w:rPr>
              <w:t>]</w:t>
            </w:r>
          </w:p>
          <w:p w14:paraId="000000AC"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 Organization and Management</w:t>
            </w:r>
          </w:p>
        </w:tc>
        <w:tc>
          <w:tcPr>
            <w:tcW w:w="3202" w:type="dxa"/>
          </w:tcPr>
          <w:p w14:paraId="000000AD"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BR, systematic literature review</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Understand the state of the art of LM in healthcare by investigating and comparing conceptual and analytical articles</w:t>
            </w:r>
          </w:p>
        </w:tc>
        <w:tc>
          <w:tcPr>
            <w:tcW w:w="1177" w:type="dxa"/>
          </w:tcPr>
          <w:p w14:paraId="000000AE"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Literature review</w:t>
            </w:r>
          </w:p>
        </w:tc>
        <w:tc>
          <w:tcPr>
            <w:tcW w:w="5107" w:type="dxa"/>
          </w:tcPr>
          <w:p w14:paraId="000000AF"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Results indicate that the Visual Stream Map is the most commonly discussed LM tool, and the first tool commonly applied in HCOs. Additional results include that the working environment and management are crucial for LM implementation. Both categories contain many facilitators and barriers to LM. Emergency departments are the most discussed department in articles and performance indicators had a positive effect on LM outcomes. </w:t>
            </w:r>
          </w:p>
        </w:tc>
        <w:tc>
          <w:tcPr>
            <w:tcW w:w="1171" w:type="dxa"/>
          </w:tcPr>
          <w:p w14:paraId="000000B0" w14:textId="129466ED"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4</w:t>
            </w:r>
            <w:r w:rsidR="00397318">
              <w:rPr>
                <w:rFonts w:ascii="Garamond" w:eastAsia="Garamond" w:hAnsi="Garamond" w:cs="Garamond"/>
                <w:color w:val="000000"/>
                <w:sz w:val="20"/>
                <w:szCs w:val="20"/>
              </w:rPr>
              <w:t>a</w:t>
            </w:r>
          </w:p>
        </w:tc>
        <w:tc>
          <w:tcPr>
            <w:tcW w:w="1477" w:type="dxa"/>
          </w:tcPr>
          <w:p w14:paraId="000000B1" w14:textId="3BBCE29D"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1b</w:t>
            </w:r>
            <w:r w:rsidR="00397318">
              <w:rPr>
                <w:rFonts w:ascii="Garamond" w:eastAsia="Garamond" w:hAnsi="Garamond" w:cs="Garamond"/>
                <w:color w:val="000000"/>
                <w:sz w:val="20"/>
                <w:szCs w:val="20"/>
              </w:rPr>
              <w:t>, 3c</w:t>
            </w:r>
          </w:p>
        </w:tc>
      </w:tr>
      <w:tr w:rsidR="001E6A28" w14:paraId="7C351486" w14:textId="77777777">
        <w:tc>
          <w:tcPr>
            <w:tcW w:w="1824" w:type="dxa"/>
          </w:tcPr>
          <w:p w14:paraId="000000B2" w14:textId="15D1CF92"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Schouten et al. [</w:t>
            </w:r>
            <w:r w:rsidR="003A2D9C">
              <w:rPr>
                <w:rFonts w:ascii="Garamond" w:eastAsia="Garamond" w:hAnsi="Garamond" w:cs="Garamond"/>
                <w:color w:val="000000"/>
                <w:sz w:val="20"/>
                <w:szCs w:val="20"/>
              </w:rPr>
              <w:t>4</w:t>
            </w:r>
            <w:r w:rsidR="00D66F52">
              <w:rPr>
                <w:rFonts w:ascii="Garamond" w:eastAsia="Garamond" w:hAnsi="Garamond" w:cs="Garamond"/>
                <w:color w:val="000000"/>
                <w:sz w:val="20"/>
                <w:szCs w:val="20"/>
              </w:rPr>
              <w:t>0</w:t>
            </w:r>
            <w:r>
              <w:rPr>
                <w:rFonts w:ascii="Garamond" w:eastAsia="Garamond" w:hAnsi="Garamond" w:cs="Garamond"/>
                <w:color w:val="000000"/>
                <w:sz w:val="20"/>
                <w:szCs w:val="20"/>
              </w:rPr>
              <w:t>]</w:t>
            </w:r>
          </w:p>
          <w:p w14:paraId="000000B3"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 Organization and Management</w:t>
            </w:r>
          </w:p>
        </w:tc>
        <w:tc>
          <w:tcPr>
            <w:tcW w:w="3202" w:type="dxa"/>
          </w:tcPr>
          <w:p w14:paraId="000000B4"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w:t>
            </w:r>
            <w:r>
              <w:rPr>
                <w:rFonts w:ascii="Garamond" w:eastAsia="Garamond" w:hAnsi="Garamond" w:cs="Garamond"/>
                <w:color w:val="000000"/>
                <w:sz w:val="20"/>
                <w:szCs w:val="20"/>
              </w:rPr>
              <w:t xml:space="preserve"> NL, case study conducted in </w:t>
            </w:r>
            <w:proofErr w:type="spellStart"/>
            <w:r>
              <w:rPr>
                <w:rFonts w:ascii="Garamond" w:eastAsia="Garamond" w:hAnsi="Garamond" w:cs="Garamond"/>
                <w:color w:val="000000"/>
                <w:sz w:val="20"/>
                <w:szCs w:val="20"/>
              </w:rPr>
              <w:t>Zaans</w:t>
            </w:r>
            <w:proofErr w:type="spellEnd"/>
            <w:r>
              <w:rPr>
                <w:rFonts w:ascii="Garamond" w:eastAsia="Garamond" w:hAnsi="Garamond" w:cs="Garamond"/>
                <w:color w:val="000000"/>
                <w:sz w:val="20"/>
                <w:szCs w:val="20"/>
              </w:rPr>
              <w:t xml:space="preserve"> Medical Centre </w:t>
            </w:r>
            <w:r>
              <w:rPr>
                <w:rFonts w:ascii="Garamond" w:eastAsia="Garamond" w:hAnsi="Garamond" w:cs="Garamond"/>
                <w:b/>
                <w:color w:val="000000"/>
                <w:sz w:val="20"/>
                <w:szCs w:val="20"/>
              </w:rPr>
              <w:br/>
              <w:t xml:space="preserve">• </w:t>
            </w:r>
            <w:r>
              <w:rPr>
                <w:rFonts w:ascii="Garamond" w:eastAsia="Garamond" w:hAnsi="Garamond" w:cs="Garamond"/>
                <w:color w:val="000000"/>
                <w:sz w:val="20"/>
                <w:szCs w:val="20"/>
              </w:rPr>
              <w:t>Investigate key mechanisms enhancing healthcare professionals’ participation and collaboration in implementing Lean-led hospital design innovative approach</w:t>
            </w:r>
          </w:p>
        </w:tc>
        <w:tc>
          <w:tcPr>
            <w:tcW w:w="1177" w:type="dxa"/>
          </w:tcPr>
          <w:p w14:paraId="000000B5"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Qualitative</w:t>
            </w:r>
          </w:p>
        </w:tc>
        <w:tc>
          <w:tcPr>
            <w:tcW w:w="5107" w:type="dxa"/>
          </w:tcPr>
          <w:p w14:paraId="000000B6"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Three key mechanisms were identified that caused healthcare professionals to participate and collaborate in LM process redesign of hospitals. The mechanisms were (1) freedom to translate a concept, (2) a set of guiding LM principles and (3) co-creation which was achieved through multi-disciplinary workshops. </w:t>
            </w:r>
          </w:p>
        </w:tc>
        <w:tc>
          <w:tcPr>
            <w:tcW w:w="1171" w:type="dxa"/>
          </w:tcPr>
          <w:p w14:paraId="000000B7" w14:textId="031BD79D"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1a, 1b, 2b, 3</w:t>
            </w:r>
            <w:r w:rsidR="002C2CC4">
              <w:rPr>
                <w:rFonts w:ascii="Garamond" w:eastAsia="Garamond" w:hAnsi="Garamond" w:cs="Garamond"/>
                <w:color w:val="000000"/>
                <w:sz w:val="20"/>
                <w:szCs w:val="20"/>
              </w:rPr>
              <w:t>c</w:t>
            </w:r>
            <w:r w:rsidRPr="00BD091D">
              <w:rPr>
                <w:rFonts w:ascii="Garamond" w:eastAsia="Garamond" w:hAnsi="Garamond" w:cs="Garamond"/>
                <w:color w:val="000000"/>
                <w:sz w:val="20"/>
                <w:szCs w:val="20"/>
              </w:rPr>
              <w:t xml:space="preserve"> </w:t>
            </w:r>
          </w:p>
          <w:p w14:paraId="000000B8" w14:textId="321D4DCD" w:rsidR="001E6A28" w:rsidRPr="00BD091D" w:rsidRDefault="001E6A28">
            <w:pPr>
              <w:spacing w:line="276" w:lineRule="auto"/>
              <w:rPr>
                <w:rFonts w:ascii="Garamond" w:eastAsia="Garamond" w:hAnsi="Garamond" w:cs="Garamond"/>
                <w:color w:val="000000"/>
                <w:sz w:val="20"/>
                <w:szCs w:val="20"/>
              </w:rPr>
            </w:pPr>
          </w:p>
        </w:tc>
        <w:tc>
          <w:tcPr>
            <w:tcW w:w="1477" w:type="dxa"/>
          </w:tcPr>
          <w:p w14:paraId="000000B9" w14:textId="5E2B57AF"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2a, 4</w:t>
            </w:r>
            <w:r w:rsidR="002C2CC4">
              <w:rPr>
                <w:rFonts w:ascii="Garamond" w:eastAsia="Garamond" w:hAnsi="Garamond" w:cs="Garamond"/>
                <w:color w:val="000000"/>
                <w:sz w:val="20"/>
                <w:szCs w:val="20"/>
              </w:rPr>
              <w:t>a</w:t>
            </w:r>
            <w:r w:rsidRPr="00BD091D">
              <w:rPr>
                <w:rFonts w:ascii="Garamond" w:eastAsia="Garamond" w:hAnsi="Garamond" w:cs="Garamond"/>
                <w:color w:val="000000"/>
                <w:sz w:val="20"/>
                <w:szCs w:val="20"/>
              </w:rPr>
              <w:t xml:space="preserve"> </w:t>
            </w:r>
          </w:p>
        </w:tc>
      </w:tr>
      <w:tr w:rsidR="001E6A28" w14:paraId="42F3CF88" w14:textId="77777777">
        <w:tc>
          <w:tcPr>
            <w:tcW w:w="1824" w:type="dxa"/>
          </w:tcPr>
          <w:p w14:paraId="000000BA" w14:textId="13282E41"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Taylor et al. [</w:t>
            </w:r>
            <w:r w:rsidR="003A2D9C">
              <w:rPr>
                <w:rFonts w:ascii="Garamond" w:eastAsia="Garamond" w:hAnsi="Garamond" w:cs="Garamond"/>
                <w:color w:val="000000"/>
                <w:sz w:val="20"/>
                <w:szCs w:val="20"/>
              </w:rPr>
              <w:t>4</w:t>
            </w:r>
            <w:r w:rsidR="00D66F52">
              <w:rPr>
                <w:rFonts w:ascii="Garamond" w:eastAsia="Garamond" w:hAnsi="Garamond" w:cs="Garamond"/>
                <w:color w:val="000000"/>
                <w:sz w:val="20"/>
                <w:szCs w:val="20"/>
              </w:rPr>
              <w:t>5</w:t>
            </w:r>
            <w:r>
              <w:rPr>
                <w:rFonts w:ascii="Garamond" w:eastAsia="Garamond" w:hAnsi="Garamond" w:cs="Garamond"/>
                <w:color w:val="000000"/>
                <w:sz w:val="20"/>
                <w:szCs w:val="20"/>
              </w:rPr>
              <w:t>]</w:t>
            </w:r>
          </w:p>
          <w:p w14:paraId="000000BB"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Journal of Health Organization and Management</w:t>
            </w:r>
          </w:p>
        </w:tc>
        <w:tc>
          <w:tcPr>
            <w:tcW w:w="3202" w:type="dxa"/>
          </w:tcPr>
          <w:p w14:paraId="000000BC" w14:textId="77777777" w:rsidR="001E6A28" w:rsidRDefault="00000000">
            <w:pPr>
              <w:spacing w:line="276" w:lineRule="auto"/>
              <w:rPr>
                <w:rFonts w:ascii="Garamond" w:eastAsia="Garamond" w:hAnsi="Garamond" w:cs="Garamond"/>
                <w:i/>
                <w:color w:val="000000"/>
                <w:sz w:val="20"/>
                <w:szCs w:val="20"/>
              </w:rPr>
            </w:pPr>
            <w:r>
              <w:rPr>
                <w:rFonts w:ascii="Garamond" w:eastAsia="Garamond" w:hAnsi="Garamond" w:cs="Garamond"/>
                <w:b/>
                <w:color w:val="000000"/>
                <w:sz w:val="20"/>
                <w:szCs w:val="20"/>
              </w:rPr>
              <w:t>•</w:t>
            </w:r>
            <w:r>
              <w:rPr>
                <w:rFonts w:ascii="Garamond" w:eastAsia="Garamond" w:hAnsi="Garamond" w:cs="Garamond"/>
                <w:color w:val="000000"/>
                <w:sz w:val="20"/>
                <w:szCs w:val="20"/>
              </w:rPr>
              <w:t xml:space="preserve"> UK, case study performed in a Foundation Trust Hospital </w:t>
            </w:r>
          </w:p>
          <w:p w14:paraId="000000BD"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The purpose of this study was to explore individuals’ perceptions and emotions and find barriers/facilitators may influence LM implementation</w:t>
            </w:r>
          </w:p>
        </w:tc>
        <w:tc>
          <w:tcPr>
            <w:tcW w:w="1177" w:type="dxa"/>
          </w:tcPr>
          <w:p w14:paraId="000000BE"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Qualitative</w:t>
            </w:r>
          </w:p>
        </w:tc>
        <w:tc>
          <w:tcPr>
            <w:tcW w:w="5107" w:type="dxa"/>
          </w:tcPr>
          <w:p w14:paraId="000000BF"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The results demonstrate that not only adherence to LM values and prescribed steps in LM activities initiate and sustain the improvement process, but also the individuals’ perceptions and emotions are fundamental to sustain LM. A humanistic framework was proposed to provide guidelines to follow during LM workshops to acknowledge the human factor in participation of LM. </w:t>
            </w:r>
          </w:p>
        </w:tc>
        <w:tc>
          <w:tcPr>
            <w:tcW w:w="1171" w:type="dxa"/>
          </w:tcPr>
          <w:p w14:paraId="000000C0" w14:textId="09E4CD57"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1b, 3</w:t>
            </w:r>
            <w:r w:rsidR="00397318">
              <w:rPr>
                <w:rFonts w:ascii="Garamond" w:eastAsia="Garamond" w:hAnsi="Garamond" w:cs="Garamond"/>
                <w:color w:val="000000"/>
                <w:sz w:val="20"/>
                <w:szCs w:val="20"/>
              </w:rPr>
              <w:t>c</w:t>
            </w:r>
          </w:p>
          <w:p w14:paraId="000000C1" w14:textId="65CCACC1" w:rsidR="001E6A28" w:rsidRPr="00BD091D" w:rsidRDefault="001E6A28">
            <w:pPr>
              <w:spacing w:line="276" w:lineRule="auto"/>
              <w:rPr>
                <w:rFonts w:ascii="Garamond" w:eastAsia="Garamond" w:hAnsi="Garamond" w:cs="Garamond"/>
                <w:color w:val="000000"/>
                <w:sz w:val="20"/>
                <w:szCs w:val="20"/>
              </w:rPr>
            </w:pPr>
          </w:p>
        </w:tc>
        <w:tc>
          <w:tcPr>
            <w:tcW w:w="1477" w:type="dxa"/>
          </w:tcPr>
          <w:p w14:paraId="000000C2" w14:textId="29A635C8"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3a</w:t>
            </w:r>
          </w:p>
        </w:tc>
      </w:tr>
      <w:tr w:rsidR="001E6A28" w14:paraId="11A7AA3A" w14:textId="77777777">
        <w:tc>
          <w:tcPr>
            <w:tcW w:w="1824" w:type="dxa"/>
          </w:tcPr>
          <w:p w14:paraId="000000C3" w14:textId="68F0D105"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lastRenderedPageBreak/>
              <w:t xml:space="preserve">• van </w:t>
            </w:r>
            <w:proofErr w:type="spellStart"/>
            <w:r>
              <w:rPr>
                <w:rFonts w:ascii="Garamond" w:eastAsia="Garamond" w:hAnsi="Garamond" w:cs="Garamond"/>
                <w:color w:val="000000"/>
                <w:sz w:val="20"/>
                <w:szCs w:val="20"/>
              </w:rPr>
              <w:t>Elp</w:t>
            </w:r>
            <w:proofErr w:type="spellEnd"/>
            <w:r>
              <w:rPr>
                <w:rFonts w:ascii="Garamond" w:eastAsia="Garamond" w:hAnsi="Garamond" w:cs="Garamond"/>
                <w:color w:val="000000"/>
                <w:sz w:val="20"/>
                <w:szCs w:val="20"/>
              </w:rPr>
              <w:t xml:space="preserve"> et al. [</w:t>
            </w:r>
            <w:r w:rsidR="003A2D9C">
              <w:rPr>
                <w:rFonts w:ascii="Garamond" w:eastAsia="Garamond" w:hAnsi="Garamond" w:cs="Garamond"/>
                <w:color w:val="000000"/>
                <w:sz w:val="20"/>
                <w:szCs w:val="20"/>
              </w:rPr>
              <w:t>4</w:t>
            </w:r>
            <w:r w:rsidR="00D66F52">
              <w:rPr>
                <w:rFonts w:ascii="Garamond" w:eastAsia="Garamond" w:hAnsi="Garamond" w:cs="Garamond"/>
                <w:color w:val="000000"/>
                <w:sz w:val="20"/>
                <w:szCs w:val="20"/>
              </w:rPr>
              <w:t>2</w:t>
            </w:r>
            <w:r>
              <w:rPr>
                <w:rFonts w:ascii="Garamond" w:eastAsia="Garamond" w:hAnsi="Garamond" w:cs="Garamond"/>
                <w:color w:val="000000"/>
                <w:sz w:val="20"/>
                <w:szCs w:val="20"/>
              </w:rPr>
              <w:t>]</w:t>
            </w:r>
          </w:p>
          <w:p w14:paraId="000000C4"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Health Services Management Research</w:t>
            </w:r>
          </w:p>
        </w:tc>
        <w:tc>
          <w:tcPr>
            <w:tcW w:w="3202" w:type="dxa"/>
          </w:tcPr>
          <w:p w14:paraId="000000C5" w14:textId="77777777" w:rsidR="001E6A28" w:rsidRDefault="00000000">
            <w:pPr>
              <w:spacing w:line="276" w:lineRule="auto"/>
              <w:rPr>
                <w:rFonts w:ascii="Garamond" w:eastAsia="Garamond" w:hAnsi="Garamond" w:cs="Garamond"/>
                <w:i/>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 xml:space="preserve">NL, case study performed in an anonymised hospital </w:t>
            </w:r>
          </w:p>
          <w:p w14:paraId="000000C6"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Identify suitable leader behaviours in healthcare teams to achieve CI in HCOs</w:t>
            </w:r>
          </w:p>
        </w:tc>
        <w:tc>
          <w:tcPr>
            <w:tcW w:w="1177" w:type="dxa"/>
          </w:tcPr>
          <w:p w14:paraId="000000C7"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Qualitative</w:t>
            </w:r>
          </w:p>
        </w:tc>
        <w:tc>
          <w:tcPr>
            <w:tcW w:w="5107" w:type="dxa"/>
          </w:tcPr>
          <w:p w14:paraId="000000C8"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This study has identified that a hybrid leadership style is required, combining transactional and transformational principles, to improve continuous improvement capabilities of teams. </w:t>
            </w:r>
          </w:p>
        </w:tc>
        <w:tc>
          <w:tcPr>
            <w:tcW w:w="1171" w:type="dxa"/>
          </w:tcPr>
          <w:p w14:paraId="000000C9" w14:textId="5207C399"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 xml:space="preserve">1a, 2a, 3a </w:t>
            </w:r>
          </w:p>
          <w:p w14:paraId="000000CA" w14:textId="5441DB4D" w:rsidR="001E6A28" w:rsidRPr="00BD091D" w:rsidRDefault="001E6A28">
            <w:pPr>
              <w:spacing w:line="276" w:lineRule="auto"/>
              <w:rPr>
                <w:rFonts w:ascii="Garamond" w:eastAsia="Garamond" w:hAnsi="Garamond" w:cs="Garamond"/>
                <w:color w:val="000000"/>
                <w:sz w:val="20"/>
                <w:szCs w:val="20"/>
              </w:rPr>
            </w:pPr>
          </w:p>
        </w:tc>
        <w:tc>
          <w:tcPr>
            <w:tcW w:w="1477" w:type="dxa"/>
          </w:tcPr>
          <w:p w14:paraId="000000CB" w14:textId="75D18EDC"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X</w:t>
            </w:r>
          </w:p>
        </w:tc>
      </w:tr>
      <w:tr w:rsidR="001E6A28" w14:paraId="23C75FAA" w14:textId="77777777">
        <w:tc>
          <w:tcPr>
            <w:tcW w:w="1824" w:type="dxa"/>
          </w:tcPr>
          <w:p w14:paraId="000000CC" w14:textId="15CE22EF"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van Rossum et al. [</w:t>
            </w:r>
            <w:r w:rsidR="003A2D9C">
              <w:rPr>
                <w:rFonts w:ascii="Garamond" w:eastAsia="Garamond" w:hAnsi="Garamond" w:cs="Garamond"/>
                <w:color w:val="000000"/>
                <w:sz w:val="20"/>
                <w:szCs w:val="20"/>
              </w:rPr>
              <w:t>4</w:t>
            </w:r>
            <w:r w:rsidR="00D66F52">
              <w:rPr>
                <w:rFonts w:ascii="Garamond" w:eastAsia="Garamond" w:hAnsi="Garamond" w:cs="Garamond"/>
                <w:color w:val="000000"/>
                <w:sz w:val="20"/>
                <w:szCs w:val="20"/>
              </w:rPr>
              <w:t>3</w:t>
            </w:r>
            <w:r>
              <w:rPr>
                <w:rFonts w:ascii="Garamond" w:eastAsia="Garamond" w:hAnsi="Garamond" w:cs="Garamond"/>
                <w:color w:val="000000"/>
                <w:sz w:val="20"/>
                <w:szCs w:val="20"/>
              </w:rPr>
              <w:t>]</w:t>
            </w:r>
          </w:p>
          <w:p w14:paraId="000000CD"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w:t>
            </w:r>
            <w:r>
              <w:rPr>
                <w:rFonts w:ascii="Garamond" w:eastAsia="Garamond" w:hAnsi="Garamond" w:cs="Garamond"/>
                <w:i/>
                <w:color w:val="000000"/>
                <w:sz w:val="20"/>
                <w:szCs w:val="20"/>
              </w:rPr>
              <w:t xml:space="preserve"> </w:t>
            </w:r>
            <w:r>
              <w:rPr>
                <w:rFonts w:ascii="Garamond" w:eastAsia="Garamond" w:hAnsi="Garamond" w:cs="Garamond"/>
                <w:color w:val="000000"/>
                <w:sz w:val="20"/>
                <w:szCs w:val="20"/>
              </w:rPr>
              <w:t>Journal of Health Organization and Management</w:t>
            </w:r>
          </w:p>
        </w:tc>
        <w:tc>
          <w:tcPr>
            <w:tcW w:w="3202" w:type="dxa"/>
          </w:tcPr>
          <w:p w14:paraId="000000CE" w14:textId="77777777" w:rsidR="001E6A28" w:rsidRDefault="00000000">
            <w:pPr>
              <w:spacing w:line="276" w:lineRule="auto"/>
              <w:rPr>
                <w:rFonts w:ascii="Garamond" w:eastAsia="Garamond" w:hAnsi="Garamond" w:cs="Garamond"/>
                <w:i/>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 xml:space="preserve">NL, cross sectional study performed in a Dutch university medical centre </w:t>
            </w:r>
          </w:p>
          <w:p w14:paraId="000000CF" w14:textId="77777777" w:rsidR="001E6A28" w:rsidRDefault="00000000">
            <w:pPr>
              <w:spacing w:line="276" w:lineRule="auto"/>
              <w:rPr>
                <w:rFonts w:ascii="Garamond" w:eastAsia="Garamond" w:hAnsi="Garamond" w:cs="Garamond"/>
                <w:b/>
                <w:color w:val="000000"/>
                <w:sz w:val="20"/>
                <w:szCs w:val="20"/>
              </w:rPr>
            </w:pPr>
            <w:r>
              <w:rPr>
                <w:rFonts w:ascii="Garamond" w:eastAsia="Garamond" w:hAnsi="Garamond" w:cs="Garamond"/>
                <w:b/>
                <w:color w:val="000000"/>
                <w:sz w:val="20"/>
                <w:szCs w:val="20"/>
              </w:rPr>
              <w:t xml:space="preserve">• </w:t>
            </w:r>
            <w:r>
              <w:rPr>
                <w:rFonts w:ascii="Garamond" w:eastAsia="Garamond" w:hAnsi="Garamond" w:cs="Garamond"/>
                <w:color w:val="000000"/>
                <w:sz w:val="20"/>
                <w:szCs w:val="20"/>
              </w:rPr>
              <w:t>Increase scientific knowledge regarding factors that diminish the implementation gap of LM in HCOs from a Change Management perspective</w:t>
            </w:r>
          </w:p>
        </w:tc>
        <w:tc>
          <w:tcPr>
            <w:tcW w:w="1177" w:type="dxa"/>
          </w:tcPr>
          <w:p w14:paraId="000000D0"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Quantitative</w:t>
            </w:r>
          </w:p>
        </w:tc>
        <w:tc>
          <w:tcPr>
            <w:tcW w:w="5107" w:type="dxa"/>
          </w:tcPr>
          <w:p w14:paraId="000000D1" w14:textId="77777777" w:rsidR="001E6A28" w:rsidRDefault="00000000">
            <w:pPr>
              <w:spacing w:line="276" w:lineRule="auto"/>
              <w:rPr>
                <w:rFonts w:ascii="Garamond" w:eastAsia="Garamond" w:hAnsi="Garamond" w:cs="Garamond"/>
                <w:color w:val="000000"/>
                <w:sz w:val="20"/>
                <w:szCs w:val="20"/>
              </w:rPr>
            </w:pPr>
            <w:r>
              <w:rPr>
                <w:rFonts w:ascii="Garamond" w:eastAsia="Garamond" w:hAnsi="Garamond" w:cs="Garamond"/>
                <w:color w:val="000000"/>
                <w:sz w:val="20"/>
                <w:szCs w:val="20"/>
              </w:rPr>
              <w:t xml:space="preserve">Transformational leadership at the senior management level, team leadership and workforce flexibility were identified as crucial factors for transformation of a department to lean healthcare. In particular, the leadership style stimulated top-down commitment from management and enabled professional autonomy. An additional finding is that the workforce flexibility determines to what extent organisational elements can be adjusted to allow for implementation of LM across departments. </w:t>
            </w:r>
          </w:p>
        </w:tc>
        <w:tc>
          <w:tcPr>
            <w:tcW w:w="1171" w:type="dxa"/>
          </w:tcPr>
          <w:p w14:paraId="000000D2" w14:textId="3FB13645"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1a, 1b, 2a, 3a</w:t>
            </w:r>
          </w:p>
        </w:tc>
        <w:tc>
          <w:tcPr>
            <w:tcW w:w="1477" w:type="dxa"/>
          </w:tcPr>
          <w:p w14:paraId="000000D3" w14:textId="6980CFCF" w:rsidR="001E6A28" w:rsidRPr="00BD091D" w:rsidRDefault="00000000">
            <w:pPr>
              <w:spacing w:line="276" w:lineRule="auto"/>
              <w:rPr>
                <w:rFonts w:ascii="Garamond" w:eastAsia="Garamond" w:hAnsi="Garamond" w:cs="Garamond"/>
                <w:color w:val="000000"/>
                <w:sz w:val="20"/>
                <w:szCs w:val="20"/>
              </w:rPr>
            </w:pPr>
            <w:r w:rsidRPr="00BD091D">
              <w:rPr>
                <w:rFonts w:ascii="Garamond" w:eastAsia="Garamond" w:hAnsi="Garamond" w:cs="Garamond"/>
                <w:color w:val="000000"/>
                <w:sz w:val="20"/>
                <w:szCs w:val="20"/>
              </w:rPr>
              <w:t>X</w:t>
            </w:r>
          </w:p>
        </w:tc>
      </w:tr>
      <w:tr w:rsidR="001E6A28" w14:paraId="644E66D9" w14:textId="77777777">
        <w:tc>
          <w:tcPr>
            <w:tcW w:w="13958" w:type="dxa"/>
            <w:gridSpan w:val="6"/>
          </w:tcPr>
          <w:p w14:paraId="000000D4" w14:textId="2CB24AB5" w:rsidR="001E6A28" w:rsidRDefault="00000000" w:rsidP="00BD091D">
            <w:pPr>
              <w:spacing w:line="276" w:lineRule="auto"/>
              <w:jc w:val="both"/>
              <w:rPr>
                <w:rFonts w:ascii="Garamond" w:eastAsia="Garamond" w:hAnsi="Garamond" w:cs="Garamond"/>
                <w:color w:val="000000"/>
                <w:sz w:val="20"/>
                <w:szCs w:val="20"/>
              </w:rPr>
            </w:pPr>
            <w:r>
              <w:rPr>
                <w:rFonts w:ascii="Garamond" w:eastAsia="Garamond" w:hAnsi="Garamond" w:cs="Garamond"/>
                <w:i/>
                <w:color w:val="000000"/>
                <w:sz w:val="20"/>
                <w:szCs w:val="20"/>
              </w:rPr>
              <w:t xml:space="preserve">Note. </w:t>
            </w:r>
            <w:r>
              <w:rPr>
                <w:rFonts w:ascii="Garamond" w:eastAsia="Garamond" w:hAnsi="Garamond" w:cs="Garamond"/>
                <w:color w:val="000000"/>
                <w:sz w:val="20"/>
                <w:szCs w:val="20"/>
              </w:rPr>
              <w:t>Abbreviation list</w:t>
            </w:r>
            <w:r>
              <w:rPr>
                <w:rFonts w:ascii="Garamond" w:eastAsia="Garamond" w:hAnsi="Garamond" w:cs="Garamond"/>
                <w:i/>
                <w:color w:val="000000"/>
                <w:sz w:val="20"/>
                <w:szCs w:val="20"/>
              </w:rPr>
              <w:t xml:space="preserve">: </w:t>
            </w:r>
            <w:r>
              <w:rPr>
                <w:rFonts w:ascii="Garamond" w:eastAsia="Garamond" w:hAnsi="Garamond" w:cs="Garamond"/>
                <w:color w:val="000000"/>
                <w:sz w:val="20"/>
                <w:szCs w:val="20"/>
              </w:rPr>
              <w:t>BR</w:t>
            </w:r>
            <w:r>
              <w:rPr>
                <w:rFonts w:ascii="Garamond" w:eastAsia="Garamond" w:hAnsi="Garamond" w:cs="Garamond"/>
                <w:i/>
                <w:color w:val="000000"/>
                <w:sz w:val="20"/>
                <w:szCs w:val="20"/>
              </w:rPr>
              <w:t xml:space="preserve">, Brazil; </w:t>
            </w:r>
            <w:r>
              <w:rPr>
                <w:rFonts w:ascii="Garamond" w:eastAsia="Garamond" w:hAnsi="Garamond" w:cs="Garamond"/>
                <w:color w:val="000000"/>
                <w:sz w:val="20"/>
                <w:szCs w:val="20"/>
              </w:rPr>
              <w:t>CA</w:t>
            </w:r>
            <w:r>
              <w:rPr>
                <w:rFonts w:ascii="Garamond" w:eastAsia="Garamond" w:hAnsi="Garamond" w:cs="Garamond"/>
                <w:i/>
                <w:color w:val="000000"/>
                <w:sz w:val="20"/>
                <w:szCs w:val="20"/>
              </w:rPr>
              <w:t xml:space="preserve">, Canada; </w:t>
            </w:r>
            <w:r>
              <w:rPr>
                <w:rFonts w:ascii="Garamond" w:eastAsia="Garamond" w:hAnsi="Garamond" w:cs="Garamond"/>
                <w:color w:val="000000"/>
                <w:sz w:val="20"/>
                <w:szCs w:val="20"/>
              </w:rPr>
              <w:t>CI</w:t>
            </w:r>
            <w:r>
              <w:rPr>
                <w:rFonts w:ascii="Garamond" w:eastAsia="Garamond" w:hAnsi="Garamond" w:cs="Garamond"/>
                <w:i/>
                <w:color w:val="000000"/>
                <w:sz w:val="20"/>
                <w:szCs w:val="20"/>
              </w:rPr>
              <w:t xml:space="preserve">, Continuous Improvement; </w:t>
            </w:r>
            <w:r>
              <w:rPr>
                <w:rFonts w:ascii="Garamond" w:eastAsia="Garamond" w:hAnsi="Garamond" w:cs="Garamond"/>
                <w:color w:val="000000"/>
                <w:sz w:val="20"/>
                <w:szCs w:val="20"/>
              </w:rPr>
              <w:t>HCOs</w:t>
            </w:r>
            <w:r>
              <w:rPr>
                <w:rFonts w:ascii="Garamond" w:eastAsia="Garamond" w:hAnsi="Garamond" w:cs="Garamond"/>
                <w:i/>
                <w:color w:val="000000"/>
                <w:sz w:val="20"/>
                <w:szCs w:val="20"/>
              </w:rPr>
              <w:t xml:space="preserve">, Healthcare Organisations; </w:t>
            </w:r>
            <w:r w:rsidRPr="00BD091D">
              <w:rPr>
                <w:rFonts w:ascii="Garamond" w:eastAsia="Garamond" w:hAnsi="Garamond" w:cs="Garamond"/>
                <w:iCs/>
                <w:color w:val="000000"/>
                <w:sz w:val="20"/>
                <w:szCs w:val="20"/>
              </w:rPr>
              <w:t>HRM</w:t>
            </w:r>
            <w:r>
              <w:rPr>
                <w:rFonts w:ascii="Garamond" w:eastAsia="Garamond" w:hAnsi="Garamond" w:cs="Garamond"/>
                <w:i/>
                <w:color w:val="000000"/>
                <w:sz w:val="20"/>
                <w:szCs w:val="20"/>
              </w:rPr>
              <w:t xml:space="preserve">, Human Resource Management; </w:t>
            </w:r>
            <w:r w:rsidRPr="00BD091D">
              <w:rPr>
                <w:rFonts w:ascii="Garamond" w:eastAsia="Garamond" w:hAnsi="Garamond" w:cs="Garamond"/>
                <w:iCs/>
                <w:color w:val="000000"/>
                <w:sz w:val="20"/>
                <w:szCs w:val="20"/>
              </w:rPr>
              <w:t>JIT</w:t>
            </w:r>
            <w:r>
              <w:rPr>
                <w:rFonts w:ascii="Garamond" w:eastAsia="Garamond" w:hAnsi="Garamond" w:cs="Garamond"/>
                <w:i/>
                <w:color w:val="000000"/>
                <w:sz w:val="20"/>
                <w:szCs w:val="20"/>
              </w:rPr>
              <w:t xml:space="preserve">, Just-in-Time; </w:t>
            </w:r>
            <w:r>
              <w:rPr>
                <w:rFonts w:ascii="Garamond" w:eastAsia="Garamond" w:hAnsi="Garamond" w:cs="Garamond"/>
                <w:color w:val="000000"/>
                <w:sz w:val="20"/>
                <w:szCs w:val="20"/>
              </w:rPr>
              <w:t>LM</w:t>
            </w:r>
            <w:r>
              <w:rPr>
                <w:rFonts w:ascii="Garamond" w:eastAsia="Garamond" w:hAnsi="Garamond" w:cs="Garamond"/>
                <w:i/>
                <w:color w:val="000000"/>
                <w:sz w:val="20"/>
                <w:szCs w:val="20"/>
              </w:rPr>
              <w:t xml:space="preserve">, Lean Management; </w:t>
            </w:r>
            <w:r>
              <w:rPr>
                <w:rFonts w:ascii="Garamond" w:eastAsia="Garamond" w:hAnsi="Garamond" w:cs="Garamond"/>
                <w:color w:val="000000"/>
                <w:sz w:val="20"/>
                <w:szCs w:val="20"/>
              </w:rPr>
              <w:t>NL</w:t>
            </w:r>
            <w:r>
              <w:rPr>
                <w:rFonts w:ascii="Garamond" w:eastAsia="Garamond" w:hAnsi="Garamond" w:cs="Garamond"/>
                <w:i/>
                <w:color w:val="000000"/>
                <w:sz w:val="20"/>
                <w:szCs w:val="20"/>
              </w:rPr>
              <w:t xml:space="preserve">, The Netherlands; </w:t>
            </w:r>
            <w:r>
              <w:rPr>
                <w:rFonts w:ascii="Garamond" w:eastAsia="Garamond" w:hAnsi="Garamond" w:cs="Garamond"/>
                <w:color w:val="000000"/>
                <w:sz w:val="20"/>
                <w:szCs w:val="20"/>
              </w:rPr>
              <w:t>NZ</w:t>
            </w:r>
            <w:r>
              <w:rPr>
                <w:rFonts w:ascii="Garamond" w:eastAsia="Garamond" w:hAnsi="Garamond" w:cs="Garamond"/>
                <w:i/>
                <w:color w:val="000000"/>
                <w:sz w:val="20"/>
                <w:szCs w:val="20"/>
              </w:rPr>
              <w:t xml:space="preserve">, New Zealand; </w:t>
            </w:r>
            <w:r>
              <w:rPr>
                <w:rFonts w:ascii="Garamond" w:eastAsia="Garamond" w:hAnsi="Garamond" w:cs="Garamond"/>
                <w:color w:val="000000"/>
                <w:sz w:val="20"/>
                <w:szCs w:val="20"/>
              </w:rPr>
              <w:t>PDSA</w:t>
            </w:r>
            <w:r>
              <w:rPr>
                <w:rFonts w:ascii="Garamond" w:eastAsia="Garamond" w:hAnsi="Garamond" w:cs="Garamond"/>
                <w:i/>
                <w:color w:val="000000"/>
                <w:sz w:val="20"/>
                <w:szCs w:val="20"/>
              </w:rPr>
              <w:t xml:space="preserve">, Plan-Do-Study-Act; </w:t>
            </w:r>
            <w:r>
              <w:rPr>
                <w:rFonts w:ascii="Garamond" w:eastAsia="Garamond" w:hAnsi="Garamond" w:cs="Garamond"/>
                <w:color w:val="000000"/>
                <w:sz w:val="20"/>
                <w:szCs w:val="20"/>
              </w:rPr>
              <w:t>RCA</w:t>
            </w:r>
            <w:r>
              <w:rPr>
                <w:rFonts w:ascii="Garamond" w:eastAsia="Garamond" w:hAnsi="Garamond" w:cs="Garamond"/>
                <w:i/>
                <w:color w:val="000000"/>
                <w:sz w:val="20"/>
                <w:szCs w:val="20"/>
              </w:rPr>
              <w:t xml:space="preserve">, Root Cause Analysis; </w:t>
            </w:r>
            <w:r>
              <w:rPr>
                <w:rFonts w:ascii="Garamond" w:eastAsia="Garamond" w:hAnsi="Garamond" w:cs="Garamond"/>
                <w:color w:val="000000"/>
                <w:sz w:val="20"/>
                <w:szCs w:val="20"/>
              </w:rPr>
              <w:t>SWE</w:t>
            </w:r>
            <w:r>
              <w:rPr>
                <w:rFonts w:ascii="Garamond" w:eastAsia="Garamond" w:hAnsi="Garamond" w:cs="Garamond"/>
                <w:i/>
                <w:color w:val="000000"/>
                <w:sz w:val="20"/>
                <w:szCs w:val="20"/>
              </w:rPr>
              <w:t xml:space="preserve">, Sweden; </w:t>
            </w:r>
            <w:r>
              <w:rPr>
                <w:rFonts w:ascii="Garamond" w:eastAsia="Garamond" w:hAnsi="Garamond" w:cs="Garamond"/>
                <w:color w:val="000000"/>
                <w:sz w:val="20"/>
                <w:szCs w:val="20"/>
              </w:rPr>
              <w:t>UK</w:t>
            </w:r>
            <w:r>
              <w:rPr>
                <w:rFonts w:ascii="Garamond" w:eastAsia="Garamond" w:hAnsi="Garamond" w:cs="Garamond"/>
                <w:i/>
                <w:color w:val="000000"/>
                <w:sz w:val="20"/>
                <w:szCs w:val="20"/>
              </w:rPr>
              <w:t xml:space="preserve">, </w:t>
            </w:r>
            <w:r w:rsidRPr="00BD091D">
              <w:rPr>
                <w:rFonts w:ascii="Garamond" w:eastAsia="Garamond" w:hAnsi="Garamond" w:cs="Garamond"/>
                <w:iCs/>
                <w:color w:val="000000"/>
                <w:sz w:val="20"/>
                <w:szCs w:val="20"/>
              </w:rPr>
              <w:t>TPM</w:t>
            </w:r>
            <w:r>
              <w:rPr>
                <w:rFonts w:ascii="Garamond" w:eastAsia="Garamond" w:hAnsi="Garamond" w:cs="Garamond"/>
                <w:i/>
                <w:color w:val="000000"/>
                <w:sz w:val="20"/>
                <w:szCs w:val="20"/>
              </w:rPr>
              <w:t xml:space="preserve">, System and Total Productive Maintenance; </w:t>
            </w:r>
            <w:r w:rsidRPr="00BD091D">
              <w:rPr>
                <w:rFonts w:ascii="Garamond" w:eastAsia="Garamond" w:hAnsi="Garamond" w:cs="Garamond"/>
                <w:iCs/>
                <w:color w:val="000000"/>
                <w:sz w:val="20"/>
                <w:szCs w:val="20"/>
              </w:rPr>
              <w:t>TQM</w:t>
            </w:r>
            <w:r>
              <w:rPr>
                <w:rFonts w:ascii="Garamond" w:eastAsia="Garamond" w:hAnsi="Garamond" w:cs="Garamond"/>
                <w:i/>
                <w:color w:val="000000"/>
                <w:sz w:val="20"/>
                <w:szCs w:val="20"/>
              </w:rPr>
              <w:t xml:space="preserve">, Total Quality Management; UK, United Kingdom; </w:t>
            </w:r>
            <w:r>
              <w:rPr>
                <w:rFonts w:ascii="Garamond" w:eastAsia="Garamond" w:hAnsi="Garamond" w:cs="Garamond"/>
                <w:color w:val="000000"/>
                <w:sz w:val="20"/>
                <w:szCs w:val="20"/>
              </w:rPr>
              <w:t>US</w:t>
            </w:r>
            <w:r>
              <w:rPr>
                <w:rFonts w:ascii="Garamond" w:eastAsia="Garamond" w:hAnsi="Garamond" w:cs="Garamond"/>
                <w:i/>
                <w:color w:val="000000"/>
                <w:sz w:val="20"/>
                <w:szCs w:val="20"/>
              </w:rPr>
              <w:t>, United States.</w:t>
            </w:r>
            <w:r>
              <w:rPr>
                <w:rFonts w:ascii="Garamond" w:eastAsia="Garamond" w:hAnsi="Garamond" w:cs="Garamond"/>
                <w:color w:val="000000"/>
                <w:sz w:val="20"/>
                <w:szCs w:val="20"/>
              </w:rPr>
              <w:t xml:space="preserve"> Subthemes: 1a. </w:t>
            </w:r>
            <w:r>
              <w:rPr>
                <w:rFonts w:ascii="Garamond" w:eastAsia="Garamond" w:hAnsi="Garamond" w:cs="Garamond"/>
                <w:i/>
                <w:color w:val="000000"/>
                <w:sz w:val="20"/>
                <w:szCs w:val="20"/>
              </w:rPr>
              <w:t>Staff empowerment,</w:t>
            </w:r>
            <w:r w:rsidR="00A34AFE">
              <w:rPr>
                <w:rFonts w:ascii="Garamond" w:eastAsia="Garamond" w:hAnsi="Garamond" w:cs="Garamond"/>
                <w:i/>
                <w:color w:val="000000"/>
                <w:sz w:val="20"/>
                <w:szCs w:val="20"/>
              </w:rPr>
              <w:t xml:space="preserve"> </w:t>
            </w:r>
            <w:r>
              <w:rPr>
                <w:rFonts w:ascii="Garamond" w:eastAsia="Garamond" w:hAnsi="Garamond" w:cs="Garamond"/>
                <w:color w:val="000000"/>
                <w:sz w:val="20"/>
                <w:szCs w:val="20"/>
              </w:rPr>
              <w:t xml:space="preserve">1b. </w:t>
            </w:r>
            <w:r>
              <w:rPr>
                <w:rFonts w:ascii="Garamond" w:eastAsia="Garamond" w:hAnsi="Garamond" w:cs="Garamond"/>
                <w:i/>
                <w:color w:val="000000"/>
                <w:sz w:val="20"/>
                <w:szCs w:val="20"/>
              </w:rPr>
              <w:t>Staff engagement</w:t>
            </w:r>
            <w:r>
              <w:rPr>
                <w:rFonts w:ascii="Garamond" w:eastAsia="Garamond" w:hAnsi="Garamond" w:cs="Garamond"/>
                <w:color w:val="000000"/>
                <w:sz w:val="20"/>
                <w:szCs w:val="20"/>
              </w:rPr>
              <w:t xml:space="preserve">, 1c. </w:t>
            </w:r>
            <w:r>
              <w:rPr>
                <w:rFonts w:ascii="Garamond" w:eastAsia="Garamond" w:hAnsi="Garamond" w:cs="Garamond"/>
                <w:i/>
                <w:color w:val="000000"/>
                <w:sz w:val="20"/>
                <w:szCs w:val="20"/>
              </w:rPr>
              <w:t>Change agents</w:t>
            </w:r>
            <w:r>
              <w:rPr>
                <w:rFonts w:ascii="Garamond" w:eastAsia="Garamond" w:hAnsi="Garamond" w:cs="Garamond"/>
                <w:color w:val="000000"/>
                <w:sz w:val="20"/>
                <w:szCs w:val="20"/>
              </w:rPr>
              <w:t xml:space="preserve">, 2a. </w:t>
            </w:r>
            <w:r>
              <w:rPr>
                <w:rFonts w:ascii="Garamond" w:eastAsia="Garamond" w:hAnsi="Garamond" w:cs="Garamond"/>
                <w:i/>
                <w:color w:val="000000"/>
                <w:sz w:val="20"/>
                <w:szCs w:val="20"/>
              </w:rPr>
              <w:t>Leadership</w:t>
            </w:r>
            <w:r>
              <w:rPr>
                <w:rFonts w:ascii="Garamond" w:eastAsia="Garamond" w:hAnsi="Garamond" w:cs="Garamond"/>
                <w:color w:val="000000"/>
                <w:sz w:val="20"/>
                <w:szCs w:val="20"/>
              </w:rPr>
              <w:t xml:space="preserve">, 2b. </w:t>
            </w:r>
            <w:r w:rsidR="003A2D9C" w:rsidRPr="00BD091D">
              <w:rPr>
                <w:rFonts w:ascii="Garamond" w:eastAsia="Garamond" w:hAnsi="Garamond" w:cs="Garamond"/>
                <w:i/>
                <w:iCs/>
                <w:color w:val="000000"/>
                <w:sz w:val="20"/>
                <w:szCs w:val="20"/>
              </w:rPr>
              <w:t>Management</w:t>
            </w:r>
            <w:r>
              <w:rPr>
                <w:rFonts w:ascii="Garamond" w:eastAsia="Garamond" w:hAnsi="Garamond" w:cs="Garamond"/>
                <w:color w:val="000000"/>
                <w:sz w:val="20"/>
                <w:szCs w:val="20"/>
              </w:rPr>
              <w:t xml:space="preserve">, 3a. </w:t>
            </w:r>
            <w:r>
              <w:rPr>
                <w:rFonts w:ascii="Garamond" w:eastAsia="Garamond" w:hAnsi="Garamond" w:cs="Garamond"/>
                <w:i/>
                <w:color w:val="000000"/>
                <w:sz w:val="20"/>
                <w:szCs w:val="20"/>
              </w:rPr>
              <w:t>CI methods</w:t>
            </w:r>
            <w:r>
              <w:rPr>
                <w:rFonts w:ascii="Garamond" w:eastAsia="Garamond" w:hAnsi="Garamond" w:cs="Garamond"/>
                <w:color w:val="000000"/>
                <w:sz w:val="20"/>
                <w:szCs w:val="20"/>
              </w:rPr>
              <w:t xml:space="preserve">, </w:t>
            </w:r>
            <w:r w:rsidR="003A2D9C">
              <w:rPr>
                <w:rFonts w:ascii="Garamond" w:eastAsia="Garamond" w:hAnsi="Garamond" w:cs="Garamond"/>
                <w:color w:val="000000"/>
                <w:sz w:val="20"/>
                <w:szCs w:val="20"/>
              </w:rPr>
              <w:t xml:space="preserve">3b. </w:t>
            </w:r>
            <w:r w:rsidR="003A2D9C">
              <w:rPr>
                <w:rFonts w:ascii="Garamond" w:eastAsia="Garamond" w:hAnsi="Garamond" w:cs="Garamond"/>
                <w:i/>
                <w:iCs/>
                <w:color w:val="000000"/>
                <w:sz w:val="20"/>
                <w:szCs w:val="20"/>
              </w:rPr>
              <w:t xml:space="preserve">Scope of CI initiatives, </w:t>
            </w:r>
            <w:r>
              <w:rPr>
                <w:rFonts w:ascii="Garamond" w:eastAsia="Garamond" w:hAnsi="Garamond" w:cs="Garamond"/>
                <w:color w:val="000000"/>
                <w:sz w:val="20"/>
                <w:szCs w:val="20"/>
              </w:rPr>
              <w:t>3</w:t>
            </w:r>
            <w:r w:rsidR="003A2D9C">
              <w:rPr>
                <w:rFonts w:ascii="Garamond" w:eastAsia="Garamond" w:hAnsi="Garamond" w:cs="Garamond"/>
                <w:color w:val="000000"/>
                <w:sz w:val="20"/>
                <w:szCs w:val="20"/>
              </w:rPr>
              <w:t>c</w:t>
            </w:r>
            <w:r>
              <w:rPr>
                <w:rFonts w:ascii="Garamond" w:eastAsia="Garamond" w:hAnsi="Garamond" w:cs="Garamond"/>
                <w:color w:val="000000"/>
                <w:sz w:val="20"/>
                <w:szCs w:val="20"/>
              </w:rPr>
              <w:t xml:space="preserve">. </w:t>
            </w:r>
            <w:r>
              <w:rPr>
                <w:rFonts w:ascii="Garamond" w:eastAsia="Garamond" w:hAnsi="Garamond" w:cs="Garamond"/>
                <w:i/>
                <w:color w:val="000000"/>
                <w:sz w:val="20"/>
                <w:szCs w:val="20"/>
              </w:rPr>
              <w:t>Training and learning</w:t>
            </w:r>
            <w:r>
              <w:rPr>
                <w:rFonts w:ascii="Garamond" w:eastAsia="Garamond" w:hAnsi="Garamond" w:cs="Garamond"/>
                <w:color w:val="000000"/>
                <w:sz w:val="20"/>
                <w:szCs w:val="20"/>
              </w:rPr>
              <w:t xml:space="preserve">, 4a. </w:t>
            </w:r>
            <w:r>
              <w:rPr>
                <w:rFonts w:ascii="Garamond" w:eastAsia="Garamond" w:hAnsi="Garamond" w:cs="Garamond"/>
                <w:i/>
                <w:color w:val="000000"/>
                <w:sz w:val="20"/>
                <w:szCs w:val="20"/>
              </w:rPr>
              <w:t>Organisational resources</w:t>
            </w:r>
            <w:r>
              <w:rPr>
                <w:rFonts w:ascii="Garamond" w:eastAsia="Garamond" w:hAnsi="Garamond" w:cs="Garamond"/>
                <w:color w:val="000000"/>
                <w:sz w:val="20"/>
                <w:szCs w:val="20"/>
              </w:rPr>
              <w:t>.</w:t>
            </w:r>
          </w:p>
        </w:tc>
      </w:tr>
    </w:tbl>
    <w:p w14:paraId="000000DA" w14:textId="77777777" w:rsidR="001E6A28" w:rsidRDefault="001E6A28"/>
    <w:p w14:paraId="000000DB" w14:textId="77777777" w:rsidR="001E6A28" w:rsidRDefault="001E6A28"/>
    <w:sectPr w:rsidR="001E6A28">
      <w:pgSz w:w="16838" w:h="11906"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023E60"/>
    <w:multiLevelType w:val="multilevel"/>
    <w:tmpl w:val="607281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38047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28"/>
    <w:rsid w:val="000009AB"/>
    <w:rsid w:val="001D223E"/>
    <w:rsid w:val="001E6A28"/>
    <w:rsid w:val="002C2CC4"/>
    <w:rsid w:val="002C68C0"/>
    <w:rsid w:val="003402D3"/>
    <w:rsid w:val="00397318"/>
    <w:rsid w:val="003A2D9C"/>
    <w:rsid w:val="003B697B"/>
    <w:rsid w:val="004D407B"/>
    <w:rsid w:val="00534A42"/>
    <w:rsid w:val="00680D3C"/>
    <w:rsid w:val="00684EF8"/>
    <w:rsid w:val="006D7A7F"/>
    <w:rsid w:val="007D1FB9"/>
    <w:rsid w:val="00830230"/>
    <w:rsid w:val="0088387C"/>
    <w:rsid w:val="00885A67"/>
    <w:rsid w:val="00A34AFE"/>
    <w:rsid w:val="00BD091D"/>
    <w:rsid w:val="00D66F52"/>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4:docId w14:val="62153499"/>
  <w15:docId w15:val="{1DB0E5A6-DFF5-F040-B111-BDDEA7116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12F"/>
  </w:style>
  <w:style w:type="paragraph" w:styleId="Heading1">
    <w:name w:val="heading 1"/>
    <w:basedOn w:val="Normal"/>
    <w:next w:val="Normal"/>
    <w:link w:val="Heading1Char"/>
    <w:uiPriority w:val="9"/>
    <w:qFormat/>
    <w:rsid w:val="007C112F"/>
    <w:pPr>
      <w:keepNext/>
      <w:keepLines/>
      <w:numPr>
        <w:numId w:val="1"/>
      </w:numPr>
      <w:spacing w:before="240"/>
      <w:jc w:val="center"/>
      <w:outlineLvl w:val="0"/>
    </w:pPr>
    <w:rPr>
      <w:rFonts w:eastAsiaTheme="majorEastAsia" w:cstheme="majorBidi"/>
      <w:b/>
      <w:bCs/>
      <w:color w:val="000000" w:themeColor="text1"/>
      <w:sz w:val="28"/>
      <w:szCs w:val="28"/>
    </w:rPr>
  </w:style>
  <w:style w:type="paragraph" w:styleId="Heading2">
    <w:name w:val="heading 2"/>
    <w:basedOn w:val="Heading1"/>
    <w:next w:val="Normal"/>
    <w:link w:val="Heading2Char"/>
    <w:uiPriority w:val="9"/>
    <w:semiHidden/>
    <w:unhideWhenUsed/>
    <w:qFormat/>
    <w:rsid w:val="007C112F"/>
    <w:pPr>
      <w:numPr>
        <w:ilvl w:val="1"/>
      </w:numPr>
      <w:spacing w:line="360" w:lineRule="auto"/>
      <w:ind w:left="357" w:hanging="357"/>
      <w:jc w:val="left"/>
      <w:outlineLvl w:val="1"/>
    </w:pPr>
    <w:rPr>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7C112F"/>
    <w:rPr>
      <w:rFonts w:ascii="Times New Roman" w:eastAsiaTheme="majorEastAsia" w:hAnsi="Times New Roman" w:cstheme="majorBidi"/>
      <w:b/>
      <w:bCs/>
      <w:color w:val="000000" w:themeColor="text1"/>
      <w:sz w:val="28"/>
      <w:szCs w:val="28"/>
      <w:lang w:val="en-GB" w:eastAsia="en-GB"/>
    </w:rPr>
  </w:style>
  <w:style w:type="character" w:customStyle="1" w:styleId="Heading2Char">
    <w:name w:val="Heading 2 Char"/>
    <w:basedOn w:val="DefaultParagraphFont"/>
    <w:link w:val="Heading2"/>
    <w:uiPriority w:val="9"/>
    <w:rsid w:val="007C112F"/>
    <w:rPr>
      <w:rFonts w:ascii="Times New Roman" w:eastAsiaTheme="majorEastAsia" w:hAnsi="Times New Roman" w:cstheme="majorBidi"/>
      <w:b/>
      <w:bCs/>
      <w:color w:val="000000" w:themeColor="text1"/>
      <w:sz w:val="26"/>
      <w:szCs w:val="26"/>
      <w:lang w:val="en-GB" w:eastAsia="en-GB"/>
    </w:rPr>
  </w:style>
  <w:style w:type="paragraph" w:styleId="Caption">
    <w:name w:val="caption"/>
    <w:basedOn w:val="Normal"/>
    <w:next w:val="Normal"/>
    <w:uiPriority w:val="35"/>
    <w:unhideWhenUsed/>
    <w:qFormat/>
    <w:rsid w:val="007C112F"/>
    <w:pPr>
      <w:spacing w:after="200"/>
    </w:pPr>
    <w:rPr>
      <w:i/>
      <w:iCs/>
      <w:color w:val="44546A" w:themeColor="text2"/>
      <w:sz w:val="18"/>
      <w:szCs w:val="18"/>
    </w:rPr>
  </w:style>
  <w:style w:type="table" w:styleId="TableGrid">
    <w:name w:val="Table Grid"/>
    <w:basedOn w:val="TableNormal"/>
    <w:uiPriority w:val="39"/>
    <w:rsid w:val="007C112F"/>
    <w:rPr>
      <w:lang w:val="bs-Latn-B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A2D9C"/>
  </w:style>
  <w:style w:type="paragraph" w:styleId="CommentSubject">
    <w:name w:val="annotation subject"/>
    <w:basedOn w:val="CommentText"/>
    <w:next w:val="CommentText"/>
    <w:link w:val="CommentSubjectChar"/>
    <w:uiPriority w:val="99"/>
    <w:semiHidden/>
    <w:unhideWhenUsed/>
    <w:rsid w:val="001D223E"/>
    <w:rPr>
      <w:b/>
      <w:bCs/>
    </w:rPr>
  </w:style>
  <w:style w:type="character" w:customStyle="1" w:styleId="CommentSubjectChar">
    <w:name w:val="Comment Subject Char"/>
    <w:basedOn w:val="CommentTextChar"/>
    <w:link w:val="CommentSubject"/>
    <w:uiPriority w:val="99"/>
    <w:semiHidden/>
    <w:rsid w:val="001D22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Y0hkhUfI3Z3Q9+ZDFicj+5acEQ==">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</go:docsCustomData>
</go:gDocsCustomXmlDataStorage>
</file>

<file path=customXml/itemProps1.xml><?xml version="1.0" encoding="utf-8"?>
<ds:datastoreItem xmlns:ds="http://schemas.openxmlformats.org/officeDocument/2006/customXml" ds:itemID="{1BFC793D-DC6D-A444-B5B9-31A9B125F9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2153</Words>
  <Characters>12277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Yannick Kunnen</dc:creator>
  <cp:lastModifiedBy>Yannick Kunnen</cp:lastModifiedBy>
  <cp:revision>14</cp:revision>
  <dcterms:created xsi:type="dcterms:W3CDTF">2023-01-16T07:41:00Z</dcterms:created>
  <dcterms:modified xsi:type="dcterms:W3CDTF">2023-08-21T19:07:00Z</dcterms:modified>
</cp:coreProperties>
</file>