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7B794" w14:textId="2D4D2E75" w:rsidR="008A1D31" w:rsidRPr="008A1D31" w:rsidRDefault="002460EE" w:rsidP="008A1D31">
      <w:pPr>
        <w:jc w:val="both"/>
        <w:rPr>
          <w:rFonts w:ascii="Cambria" w:hAnsi="Cambria"/>
          <w:color w:val="000000" w:themeColor="text1"/>
          <w:sz w:val="20"/>
          <w:szCs w:val="20"/>
        </w:rPr>
      </w:pPr>
      <w:r>
        <w:rPr>
          <w:rFonts w:ascii="Cambria" w:hAnsi="Cambria"/>
          <w:b/>
          <w:bCs/>
          <w:color w:val="000000" w:themeColor="text1"/>
          <w:sz w:val="20"/>
          <w:szCs w:val="20"/>
        </w:rPr>
        <w:t xml:space="preserve">Supplementary Table </w:t>
      </w:r>
      <w:r>
        <w:rPr>
          <w:rFonts w:ascii="Cambria" w:hAnsi="Cambria"/>
          <w:b/>
          <w:bCs/>
          <w:color w:val="000000" w:themeColor="text1"/>
          <w:sz w:val="20"/>
          <w:szCs w:val="20"/>
        </w:rPr>
        <w:t>3</w:t>
      </w:r>
      <w:r w:rsidR="008A1D31" w:rsidRPr="008A1D31">
        <w:rPr>
          <w:rFonts w:ascii="Cambria" w:hAnsi="Cambria"/>
          <w:b/>
          <w:bCs/>
          <w:color w:val="000000" w:themeColor="text1"/>
          <w:sz w:val="20"/>
          <w:szCs w:val="20"/>
        </w:rPr>
        <w:t>.</w:t>
      </w:r>
      <w:r w:rsidR="008A1D31" w:rsidRPr="008A1D31">
        <w:rPr>
          <w:rFonts w:ascii="Cambria" w:hAnsi="Cambria"/>
          <w:color w:val="000000" w:themeColor="text1"/>
          <w:sz w:val="20"/>
          <w:szCs w:val="20"/>
        </w:rPr>
        <w:t xml:space="preserve"> Studies on trials and corresponding outcomes with model performances (if applicable).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707"/>
        <w:gridCol w:w="1136"/>
        <w:gridCol w:w="1078"/>
        <w:gridCol w:w="856"/>
        <w:gridCol w:w="1043"/>
        <w:gridCol w:w="2410"/>
        <w:gridCol w:w="1410"/>
      </w:tblGrid>
      <w:tr w:rsidR="008A1D31" w:rsidRPr="008A1D31" w14:paraId="2C282650" w14:textId="77777777" w:rsidTr="00991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6E0A739E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Study</w:t>
            </w:r>
          </w:p>
        </w:tc>
        <w:tc>
          <w:tcPr>
            <w:tcW w:w="1136" w:type="dxa"/>
          </w:tcPr>
          <w:p w14:paraId="22025FD9" w14:textId="77777777" w:rsidR="008A1D31" w:rsidRPr="008A1D31" w:rsidRDefault="008A1D31" w:rsidP="009910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Study design</w:t>
            </w:r>
          </w:p>
        </w:tc>
        <w:tc>
          <w:tcPr>
            <w:tcW w:w="1078" w:type="dxa"/>
          </w:tcPr>
          <w:p w14:paraId="5023CD97" w14:textId="77777777" w:rsidR="008A1D31" w:rsidRPr="008A1D31" w:rsidRDefault="008A1D31" w:rsidP="009910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Group Size</w:t>
            </w:r>
          </w:p>
        </w:tc>
        <w:tc>
          <w:tcPr>
            <w:tcW w:w="856" w:type="dxa"/>
          </w:tcPr>
          <w:p w14:paraId="0892F7D2" w14:textId="77777777" w:rsidR="008A1D31" w:rsidRPr="008A1D31" w:rsidRDefault="008A1D31" w:rsidP="009910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Age group</w:t>
            </w:r>
          </w:p>
        </w:tc>
        <w:tc>
          <w:tcPr>
            <w:tcW w:w="1043" w:type="dxa"/>
          </w:tcPr>
          <w:p w14:paraId="0939DE3A" w14:textId="77777777" w:rsidR="008A1D31" w:rsidRPr="008A1D31" w:rsidRDefault="008A1D31" w:rsidP="009910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Dataset used</w:t>
            </w:r>
          </w:p>
        </w:tc>
        <w:tc>
          <w:tcPr>
            <w:tcW w:w="2410" w:type="dxa"/>
          </w:tcPr>
          <w:p w14:paraId="0C0F0D9F" w14:textId="77777777" w:rsidR="008A1D31" w:rsidRPr="008A1D31" w:rsidRDefault="008A1D31" w:rsidP="009910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Research findings</w:t>
            </w:r>
          </w:p>
        </w:tc>
        <w:tc>
          <w:tcPr>
            <w:tcW w:w="1410" w:type="dxa"/>
          </w:tcPr>
          <w:p w14:paraId="388A493B" w14:textId="77777777" w:rsidR="008A1D31" w:rsidRPr="008A1D31" w:rsidRDefault="008A1D31" w:rsidP="009910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Model performance</w:t>
            </w:r>
          </w:p>
        </w:tc>
      </w:tr>
      <w:tr w:rsidR="008A1D31" w:rsidRPr="008A1D31" w14:paraId="679B4397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1B52A8A7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[1]</w:t>
            </w:r>
          </w:p>
        </w:tc>
        <w:tc>
          <w:tcPr>
            <w:tcW w:w="1136" w:type="dxa"/>
          </w:tcPr>
          <w:p w14:paraId="4D1CBD1F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62903FC7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46 </w:t>
            </w:r>
          </w:p>
          <w:p w14:paraId="52EB9640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</w:tcPr>
          <w:p w14:paraId="32EFF0BD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39F3542F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46F15A87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HMP identifies clinical exacerbations. All participants were positive about HMP.</w:t>
            </w:r>
          </w:p>
        </w:tc>
        <w:tc>
          <w:tcPr>
            <w:tcW w:w="1410" w:type="dxa"/>
          </w:tcPr>
          <w:p w14:paraId="342AC383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46AAAFA2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4A7CF13D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[5]</w:t>
            </w:r>
          </w:p>
        </w:tc>
        <w:tc>
          <w:tcPr>
            <w:tcW w:w="1136" w:type="dxa"/>
          </w:tcPr>
          <w:p w14:paraId="363F94E4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403FBF9A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162 of 173 </w:t>
            </w:r>
          </w:p>
        </w:tc>
        <w:tc>
          <w:tcPr>
            <w:tcW w:w="856" w:type="dxa"/>
          </w:tcPr>
          <w:p w14:paraId="68A64970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median of 38, range 11-79 </w:t>
            </w:r>
          </w:p>
        </w:tc>
        <w:tc>
          <w:tcPr>
            <w:tcW w:w="1043" w:type="dxa"/>
          </w:tcPr>
          <w:p w14:paraId="4E5C4D5D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4610D668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Community-based virtual healthcare is safe to treat most COVID-19 patients and can be rapidly implemented in an urban pandemic management setting.</w:t>
            </w:r>
          </w:p>
        </w:tc>
        <w:tc>
          <w:tcPr>
            <w:tcW w:w="1410" w:type="dxa"/>
          </w:tcPr>
          <w:p w14:paraId="0EFE23A8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5E34C815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1D20BE42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[22]</w:t>
            </w:r>
          </w:p>
        </w:tc>
        <w:tc>
          <w:tcPr>
            <w:tcW w:w="1136" w:type="dxa"/>
          </w:tcPr>
          <w:p w14:paraId="0C2FACBE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1C02A26F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200-1000</w:t>
            </w:r>
          </w:p>
        </w:tc>
        <w:tc>
          <w:tcPr>
            <w:tcW w:w="856" w:type="dxa"/>
          </w:tcPr>
          <w:p w14:paraId="2C1E32A6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Age ≥18</w:t>
            </w:r>
          </w:p>
        </w:tc>
        <w:tc>
          <w:tcPr>
            <w:tcW w:w="1043" w:type="dxa"/>
          </w:tcPr>
          <w:p w14:paraId="1D89D83C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4C3925AD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Insights for detecting the disease progression of COVID-19 by monitoring physiological data and possible ways to reduce disease transmission.</w:t>
            </w:r>
          </w:p>
        </w:tc>
        <w:tc>
          <w:tcPr>
            <w:tcW w:w="1410" w:type="dxa"/>
          </w:tcPr>
          <w:p w14:paraId="47673A4F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2173A8FE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29ECB03C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[36]</w:t>
            </w:r>
          </w:p>
        </w:tc>
        <w:tc>
          <w:tcPr>
            <w:tcW w:w="1136" w:type="dxa"/>
          </w:tcPr>
          <w:p w14:paraId="7831C922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28FE074D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856" w:type="dxa"/>
          </w:tcPr>
          <w:p w14:paraId="346AE8D2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Age: &gt; 60</w:t>
            </w:r>
          </w:p>
        </w:tc>
        <w:tc>
          <w:tcPr>
            <w:tcW w:w="1043" w:type="dxa"/>
          </w:tcPr>
          <w:p w14:paraId="04727D96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374886EF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Tele-vital signs monitoring system can be an intelligent solution to the COVID-19 crisis.</w:t>
            </w:r>
          </w:p>
        </w:tc>
        <w:tc>
          <w:tcPr>
            <w:tcW w:w="1410" w:type="dxa"/>
          </w:tcPr>
          <w:p w14:paraId="746D5570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72E669F9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6D26E320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[38]</w:t>
            </w:r>
          </w:p>
        </w:tc>
        <w:tc>
          <w:tcPr>
            <w:tcW w:w="1136" w:type="dxa"/>
          </w:tcPr>
          <w:p w14:paraId="07E42E13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Empirical study </w:t>
            </w:r>
          </w:p>
        </w:tc>
        <w:tc>
          <w:tcPr>
            <w:tcW w:w="1078" w:type="dxa"/>
          </w:tcPr>
          <w:p w14:paraId="57C854A9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</w:tcPr>
          <w:p w14:paraId="3B64B55B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218E355C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Novel Corona Virus 2019 Dataset in Kaggle</w:t>
            </w:r>
          </w:p>
        </w:tc>
        <w:tc>
          <w:tcPr>
            <w:tcW w:w="2410" w:type="dxa"/>
          </w:tcPr>
          <w:p w14:paraId="67A1C0F8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Data analysis showed a positive correlation between patient gender and death and showed that most patients were between 20 and 70 years. </w:t>
            </w:r>
          </w:p>
        </w:tc>
        <w:tc>
          <w:tcPr>
            <w:tcW w:w="1410" w:type="dxa"/>
          </w:tcPr>
          <w:p w14:paraId="4374CCED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Accuracy: 94%, F1-score: 86%</w:t>
            </w:r>
          </w:p>
        </w:tc>
      </w:tr>
      <w:tr w:rsidR="008A1D31" w:rsidRPr="008A1D31" w14:paraId="52198194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0C7C7969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[40]</w:t>
            </w:r>
          </w:p>
        </w:tc>
        <w:tc>
          <w:tcPr>
            <w:tcW w:w="1136" w:type="dxa"/>
          </w:tcPr>
          <w:p w14:paraId="1E4A5FAD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Empirical study</w:t>
            </w:r>
          </w:p>
        </w:tc>
        <w:tc>
          <w:tcPr>
            <w:tcW w:w="1078" w:type="dxa"/>
          </w:tcPr>
          <w:p w14:paraId="264541F9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</w:tcPr>
          <w:p w14:paraId="4A00A3EE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159DBD53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Symptom datasets and COVID-19 image datasets (CT-scan and X-ray)</w:t>
            </w:r>
          </w:p>
        </w:tc>
        <w:tc>
          <w:tcPr>
            <w:tcW w:w="2410" w:type="dxa"/>
          </w:tcPr>
          <w:p w14:paraId="5F74E727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 CDD scheme has been proposed.</w:t>
            </w:r>
          </w:p>
        </w:tc>
        <w:tc>
          <w:tcPr>
            <w:tcW w:w="1410" w:type="dxa"/>
          </w:tcPr>
          <w:p w14:paraId="22D4A062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Accuracy: 90%</w:t>
            </w:r>
          </w:p>
        </w:tc>
      </w:tr>
      <w:tr w:rsidR="008A1D31" w:rsidRPr="008A1D31" w14:paraId="2D61200C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378CEA86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[46]</w:t>
            </w:r>
          </w:p>
        </w:tc>
        <w:tc>
          <w:tcPr>
            <w:tcW w:w="1136" w:type="dxa"/>
          </w:tcPr>
          <w:p w14:paraId="340DF5C4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169A26F0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8548 for RPM and 7074 for feasibility analysis</w:t>
            </w:r>
          </w:p>
        </w:tc>
        <w:tc>
          <w:tcPr>
            <w:tcW w:w="856" w:type="dxa"/>
          </w:tcPr>
          <w:p w14:paraId="32D48AA6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1ED7C465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5696121C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RPM technology engagement rate was 78.9%.</w:t>
            </w:r>
          </w:p>
        </w:tc>
        <w:tc>
          <w:tcPr>
            <w:tcW w:w="1410" w:type="dxa"/>
          </w:tcPr>
          <w:p w14:paraId="56419795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40816868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02173BF0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[47]</w:t>
            </w:r>
          </w:p>
        </w:tc>
        <w:tc>
          <w:tcPr>
            <w:tcW w:w="1136" w:type="dxa"/>
          </w:tcPr>
          <w:p w14:paraId="506315EB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044CA6E7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34</w:t>
            </w:r>
          </w:p>
        </w:tc>
        <w:tc>
          <w:tcPr>
            <w:tcW w:w="856" w:type="dxa"/>
          </w:tcPr>
          <w:p w14:paraId="0BAB9DD3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median of 32</w:t>
            </w:r>
          </w:p>
        </w:tc>
        <w:tc>
          <w:tcPr>
            <w:tcW w:w="1043" w:type="dxa"/>
          </w:tcPr>
          <w:p w14:paraId="51D25A14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0DD69479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Investigated the potential of wearable biosensors and machine learning-based analysis of physiological parameters to detect clinical exacerbations. </w:t>
            </w:r>
          </w:p>
        </w:tc>
        <w:tc>
          <w:tcPr>
            <w:tcW w:w="1410" w:type="dxa"/>
          </w:tcPr>
          <w:p w14:paraId="7C0AAC50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5587A0E5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3F8F34A0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[49]</w:t>
            </w:r>
          </w:p>
        </w:tc>
        <w:tc>
          <w:tcPr>
            <w:tcW w:w="1136" w:type="dxa"/>
          </w:tcPr>
          <w:p w14:paraId="73E2A59B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58F81016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2000</w:t>
            </w:r>
          </w:p>
        </w:tc>
        <w:tc>
          <w:tcPr>
            <w:tcW w:w="856" w:type="dxa"/>
          </w:tcPr>
          <w:p w14:paraId="3F8E01AC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Mixed</w:t>
            </w:r>
          </w:p>
        </w:tc>
        <w:tc>
          <w:tcPr>
            <w:tcW w:w="1043" w:type="dxa"/>
          </w:tcPr>
          <w:p w14:paraId="45E2E99E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2D292CD7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This research essentially promotes the development of biomedical signal-monitoring technology in </w:t>
            </w: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>the remote monitoring of COVID-19 patients.</w:t>
            </w:r>
          </w:p>
        </w:tc>
        <w:tc>
          <w:tcPr>
            <w:tcW w:w="1410" w:type="dxa"/>
          </w:tcPr>
          <w:p w14:paraId="1FA9F0CD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lastRenderedPageBreak/>
              <w:t>-</w:t>
            </w:r>
          </w:p>
        </w:tc>
      </w:tr>
      <w:tr w:rsidR="008A1D31" w:rsidRPr="008A1D31" w14:paraId="1059FEC7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4F34426A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[55]</w:t>
            </w:r>
          </w:p>
        </w:tc>
        <w:tc>
          <w:tcPr>
            <w:tcW w:w="1136" w:type="dxa"/>
          </w:tcPr>
          <w:p w14:paraId="22E4B274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3A9ECCBB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856" w:type="dxa"/>
          </w:tcPr>
          <w:p w14:paraId="7920EB6F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Mean age 49 (SD:17.6) 60.7% female</w:t>
            </w:r>
          </w:p>
        </w:tc>
        <w:tc>
          <w:tcPr>
            <w:tcW w:w="1043" w:type="dxa"/>
          </w:tcPr>
          <w:p w14:paraId="7EF508CB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195F3D2C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The most reported comorbidities were hypertension (36.3%), hypercholesterolemia (26.5%), and diabetes (17.7%). The most reported symptoms were dyspnea (55.4%) and anxiety (55.4%). Anxiety was listed as the most severe symptom (9.8%).</w:t>
            </w:r>
          </w:p>
        </w:tc>
        <w:tc>
          <w:tcPr>
            <w:tcW w:w="1410" w:type="dxa"/>
          </w:tcPr>
          <w:p w14:paraId="75BA8A56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7F284F41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678FE3BE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[58]</w:t>
            </w:r>
          </w:p>
        </w:tc>
        <w:tc>
          <w:tcPr>
            <w:tcW w:w="1136" w:type="dxa"/>
          </w:tcPr>
          <w:p w14:paraId="1620ECDB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082B5891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162</w:t>
            </w:r>
          </w:p>
        </w:tc>
        <w:tc>
          <w:tcPr>
            <w:tcW w:w="856" w:type="dxa"/>
          </w:tcPr>
          <w:p w14:paraId="01F15F56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Mean age 38 years, range 11-79 years</w:t>
            </w:r>
          </w:p>
        </w:tc>
        <w:tc>
          <w:tcPr>
            <w:tcW w:w="1043" w:type="dxa"/>
          </w:tcPr>
          <w:p w14:paraId="23E3239C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5BD9E872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Community-based virtual healthcare is safe for treating most COVID-19 patients and can be rapidly implemented in urban settings for pandemic management.</w:t>
            </w:r>
          </w:p>
        </w:tc>
        <w:tc>
          <w:tcPr>
            <w:tcW w:w="1410" w:type="dxa"/>
          </w:tcPr>
          <w:p w14:paraId="51B746EA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6389573B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48755F0F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[61]</w:t>
            </w:r>
          </w:p>
        </w:tc>
        <w:tc>
          <w:tcPr>
            <w:tcW w:w="1136" w:type="dxa"/>
          </w:tcPr>
          <w:p w14:paraId="59CC9265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181925A1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856" w:type="dxa"/>
          </w:tcPr>
          <w:p w14:paraId="17C54B69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06EABE49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7692A067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Compared to industry standard equipment. These low error values ​​indicate the high accuracy of our proposed system.</w:t>
            </w:r>
          </w:p>
        </w:tc>
        <w:tc>
          <w:tcPr>
            <w:tcW w:w="1410" w:type="dxa"/>
          </w:tcPr>
          <w:p w14:paraId="72207DDC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MAE and MSE ​​were 0.79 and 1.03 for the oximeter, 1.22 and 0.70 for the heart rate monitor, and 1.07 and 1.28 for the temperature monitor</w:t>
            </w:r>
          </w:p>
        </w:tc>
      </w:tr>
      <w:tr w:rsidR="008A1D31" w:rsidRPr="008A1D31" w14:paraId="3EF3730D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26E46B72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[65]</w:t>
            </w:r>
          </w:p>
        </w:tc>
        <w:tc>
          <w:tcPr>
            <w:tcW w:w="1136" w:type="dxa"/>
          </w:tcPr>
          <w:p w14:paraId="23FAB54E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Random controlled study</w:t>
            </w:r>
          </w:p>
        </w:tc>
        <w:tc>
          <w:tcPr>
            <w:tcW w:w="1078" w:type="dxa"/>
          </w:tcPr>
          <w:p w14:paraId="640A3059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56" w:type="dxa"/>
          </w:tcPr>
          <w:p w14:paraId="75EDBD51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3C84B759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410" w:type="dxa"/>
          </w:tcPr>
          <w:p w14:paraId="4A7AB2F7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Lung sounds data represent a reliable biomarker of COVID-19 pneumonia.</w:t>
            </w:r>
          </w:p>
        </w:tc>
        <w:tc>
          <w:tcPr>
            <w:tcW w:w="1410" w:type="dxa"/>
          </w:tcPr>
          <w:p w14:paraId="60307B34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5C6D4C65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1C91888D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[66]</w:t>
            </w:r>
          </w:p>
        </w:tc>
        <w:tc>
          <w:tcPr>
            <w:tcW w:w="1136" w:type="dxa"/>
          </w:tcPr>
          <w:p w14:paraId="16304000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Empirical study</w:t>
            </w:r>
          </w:p>
        </w:tc>
        <w:tc>
          <w:tcPr>
            <w:tcW w:w="1078" w:type="dxa"/>
          </w:tcPr>
          <w:p w14:paraId="5413EB02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</w:tcPr>
          <w:p w14:paraId="1B2B8F9C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71310C04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Cohen dataset and </w:t>
            </w:r>
            <w:proofErr w:type="spellStart"/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Kermany</w:t>
            </w:r>
            <w:proofErr w:type="spellEnd"/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dataset</w:t>
            </w:r>
          </w:p>
        </w:tc>
        <w:tc>
          <w:tcPr>
            <w:tcW w:w="2410" w:type="dxa"/>
          </w:tcPr>
          <w:p w14:paraId="01A6E613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0" w:type="dxa"/>
          </w:tcPr>
          <w:p w14:paraId="7AD51AAD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Accuracy: 98%</w:t>
            </w:r>
          </w:p>
        </w:tc>
      </w:tr>
      <w:tr w:rsidR="008A1D31" w:rsidRPr="008A1D31" w14:paraId="6A9E0619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68189322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[70]</w:t>
            </w:r>
          </w:p>
        </w:tc>
        <w:tc>
          <w:tcPr>
            <w:tcW w:w="1136" w:type="dxa"/>
          </w:tcPr>
          <w:p w14:paraId="11D17465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Empirical study</w:t>
            </w:r>
          </w:p>
        </w:tc>
        <w:tc>
          <w:tcPr>
            <w:tcW w:w="1078" w:type="dxa"/>
          </w:tcPr>
          <w:p w14:paraId="2B6AEF87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</w:tcPr>
          <w:p w14:paraId="4073E7A8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398AFB29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COVID-19-X-ray-and-CT-Chest-Images and Chest-Xray-Dataset</w:t>
            </w:r>
          </w:p>
        </w:tc>
        <w:tc>
          <w:tcPr>
            <w:tcW w:w="2410" w:type="dxa"/>
          </w:tcPr>
          <w:p w14:paraId="23D239A6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X-ray imaging is one of the most popular techniques for visualizing the effects of viruses on the lungs. </w:t>
            </w:r>
          </w:p>
        </w:tc>
        <w:tc>
          <w:tcPr>
            <w:tcW w:w="1410" w:type="dxa"/>
          </w:tcPr>
          <w:p w14:paraId="52FA6268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Accuracy: 94.2%, AUC: 92.2%, MSE: 0.27, and MAE: 0.16.</w:t>
            </w:r>
          </w:p>
        </w:tc>
      </w:tr>
      <w:tr w:rsidR="008A1D31" w:rsidRPr="008A1D31" w14:paraId="620C32D0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4B5CD083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[74]</w:t>
            </w:r>
          </w:p>
        </w:tc>
        <w:tc>
          <w:tcPr>
            <w:tcW w:w="1136" w:type="dxa"/>
          </w:tcPr>
          <w:p w14:paraId="42B80CDA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Empirical study</w:t>
            </w:r>
          </w:p>
        </w:tc>
        <w:tc>
          <w:tcPr>
            <w:tcW w:w="1078" w:type="dxa"/>
          </w:tcPr>
          <w:p w14:paraId="29D1EA2D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956</w:t>
            </w:r>
          </w:p>
        </w:tc>
        <w:tc>
          <w:tcPr>
            <w:tcW w:w="856" w:type="dxa"/>
          </w:tcPr>
          <w:p w14:paraId="75119829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3F07589A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Lung CT images</w:t>
            </w:r>
          </w:p>
        </w:tc>
        <w:tc>
          <w:tcPr>
            <w:tcW w:w="2410" w:type="dxa"/>
          </w:tcPr>
          <w:p w14:paraId="17DEE197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Automatic classification of normal, mild, moderate, and severe COVID-19 based on pulmonary parenchymal involvement. </w:t>
            </w:r>
          </w:p>
        </w:tc>
        <w:tc>
          <w:tcPr>
            <w:tcW w:w="1410" w:type="dxa"/>
          </w:tcPr>
          <w:p w14:paraId="5C8128EF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</w:tr>
      <w:tr w:rsidR="008A1D31" w:rsidRPr="008A1D31" w14:paraId="4649DCEF" w14:textId="77777777" w:rsidTr="00991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0906352D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lastRenderedPageBreak/>
              <w:t>[78]</w:t>
            </w:r>
          </w:p>
        </w:tc>
        <w:tc>
          <w:tcPr>
            <w:tcW w:w="1136" w:type="dxa"/>
          </w:tcPr>
          <w:p w14:paraId="4E32AA22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Mixed study (Random controlled and empirical)</w:t>
            </w:r>
          </w:p>
        </w:tc>
        <w:tc>
          <w:tcPr>
            <w:tcW w:w="1078" w:type="dxa"/>
          </w:tcPr>
          <w:p w14:paraId="08B5A954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1208</w:t>
            </w:r>
          </w:p>
        </w:tc>
        <w:tc>
          <w:tcPr>
            <w:tcW w:w="856" w:type="dxa"/>
          </w:tcPr>
          <w:p w14:paraId="3C2DC03A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42343A33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Chest X-rays of 396 COVID-19 patients</w:t>
            </w:r>
          </w:p>
        </w:tc>
        <w:tc>
          <w:tcPr>
            <w:tcW w:w="2410" w:type="dxa"/>
          </w:tcPr>
          <w:p w14:paraId="68A99B27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The proposed convolutional neural network-based algorithm was able to classify disease severity into four categories (normal, mild, moderate, and severe).</w:t>
            </w:r>
          </w:p>
        </w:tc>
        <w:tc>
          <w:tcPr>
            <w:tcW w:w="1410" w:type="dxa"/>
          </w:tcPr>
          <w:p w14:paraId="4DB22532" w14:textId="77777777" w:rsidR="008A1D31" w:rsidRPr="008A1D31" w:rsidRDefault="008A1D31" w:rsidP="00991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AUC: 93%</w:t>
            </w:r>
          </w:p>
        </w:tc>
      </w:tr>
      <w:tr w:rsidR="008A1D31" w:rsidRPr="008A1D31" w14:paraId="38371C7B" w14:textId="77777777" w:rsidTr="0099104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14:paraId="1AAD9AA3" w14:textId="77777777" w:rsidR="008A1D31" w:rsidRPr="008A1D31" w:rsidRDefault="008A1D31" w:rsidP="00991042">
            <w:pPr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b w:val="0"/>
                <w:bCs w:val="0"/>
                <w:color w:val="000000" w:themeColor="text1"/>
                <w:sz w:val="20"/>
                <w:szCs w:val="20"/>
              </w:rPr>
              <w:t>[79]</w:t>
            </w:r>
          </w:p>
        </w:tc>
        <w:tc>
          <w:tcPr>
            <w:tcW w:w="1136" w:type="dxa"/>
          </w:tcPr>
          <w:p w14:paraId="11122294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Empirical study</w:t>
            </w:r>
          </w:p>
        </w:tc>
        <w:tc>
          <w:tcPr>
            <w:tcW w:w="1078" w:type="dxa"/>
          </w:tcPr>
          <w:p w14:paraId="7FC5468D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</w:tcPr>
          <w:p w14:paraId="4E3097AB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43" w:type="dxa"/>
          </w:tcPr>
          <w:p w14:paraId="39374C1F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Covid-Chest Xray and Chex-Pert dataset</w:t>
            </w:r>
          </w:p>
        </w:tc>
        <w:tc>
          <w:tcPr>
            <w:tcW w:w="2410" w:type="dxa"/>
          </w:tcPr>
          <w:p w14:paraId="1970024D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>The proposed intelligent healthcare system integrates IoT-cloud technologies.</w:t>
            </w:r>
          </w:p>
        </w:tc>
        <w:tc>
          <w:tcPr>
            <w:tcW w:w="1410" w:type="dxa"/>
          </w:tcPr>
          <w:p w14:paraId="791510EC" w14:textId="77777777" w:rsidR="008A1D31" w:rsidRPr="008A1D31" w:rsidRDefault="008A1D31" w:rsidP="00991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A1D31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Accuracy: 98.6%, F1-score: 97.87% F1 </w:t>
            </w:r>
          </w:p>
        </w:tc>
      </w:tr>
    </w:tbl>
    <w:p w14:paraId="653ABDA3" w14:textId="77777777" w:rsidR="000F6461" w:rsidRPr="008A1D31" w:rsidRDefault="000F6461">
      <w:pPr>
        <w:rPr>
          <w:rFonts w:ascii="Cambria" w:hAnsi="Cambria"/>
        </w:rPr>
      </w:pPr>
    </w:p>
    <w:sectPr w:rsidR="000F6461" w:rsidRPr="008A1D31" w:rsidSect="00A6594E">
      <w:pgSz w:w="12240" w:h="15840" w:code="1"/>
      <w:pgMar w:top="1077" w:right="907" w:bottom="1440" w:left="907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D31"/>
    <w:rsid w:val="000F6461"/>
    <w:rsid w:val="002460EE"/>
    <w:rsid w:val="00606B76"/>
    <w:rsid w:val="008A1D31"/>
    <w:rsid w:val="00A6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91289"/>
  <w15:chartTrackingRefBased/>
  <w15:docId w15:val="{EF303D4B-30BC-43A7-9828-170694AD7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D31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99"/>
    <w:rsid w:val="008A1D31"/>
    <w:pPr>
      <w:spacing w:after="0" w:line="240" w:lineRule="auto"/>
    </w:pPr>
    <w:rPr>
      <w:rFonts w:eastAsiaTheme="minorEastAsia"/>
      <w:kern w:val="0"/>
      <w:sz w:val="24"/>
      <w:szCs w:val="24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539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 Chatterjee</dc:creator>
  <cp:keywords/>
  <dc:description/>
  <cp:lastModifiedBy>Ayan Chatterjee</cp:lastModifiedBy>
  <cp:revision>2</cp:revision>
  <dcterms:created xsi:type="dcterms:W3CDTF">2023-09-09T08:17:00Z</dcterms:created>
  <dcterms:modified xsi:type="dcterms:W3CDTF">2023-09-10T08:09:00Z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114459-e220-4ae9-b339-4ebe6008cdd4_Enabled">
    <vt:lpwstr>true</vt:lpwstr>
  </property>
  <property fmtid="{D5CDD505-2E9C-101B-9397-08002B2CF9AE}" pid="3" name="MSIP_Label_b4114459-e220-4ae9-b339-4ebe6008cdd4_SetDate">
    <vt:lpwstr>2023-09-09T08:19:04Z</vt:lpwstr>
  </property>
  <property fmtid="{D5CDD505-2E9C-101B-9397-08002B2CF9AE}" pid="4" name="MSIP_Label_b4114459-e220-4ae9-b339-4ebe6008cdd4_Method">
    <vt:lpwstr>Standard</vt:lpwstr>
  </property>
  <property fmtid="{D5CDD505-2E9C-101B-9397-08002B2CF9AE}" pid="5" name="MSIP_Label_b4114459-e220-4ae9-b339-4ebe6008cdd4_Name">
    <vt:lpwstr>b4114459-e220-4ae9-b339-4ebe6008cdd4</vt:lpwstr>
  </property>
  <property fmtid="{D5CDD505-2E9C-101B-9397-08002B2CF9AE}" pid="6" name="MSIP_Label_b4114459-e220-4ae9-b339-4ebe6008cdd4_SiteId">
    <vt:lpwstr>8482881e-3699-4b3f-b135-cf4800bc1efb</vt:lpwstr>
  </property>
  <property fmtid="{D5CDD505-2E9C-101B-9397-08002B2CF9AE}" pid="7" name="MSIP_Label_b4114459-e220-4ae9-b339-4ebe6008cdd4_ActionId">
    <vt:lpwstr>bebcb343-66ba-4572-9d65-d6c6eb3735ff</vt:lpwstr>
  </property>
  <property fmtid="{D5CDD505-2E9C-101B-9397-08002B2CF9AE}" pid="8" name="MSIP_Label_b4114459-e220-4ae9-b339-4ebe6008cdd4_ContentBits">
    <vt:lpwstr>0</vt:lpwstr>
  </property>
</Properties>
</file>