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322E" w14:textId="77777777" w:rsidR="00F61EE8" w:rsidRPr="00122E2D" w:rsidRDefault="00F61EE8" w:rsidP="00F61EE8">
      <w:pPr>
        <w:rPr>
          <w:rFonts w:ascii="Arial" w:hAnsi="Arial" w:cs="Arial"/>
          <w:lang w:val="en-GB"/>
        </w:rPr>
      </w:pPr>
      <w:r w:rsidRPr="00122E2D">
        <w:rPr>
          <w:rFonts w:ascii="Arial" w:hAnsi="Arial" w:cs="Arial"/>
          <w:lang w:val="en-GB"/>
        </w:rPr>
        <w:t xml:space="preserve">Supplementary table 1: Motivation for the exclusion of initiatives. </w:t>
      </w:r>
    </w:p>
    <w:p w14:paraId="4DCDD179" w14:textId="77777777" w:rsidR="00F61EE8" w:rsidRPr="00122E2D" w:rsidRDefault="00F61EE8" w:rsidP="00122E2D">
      <w:pPr>
        <w:spacing w:line="360" w:lineRule="auto"/>
        <w:contextualSpacing/>
        <w:rPr>
          <w:rFonts w:ascii="Segoe UI" w:hAnsi="Segoe UI" w:cs="Segoe UI"/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F61EE8" w:rsidRPr="00122E2D" w14:paraId="09476FFB" w14:textId="77777777" w:rsidTr="00E83653">
        <w:tc>
          <w:tcPr>
            <w:tcW w:w="2972" w:type="dxa"/>
            <w:vAlign w:val="center"/>
          </w:tcPr>
          <w:p w14:paraId="6BE9E2B9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Initiating centre (region)</w:t>
            </w:r>
          </w:p>
        </w:tc>
        <w:tc>
          <w:tcPr>
            <w:tcW w:w="4253" w:type="dxa"/>
            <w:vAlign w:val="center"/>
          </w:tcPr>
          <w:p w14:paraId="06ABD643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Reason for exclusion</w:t>
            </w:r>
          </w:p>
        </w:tc>
      </w:tr>
      <w:tr w:rsidR="00F61EE8" w:rsidRPr="00F305CA" w14:paraId="2D776EA6" w14:textId="77777777" w:rsidTr="00E83653">
        <w:tc>
          <w:tcPr>
            <w:tcW w:w="2972" w:type="dxa"/>
            <w:vAlign w:val="center"/>
          </w:tcPr>
          <w:p w14:paraId="149FA709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General practitioner cooperation </w:t>
            </w:r>
            <w:proofErr w:type="spellStart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Westelijke</w:t>
            </w:r>
            <w:proofErr w:type="spellEnd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Mijnstreek</w:t>
            </w:r>
            <w:proofErr w:type="spellEnd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 (Limburg)</w:t>
            </w:r>
          </w:p>
        </w:tc>
        <w:tc>
          <w:tcPr>
            <w:tcW w:w="4253" w:type="dxa"/>
            <w:vAlign w:val="center"/>
          </w:tcPr>
          <w:p w14:paraId="4BD7B63F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No patients were treated according to this treatment plan </w:t>
            </w:r>
          </w:p>
        </w:tc>
      </w:tr>
      <w:tr w:rsidR="00F61EE8" w:rsidRPr="00F305CA" w14:paraId="112E5741" w14:textId="77777777" w:rsidTr="00E83653">
        <w:tc>
          <w:tcPr>
            <w:tcW w:w="2972" w:type="dxa"/>
            <w:vAlign w:val="center"/>
          </w:tcPr>
          <w:p w14:paraId="59DC8F06" w14:textId="668BA0B9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</w:rPr>
            </w:pPr>
            <w:r w:rsidRPr="00122E2D">
              <w:rPr>
                <w:rFonts w:ascii="Segoe UI" w:hAnsi="Segoe UI" w:cs="Segoe UI"/>
                <w:sz w:val="16"/>
                <w:szCs w:val="16"/>
              </w:rPr>
              <w:t xml:space="preserve">Leiden University </w:t>
            </w:r>
            <w:proofErr w:type="spellStart"/>
            <w:r w:rsidRPr="00122E2D">
              <w:rPr>
                <w:rFonts w:ascii="Segoe UI" w:hAnsi="Segoe UI" w:cs="Segoe UI"/>
                <w:sz w:val="16"/>
                <w:szCs w:val="16"/>
              </w:rPr>
              <w:t>Medical</w:t>
            </w:r>
            <w:proofErr w:type="spellEnd"/>
            <w:r w:rsidRPr="00122E2D">
              <w:rPr>
                <w:rFonts w:ascii="Segoe UI" w:hAnsi="Segoe UI" w:cs="Segoe UI"/>
                <w:sz w:val="16"/>
                <w:szCs w:val="16"/>
              </w:rPr>
              <w:t xml:space="preserve"> Center</w:t>
            </w:r>
            <w:r w:rsidR="00122E2D" w:rsidRPr="00122E2D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122E2D">
              <w:rPr>
                <w:rFonts w:ascii="Segoe UI" w:hAnsi="Segoe UI" w:cs="Segoe UI"/>
                <w:sz w:val="16"/>
                <w:szCs w:val="16"/>
              </w:rPr>
              <w:t>(Leiden)</w:t>
            </w:r>
          </w:p>
        </w:tc>
        <w:tc>
          <w:tcPr>
            <w:tcW w:w="4253" w:type="dxa"/>
            <w:vAlign w:val="center"/>
          </w:tcPr>
          <w:p w14:paraId="7D67C646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Patients did not receive oxygen treatment at home, only remote monitoring. </w:t>
            </w:r>
          </w:p>
        </w:tc>
      </w:tr>
      <w:tr w:rsidR="00F61EE8" w:rsidRPr="00F305CA" w14:paraId="2BE31881" w14:textId="77777777" w:rsidTr="00E83653">
        <w:tc>
          <w:tcPr>
            <w:tcW w:w="2972" w:type="dxa"/>
            <w:vAlign w:val="center"/>
          </w:tcPr>
          <w:p w14:paraId="39D61AC7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Radboud Medical </w:t>
            </w:r>
            <w:proofErr w:type="spellStart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Center</w:t>
            </w:r>
            <w:proofErr w:type="spellEnd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 and Canisius Wilhelmina Hospital (Nijmegen)</w:t>
            </w:r>
          </w:p>
        </w:tc>
        <w:tc>
          <w:tcPr>
            <w:tcW w:w="4253" w:type="dxa"/>
            <w:vAlign w:val="center"/>
          </w:tcPr>
          <w:p w14:paraId="65CE06AD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Remote monitoring was not part of the protocol.</w:t>
            </w:r>
          </w:p>
        </w:tc>
      </w:tr>
      <w:tr w:rsidR="00F61EE8" w:rsidRPr="00F305CA" w14:paraId="165343F6" w14:textId="77777777" w:rsidTr="00E83653">
        <w:tc>
          <w:tcPr>
            <w:tcW w:w="2972" w:type="dxa"/>
            <w:vAlign w:val="center"/>
          </w:tcPr>
          <w:p w14:paraId="422FD7CB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proofErr w:type="spellStart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Isala</w:t>
            </w:r>
            <w:proofErr w:type="spellEnd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 Hospital (Zwolle)</w:t>
            </w:r>
          </w:p>
        </w:tc>
        <w:tc>
          <w:tcPr>
            <w:tcW w:w="4253" w:type="dxa"/>
            <w:vAlign w:val="center"/>
          </w:tcPr>
          <w:p w14:paraId="407652CC" w14:textId="77777777" w:rsidR="00F61EE8" w:rsidRPr="00122E2D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Remote monitoring at home and treatment with oxygen were separate initiatives that were not connected. </w:t>
            </w:r>
          </w:p>
        </w:tc>
      </w:tr>
    </w:tbl>
    <w:p w14:paraId="136304C5" w14:textId="77777777" w:rsidR="00F61EE8" w:rsidRPr="00122E2D" w:rsidRDefault="00F61EE8" w:rsidP="00122E2D">
      <w:pPr>
        <w:spacing w:line="360" w:lineRule="auto"/>
        <w:contextualSpacing/>
        <w:rPr>
          <w:rFonts w:ascii="Segoe UI" w:hAnsi="Segoe UI" w:cs="Segoe UI"/>
          <w:sz w:val="16"/>
          <w:szCs w:val="16"/>
          <w:lang w:val="en-GB"/>
        </w:rPr>
      </w:pPr>
    </w:p>
    <w:p w14:paraId="58BAA938" w14:textId="77777777" w:rsidR="00F61EE8" w:rsidRPr="0038317B" w:rsidRDefault="00F61EE8" w:rsidP="00F61EE8">
      <w:pPr>
        <w:spacing w:after="0" w:line="360" w:lineRule="auto"/>
        <w:rPr>
          <w:rFonts w:ascii="Arial" w:hAnsi="Arial" w:cs="Arial"/>
          <w:sz w:val="16"/>
          <w:szCs w:val="16"/>
          <w:highlight w:val="yellow"/>
          <w:lang w:val="en-GB"/>
        </w:rPr>
      </w:pPr>
    </w:p>
    <w:p w14:paraId="0BFAB744" w14:textId="77777777" w:rsidR="00F61EE8" w:rsidRPr="0038317B" w:rsidRDefault="00F61EE8" w:rsidP="00F61EE8">
      <w:pPr>
        <w:rPr>
          <w:rFonts w:ascii="Arial" w:hAnsi="Arial" w:cs="Arial"/>
          <w:color w:val="000000" w:themeColor="text1"/>
          <w:sz w:val="16"/>
          <w:szCs w:val="16"/>
          <w:highlight w:val="yellow"/>
          <w:lang w:val="en-GB"/>
        </w:rPr>
      </w:pPr>
      <w:r w:rsidRPr="0038317B">
        <w:rPr>
          <w:rFonts w:ascii="Arial" w:hAnsi="Arial" w:cs="Arial"/>
          <w:color w:val="000000" w:themeColor="text1"/>
          <w:sz w:val="16"/>
          <w:szCs w:val="16"/>
          <w:highlight w:val="yellow"/>
          <w:lang w:val="en-GB"/>
        </w:rPr>
        <w:br w:type="page"/>
      </w:r>
    </w:p>
    <w:p w14:paraId="37E1397E" w14:textId="77777777" w:rsidR="00AA4D2F" w:rsidRPr="00122E2D" w:rsidRDefault="00AA4D2F">
      <w:pPr>
        <w:spacing w:after="0" w:line="240" w:lineRule="auto"/>
        <w:rPr>
          <w:rFonts w:ascii="Arial" w:hAnsi="Arial" w:cs="Arial"/>
          <w:lang w:val="en-GB"/>
        </w:rPr>
      </w:pPr>
      <w:r w:rsidRPr="00122E2D">
        <w:rPr>
          <w:rFonts w:ascii="Arial" w:hAnsi="Arial" w:cs="Arial"/>
          <w:lang w:val="en-GB"/>
        </w:rPr>
        <w:lastRenderedPageBreak/>
        <w:t>Supplementary table 2: Temporal context of included initiatives.</w:t>
      </w:r>
    </w:p>
    <w:p w14:paraId="56EE0483" w14:textId="77777777" w:rsidR="00AA4D2F" w:rsidRPr="00122E2D" w:rsidRDefault="00AA4D2F" w:rsidP="00122E2D">
      <w:pPr>
        <w:spacing w:line="360" w:lineRule="auto"/>
        <w:contextualSpacing/>
        <w:rPr>
          <w:rFonts w:ascii="Segoe UI" w:hAnsi="Segoe UI" w:cs="Segoe UI"/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EE7183" w:rsidRPr="00EE7183" w14:paraId="5DFCAEDB" w14:textId="77777777" w:rsidTr="00AA4D2F">
        <w:tc>
          <w:tcPr>
            <w:tcW w:w="1558" w:type="dxa"/>
          </w:tcPr>
          <w:p w14:paraId="3FAD10A1" w14:textId="77777777" w:rsidR="00122E2D" w:rsidRPr="00EE7183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</w:tcPr>
          <w:p w14:paraId="6D63CF1F" w14:textId="787EB7AB" w:rsidR="00122E2D" w:rsidRPr="004604FE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JB</w:t>
            </w:r>
          </w:p>
        </w:tc>
        <w:tc>
          <w:tcPr>
            <w:tcW w:w="1558" w:type="dxa"/>
          </w:tcPr>
          <w:p w14:paraId="290DC1EA" w14:textId="30590093" w:rsidR="00122E2D" w:rsidRPr="004604FE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WH</w:t>
            </w:r>
          </w:p>
        </w:tc>
        <w:tc>
          <w:tcPr>
            <w:tcW w:w="1558" w:type="dxa"/>
          </w:tcPr>
          <w:p w14:paraId="0FD4E5D5" w14:textId="6177DEFE" w:rsidR="00122E2D" w:rsidRPr="004604FE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AS</w:t>
            </w:r>
          </w:p>
        </w:tc>
        <w:tc>
          <w:tcPr>
            <w:tcW w:w="1559" w:type="dxa"/>
          </w:tcPr>
          <w:p w14:paraId="7581DC37" w14:textId="4CCFE95D" w:rsidR="00122E2D" w:rsidRPr="004604FE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UT-1</w:t>
            </w:r>
          </w:p>
        </w:tc>
        <w:tc>
          <w:tcPr>
            <w:tcW w:w="1559" w:type="dxa"/>
          </w:tcPr>
          <w:p w14:paraId="11EA20E5" w14:textId="5F386FD2" w:rsidR="00122E2D" w:rsidRPr="004604FE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UT-2</w:t>
            </w:r>
          </w:p>
        </w:tc>
      </w:tr>
      <w:tr w:rsidR="00EE7183" w:rsidRPr="00EE7183" w14:paraId="3DABB01B" w14:textId="77777777" w:rsidTr="00AA4D2F">
        <w:tc>
          <w:tcPr>
            <w:tcW w:w="1558" w:type="dxa"/>
          </w:tcPr>
          <w:p w14:paraId="55FECD04" w14:textId="727DAB27" w:rsidR="00AA4D2F" w:rsidRPr="004604FE" w:rsidRDefault="004A0F21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Initiative r</w:t>
            </w:r>
            <w:r w:rsidR="00122E2D"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untime</w:t>
            </w:r>
            <w:r w:rsidR="00E35807"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558" w:type="dxa"/>
          </w:tcPr>
          <w:p w14:paraId="2B0BF091" w14:textId="6248C296" w:rsidR="00AA4D2F" w:rsidRPr="00EE7183" w:rsidRDefault="00EE7183" w:rsidP="00122E2D">
            <w:pPr>
              <w:spacing w:line="360" w:lineRule="auto"/>
              <w:contextualSpacing/>
              <w:rPr>
                <w:rFonts w:ascii="Segoe UI" w:hAnsi="Segoe UI" w:cs="Segoe UI"/>
                <w:color w:val="FF0000"/>
                <w:sz w:val="16"/>
                <w:szCs w:val="16"/>
                <w:lang w:val="en-GB"/>
              </w:rPr>
            </w:pPr>
            <w:r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February</w:t>
            </w:r>
            <w:r w:rsidR="007B1862"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E35807"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1 – </w:t>
            </w:r>
            <w:r w:rsidR="00F305CA"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June 2022</w:t>
            </w:r>
            <w:r w:rsidR="00E35807"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8" w:type="dxa"/>
          </w:tcPr>
          <w:p w14:paraId="0418A38D" w14:textId="760F56ED" w:rsidR="00AA4D2F" w:rsidRPr="00C84844" w:rsidRDefault="00E35807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December 2021 – </w:t>
            </w:r>
            <w:r w:rsidR="00C84844"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April</w:t>
            </w:r>
            <w:r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 2022</w:t>
            </w:r>
          </w:p>
        </w:tc>
        <w:tc>
          <w:tcPr>
            <w:tcW w:w="1558" w:type="dxa"/>
          </w:tcPr>
          <w:p w14:paraId="40470687" w14:textId="2E30C6EE" w:rsidR="00AA4D2F" w:rsidRPr="00695989" w:rsidRDefault="00E35807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695989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December 2020 – February 2022</w:t>
            </w:r>
          </w:p>
        </w:tc>
        <w:tc>
          <w:tcPr>
            <w:tcW w:w="1559" w:type="dxa"/>
          </w:tcPr>
          <w:p w14:paraId="7FD24C9E" w14:textId="0BDDF15D" w:rsidR="00AA4D2F" w:rsidRPr="004604FE" w:rsidRDefault="004604FE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November 2021 – March 2023</w:t>
            </w:r>
          </w:p>
        </w:tc>
        <w:tc>
          <w:tcPr>
            <w:tcW w:w="1559" w:type="dxa"/>
          </w:tcPr>
          <w:p w14:paraId="41D258F6" w14:textId="12DE15D1" w:rsidR="00AA4D2F" w:rsidRPr="004604FE" w:rsidRDefault="004604FE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November 2021 – March 2023</w:t>
            </w:r>
          </w:p>
        </w:tc>
      </w:tr>
      <w:tr w:rsidR="00EE7183" w:rsidRPr="00EE7183" w14:paraId="0A402A68" w14:textId="77777777" w:rsidTr="00AA4D2F">
        <w:tc>
          <w:tcPr>
            <w:tcW w:w="1558" w:type="dxa"/>
          </w:tcPr>
          <w:p w14:paraId="7E8FD45F" w14:textId="68507023" w:rsidR="00AA4D2F" w:rsidRPr="004604FE" w:rsidRDefault="00122E2D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Ongoing </w:t>
            </w:r>
            <w:r w:rsidR="00234CD9"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implementation</w:t>
            </w:r>
          </w:p>
        </w:tc>
        <w:tc>
          <w:tcPr>
            <w:tcW w:w="1558" w:type="dxa"/>
          </w:tcPr>
          <w:p w14:paraId="6ED3352C" w14:textId="2642CF86" w:rsidR="00AA4D2F" w:rsidRPr="00EE7183" w:rsidRDefault="00F305CA" w:rsidP="00122E2D">
            <w:pPr>
              <w:spacing w:line="360" w:lineRule="auto"/>
              <w:contextualSpacing/>
              <w:rPr>
                <w:rFonts w:ascii="Segoe UI" w:hAnsi="Segoe UI" w:cs="Segoe UI"/>
                <w:color w:val="FF0000"/>
                <w:sz w:val="16"/>
                <w:szCs w:val="16"/>
                <w:lang w:val="en-GB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Yes*</w:t>
            </w:r>
          </w:p>
        </w:tc>
        <w:tc>
          <w:tcPr>
            <w:tcW w:w="1558" w:type="dxa"/>
          </w:tcPr>
          <w:p w14:paraId="37ABD225" w14:textId="4586C599" w:rsidR="00AA4D2F" w:rsidRPr="00C84844" w:rsidRDefault="004604FE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8" w:type="dxa"/>
          </w:tcPr>
          <w:p w14:paraId="55A9A457" w14:textId="59549562" w:rsidR="00AA4D2F" w:rsidRPr="00695989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695989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</w:tcPr>
          <w:p w14:paraId="681281B5" w14:textId="5E575007" w:rsidR="00234CD9" w:rsidRPr="00C84844" w:rsidRDefault="00EE7183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</w:tcPr>
          <w:p w14:paraId="2906F05F" w14:textId="6B3AB5B4" w:rsidR="00AA4D2F" w:rsidRPr="00C84844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Yes*</w:t>
            </w:r>
            <w:r w:rsid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*</w:t>
            </w:r>
          </w:p>
        </w:tc>
      </w:tr>
      <w:tr w:rsidR="00EE7183" w:rsidRPr="00EE7183" w14:paraId="4014C479" w14:textId="77777777" w:rsidTr="00AA4D2F">
        <w:tc>
          <w:tcPr>
            <w:tcW w:w="1558" w:type="dxa"/>
          </w:tcPr>
          <w:p w14:paraId="5AA78C9B" w14:textId="5D1BB54B" w:rsidR="00AA4D2F" w:rsidRPr="00F305CA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Major revisions of protocol during implementation</w:t>
            </w:r>
          </w:p>
        </w:tc>
        <w:tc>
          <w:tcPr>
            <w:tcW w:w="1558" w:type="dxa"/>
          </w:tcPr>
          <w:p w14:paraId="68C9F252" w14:textId="338C441C" w:rsidR="00AA4D2F" w:rsidRPr="00F305CA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F305CA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8" w:type="dxa"/>
          </w:tcPr>
          <w:p w14:paraId="26620FBA" w14:textId="271DC1F6" w:rsidR="00AA4D2F" w:rsidRPr="00C84844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C84844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8" w:type="dxa"/>
          </w:tcPr>
          <w:p w14:paraId="1B02278B" w14:textId="3BA6C166" w:rsidR="00AA4D2F" w:rsidRPr="00695989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695989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</w:tcPr>
          <w:p w14:paraId="3CB3B239" w14:textId="368A8B52" w:rsidR="00AA4D2F" w:rsidRPr="004604FE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559" w:type="dxa"/>
          </w:tcPr>
          <w:p w14:paraId="54C90D6C" w14:textId="7CE2030C" w:rsidR="00AA4D2F" w:rsidRPr="004604FE" w:rsidRDefault="00234CD9" w:rsidP="00122E2D">
            <w:pPr>
              <w:spacing w:line="360" w:lineRule="auto"/>
              <w:contextualSpacing/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</w:pPr>
            <w:r w:rsidRPr="004604FE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</w:tbl>
    <w:p w14:paraId="1C7386F4" w14:textId="2AD8CC52" w:rsidR="00E35807" w:rsidRPr="004604FE" w:rsidRDefault="00E35807" w:rsidP="004604FE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 w:rsidRPr="004604FE">
        <w:rPr>
          <w:rFonts w:ascii="Segoe UI" w:hAnsi="Segoe UI" w:cs="Segoe UI"/>
          <w:i/>
          <w:sz w:val="16"/>
          <w:szCs w:val="16"/>
          <w:vertAlign w:val="superscript"/>
          <w:lang w:val="en-GB"/>
        </w:rPr>
        <w:t>1</w:t>
      </w:r>
      <w:r w:rsidRPr="004604FE">
        <w:rPr>
          <w:rFonts w:ascii="Segoe UI" w:hAnsi="Segoe UI" w:cs="Segoe UI"/>
          <w:i/>
          <w:sz w:val="16"/>
          <w:szCs w:val="16"/>
          <w:lang w:val="en-GB"/>
        </w:rPr>
        <w:t>The WHO declared COVID-19 a global pandemic in March 2020, with three consecutive pandemic waves in the Netherlands: (1) March 2020 through May 2020; (2) October 2020 through January 2021; (3) February 2021 through June 2021.</w:t>
      </w:r>
    </w:p>
    <w:p w14:paraId="4373339F" w14:textId="532EE27C" w:rsidR="00F305CA" w:rsidRDefault="00F305CA" w:rsidP="004604FE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>
        <w:rPr>
          <w:rFonts w:ascii="Segoe UI" w:hAnsi="Segoe UI" w:cs="Segoe UI"/>
          <w:i/>
          <w:sz w:val="16"/>
          <w:szCs w:val="16"/>
          <w:lang w:val="en-GB"/>
        </w:rPr>
        <w:t>*The program may be integrated in a home monitoring/management program for other (infectious) disease in 2023-2024.</w:t>
      </w:r>
    </w:p>
    <w:p w14:paraId="59C90FBB" w14:textId="242891EF" w:rsidR="00AA4D2F" w:rsidRPr="00234CD9" w:rsidRDefault="00F305CA" w:rsidP="004604FE">
      <w:pPr>
        <w:spacing w:after="0" w:line="360" w:lineRule="auto"/>
        <w:rPr>
          <w:rFonts w:ascii="Segoe UI" w:hAnsi="Segoe UI" w:cs="Segoe UI"/>
          <w:i/>
          <w:iCs/>
          <w:sz w:val="16"/>
          <w:szCs w:val="16"/>
          <w:lang w:val="en-GB"/>
        </w:rPr>
      </w:pPr>
      <w:r>
        <w:rPr>
          <w:rFonts w:ascii="Segoe UI" w:hAnsi="Segoe UI" w:cs="Segoe UI"/>
          <w:i/>
          <w:sz w:val="16"/>
          <w:szCs w:val="16"/>
          <w:lang w:val="en-GB"/>
        </w:rPr>
        <w:t>*</w:t>
      </w:r>
      <w:r w:rsidR="00234CD9" w:rsidRPr="004604FE">
        <w:rPr>
          <w:rFonts w:ascii="Segoe UI" w:hAnsi="Segoe UI" w:cs="Segoe UI"/>
          <w:i/>
          <w:sz w:val="16"/>
          <w:szCs w:val="16"/>
          <w:lang w:val="en-GB"/>
        </w:rPr>
        <w:t>*</w:t>
      </w:r>
      <w:r w:rsidR="004A0F21" w:rsidRPr="004604FE">
        <w:rPr>
          <w:rFonts w:ascii="Segoe UI" w:hAnsi="Segoe UI" w:cs="Segoe UI"/>
          <w:i/>
          <w:sz w:val="16"/>
          <w:szCs w:val="16"/>
          <w:lang w:val="en-GB"/>
        </w:rPr>
        <w:t>After the initial</w:t>
      </w:r>
      <w:r>
        <w:rPr>
          <w:rFonts w:ascii="Segoe UI" w:hAnsi="Segoe UI" w:cs="Segoe UI"/>
          <w:i/>
          <w:sz w:val="16"/>
          <w:szCs w:val="16"/>
          <w:lang w:val="en-GB"/>
        </w:rPr>
        <w:t xml:space="preserve"> research/</w:t>
      </w:r>
      <w:r w:rsidR="00C84844">
        <w:rPr>
          <w:rFonts w:ascii="Segoe UI" w:hAnsi="Segoe UI" w:cs="Segoe UI"/>
          <w:i/>
          <w:sz w:val="16"/>
          <w:szCs w:val="16"/>
          <w:lang w:val="en-GB"/>
        </w:rPr>
        <w:t>pilot</w:t>
      </w:r>
      <w:r w:rsidR="004A0F21" w:rsidRPr="004604FE">
        <w:rPr>
          <w:rFonts w:ascii="Segoe UI" w:hAnsi="Segoe UI" w:cs="Segoe UI"/>
          <w:i/>
          <w:sz w:val="16"/>
          <w:szCs w:val="16"/>
          <w:lang w:val="en-GB"/>
        </w:rPr>
        <w:t xml:space="preserve"> phase, home management</w:t>
      </w:r>
      <w:r w:rsidR="00EE7183" w:rsidRPr="004604FE">
        <w:rPr>
          <w:rFonts w:ascii="Segoe UI" w:hAnsi="Segoe UI" w:cs="Segoe UI"/>
          <w:i/>
          <w:sz w:val="16"/>
          <w:szCs w:val="16"/>
          <w:lang w:val="en-GB"/>
        </w:rPr>
        <w:t xml:space="preserve"> was further implemented </w:t>
      </w:r>
      <w:r w:rsidR="004A0F21" w:rsidRPr="004604FE">
        <w:rPr>
          <w:rFonts w:ascii="Segoe UI" w:hAnsi="Segoe UI" w:cs="Segoe UI"/>
          <w:i/>
          <w:sz w:val="16"/>
          <w:szCs w:val="16"/>
          <w:lang w:val="en-GB"/>
        </w:rPr>
        <w:t>into usual care</w:t>
      </w:r>
      <w:r w:rsidR="004A0F21">
        <w:rPr>
          <w:rFonts w:ascii="Segoe UI" w:hAnsi="Segoe UI" w:cs="Segoe UI"/>
          <w:i/>
          <w:iCs/>
          <w:sz w:val="16"/>
          <w:szCs w:val="16"/>
          <w:lang w:val="en-GB"/>
        </w:rPr>
        <w:t xml:space="preserve">. </w:t>
      </w:r>
    </w:p>
    <w:p w14:paraId="5AEEAAC8" w14:textId="77777777" w:rsidR="00234CD9" w:rsidRPr="00234CD9" w:rsidRDefault="00234CD9" w:rsidP="00EE7183">
      <w:pPr>
        <w:spacing w:after="0" w:line="276" w:lineRule="auto"/>
        <w:rPr>
          <w:rFonts w:ascii="Arial" w:hAnsi="Arial" w:cs="Arial"/>
          <w:i/>
          <w:iCs/>
          <w:lang w:val="en-GB"/>
        </w:rPr>
      </w:pPr>
      <w:r w:rsidRPr="00234CD9">
        <w:rPr>
          <w:rFonts w:ascii="Arial" w:hAnsi="Arial" w:cs="Arial"/>
          <w:i/>
          <w:iCs/>
          <w:lang w:val="en-GB"/>
        </w:rPr>
        <w:br w:type="page"/>
      </w:r>
    </w:p>
    <w:p w14:paraId="2C557117" w14:textId="28803E9C" w:rsidR="00F61EE8" w:rsidRPr="00122E2D" w:rsidRDefault="00F61EE8" w:rsidP="00F61EE8">
      <w:pPr>
        <w:spacing w:after="0" w:line="360" w:lineRule="auto"/>
        <w:rPr>
          <w:rFonts w:ascii="Arial" w:hAnsi="Arial" w:cs="Arial"/>
          <w:lang w:val="en-GB"/>
        </w:rPr>
      </w:pPr>
      <w:r w:rsidRPr="00122E2D">
        <w:rPr>
          <w:rFonts w:ascii="Arial" w:hAnsi="Arial" w:cs="Arial"/>
          <w:lang w:val="en-GB"/>
        </w:rPr>
        <w:lastRenderedPageBreak/>
        <w:t xml:space="preserve">Supplementary table </w:t>
      </w:r>
      <w:r w:rsidR="00AA4D2F" w:rsidRPr="00122E2D">
        <w:rPr>
          <w:rFonts w:ascii="Arial" w:hAnsi="Arial" w:cs="Arial"/>
          <w:lang w:val="en-GB"/>
        </w:rPr>
        <w:t>3</w:t>
      </w:r>
      <w:r w:rsidRPr="00122E2D">
        <w:rPr>
          <w:rFonts w:ascii="Arial" w:hAnsi="Arial" w:cs="Arial"/>
          <w:lang w:val="en-GB"/>
        </w:rPr>
        <w:t>: Medical care details</w:t>
      </w:r>
      <w:r w:rsidR="00122E2D">
        <w:rPr>
          <w:rFonts w:ascii="Arial" w:hAnsi="Arial" w:cs="Arial"/>
          <w:lang w:val="en-GB"/>
        </w:rPr>
        <w:t>.</w:t>
      </w:r>
    </w:p>
    <w:tbl>
      <w:tblPr>
        <w:tblStyle w:val="TableGrid"/>
        <w:tblpPr w:leftFromText="141" w:rightFromText="141" w:vertAnchor="text" w:tblpY="13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360"/>
        <w:gridCol w:w="1361"/>
        <w:gridCol w:w="1361"/>
        <w:gridCol w:w="1361"/>
        <w:gridCol w:w="1361"/>
      </w:tblGrid>
      <w:tr w:rsidR="00F61EE8" w:rsidRPr="0038317B" w14:paraId="5DF29ECD" w14:textId="77777777" w:rsidTr="00E83653">
        <w:trPr>
          <w:trHeight w:val="567"/>
        </w:trPr>
        <w:tc>
          <w:tcPr>
            <w:tcW w:w="1980" w:type="dxa"/>
          </w:tcPr>
          <w:p w14:paraId="64E03A79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Medical guideline content</w:t>
            </w:r>
          </w:p>
        </w:tc>
        <w:tc>
          <w:tcPr>
            <w:tcW w:w="1360" w:type="dxa"/>
          </w:tcPr>
          <w:p w14:paraId="093019DD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JB</w:t>
            </w:r>
          </w:p>
        </w:tc>
        <w:tc>
          <w:tcPr>
            <w:tcW w:w="1361" w:type="dxa"/>
          </w:tcPr>
          <w:p w14:paraId="155CE7F6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WH</w:t>
            </w:r>
          </w:p>
        </w:tc>
        <w:tc>
          <w:tcPr>
            <w:tcW w:w="1361" w:type="dxa"/>
          </w:tcPr>
          <w:p w14:paraId="283B9672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AS</w:t>
            </w:r>
          </w:p>
        </w:tc>
        <w:tc>
          <w:tcPr>
            <w:tcW w:w="1361" w:type="dxa"/>
          </w:tcPr>
          <w:p w14:paraId="1107513C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UT-1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361" w:type="dxa"/>
          </w:tcPr>
          <w:p w14:paraId="60C418A7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UT-2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F61EE8" w:rsidRPr="0038317B" w14:paraId="75FAA511" w14:textId="77777777" w:rsidTr="00E83653">
        <w:trPr>
          <w:trHeight w:val="567"/>
        </w:trPr>
        <w:tc>
          <w:tcPr>
            <w:tcW w:w="1980" w:type="dxa"/>
          </w:tcPr>
          <w:p w14:paraId="3FC2FA09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Dexamethasone </w:t>
            </w:r>
          </w:p>
          <w:p w14:paraId="35FF03C3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Dose: 6 mg / day; 10 days</w:t>
            </w:r>
          </w:p>
        </w:tc>
        <w:tc>
          <w:tcPr>
            <w:tcW w:w="1360" w:type="dxa"/>
          </w:tcPr>
          <w:p w14:paraId="1340172D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  <w:tc>
          <w:tcPr>
            <w:tcW w:w="1361" w:type="dxa"/>
          </w:tcPr>
          <w:p w14:paraId="1CC5C9D4" w14:textId="77777777" w:rsidR="00F61EE8" w:rsidRPr="0038317B" w:rsidRDefault="00F61EE8" w:rsidP="00E8365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6ADC917F" w14:textId="77777777" w:rsidR="00F61EE8" w:rsidRPr="0038317B" w:rsidRDefault="00F61EE8" w:rsidP="00E8365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2AC699EB" w14:textId="77777777" w:rsidR="00F61EE8" w:rsidRPr="0038317B" w:rsidRDefault="00F61EE8" w:rsidP="00E83653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200B8BB0" w14:textId="77777777" w:rsidR="00F61EE8" w:rsidRPr="0038317B" w:rsidRDefault="00F61EE8" w:rsidP="00E836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</w:tr>
      <w:tr w:rsidR="00F61EE8" w:rsidRPr="0038317B" w14:paraId="28A4177A" w14:textId="77777777" w:rsidTr="00E83653">
        <w:trPr>
          <w:trHeight w:val="567"/>
        </w:trPr>
        <w:tc>
          <w:tcPr>
            <w:tcW w:w="1980" w:type="dxa"/>
          </w:tcPr>
          <w:p w14:paraId="2B9B7DFB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Thrombosis prophylaxis</w:t>
            </w:r>
          </w:p>
          <w:p w14:paraId="073CC2F4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[LMWH dose in IU / day]</w:t>
            </w:r>
          </w:p>
        </w:tc>
        <w:tc>
          <w:tcPr>
            <w:tcW w:w="1360" w:type="dxa"/>
          </w:tcPr>
          <w:p w14:paraId="410FCA08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Fraxiparin</w:t>
            </w:r>
          </w:p>
          <w:p w14:paraId="15C66203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highlight w:val="yellow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[5700]</w:t>
            </w:r>
          </w:p>
        </w:tc>
        <w:tc>
          <w:tcPr>
            <w:tcW w:w="1361" w:type="dxa"/>
          </w:tcPr>
          <w:p w14:paraId="76AABD0A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Dalteparin</w:t>
            </w:r>
          </w:p>
          <w:p w14:paraId="0F23326E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[5000]</w:t>
            </w:r>
          </w:p>
        </w:tc>
        <w:tc>
          <w:tcPr>
            <w:tcW w:w="1361" w:type="dxa"/>
          </w:tcPr>
          <w:p w14:paraId="54525AEF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Dalteparin </w:t>
            </w:r>
          </w:p>
          <w:p w14:paraId="76776CC5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[5000]</w:t>
            </w:r>
          </w:p>
        </w:tc>
        <w:tc>
          <w:tcPr>
            <w:tcW w:w="1361" w:type="dxa"/>
          </w:tcPr>
          <w:p w14:paraId="5E94BBA0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Dalteparin</w:t>
            </w:r>
          </w:p>
          <w:p w14:paraId="0AEEBEEC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[5000]</w:t>
            </w:r>
          </w:p>
        </w:tc>
        <w:tc>
          <w:tcPr>
            <w:tcW w:w="1361" w:type="dxa"/>
          </w:tcPr>
          <w:p w14:paraId="041F1664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Dalteparin</w:t>
            </w:r>
          </w:p>
          <w:p w14:paraId="394A5BB6" w14:textId="77777777" w:rsidR="00F61EE8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[5000]</w:t>
            </w:r>
          </w:p>
          <w:p w14:paraId="37AAA5B6" w14:textId="77777777" w:rsidR="00234CD9" w:rsidRPr="0038317B" w:rsidRDefault="00234CD9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</w:tr>
      <w:tr w:rsidR="00F61EE8" w:rsidRPr="0038317B" w14:paraId="43473EEB" w14:textId="77777777" w:rsidTr="00E83653">
        <w:trPr>
          <w:trHeight w:val="567"/>
        </w:trPr>
        <w:tc>
          <w:tcPr>
            <w:tcW w:w="1980" w:type="dxa"/>
          </w:tcPr>
          <w:p w14:paraId="3A256D6D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Proton Pump inhibitor</w:t>
            </w:r>
          </w:p>
        </w:tc>
        <w:tc>
          <w:tcPr>
            <w:tcW w:w="1360" w:type="dxa"/>
          </w:tcPr>
          <w:p w14:paraId="48E3BAB9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Yes </w:t>
            </w:r>
          </w:p>
          <w:p w14:paraId="2F577673" w14:textId="77777777" w:rsidR="00F61EE8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20 mg / day</w:t>
            </w:r>
          </w:p>
          <w:p w14:paraId="637F3A06" w14:textId="77777777" w:rsidR="00234CD9" w:rsidRPr="0038317B" w:rsidRDefault="00234CD9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361" w:type="dxa"/>
          </w:tcPr>
          <w:p w14:paraId="22E1EAD2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361" w:type="dxa"/>
          </w:tcPr>
          <w:p w14:paraId="4FFA50AE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50F60D9C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0A74F0D1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</w:tr>
      <w:tr w:rsidR="00F61EE8" w:rsidRPr="0038317B" w14:paraId="47892117" w14:textId="77777777" w:rsidTr="00E83653">
        <w:trPr>
          <w:trHeight w:val="567"/>
        </w:trPr>
        <w:tc>
          <w:tcPr>
            <w:tcW w:w="1980" w:type="dxa"/>
          </w:tcPr>
          <w:p w14:paraId="1F4591AB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Glucose checks</w:t>
            </w:r>
          </w:p>
        </w:tc>
        <w:tc>
          <w:tcPr>
            <w:tcW w:w="1360" w:type="dxa"/>
          </w:tcPr>
          <w:p w14:paraId="4AF20DDC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430A885D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If considered necessary by GP</w:t>
            </w:r>
          </w:p>
        </w:tc>
        <w:tc>
          <w:tcPr>
            <w:tcW w:w="1361" w:type="dxa"/>
          </w:tcPr>
          <w:p w14:paraId="061E30A7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61" w:type="dxa"/>
          </w:tcPr>
          <w:p w14:paraId="4F3D3A7A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361" w:type="dxa"/>
          </w:tcPr>
          <w:p w14:paraId="7AF942EB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F61EE8" w:rsidRPr="0038317B" w14:paraId="69DB6F46" w14:textId="77777777" w:rsidTr="00E83653">
        <w:trPr>
          <w:trHeight w:val="567"/>
        </w:trPr>
        <w:tc>
          <w:tcPr>
            <w:tcW w:w="1980" w:type="dxa"/>
          </w:tcPr>
          <w:p w14:paraId="72C74299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Antibiotics</w:t>
            </w:r>
          </w:p>
        </w:tc>
        <w:tc>
          <w:tcPr>
            <w:tcW w:w="1360" w:type="dxa"/>
          </w:tcPr>
          <w:p w14:paraId="6152E037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361" w:type="dxa"/>
          </w:tcPr>
          <w:p w14:paraId="437088E7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Recommended if CRP &gt; 100 mg/L</w:t>
            </w:r>
          </w:p>
        </w:tc>
        <w:tc>
          <w:tcPr>
            <w:tcW w:w="1361" w:type="dxa"/>
          </w:tcPr>
          <w:p w14:paraId="4F40E779" w14:textId="77777777" w:rsidR="00F61EE8" w:rsidRPr="0038317B" w:rsidRDefault="00F61EE8" w:rsidP="00E83653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361" w:type="dxa"/>
          </w:tcPr>
          <w:p w14:paraId="07FCF9D5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361" w:type="dxa"/>
          </w:tcPr>
          <w:p w14:paraId="0F0910F0" w14:textId="77777777" w:rsidR="00F61EE8" w:rsidRPr="0038317B" w:rsidRDefault="00F61EE8" w:rsidP="00E83653">
            <w:pPr>
              <w:spacing w:line="360" w:lineRule="auto"/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</w:pPr>
            <w:r w:rsidRPr="0038317B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  <w:r w:rsidRPr="0038317B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3</w:t>
            </w:r>
          </w:p>
        </w:tc>
      </w:tr>
    </w:tbl>
    <w:p w14:paraId="2248B117" w14:textId="77777777" w:rsidR="00F61EE8" w:rsidRPr="0038317B" w:rsidRDefault="00F61EE8" w:rsidP="00F61EE8">
      <w:pPr>
        <w:spacing w:after="0" w:line="360" w:lineRule="auto"/>
        <w:rPr>
          <w:rFonts w:ascii="Arial" w:hAnsi="Arial" w:cs="Arial"/>
          <w:color w:val="000000"/>
          <w:sz w:val="20"/>
          <w:lang w:val="en-GB"/>
        </w:rPr>
      </w:pPr>
    </w:p>
    <w:p w14:paraId="59BE7EF8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 w:rsidRPr="0038317B">
        <w:rPr>
          <w:rFonts w:ascii="Segoe UI" w:hAnsi="Segoe UI" w:cs="Segoe UI"/>
          <w:i/>
          <w:sz w:val="16"/>
          <w:szCs w:val="16"/>
          <w:lang w:val="en-GB"/>
        </w:rPr>
        <w:t>Abbreviations: LMWH = Low Molecular Weight Heparin, IU=international units, GP = general practitioner, CRP = C-reactive protein.</w:t>
      </w:r>
    </w:p>
    <w:p w14:paraId="7C19D219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 w:rsidRPr="0038317B">
        <w:rPr>
          <w:rFonts w:ascii="Segoe UI" w:hAnsi="Segoe UI" w:cs="Segoe UI"/>
          <w:i/>
          <w:sz w:val="16"/>
          <w:szCs w:val="16"/>
          <w:vertAlign w:val="superscript"/>
          <w:lang w:val="en-GB"/>
        </w:rPr>
        <w:t>1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UT-1</w:t>
      </w:r>
      <w:r>
        <w:rPr>
          <w:rFonts w:ascii="Segoe UI" w:hAnsi="Segoe UI" w:cs="Segoe UI"/>
          <w:i/>
          <w:sz w:val="16"/>
          <w:szCs w:val="16"/>
          <w:lang w:val="en-GB"/>
        </w:rPr>
        <w:t xml:space="preserve"> 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= non-frail patients who would otherwise have been treated in-hospital</w:t>
      </w:r>
      <w:r>
        <w:rPr>
          <w:rFonts w:ascii="Segoe UI" w:hAnsi="Segoe UI" w:cs="Segoe UI"/>
          <w:i/>
          <w:sz w:val="16"/>
          <w:szCs w:val="16"/>
          <w:lang w:val="en-GB"/>
        </w:rPr>
        <w:t xml:space="preserve">, 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UT-2</w:t>
      </w:r>
      <w:r>
        <w:rPr>
          <w:rFonts w:ascii="Segoe UI" w:hAnsi="Segoe UI" w:cs="Segoe UI"/>
          <w:i/>
          <w:sz w:val="16"/>
          <w:szCs w:val="16"/>
          <w:lang w:val="en-GB"/>
        </w:rPr>
        <w:t xml:space="preserve"> 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= frail patient wanting to remain at home</w:t>
      </w:r>
      <w:r>
        <w:rPr>
          <w:rFonts w:ascii="Segoe UI" w:hAnsi="Segoe UI" w:cs="Segoe UI"/>
          <w:i/>
          <w:sz w:val="16"/>
          <w:szCs w:val="16"/>
          <w:lang w:val="en-GB"/>
        </w:rPr>
        <w:t>.</w:t>
      </w:r>
    </w:p>
    <w:p w14:paraId="059DF967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Cs/>
          <w:sz w:val="16"/>
          <w:szCs w:val="16"/>
          <w:lang w:val="en-GB"/>
        </w:rPr>
      </w:pPr>
      <w:r w:rsidRPr="0038317B">
        <w:rPr>
          <w:rFonts w:ascii="Segoe UI" w:hAnsi="Segoe UI" w:cs="Segoe UI"/>
          <w:iCs/>
          <w:sz w:val="16"/>
          <w:szCs w:val="16"/>
          <w:vertAlign w:val="superscript"/>
          <w:lang w:val="en-GB"/>
        </w:rPr>
        <w:t>2</w:t>
      </w:r>
      <w:r w:rsidRPr="0038317B">
        <w:rPr>
          <w:rFonts w:ascii="Segoe UI" w:hAnsi="Segoe UI" w:cs="Segoe UI"/>
          <w:iCs/>
          <w:sz w:val="16"/>
          <w:szCs w:val="16"/>
          <w:lang w:val="en-GB"/>
        </w:rPr>
        <w:t xml:space="preserve">Protocol was amended after a trial period; glucose checks were only recommended in case of pre-existing diabetes hereafter. </w:t>
      </w:r>
    </w:p>
    <w:p w14:paraId="1875A2B0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Cs/>
          <w:sz w:val="16"/>
          <w:szCs w:val="16"/>
          <w:lang w:val="en-GB"/>
        </w:rPr>
      </w:pPr>
      <w:r w:rsidRPr="0038317B">
        <w:rPr>
          <w:rFonts w:ascii="Segoe UI" w:hAnsi="Segoe UI" w:cs="Segoe UI"/>
          <w:iCs/>
          <w:sz w:val="16"/>
          <w:szCs w:val="16"/>
          <w:vertAlign w:val="superscript"/>
          <w:lang w:val="en-GB"/>
        </w:rPr>
        <w:t>3</w:t>
      </w:r>
      <w:r w:rsidRPr="0038317B">
        <w:rPr>
          <w:rFonts w:ascii="Segoe UI" w:hAnsi="Segoe UI" w:cs="Segoe UI"/>
          <w:iCs/>
          <w:sz w:val="16"/>
          <w:szCs w:val="16"/>
          <w:lang w:val="en-GB"/>
        </w:rPr>
        <w:t>Only recommended in case if strong suspicion of bacterial superinfection.</w:t>
      </w:r>
    </w:p>
    <w:p w14:paraId="73EEEB3D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20"/>
          <w:lang w:val="en-GB"/>
        </w:rPr>
      </w:pPr>
    </w:p>
    <w:p w14:paraId="2FC370EE" w14:textId="136DF620" w:rsidR="00F61EE8" w:rsidRPr="00122E2D" w:rsidRDefault="00F61EE8" w:rsidP="00F61EE8">
      <w:pPr>
        <w:rPr>
          <w:rFonts w:ascii="Arial" w:hAnsi="Arial" w:cs="Arial"/>
          <w:lang w:val="en-GB"/>
        </w:rPr>
      </w:pPr>
      <w:r w:rsidRPr="0038317B">
        <w:rPr>
          <w:rFonts w:ascii="Arial" w:hAnsi="Arial" w:cs="Arial"/>
          <w:sz w:val="20"/>
          <w:lang w:val="en-GB"/>
        </w:rPr>
        <w:br w:type="page"/>
      </w:r>
      <w:r w:rsidRPr="00122E2D">
        <w:rPr>
          <w:rFonts w:ascii="Arial" w:hAnsi="Arial" w:cs="Arial"/>
          <w:lang w:val="en-GB"/>
        </w:rPr>
        <w:lastRenderedPageBreak/>
        <w:t xml:space="preserve">Supplementary table </w:t>
      </w:r>
      <w:r w:rsidR="00AA4D2F" w:rsidRPr="00122E2D">
        <w:rPr>
          <w:rFonts w:ascii="Arial" w:hAnsi="Arial" w:cs="Arial"/>
          <w:lang w:val="en-GB"/>
        </w:rPr>
        <w:t>4</w:t>
      </w:r>
      <w:r w:rsidRPr="00122E2D">
        <w:rPr>
          <w:rFonts w:ascii="Arial" w:hAnsi="Arial" w:cs="Arial"/>
          <w:lang w:val="en-GB"/>
        </w:rPr>
        <w:t>: overview of the GP’s role and workload</w:t>
      </w:r>
      <w:r w:rsidR="00122E2D" w:rsidRPr="00122E2D">
        <w:rPr>
          <w:rFonts w:ascii="Arial" w:hAnsi="Arial" w:cs="Arial"/>
          <w:lang w:val="en-GB"/>
        </w:rPr>
        <w:t>.</w:t>
      </w:r>
    </w:p>
    <w:tbl>
      <w:tblPr>
        <w:tblStyle w:val="TableGrid"/>
        <w:tblpPr w:leftFromText="141" w:rightFromText="141" w:vertAnchor="text" w:horzAnchor="margin" w:tblpY="263"/>
        <w:tblW w:w="9493" w:type="dxa"/>
        <w:tblLook w:val="04A0" w:firstRow="1" w:lastRow="0" w:firstColumn="1" w:lastColumn="0" w:noHBand="0" w:noVBand="1"/>
      </w:tblPr>
      <w:tblGrid>
        <w:gridCol w:w="277"/>
        <w:gridCol w:w="2605"/>
        <w:gridCol w:w="1525"/>
        <w:gridCol w:w="1242"/>
        <w:gridCol w:w="1318"/>
        <w:gridCol w:w="1251"/>
        <w:gridCol w:w="1275"/>
      </w:tblGrid>
      <w:tr w:rsidR="00F61EE8" w:rsidRPr="00122E2D" w14:paraId="08083C1C" w14:textId="77777777" w:rsidTr="00E83653">
        <w:trPr>
          <w:trHeight w:val="284"/>
        </w:trPr>
        <w:tc>
          <w:tcPr>
            <w:tcW w:w="2882" w:type="dxa"/>
            <w:gridSpan w:val="2"/>
          </w:tcPr>
          <w:p w14:paraId="77D03858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525" w:type="dxa"/>
          </w:tcPr>
          <w:p w14:paraId="0A0E78AA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JB</w:t>
            </w:r>
          </w:p>
        </w:tc>
        <w:tc>
          <w:tcPr>
            <w:tcW w:w="1242" w:type="dxa"/>
          </w:tcPr>
          <w:p w14:paraId="6837CC6D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WH</w:t>
            </w:r>
          </w:p>
        </w:tc>
        <w:tc>
          <w:tcPr>
            <w:tcW w:w="1318" w:type="dxa"/>
          </w:tcPr>
          <w:p w14:paraId="3FAA540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AS </w:t>
            </w:r>
          </w:p>
        </w:tc>
        <w:tc>
          <w:tcPr>
            <w:tcW w:w="1251" w:type="dxa"/>
          </w:tcPr>
          <w:p w14:paraId="04676A7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UT-1</w:t>
            </w:r>
            <w:r w:rsidRPr="00122E2D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275" w:type="dxa"/>
          </w:tcPr>
          <w:p w14:paraId="0E6D093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UT-2</w:t>
            </w:r>
            <w:r w:rsidRPr="00122E2D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F61EE8" w:rsidRPr="00122E2D" w14:paraId="72CE331C" w14:textId="77777777" w:rsidTr="00E83653">
        <w:trPr>
          <w:trHeight w:val="284"/>
        </w:trPr>
        <w:tc>
          <w:tcPr>
            <w:tcW w:w="2882" w:type="dxa"/>
            <w:gridSpan w:val="2"/>
          </w:tcPr>
          <w:p w14:paraId="3EF6B492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GP responsible for eligibility screening of patients </w:t>
            </w:r>
          </w:p>
        </w:tc>
        <w:tc>
          <w:tcPr>
            <w:tcW w:w="1525" w:type="dxa"/>
          </w:tcPr>
          <w:p w14:paraId="197A19E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  <w:p w14:paraId="7C41B7F1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242" w:type="dxa"/>
          </w:tcPr>
          <w:p w14:paraId="003A9BC1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  <w:p w14:paraId="6375F0A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318" w:type="dxa"/>
          </w:tcPr>
          <w:p w14:paraId="3E9F64E8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51" w:type="dxa"/>
          </w:tcPr>
          <w:p w14:paraId="03EEFFC3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5" w:type="dxa"/>
          </w:tcPr>
          <w:p w14:paraId="02D68966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  <w:p w14:paraId="7B61D250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</w:tr>
      <w:tr w:rsidR="00F61EE8" w:rsidRPr="00122E2D" w14:paraId="775F9784" w14:textId="77777777" w:rsidTr="00E83653">
        <w:trPr>
          <w:trHeight w:val="284"/>
        </w:trPr>
        <w:tc>
          <w:tcPr>
            <w:tcW w:w="2882" w:type="dxa"/>
            <w:gridSpan w:val="2"/>
          </w:tcPr>
          <w:p w14:paraId="6B8BA73D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GP is the medically responsible and supervises monitoring centre’s staff</w:t>
            </w:r>
          </w:p>
        </w:tc>
        <w:tc>
          <w:tcPr>
            <w:tcW w:w="1525" w:type="dxa"/>
          </w:tcPr>
          <w:p w14:paraId="679BC8EB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42" w:type="dxa"/>
          </w:tcPr>
          <w:p w14:paraId="5E77BFA7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18" w:type="dxa"/>
          </w:tcPr>
          <w:p w14:paraId="3300532B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51" w:type="dxa"/>
          </w:tcPr>
          <w:p w14:paraId="2E8368D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5" w:type="dxa"/>
          </w:tcPr>
          <w:p w14:paraId="025AFB19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</w:tr>
      <w:tr w:rsidR="00F61EE8" w:rsidRPr="00F305CA" w14:paraId="07A37865" w14:textId="77777777" w:rsidTr="00E83653">
        <w:trPr>
          <w:trHeight w:val="284"/>
        </w:trPr>
        <w:tc>
          <w:tcPr>
            <w:tcW w:w="2882" w:type="dxa"/>
            <w:gridSpan w:val="2"/>
          </w:tcPr>
          <w:p w14:paraId="29448DF4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Protocolized patient contacts by GP</w:t>
            </w:r>
          </w:p>
        </w:tc>
        <w:tc>
          <w:tcPr>
            <w:tcW w:w="6611" w:type="dxa"/>
            <w:gridSpan w:val="5"/>
          </w:tcPr>
          <w:p w14:paraId="4606A2E1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</w:tr>
      <w:tr w:rsidR="00F61EE8" w:rsidRPr="00122E2D" w14:paraId="3DB077CD" w14:textId="77777777" w:rsidTr="00E83653">
        <w:trPr>
          <w:trHeight w:val="284"/>
        </w:trPr>
        <w:tc>
          <w:tcPr>
            <w:tcW w:w="276" w:type="dxa"/>
          </w:tcPr>
          <w:p w14:paraId="254E6853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2606" w:type="dxa"/>
          </w:tcPr>
          <w:p w14:paraId="4C050361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Home visits</w:t>
            </w:r>
          </w:p>
        </w:tc>
        <w:tc>
          <w:tcPr>
            <w:tcW w:w="1525" w:type="dxa"/>
          </w:tcPr>
          <w:p w14:paraId="775F8829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Day 1</w:t>
            </w:r>
          </w:p>
        </w:tc>
        <w:tc>
          <w:tcPr>
            <w:tcW w:w="1242" w:type="dxa"/>
          </w:tcPr>
          <w:p w14:paraId="26F78AA0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Daily</w:t>
            </w:r>
            <w:r w:rsidRPr="00122E2D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318" w:type="dxa"/>
          </w:tcPr>
          <w:p w14:paraId="018DEE2D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  <w:tc>
          <w:tcPr>
            <w:tcW w:w="1251" w:type="dxa"/>
          </w:tcPr>
          <w:p w14:paraId="3CF6E3DA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  <w:tc>
          <w:tcPr>
            <w:tcW w:w="1275" w:type="dxa"/>
          </w:tcPr>
          <w:p w14:paraId="6690022D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</w:tr>
      <w:tr w:rsidR="00F61EE8" w:rsidRPr="00122E2D" w14:paraId="356621BB" w14:textId="77777777" w:rsidTr="00E83653">
        <w:trPr>
          <w:trHeight w:val="284"/>
        </w:trPr>
        <w:tc>
          <w:tcPr>
            <w:tcW w:w="276" w:type="dxa"/>
          </w:tcPr>
          <w:p w14:paraId="35F0CC30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2606" w:type="dxa"/>
          </w:tcPr>
          <w:p w14:paraId="71D629AC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By phone</w:t>
            </w:r>
          </w:p>
        </w:tc>
        <w:tc>
          <w:tcPr>
            <w:tcW w:w="1525" w:type="dxa"/>
          </w:tcPr>
          <w:p w14:paraId="40099C54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Daily thereafter</w:t>
            </w:r>
          </w:p>
        </w:tc>
        <w:tc>
          <w:tcPr>
            <w:tcW w:w="1242" w:type="dxa"/>
          </w:tcPr>
          <w:p w14:paraId="4BBF0B45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  <w:tc>
          <w:tcPr>
            <w:tcW w:w="1318" w:type="dxa"/>
          </w:tcPr>
          <w:p w14:paraId="7B203E37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  <w:tc>
          <w:tcPr>
            <w:tcW w:w="1251" w:type="dxa"/>
          </w:tcPr>
          <w:p w14:paraId="1EFFB041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  <w:tc>
          <w:tcPr>
            <w:tcW w:w="1275" w:type="dxa"/>
          </w:tcPr>
          <w:p w14:paraId="52197339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-</w:t>
            </w:r>
          </w:p>
        </w:tc>
      </w:tr>
      <w:tr w:rsidR="00F61EE8" w:rsidRPr="00F305CA" w14:paraId="77886AC5" w14:textId="77777777" w:rsidTr="00E83653">
        <w:trPr>
          <w:trHeight w:val="284"/>
        </w:trPr>
        <w:tc>
          <w:tcPr>
            <w:tcW w:w="2882" w:type="dxa"/>
            <w:gridSpan w:val="2"/>
          </w:tcPr>
          <w:p w14:paraId="2A28DC79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Review of vital signs by GP</w:t>
            </w:r>
          </w:p>
        </w:tc>
        <w:tc>
          <w:tcPr>
            <w:tcW w:w="6611" w:type="dxa"/>
            <w:gridSpan w:val="5"/>
          </w:tcPr>
          <w:p w14:paraId="7C9EEA1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</w:tr>
      <w:tr w:rsidR="00F61EE8" w:rsidRPr="00122E2D" w14:paraId="1669A6E2" w14:textId="77777777" w:rsidTr="00E83653">
        <w:trPr>
          <w:trHeight w:val="284"/>
        </w:trPr>
        <w:tc>
          <w:tcPr>
            <w:tcW w:w="276" w:type="dxa"/>
          </w:tcPr>
          <w:p w14:paraId="4774FABB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2606" w:type="dxa"/>
          </w:tcPr>
          <w:p w14:paraId="6DC3B8D0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Daily with app</w:t>
            </w:r>
          </w:p>
        </w:tc>
        <w:tc>
          <w:tcPr>
            <w:tcW w:w="1525" w:type="dxa"/>
          </w:tcPr>
          <w:p w14:paraId="0895FE73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42" w:type="dxa"/>
          </w:tcPr>
          <w:p w14:paraId="7D4F310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18" w:type="dxa"/>
          </w:tcPr>
          <w:p w14:paraId="6219D787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51" w:type="dxa"/>
          </w:tcPr>
          <w:p w14:paraId="146E302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5" w:type="dxa"/>
          </w:tcPr>
          <w:p w14:paraId="623B4241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</w:tr>
      <w:tr w:rsidR="00F61EE8" w:rsidRPr="00F305CA" w14:paraId="749FEF4C" w14:textId="77777777" w:rsidTr="00E83653">
        <w:trPr>
          <w:trHeight w:val="284"/>
        </w:trPr>
        <w:tc>
          <w:tcPr>
            <w:tcW w:w="2882" w:type="dxa"/>
            <w:gridSpan w:val="2"/>
          </w:tcPr>
          <w:p w14:paraId="6E33FBD3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Organization of logistics by GP</w:t>
            </w:r>
          </w:p>
        </w:tc>
        <w:tc>
          <w:tcPr>
            <w:tcW w:w="1525" w:type="dxa"/>
          </w:tcPr>
          <w:p w14:paraId="5B50B1A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242" w:type="dxa"/>
          </w:tcPr>
          <w:p w14:paraId="41BD4CE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318" w:type="dxa"/>
          </w:tcPr>
          <w:p w14:paraId="163D35C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251" w:type="dxa"/>
          </w:tcPr>
          <w:p w14:paraId="4545F687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14:paraId="280F78F4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</w:tr>
      <w:tr w:rsidR="00F61EE8" w:rsidRPr="00122E2D" w14:paraId="23CACFD9" w14:textId="77777777" w:rsidTr="00E83653">
        <w:trPr>
          <w:trHeight w:val="284"/>
        </w:trPr>
        <w:tc>
          <w:tcPr>
            <w:tcW w:w="276" w:type="dxa"/>
          </w:tcPr>
          <w:p w14:paraId="36AC1B77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2606" w:type="dxa"/>
          </w:tcPr>
          <w:p w14:paraId="03A66A98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GP responsible for providing patient’s information to </w:t>
            </w:r>
            <w:proofErr w:type="gramStart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the  general</w:t>
            </w:r>
            <w:proofErr w:type="gramEnd"/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 xml:space="preserve"> out-of-hours GP centre</w:t>
            </w:r>
          </w:p>
        </w:tc>
        <w:tc>
          <w:tcPr>
            <w:tcW w:w="1525" w:type="dxa"/>
          </w:tcPr>
          <w:p w14:paraId="2253EBD6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42" w:type="dxa"/>
          </w:tcPr>
          <w:p w14:paraId="088B4770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18" w:type="dxa"/>
          </w:tcPr>
          <w:p w14:paraId="62404D3B" w14:textId="77777777" w:rsidR="00F61EE8" w:rsidRPr="00122E2D" w:rsidDel="00C00D3B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N/A</w:t>
            </w:r>
            <w:r w:rsidRPr="00122E2D">
              <w:rPr>
                <w:rFonts w:ascii="Segoe UI" w:hAnsi="Segoe UI" w:cs="Segoe UI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251" w:type="dxa"/>
          </w:tcPr>
          <w:p w14:paraId="57DFBD74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5" w:type="dxa"/>
          </w:tcPr>
          <w:p w14:paraId="3D73EFFF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</w:tr>
      <w:tr w:rsidR="00F61EE8" w:rsidRPr="00122E2D" w14:paraId="1A2E23BB" w14:textId="77777777" w:rsidTr="00E83653">
        <w:trPr>
          <w:trHeight w:val="284"/>
        </w:trPr>
        <w:tc>
          <w:tcPr>
            <w:tcW w:w="276" w:type="dxa"/>
          </w:tcPr>
          <w:p w14:paraId="369472E0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</w:p>
        </w:tc>
        <w:tc>
          <w:tcPr>
            <w:tcW w:w="2606" w:type="dxa"/>
          </w:tcPr>
          <w:p w14:paraId="7807DA4E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O2 delivery</w:t>
            </w:r>
          </w:p>
        </w:tc>
        <w:tc>
          <w:tcPr>
            <w:tcW w:w="1525" w:type="dxa"/>
          </w:tcPr>
          <w:p w14:paraId="604EE7DB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42" w:type="dxa"/>
          </w:tcPr>
          <w:p w14:paraId="4E21B0C6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318" w:type="dxa"/>
          </w:tcPr>
          <w:p w14:paraId="7D876B33" w14:textId="77777777" w:rsidR="00F61EE8" w:rsidRPr="00122E2D" w:rsidDel="00C00D3B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51" w:type="dxa"/>
          </w:tcPr>
          <w:p w14:paraId="4F288A79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5" w:type="dxa"/>
          </w:tcPr>
          <w:p w14:paraId="6155230A" w14:textId="77777777" w:rsidR="00F61EE8" w:rsidRPr="00122E2D" w:rsidRDefault="00F61EE8" w:rsidP="00122E2D">
            <w:pPr>
              <w:spacing w:line="360" w:lineRule="auto"/>
              <w:contextualSpacing/>
              <w:rPr>
                <w:rFonts w:ascii="Segoe UI" w:hAnsi="Segoe UI" w:cs="Segoe UI"/>
                <w:sz w:val="16"/>
                <w:szCs w:val="16"/>
                <w:lang w:val="en-GB"/>
              </w:rPr>
            </w:pPr>
            <w:r w:rsidRPr="00122E2D">
              <w:rPr>
                <w:rFonts w:ascii="Segoe UI" w:hAnsi="Segoe UI" w:cs="Segoe UI"/>
                <w:sz w:val="16"/>
                <w:szCs w:val="16"/>
                <w:lang w:val="en-GB"/>
              </w:rPr>
              <w:t>No</w:t>
            </w:r>
          </w:p>
        </w:tc>
      </w:tr>
    </w:tbl>
    <w:p w14:paraId="771D8264" w14:textId="77777777" w:rsidR="00F61EE8" w:rsidRPr="00122E2D" w:rsidRDefault="00F61EE8" w:rsidP="00122E2D">
      <w:pPr>
        <w:spacing w:line="360" w:lineRule="auto"/>
        <w:contextualSpacing/>
        <w:rPr>
          <w:rFonts w:ascii="Segoe UI" w:hAnsi="Segoe UI" w:cs="Segoe UI"/>
          <w:sz w:val="16"/>
          <w:szCs w:val="16"/>
          <w:lang w:val="en-GB"/>
        </w:rPr>
      </w:pPr>
    </w:p>
    <w:p w14:paraId="42201EC7" w14:textId="77777777" w:rsidR="00F61EE8" w:rsidRPr="0038317B" w:rsidRDefault="00F61EE8" w:rsidP="00F61EE8">
      <w:pPr>
        <w:spacing w:after="0" w:line="360" w:lineRule="auto"/>
        <w:rPr>
          <w:rFonts w:ascii="Arial" w:hAnsi="Arial" w:cs="Arial"/>
          <w:lang w:val="en-GB"/>
        </w:rPr>
      </w:pPr>
    </w:p>
    <w:p w14:paraId="65499A39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 w:rsidRPr="0038317B">
        <w:rPr>
          <w:rFonts w:ascii="Segoe UI" w:hAnsi="Segoe UI" w:cs="Segoe UI"/>
          <w:i/>
          <w:sz w:val="16"/>
          <w:szCs w:val="16"/>
          <w:lang w:val="en-GB"/>
        </w:rPr>
        <w:t>Abbreviations: GP = general practitioner, App = application, N/A = not applicable.</w:t>
      </w:r>
    </w:p>
    <w:p w14:paraId="53AE660E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 w:rsidRPr="0038317B">
        <w:rPr>
          <w:rFonts w:ascii="Segoe UI" w:hAnsi="Segoe UI" w:cs="Segoe UI"/>
          <w:i/>
          <w:sz w:val="16"/>
          <w:szCs w:val="16"/>
          <w:vertAlign w:val="superscript"/>
          <w:lang w:val="en-GB"/>
        </w:rPr>
        <w:t>1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UT-2= frail patient wanting to remain at home, UT-1= non-frail patients who would otherwise have been treated in-hospital.</w:t>
      </w:r>
    </w:p>
    <w:p w14:paraId="648E0FC2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 w:rsidRPr="0038317B">
        <w:rPr>
          <w:rFonts w:ascii="Segoe UI" w:hAnsi="Segoe UI" w:cs="Segoe UI"/>
          <w:i/>
          <w:sz w:val="16"/>
          <w:szCs w:val="16"/>
          <w:vertAlign w:val="superscript"/>
          <w:lang w:val="en-GB"/>
        </w:rPr>
        <w:t>2</w:t>
      </w:r>
      <w:r>
        <w:rPr>
          <w:rFonts w:ascii="Segoe UI" w:hAnsi="Segoe UI" w:cs="Segoe UI"/>
          <w:i/>
          <w:sz w:val="16"/>
          <w:szCs w:val="16"/>
          <w:lang w:val="en-GB"/>
        </w:rPr>
        <w:t xml:space="preserve">In practice, GPs sometimes decided to follow-up patient by </w:t>
      </w:r>
      <w:proofErr w:type="gramStart"/>
      <w:r>
        <w:rPr>
          <w:rFonts w:ascii="Segoe UI" w:hAnsi="Segoe UI" w:cs="Segoe UI"/>
          <w:i/>
          <w:sz w:val="16"/>
          <w:szCs w:val="16"/>
          <w:lang w:val="en-GB"/>
        </w:rPr>
        <w:t>phone</w:t>
      </w:r>
      <w:proofErr w:type="gramEnd"/>
    </w:p>
    <w:p w14:paraId="38FF7C2A" w14:textId="77777777" w:rsidR="00F61EE8" w:rsidRPr="0038317B" w:rsidRDefault="00F61EE8" w:rsidP="00F61EE8">
      <w:pPr>
        <w:spacing w:after="0" w:line="360" w:lineRule="auto"/>
        <w:rPr>
          <w:rFonts w:ascii="Segoe UI" w:hAnsi="Segoe UI" w:cs="Segoe UI"/>
          <w:i/>
          <w:sz w:val="16"/>
          <w:szCs w:val="16"/>
          <w:lang w:val="en-GB"/>
        </w:rPr>
      </w:pPr>
      <w:r>
        <w:rPr>
          <w:rFonts w:ascii="Segoe UI" w:hAnsi="Segoe UI" w:cs="Segoe UI"/>
          <w:i/>
          <w:sz w:val="16"/>
          <w:szCs w:val="16"/>
          <w:vertAlign w:val="superscript"/>
          <w:lang w:val="en-GB"/>
        </w:rPr>
        <w:t>3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Patie</w:t>
      </w:r>
      <w:r>
        <w:rPr>
          <w:rFonts w:ascii="Segoe UI" w:hAnsi="Segoe UI" w:cs="Segoe UI"/>
          <w:i/>
          <w:sz w:val="16"/>
          <w:szCs w:val="16"/>
          <w:lang w:val="en-GB"/>
        </w:rPr>
        <w:t>n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ts were instructed to call the hospital directly in case of questions, instead of the out-of-hours GP cent</w:t>
      </w:r>
      <w:r>
        <w:rPr>
          <w:rFonts w:ascii="Segoe UI" w:hAnsi="Segoe UI" w:cs="Segoe UI"/>
          <w:i/>
          <w:sz w:val="16"/>
          <w:szCs w:val="16"/>
          <w:lang w:val="en-GB"/>
        </w:rPr>
        <w:t>re</w:t>
      </w:r>
      <w:r w:rsidRPr="0038317B">
        <w:rPr>
          <w:rFonts w:ascii="Segoe UI" w:hAnsi="Segoe UI" w:cs="Segoe UI"/>
          <w:i/>
          <w:sz w:val="16"/>
          <w:szCs w:val="16"/>
          <w:lang w:val="en-GB"/>
        </w:rPr>
        <w:t>.</w:t>
      </w:r>
    </w:p>
    <w:p w14:paraId="0480FB8E" w14:textId="59600D72" w:rsidR="007F35FF" w:rsidRPr="00F61EE8" w:rsidRDefault="007F35FF">
      <w:pPr>
        <w:rPr>
          <w:rFonts w:ascii="Segoe UI" w:hAnsi="Segoe UI" w:cs="Segoe UI"/>
          <w:sz w:val="16"/>
          <w:szCs w:val="16"/>
          <w:lang w:val="en-GB"/>
        </w:rPr>
      </w:pPr>
    </w:p>
    <w:sectPr w:rsidR="007F35FF" w:rsidRPr="00F61E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E8"/>
    <w:rsid w:val="00055E66"/>
    <w:rsid w:val="000752B4"/>
    <w:rsid w:val="000A164E"/>
    <w:rsid w:val="00112F9C"/>
    <w:rsid w:val="00122E2D"/>
    <w:rsid w:val="00147543"/>
    <w:rsid w:val="001808E9"/>
    <w:rsid w:val="0018648F"/>
    <w:rsid w:val="001B09DF"/>
    <w:rsid w:val="00211E7E"/>
    <w:rsid w:val="00234CD9"/>
    <w:rsid w:val="00297904"/>
    <w:rsid w:val="003E12B0"/>
    <w:rsid w:val="003F2233"/>
    <w:rsid w:val="0041686B"/>
    <w:rsid w:val="004604FE"/>
    <w:rsid w:val="00460836"/>
    <w:rsid w:val="00474E0C"/>
    <w:rsid w:val="004A0F21"/>
    <w:rsid w:val="00506048"/>
    <w:rsid w:val="005E09EE"/>
    <w:rsid w:val="0068406A"/>
    <w:rsid w:val="00695989"/>
    <w:rsid w:val="006D0D7A"/>
    <w:rsid w:val="00755F89"/>
    <w:rsid w:val="007876BE"/>
    <w:rsid w:val="007B1862"/>
    <w:rsid w:val="007E5391"/>
    <w:rsid w:val="007F35FF"/>
    <w:rsid w:val="00842670"/>
    <w:rsid w:val="00924795"/>
    <w:rsid w:val="0096513E"/>
    <w:rsid w:val="009C187F"/>
    <w:rsid w:val="009C50EF"/>
    <w:rsid w:val="00AA4D2F"/>
    <w:rsid w:val="00B077C2"/>
    <w:rsid w:val="00B8069E"/>
    <w:rsid w:val="00BA421A"/>
    <w:rsid w:val="00C84844"/>
    <w:rsid w:val="00CB1610"/>
    <w:rsid w:val="00CC4C46"/>
    <w:rsid w:val="00CF20CC"/>
    <w:rsid w:val="00E35807"/>
    <w:rsid w:val="00EE7183"/>
    <w:rsid w:val="00F03159"/>
    <w:rsid w:val="00F305CA"/>
    <w:rsid w:val="00F52347"/>
    <w:rsid w:val="00F57ED2"/>
    <w:rsid w:val="00F61EE8"/>
    <w:rsid w:val="00FC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295A65"/>
  <w15:chartTrackingRefBased/>
  <w15:docId w15:val="{F185C08F-888E-DA45-9AAE-3F12EA42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EE8"/>
    <w:pPr>
      <w:spacing w:after="160" w:line="259" w:lineRule="auto"/>
    </w:pPr>
    <w:rPr>
      <w:kern w:val="0"/>
      <w:sz w:val="22"/>
      <w:szCs w:val="22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EE8"/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Boeijen, J.A. (Josi)</dc:creator>
  <cp:keywords/>
  <dc:description/>
  <cp:lastModifiedBy>Boeijen, J.A. (Josi)</cp:lastModifiedBy>
  <cp:revision>8</cp:revision>
  <dcterms:created xsi:type="dcterms:W3CDTF">2023-09-28T12:57:00Z</dcterms:created>
  <dcterms:modified xsi:type="dcterms:W3CDTF">2023-10-04T11:33:00Z</dcterms:modified>
</cp:coreProperties>
</file>