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Supplementary File 4: Factors associated with eHealth readiness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Supplementary Table 1</w:t>
      </w:r>
      <w:r w:rsidDel="00000000" w:rsidR="00000000" w:rsidRPr="00000000">
        <w:rPr>
          <w:sz w:val="24"/>
          <w:szCs w:val="24"/>
          <w:rtl w:val="0"/>
        </w:rPr>
        <w:t xml:space="preserve"> Factors associated with eHealth readiness (Bivariate analysis: categorical variables sum ranks)</w:t>
      </w:r>
    </w:p>
    <w:tbl>
      <w:tblPr>
        <w:tblStyle w:val="Table1"/>
        <w:tblW w:w="10456.0" w:type="dxa"/>
        <w:jc w:val="center"/>
        <w:tblLayout w:type="fixed"/>
        <w:tblLook w:val="0400"/>
      </w:tblPr>
      <w:tblGrid>
        <w:gridCol w:w="3047"/>
        <w:gridCol w:w="1168"/>
        <w:gridCol w:w="1173"/>
        <w:gridCol w:w="1170"/>
        <w:gridCol w:w="1543"/>
        <w:gridCol w:w="1176"/>
        <w:gridCol w:w="1179"/>
        <w:tblGridChange w:id="0">
          <w:tblGrid>
            <w:gridCol w:w="3047"/>
            <w:gridCol w:w="1168"/>
            <w:gridCol w:w="1173"/>
            <w:gridCol w:w="1170"/>
            <w:gridCol w:w="1543"/>
            <w:gridCol w:w="1176"/>
            <w:gridCol w:w="1179"/>
          </w:tblGrid>
        </w:tblGridChange>
      </w:tblGrid>
      <w:tr>
        <w:trPr>
          <w:cantSplit w:val="0"/>
          <w:trHeight w:val="10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Core Readiness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Societal Readiness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Policy Readiness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Technological Readiness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Learning Readiness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 Readiness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142.41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146.58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141.49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16.64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118.42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143.51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128.93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128.18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128.56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14.48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116.18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128.74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Employment status at the respective PHC center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full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125.01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126.19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125.53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110.93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125.27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part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136.66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134.40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134.18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136.16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0.265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HCP vs Managers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HCP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132.73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133.72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132.38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117.00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131.13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121.64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113.69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120.00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134.45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0.824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Education 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Diploma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51.15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59.01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48.53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46.00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50.72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Bachelor’s 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49.67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50.12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62.26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50.89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53.69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64.40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55.58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61.10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58.45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62.90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Occupation  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Doctor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109.79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102.65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109.86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94.79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112.90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Pharmacist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116.18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109.59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103.43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105.11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135.80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128.03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133.30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114.37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132.05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Lab technician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103.58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108.32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112.17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92.95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102.82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Administration/Finance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136.63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140.07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129.82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126.79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137.79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Midwife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162.43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154.61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159.11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138.85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164.11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Vaccination technician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117.79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139.00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122.71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93.21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119.14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Nutritionist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76.75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115.08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142.50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103.42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99.25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0.038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Doctors’ classification 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General Practitioner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22.18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20.82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21.79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20.65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Registrar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22.61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23.82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25.58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25.44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Specialist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26.63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27.69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22.25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21.00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24.13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0.429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PHC center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Abo Halima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90.88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122.25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127.83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28.50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72.67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111.50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A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Abo Sea'ed Q14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157.95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138.00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158.25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143.22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153.45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Abo Talal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127.25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131.33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150.33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116.70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146.50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8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Al-Ezeergab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140.80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151.60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188.80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134.44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158.45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Al-Bank Al-Agary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151.00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129.56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163.22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21.00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124.75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154.00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Al-Tigany Hilal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73.71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52.21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81.86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46.75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60.29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D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Al-Terais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124.81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135.19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27.00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86.14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108.81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Al-Halfaya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162.39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137.17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158.39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111.75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152.94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Al-Khatmeia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142.39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125.39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125.11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125.13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140.22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Al-Doroshab Wasat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170.58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149.25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156.58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159.40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164.42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Al-Rimaila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143.13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141.63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142.75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129.07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147.88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Al-Riyadh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91.05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67.80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56.25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63.89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62.35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Al-Saggay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144.39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150.33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138.28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133.13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150.72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Al-Sheikh Al-Borae'y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88.43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166.64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51.07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78.25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89.64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Al-Sababy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24.93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22.07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35.79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31.83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19.57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Al-Sahafa Gharib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63.44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131.11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99.72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65.31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80.44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Al-Alloyab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135.25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112.13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57.88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99.67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105.38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Al-Faky Hashim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150.39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103.56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99.81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134.75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114.78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Al-Gamayer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136.50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131.44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113.56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114.25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126.44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Al-Gaya'a Gharib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75.78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80.89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89.83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80.63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74.94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F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Al-Komor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140.60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139.60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120.90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132.50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135.80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Al-Maygoma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110.94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124.28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131.28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120.69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121.72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D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Al-Mogtarebeen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190.92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183.00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156.75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183.08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4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Al-Inqaz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106.40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120.00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168.80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26.00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115.13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132.40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B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Hay Al-Zuhoor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137.75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139.38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92.13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101.79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120.25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2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Soba Al-La'ota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113.39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139.00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108.06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95.44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116.28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9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Kaddi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240.10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230.70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214.40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28.50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187.00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241.80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Wawusy Al-Sheikh 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183.38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171.25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178.75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170.86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186.13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7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Om Algora Janoob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169.83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176.44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167.00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156.56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179.44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E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Al-Salamaby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159.63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151.38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150.56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138.88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156.94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5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Al-Fardoos Janoob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155.19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169.63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169.94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143.75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164.88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C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Al-Hijra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118.00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132.25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147.08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96.42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121.33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3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Hay Al-Arab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32.75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93.75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38.25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31.75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35.75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A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Shambat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160.14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151.57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151.64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152.93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163.07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Majlis Al-Wozara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168.25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155.25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169.06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167.38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176.88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8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0.000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Center type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6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10 Packages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126.12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128.81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129.42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112.43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127.69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D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Reference (More than 10 Packages)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132.17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129.33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127.43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115.13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129.16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4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Private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168.50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168.94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170.09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160.41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178.94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B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0.035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Locality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9">
            <w:pPr>
              <w:spacing w:after="0" w:line="240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Khartoum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126.41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136.01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120.72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112.83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126.11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Omdurman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123.92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122.39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131.81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16.57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105.50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123.60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7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Bahri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140.39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133.24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139.23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127.69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140.83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E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0.248</w:t>
            </w:r>
          </w:p>
        </w:tc>
      </w:tr>
    </w:tbl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color w:val="000000"/>
          <w:rtl w:val="0"/>
        </w:rPr>
        <w:t xml:space="preserve">Results for Mann-Whitney U and Kruskall-Wallis tests for binomial and polynomial group comparison, respectively. </w:t>
      </w:r>
      <w:r w:rsidDel="00000000" w:rsidR="00000000" w:rsidRPr="00000000">
        <w:rPr>
          <w:rtl w:val="0"/>
        </w:rPr>
        <w:t xml:space="preserve">N/A: Not Available.</w:t>
      </w:r>
    </w:p>
    <w:p w:rsidR="00000000" w:rsidDel="00000000" w:rsidP="00000000" w:rsidRDefault="00000000" w:rsidRPr="00000000" w14:paraId="000002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Supplementary Table 2</w:t>
      </w:r>
      <w:r w:rsidDel="00000000" w:rsidR="00000000" w:rsidRPr="00000000">
        <w:rPr>
          <w:sz w:val="24"/>
          <w:szCs w:val="24"/>
          <w:rtl w:val="0"/>
        </w:rPr>
        <w:t xml:space="preserve"> Factors associated with eHealth readiness (Bivariate analysis: numerical variables correlation)</w:t>
      </w:r>
    </w:p>
    <w:tbl>
      <w:tblPr>
        <w:tblStyle w:val="Table2"/>
        <w:tblW w:w="10456.0" w:type="dxa"/>
        <w:jc w:val="left"/>
        <w:tblLayout w:type="fixed"/>
        <w:tblLook w:val="0400"/>
      </w:tblPr>
      <w:tblGrid>
        <w:gridCol w:w="1632"/>
        <w:gridCol w:w="1294"/>
        <w:gridCol w:w="1402"/>
        <w:gridCol w:w="1346"/>
        <w:gridCol w:w="1839"/>
        <w:gridCol w:w="1435"/>
        <w:gridCol w:w="1508"/>
        <w:tblGridChange w:id="0">
          <w:tblGrid>
            <w:gridCol w:w="1632"/>
            <w:gridCol w:w="1294"/>
            <w:gridCol w:w="1402"/>
            <w:gridCol w:w="1346"/>
            <w:gridCol w:w="1839"/>
            <w:gridCol w:w="1435"/>
            <w:gridCol w:w="1508"/>
          </w:tblGrid>
        </w:tblGridChange>
      </w:tblGrid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Core Readiness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Societal Readiness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Policy Readiness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Technological Readiness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Learning Readiness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Total Readiness score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6">
            <w:pPr>
              <w:spacing w:after="0" w:line="240" w:lineRule="auto"/>
              <w:ind w:left="32" w:firstLine="0"/>
              <w:rPr/>
            </w:pPr>
            <w:r w:rsidDel="00000000" w:rsidR="00000000" w:rsidRPr="00000000">
              <w:rPr>
                <w:rtl w:val="0"/>
              </w:rPr>
              <w:t xml:space="preserve">Correlation coefficient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-0.064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-0.130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-0.070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D">
            <w:pPr>
              <w:spacing w:after="0" w:line="240" w:lineRule="auto"/>
              <w:ind w:left="32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0.294</w:t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Distance from Khartoum center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B">
            <w:pPr>
              <w:spacing w:after="0" w:line="240" w:lineRule="auto"/>
              <w:ind w:left="32" w:firstLine="0"/>
              <w:rPr/>
            </w:pPr>
            <w:r w:rsidDel="00000000" w:rsidR="00000000" w:rsidRPr="00000000">
              <w:rPr>
                <w:rtl w:val="0"/>
              </w:rPr>
              <w:t xml:space="preserve">Correlation coefficient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0.098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2">
            <w:pPr>
              <w:spacing w:after="0" w:line="240" w:lineRule="auto"/>
              <w:ind w:left="32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0.773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0.114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health packages activated in the center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0">
            <w:pPr>
              <w:spacing w:after="0" w:line="240" w:lineRule="auto"/>
              <w:ind w:left="32" w:firstLine="0"/>
              <w:rPr/>
            </w:pPr>
            <w:r w:rsidDel="00000000" w:rsidR="00000000" w:rsidRPr="00000000">
              <w:rPr>
                <w:rtl w:val="0"/>
              </w:rPr>
              <w:t xml:space="preserve">Correlation coefficient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-0.115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0.080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7">
            <w:pPr>
              <w:spacing w:after="0" w:line="240" w:lineRule="auto"/>
              <w:ind w:left="32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0.639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0.377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Overall years of expertise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Correlation coefficient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-0.257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-0.103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C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0.100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Years of expertise in the Center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Correlation coefficient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-0.012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0.852</w:t>
            </w:r>
          </w:p>
        </w:tc>
      </w:tr>
    </w:tbl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color w:val="000000"/>
          <w:rtl w:val="0"/>
        </w:rPr>
        <w:t xml:space="preserve">Results for Spearman's Rho correlation test.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Supplementary Table 3</w:t>
      </w:r>
      <w:r w:rsidDel="00000000" w:rsidR="00000000" w:rsidRPr="00000000">
        <w:rPr>
          <w:sz w:val="24"/>
          <w:szCs w:val="24"/>
          <w:rtl w:val="0"/>
        </w:rPr>
        <w:t xml:space="preserve"> Factors associated with eHealth readiness (Multivariate analysis: Standard multiple regression)</w:t>
      </w:r>
      <w:r w:rsidDel="00000000" w:rsidR="00000000" w:rsidRPr="00000000">
        <w:rPr>
          <w:rtl w:val="0"/>
        </w:rPr>
      </w:r>
    </w:p>
    <w:tbl>
      <w:tblPr>
        <w:tblStyle w:val="Table3"/>
        <w:tblW w:w="10501.000000000002" w:type="dxa"/>
        <w:jc w:val="center"/>
        <w:tblLayout w:type="fixed"/>
        <w:tblLook w:val="0400"/>
      </w:tblPr>
      <w:tblGrid>
        <w:gridCol w:w="3689"/>
        <w:gridCol w:w="1843"/>
        <w:gridCol w:w="992"/>
        <w:gridCol w:w="1137"/>
        <w:gridCol w:w="942"/>
        <w:gridCol w:w="1159"/>
        <w:gridCol w:w="739"/>
        <w:tblGridChange w:id="0">
          <w:tblGrid>
            <w:gridCol w:w="3689"/>
            <w:gridCol w:w="1843"/>
            <w:gridCol w:w="992"/>
            <w:gridCol w:w="1137"/>
            <w:gridCol w:w="942"/>
            <w:gridCol w:w="1159"/>
            <w:gridCol w:w="739"/>
          </w:tblGrid>
        </w:tblGridChange>
      </w:tblGrid>
      <w:tr>
        <w:trPr>
          <w:cantSplit w:val="0"/>
          <w:trHeight w:val="91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Variable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Standardized Beta coefficients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P-value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1">
            <w:pPr>
              <w:ind w:right="20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95% Confidence Interval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Collinearity Statistics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Lower bound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Upper bound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Tolerance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VIF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  <w:t xml:space="preserve">Gender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  <w:t xml:space="preserve">-.085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  <w:t xml:space="preserve">.431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  <w:t xml:space="preserve">-30.866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  <w:t xml:space="preserve">13.289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  <w:t xml:space="preserve">.830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  <w:t xml:space="preserve">1.205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  <w:t xml:space="preserve">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  <w:t xml:space="preserve">-.073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rtl w:val="0"/>
              </w:rPr>
              <w:t xml:space="preserve">.663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  <w:t xml:space="preserve">-1.603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  <w:t xml:space="preserve">1.024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  <w:t xml:space="preserve">.348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tl w:val="0"/>
              </w:rPr>
              <w:t xml:space="preserve">2.873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tl w:val="0"/>
              </w:rPr>
              <w:t xml:space="preserve">Education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rtl w:val="0"/>
              </w:rPr>
              <w:t xml:space="preserve">-.059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tl w:val="0"/>
              </w:rPr>
              <w:t xml:space="preserve">.618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  <w:t xml:space="preserve">-5.928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tl w:val="0"/>
              </w:rPr>
              <w:t xml:space="preserve">3.542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tl w:val="0"/>
              </w:rPr>
              <w:t xml:space="preserve">.697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rtl w:val="0"/>
              </w:rPr>
              <w:t xml:space="preserve">1.436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tl w:val="0"/>
              </w:rPr>
              <w:t xml:space="preserve">Occupation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tl w:val="0"/>
              </w:rPr>
              <w:t xml:space="preserve">.126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rtl w:val="0"/>
              </w:rPr>
              <w:t xml:space="preserve">.233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rtl w:val="0"/>
              </w:rPr>
              <w:t xml:space="preserve">-1.305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rtl w:val="0"/>
              </w:rPr>
              <w:t xml:space="preserve">5.305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rtl w:val="0"/>
              </w:rPr>
              <w:t xml:space="preserve">.885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rtl w:val="0"/>
              </w:rPr>
              <w:t xml:space="preserve">1.130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rtl w:val="0"/>
              </w:rPr>
              <w:t xml:space="preserve">PHC center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rtl w:val="0"/>
              </w:rPr>
              <w:t xml:space="preserve">.011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  <w:t xml:space="preserve">.925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tl w:val="0"/>
              </w:rPr>
              <w:t xml:space="preserve">-.794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tl w:val="0"/>
              </w:rPr>
              <w:t xml:space="preserve">.874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tl w:val="0"/>
              </w:rPr>
              <w:t xml:space="preserve">.765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  <w:t xml:space="preserve">1.307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  <w:t xml:space="preserve">Locality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  <w:t xml:space="preserve">-.026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tl w:val="0"/>
              </w:rPr>
              <w:t xml:space="preserve">.830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tl w:val="0"/>
              </w:rPr>
              <w:t xml:space="preserve">-11.424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  <w:t xml:space="preserve">9.188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rtl w:val="0"/>
              </w:rPr>
              <w:t xml:space="preserve">.661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rtl w:val="0"/>
              </w:rPr>
              <w:t xml:space="preserve">1.513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rtl w:val="0"/>
              </w:rPr>
              <w:t xml:space="preserve">Distance from Khartoum Center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rtl w:val="0"/>
              </w:rPr>
              <w:t xml:space="preserve">.167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rtl w:val="0"/>
              </w:rPr>
              <w:t xml:space="preserve">.203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  <w:t xml:space="preserve">-.273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  <w:t xml:space="preserve">1.266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  <w:t xml:space="preserve">.572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tl w:val="0"/>
              </w:rPr>
              <w:t xml:space="preserve">1.749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  <w:t xml:space="preserve">Center type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  <w:t xml:space="preserve">.164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  <w:t xml:space="preserve">.158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tl w:val="0"/>
              </w:rPr>
              <w:t xml:space="preserve">-3.971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tl w:val="0"/>
              </w:rPr>
              <w:t xml:space="preserve">24.138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tl w:val="0"/>
              </w:rPr>
              <w:t xml:space="preserve">.728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rtl w:val="0"/>
              </w:rPr>
              <w:t xml:space="preserve">1.373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tl w:val="0"/>
              </w:rPr>
              <w:t xml:space="preserve">Number of health packages activated in the center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tl w:val="0"/>
              </w:rPr>
              <w:t xml:space="preserve">-.025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rtl w:val="0"/>
              </w:rPr>
              <w:t xml:space="preserve">.828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tl w:val="0"/>
              </w:rPr>
              <w:t xml:space="preserve">-4.097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  <w:t xml:space="preserve">3.285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tl w:val="0"/>
              </w:rPr>
              <w:t xml:space="preserve">.721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rtl w:val="0"/>
              </w:rPr>
              <w:t xml:space="preserve">1.388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tl w:val="0"/>
              </w:rPr>
              <w:t xml:space="preserve">Employment status at the respective PHC center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tl w:val="0"/>
              </w:rPr>
              <w:t xml:space="preserve">-.080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tl w:val="0"/>
              </w:rPr>
              <w:t xml:space="preserve">.437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  <w:t xml:space="preserve">-22.196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rtl w:val="0"/>
              </w:rPr>
              <w:t xml:space="preserve">9.666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tl w:val="0"/>
              </w:rPr>
              <w:t xml:space="preserve">.919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tl w:val="0"/>
              </w:rPr>
              <w:t xml:space="preserve">1.088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tl w:val="0"/>
              </w:rPr>
              <w:t xml:space="preserve">Overall years of expertise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rtl w:val="0"/>
              </w:rPr>
              <w:t xml:space="preserve">.014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rtl w:val="0"/>
              </w:rPr>
              <w:t xml:space="preserve">.933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tl w:val="0"/>
              </w:rPr>
              <w:t xml:space="preserve">-1.243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  <w:t xml:space="preserve">1.353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  <w:t xml:space="preserve">.345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  <w:t xml:space="preserve">2.902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  <w:t xml:space="preserve">Years of expertise in the Center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  <w:t xml:space="preserve">-.068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tl w:val="0"/>
              </w:rPr>
              <w:t xml:space="preserve">.585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tl w:val="0"/>
              </w:rPr>
              <w:t xml:space="preserve">-1.618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  <w:t xml:space="preserve">.918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  <w:t xml:space="preserve">.631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tl w:val="0"/>
              </w:rPr>
              <w:t xml:space="preserve">1.585</w:t>
            </w:r>
          </w:p>
        </w:tc>
      </w:tr>
    </w:tbl>
    <w:p w:rsidR="00000000" w:rsidDel="00000000" w:rsidP="00000000" w:rsidRDefault="00000000" w:rsidRPr="00000000" w14:paraId="00000310">
      <w:pPr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Results for standard multiple regression analysis. VIF = Variance inflation factor.</w:t>
      </w:r>
    </w:p>
    <w:p w:rsidR="00000000" w:rsidDel="00000000" w:rsidP="00000000" w:rsidRDefault="00000000" w:rsidRPr="00000000" w14:paraId="000003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S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44641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semiHidden w:val="1"/>
    <w:unhideWhenUsed w:val="1"/>
    <w:rsid w:val="003C09E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SD"/>
    </w:rPr>
  </w:style>
  <w:style w:type="paragraph" w:styleId="Header">
    <w:name w:val="header"/>
    <w:basedOn w:val="Normal"/>
    <w:link w:val="HeaderChar"/>
    <w:uiPriority w:val="99"/>
    <w:unhideWhenUsed w:val="1"/>
    <w:rsid w:val="00D31E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1EF2"/>
  </w:style>
  <w:style w:type="paragraph" w:styleId="Footer">
    <w:name w:val="footer"/>
    <w:basedOn w:val="Normal"/>
    <w:link w:val="FooterChar"/>
    <w:uiPriority w:val="99"/>
    <w:unhideWhenUsed w:val="1"/>
    <w:rsid w:val="00D31E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1EF2"/>
  </w:style>
  <w:style w:type="paragraph" w:styleId="ListParagraph">
    <w:name w:val="List Paragraph"/>
    <w:basedOn w:val="Normal"/>
    <w:uiPriority w:val="34"/>
    <w:qFormat w:val="1"/>
    <w:rsid w:val="000B4FE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00dTNzc3a9lo49rYgSbD5TyLcQ==">CgMxLjAyCGguZ2pkZ3hzMgloLjMwajB6bGw4AHIhMVFsWXBTdThlZGJfM21EU3RjVjhPUkpSUzAwRWRndV82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2023-08-07T00:13:00Z</dcterms:created>
  <dc:creator>Gaffar Alemam A. Manhal</dc:creator>
</cp:coreProperties>
</file>