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93E53" w14:textId="36634177" w:rsidR="00670113" w:rsidRPr="00C709F6" w:rsidRDefault="002B4F8C" w:rsidP="00670113">
      <w:pPr>
        <w:pStyle w:val="Caption"/>
        <w:keepNext/>
        <w:rPr>
          <w:b/>
          <w:bCs/>
          <w:i w:val="0"/>
          <w:iCs w:val="0"/>
          <w:color w:val="auto"/>
        </w:rPr>
      </w:pPr>
      <w:r>
        <w:rPr>
          <w:b/>
          <w:bCs/>
          <w:i w:val="0"/>
          <w:iCs w:val="0"/>
          <w:color w:val="auto"/>
        </w:rPr>
        <w:t xml:space="preserve">Supplement </w:t>
      </w:r>
      <w:r w:rsidR="0000676F">
        <w:rPr>
          <w:b/>
          <w:bCs/>
          <w:i w:val="0"/>
          <w:iCs w:val="0"/>
          <w:color w:val="auto"/>
        </w:rPr>
        <w:t>2</w:t>
      </w:r>
      <w:r w:rsidR="00670113" w:rsidRPr="00C709F6">
        <w:rPr>
          <w:b/>
          <w:bCs/>
          <w:i w:val="0"/>
          <w:iCs w:val="0"/>
          <w:color w:val="auto"/>
        </w:rPr>
        <w:t xml:space="preserve"> - Characteristics of intervention studies for </w:t>
      </w:r>
      <w:r w:rsidR="00A5427D" w:rsidRPr="00C709F6">
        <w:rPr>
          <w:b/>
          <w:bCs/>
          <w:i w:val="0"/>
          <w:iCs w:val="0"/>
          <w:color w:val="auto"/>
        </w:rPr>
        <w:t>older adults</w:t>
      </w:r>
      <w:r w:rsidR="00670113" w:rsidRPr="00C709F6">
        <w:rPr>
          <w:b/>
          <w:bCs/>
          <w:i w:val="0"/>
          <w:iCs w:val="0"/>
          <w:color w:val="auto"/>
        </w:rPr>
        <w:t xml:space="preserve"> in </w:t>
      </w:r>
      <w:r w:rsidR="00A5427D" w:rsidRPr="00C709F6">
        <w:rPr>
          <w:b/>
          <w:bCs/>
          <w:i w:val="0"/>
          <w:iCs w:val="0"/>
          <w:color w:val="auto"/>
        </w:rPr>
        <w:t>the ED</w:t>
      </w:r>
    </w:p>
    <w:tbl>
      <w:tblPr>
        <w:tblW w:w="14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3"/>
        <w:gridCol w:w="1525"/>
        <w:gridCol w:w="2688"/>
        <w:gridCol w:w="3031"/>
        <w:gridCol w:w="1128"/>
        <w:gridCol w:w="1389"/>
        <w:gridCol w:w="1119"/>
        <w:gridCol w:w="1135"/>
        <w:gridCol w:w="1128"/>
      </w:tblGrid>
      <w:tr w:rsidR="00D80358" w:rsidRPr="00E821F3" w14:paraId="36F49977" w14:textId="77777777" w:rsidTr="00143566">
        <w:trPr>
          <w:cantSplit/>
          <w:trHeight w:val="416"/>
          <w:tblHeader/>
        </w:trPr>
        <w:tc>
          <w:tcPr>
            <w:tcW w:w="1313" w:type="dxa"/>
            <w:tcBorders>
              <w:top w:val="single" w:sz="4" w:space="0" w:color="auto"/>
              <w:left w:val="nil"/>
              <w:bottom w:val="single" w:sz="4" w:space="0" w:color="auto"/>
              <w:right w:val="nil"/>
            </w:tcBorders>
            <w:shd w:val="clear" w:color="000000" w:fill="FFFFFF"/>
            <w:hideMark/>
          </w:tcPr>
          <w:p w14:paraId="4C994073" w14:textId="4AA53626" w:rsidR="00D80358" w:rsidRPr="00E821F3" w:rsidRDefault="00D80358" w:rsidP="00D80358">
            <w:pPr>
              <w:spacing w:after="0" w:line="240" w:lineRule="auto"/>
              <w:jc w:val="center"/>
              <w:rPr>
                <w:rFonts w:ascii="Calibri" w:eastAsia="Times New Roman" w:hAnsi="Calibri" w:cs="Calibri"/>
                <w:b/>
                <w:bCs/>
                <w:color w:val="000000"/>
                <w:kern w:val="0"/>
                <w:sz w:val="16"/>
                <w:szCs w:val="16"/>
                <w:lang w:eastAsia="en-AU"/>
                <w14:ligatures w14:val="none"/>
              </w:rPr>
            </w:pPr>
            <w:r w:rsidRPr="007F1A6A">
              <w:rPr>
                <w:rFonts w:ascii="Calibri" w:eastAsia="Times New Roman" w:hAnsi="Calibri" w:cs="Calibri"/>
                <w:b/>
                <w:bCs/>
                <w:color w:val="000000"/>
                <w:kern w:val="0"/>
                <w:sz w:val="16"/>
                <w:szCs w:val="16"/>
                <w:lang w:eastAsia="en-AU"/>
                <w14:ligatures w14:val="none"/>
              </w:rPr>
              <w:t>Author</w:t>
            </w:r>
            <w:r>
              <w:rPr>
                <w:rFonts w:ascii="Calibri" w:eastAsia="Times New Roman" w:hAnsi="Calibri" w:cs="Calibri"/>
                <w:b/>
                <w:bCs/>
                <w:color w:val="000000"/>
                <w:kern w:val="0"/>
                <w:sz w:val="16"/>
                <w:szCs w:val="16"/>
                <w:lang w:eastAsia="en-AU"/>
                <w14:ligatures w14:val="none"/>
              </w:rPr>
              <w:t xml:space="preserve">, </w:t>
            </w:r>
            <w:r w:rsidRPr="00E821F3">
              <w:rPr>
                <w:rFonts w:ascii="Calibri" w:eastAsia="Times New Roman" w:hAnsi="Calibri" w:cs="Calibri"/>
                <w:b/>
                <w:bCs/>
                <w:color w:val="000000"/>
                <w:kern w:val="0"/>
                <w:sz w:val="16"/>
                <w:szCs w:val="16"/>
                <w:lang w:eastAsia="en-AU"/>
                <w14:ligatures w14:val="none"/>
              </w:rPr>
              <w:t>Year</w:t>
            </w:r>
            <w:r>
              <w:rPr>
                <w:rFonts w:ascii="Calibri" w:eastAsia="Times New Roman" w:hAnsi="Calibri" w:cs="Calibri"/>
                <w:b/>
                <w:bCs/>
                <w:color w:val="000000"/>
                <w:kern w:val="0"/>
                <w:sz w:val="16"/>
                <w:szCs w:val="16"/>
                <w:lang w:eastAsia="en-AU"/>
                <w14:ligatures w14:val="none"/>
              </w:rPr>
              <w:t>,</w:t>
            </w:r>
          </w:p>
          <w:p w14:paraId="70531914" w14:textId="3F9EDD36" w:rsidR="00D80358" w:rsidRPr="007F1A6A" w:rsidRDefault="00D80358" w:rsidP="00D80358">
            <w:pPr>
              <w:spacing w:after="0" w:line="240" w:lineRule="auto"/>
              <w:jc w:val="center"/>
              <w:rPr>
                <w:rFonts w:ascii="Calibri" w:eastAsia="Times New Roman" w:hAnsi="Calibri" w:cs="Calibri"/>
                <w:b/>
                <w:bCs/>
                <w:color w:val="000000"/>
                <w:kern w:val="0"/>
                <w:sz w:val="16"/>
                <w:szCs w:val="16"/>
                <w:lang w:eastAsia="en-AU"/>
                <w14:ligatures w14:val="none"/>
              </w:rPr>
            </w:pPr>
            <w:r w:rsidRPr="00E821F3">
              <w:rPr>
                <w:rFonts w:ascii="Calibri" w:eastAsia="Times New Roman" w:hAnsi="Calibri" w:cs="Calibri"/>
                <w:b/>
                <w:bCs/>
                <w:color w:val="000000"/>
                <w:kern w:val="0"/>
                <w:sz w:val="16"/>
                <w:szCs w:val="16"/>
                <w:lang w:eastAsia="en-AU"/>
                <w14:ligatures w14:val="none"/>
              </w:rPr>
              <w:t>Country</w:t>
            </w:r>
          </w:p>
        </w:tc>
        <w:tc>
          <w:tcPr>
            <w:tcW w:w="1525" w:type="dxa"/>
            <w:tcBorders>
              <w:top w:val="single" w:sz="4" w:space="0" w:color="auto"/>
              <w:left w:val="nil"/>
              <w:bottom w:val="single" w:sz="4" w:space="0" w:color="auto"/>
              <w:right w:val="nil"/>
            </w:tcBorders>
            <w:shd w:val="clear" w:color="000000" w:fill="FFFFFF"/>
          </w:tcPr>
          <w:p w14:paraId="2D21869A" w14:textId="0D2933A3" w:rsidR="00D80358" w:rsidRPr="007F1A6A" w:rsidRDefault="00D80358" w:rsidP="00031355">
            <w:pPr>
              <w:spacing w:after="0" w:line="240" w:lineRule="auto"/>
              <w:jc w:val="center"/>
              <w:rPr>
                <w:rFonts w:ascii="Calibri" w:eastAsia="Times New Roman" w:hAnsi="Calibri" w:cs="Calibri"/>
                <w:b/>
                <w:bCs/>
                <w:color w:val="000000"/>
                <w:kern w:val="0"/>
                <w:sz w:val="16"/>
                <w:szCs w:val="16"/>
                <w:lang w:eastAsia="en-AU"/>
                <w14:ligatures w14:val="none"/>
              </w:rPr>
            </w:pPr>
            <w:r>
              <w:rPr>
                <w:rFonts w:ascii="Calibri" w:eastAsia="Times New Roman" w:hAnsi="Calibri" w:cs="Calibri"/>
                <w:b/>
                <w:bCs/>
                <w:color w:val="000000"/>
                <w:kern w:val="0"/>
                <w:sz w:val="16"/>
                <w:szCs w:val="16"/>
                <w:lang w:eastAsia="en-AU"/>
                <w14:ligatures w14:val="none"/>
              </w:rPr>
              <w:t>Quality indicator, problem</w:t>
            </w:r>
          </w:p>
        </w:tc>
        <w:tc>
          <w:tcPr>
            <w:tcW w:w="2688" w:type="dxa"/>
            <w:tcBorders>
              <w:top w:val="single" w:sz="4" w:space="0" w:color="auto"/>
              <w:left w:val="nil"/>
              <w:bottom w:val="single" w:sz="4" w:space="0" w:color="auto"/>
              <w:right w:val="nil"/>
            </w:tcBorders>
            <w:shd w:val="clear" w:color="000000" w:fill="FFFFFF"/>
            <w:hideMark/>
          </w:tcPr>
          <w:p w14:paraId="7F45CAE4" w14:textId="5DEB762D" w:rsidR="00D80358" w:rsidRPr="007F1A6A" w:rsidRDefault="00D80358" w:rsidP="00D80358">
            <w:pPr>
              <w:spacing w:after="0" w:line="240" w:lineRule="auto"/>
              <w:jc w:val="center"/>
              <w:rPr>
                <w:rFonts w:ascii="Calibri" w:eastAsia="Times New Roman" w:hAnsi="Calibri" w:cs="Calibri"/>
                <w:b/>
                <w:bCs/>
                <w:color w:val="000000"/>
                <w:kern w:val="0"/>
                <w:sz w:val="16"/>
                <w:szCs w:val="16"/>
                <w:lang w:eastAsia="en-AU"/>
                <w14:ligatures w14:val="none"/>
              </w:rPr>
            </w:pPr>
            <w:r w:rsidRPr="007F1A6A">
              <w:rPr>
                <w:rFonts w:ascii="Calibri" w:eastAsia="Times New Roman" w:hAnsi="Calibri" w:cs="Calibri"/>
                <w:b/>
                <w:bCs/>
                <w:color w:val="000000"/>
                <w:kern w:val="0"/>
                <w:sz w:val="16"/>
                <w:szCs w:val="16"/>
                <w:lang w:eastAsia="en-AU"/>
                <w14:ligatures w14:val="none"/>
              </w:rPr>
              <w:t>Study aim</w:t>
            </w:r>
          </w:p>
        </w:tc>
        <w:tc>
          <w:tcPr>
            <w:tcW w:w="3031" w:type="dxa"/>
            <w:tcBorders>
              <w:top w:val="single" w:sz="4" w:space="0" w:color="auto"/>
              <w:left w:val="nil"/>
              <w:bottom w:val="single" w:sz="4" w:space="0" w:color="auto"/>
              <w:right w:val="nil"/>
            </w:tcBorders>
            <w:shd w:val="clear" w:color="000000" w:fill="FFFFFF"/>
            <w:hideMark/>
          </w:tcPr>
          <w:p w14:paraId="33857A60" w14:textId="77777777" w:rsidR="00D80358" w:rsidRPr="007F1A6A" w:rsidRDefault="00D80358" w:rsidP="00D80358">
            <w:pPr>
              <w:spacing w:after="0" w:line="240" w:lineRule="auto"/>
              <w:jc w:val="center"/>
              <w:rPr>
                <w:rFonts w:ascii="Calibri" w:eastAsia="Times New Roman" w:hAnsi="Calibri" w:cs="Calibri"/>
                <w:b/>
                <w:bCs/>
                <w:color w:val="000000"/>
                <w:kern w:val="0"/>
                <w:sz w:val="16"/>
                <w:szCs w:val="16"/>
                <w:lang w:eastAsia="en-AU"/>
                <w14:ligatures w14:val="none"/>
              </w:rPr>
            </w:pPr>
            <w:r w:rsidRPr="007F1A6A">
              <w:rPr>
                <w:rFonts w:ascii="Calibri" w:eastAsia="Times New Roman" w:hAnsi="Calibri" w:cs="Calibri"/>
                <w:b/>
                <w:bCs/>
                <w:color w:val="000000"/>
                <w:kern w:val="0"/>
                <w:sz w:val="16"/>
                <w:szCs w:val="16"/>
                <w:lang w:eastAsia="en-AU"/>
                <w14:ligatures w14:val="none"/>
              </w:rPr>
              <w:t>Intervention</w:t>
            </w:r>
          </w:p>
        </w:tc>
        <w:tc>
          <w:tcPr>
            <w:tcW w:w="1128" w:type="dxa"/>
            <w:tcBorders>
              <w:top w:val="single" w:sz="4" w:space="0" w:color="auto"/>
              <w:left w:val="nil"/>
              <w:bottom w:val="single" w:sz="4" w:space="0" w:color="auto"/>
              <w:right w:val="nil"/>
            </w:tcBorders>
            <w:shd w:val="clear" w:color="000000" w:fill="FFFFFF"/>
            <w:hideMark/>
          </w:tcPr>
          <w:p w14:paraId="01162B0A" w14:textId="77777777" w:rsidR="00D80358" w:rsidRPr="00E821F3" w:rsidRDefault="00D80358" w:rsidP="00D80358">
            <w:pPr>
              <w:spacing w:after="0" w:line="240" w:lineRule="auto"/>
              <w:jc w:val="center"/>
              <w:rPr>
                <w:rFonts w:ascii="Calibri" w:eastAsia="Times New Roman" w:hAnsi="Calibri" w:cs="Calibri"/>
                <w:b/>
                <w:bCs/>
                <w:color w:val="000000"/>
                <w:kern w:val="0"/>
                <w:sz w:val="16"/>
                <w:szCs w:val="16"/>
                <w:lang w:eastAsia="en-AU"/>
                <w14:ligatures w14:val="none"/>
              </w:rPr>
            </w:pPr>
            <w:r w:rsidRPr="00E821F3">
              <w:rPr>
                <w:rFonts w:ascii="Calibri" w:eastAsia="Times New Roman" w:hAnsi="Calibri" w:cs="Calibri"/>
                <w:b/>
                <w:bCs/>
                <w:color w:val="000000"/>
                <w:kern w:val="0"/>
                <w:sz w:val="16"/>
                <w:szCs w:val="16"/>
                <w:lang w:eastAsia="en-AU"/>
                <w14:ligatures w14:val="none"/>
              </w:rPr>
              <w:t>Participating</w:t>
            </w:r>
          </w:p>
          <w:p w14:paraId="22B47DEF" w14:textId="429DA0AE" w:rsidR="00D80358" w:rsidRPr="007F1A6A" w:rsidRDefault="00D80358" w:rsidP="00D80358">
            <w:pPr>
              <w:spacing w:after="0" w:line="240" w:lineRule="auto"/>
              <w:jc w:val="center"/>
              <w:rPr>
                <w:rFonts w:ascii="Calibri" w:eastAsia="Times New Roman" w:hAnsi="Calibri" w:cs="Calibri"/>
                <w:b/>
                <w:bCs/>
                <w:color w:val="000000"/>
                <w:kern w:val="0"/>
                <w:sz w:val="16"/>
                <w:szCs w:val="16"/>
                <w:lang w:eastAsia="en-AU"/>
                <w14:ligatures w14:val="none"/>
              </w:rPr>
            </w:pPr>
            <w:r w:rsidRPr="007F1A6A">
              <w:rPr>
                <w:rFonts w:ascii="Calibri" w:eastAsia="Times New Roman" w:hAnsi="Calibri" w:cs="Calibri"/>
                <w:b/>
                <w:bCs/>
                <w:color w:val="000000"/>
                <w:kern w:val="0"/>
                <w:sz w:val="16"/>
                <w:szCs w:val="16"/>
                <w:lang w:eastAsia="en-AU"/>
                <w14:ligatures w14:val="none"/>
              </w:rPr>
              <w:t>EDs</w:t>
            </w:r>
            <w:r>
              <w:rPr>
                <w:rFonts w:ascii="Calibri" w:eastAsia="Times New Roman" w:hAnsi="Calibri" w:cs="Calibri"/>
                <w:b/>
                <w:bCs/>
                <w:color w:val="000000"/>
                <w:kern w:val="0"/>
                <w:sz w:val="16"/>
                <w:szCs w:val="16"/>
                <w:lang w:eastAsia="en-AU"/>
                <w14:ligatures w14:val="none"/>
              </w:rPr>
              <w:t xml:space="preserve"> </w:t>
            </w:r>
            <w:r w:rsidRPr="007F1A6A">
              <w:rPr>
                <w:rFonts w:ascii="Calibri" w:eastAsia="Times New Roman" w:hAnsi="Calibri" w:cs="Calibri"/>
                <w:b/>
                <w:bCs/>
                <w:color w:val="000000"/>
                <w:kern w:val="0"/>
                <w:sz w:val="16"/>
                <w:szCs w:val="16"/>
                <w:lang w:eastAsia="en-AU"/>
                <w14:ligatures w14:val="none"/>
              </w:rPr>
              <w:t>(n)</w:t>
            </w:r>
          </w:p>
        </w:tc>
        <w:tc>
          <w:tcPr>
            <w:tcW w:w="1389" w:type="dxa"/>
            <w:tcBorders>
              <w:top w:val="single" w:sz="4" w:space="0" w:color="auto"/>
              <w:left w:val="nil"/>
              <w:bottom w:val="single" w:sz="4" w:space="0" w:color="auto"/>
              <w:right w:val="nil"/>
            </w:tcBorders>
            <w:shd w:val="clear" w:color="000000" w:fill="FFFFFF"/>
            <w:hideMark/>
          </w:tcPr>
          <w:p w14:paraId="014FF120" w14:textId="0BDC5BD4" w:rsidR="00D80358" w:rsidRPr="007F1A6A" w:rsidRDefault="00D80358" w:rsidP="00D80358">
            <w:pPr>
              <w:spacing w:after="0" w:line="240" w:lineRule="auto"/>
              <w:jc w:val="center"/>
              <w:rPr>
                <w:rFonts w:ascii="Calibri" w:eastAsia="Times New Roman" w:hAnsi="Calibri" w:cs="Calibri"/>
                <w:b/>
                <w:bCs/>
                <w:color w:val="000000"/>
                <w:kern w:val="0"/>
                <w:sz w:val="16"/>
                <w:szCs w:val="16"/>
                <w:lang w:eastAsia="en-AU"/>
                <w14:ligatures w14:val="none"/>
              </w:rPr>
            </w:pPr>
            <w:r w:rsidRPr="007F1A6A">
              <w:rPr>
                <w:rFonts w:ascii="Calibri" w:eastAsia="Times New Roman" w:hAnsi="Calibri" w:cs="Calibri"/>
                <w:b/>
                <w:bCs/>
                <w:color w:val="000000"/>
                <w:kern w:val="0"/>
                <w:sz w:val="16"/>
                <w:szCs w:val="16"/>
                <w:lang w:eastAsia="en-AU"/>
                <w14:ligatures w14:val="none"/>
              </w:rPr>
              <w:t>Participants intervention</w:t>
            </w:r>
            <w:r>
              <w:rPr>
                <w:rFonts w:ascii="Calibri" w:eastAsia="Times New Roman" w:hAnsi="Calibri" w:cs="Calibri"/>
                <w:b/>
                <w:bCs/>
                <w:color w:val="000000"/>
                <w:kern w:val="0"/>
                <w:sz w:val="16"/>
                <w:szCs w:val="16"/>
                <w:lang w:eastAsia="en-AU"/>
                <w14:ligatures w14:val="none"/>
              </w:rPr>
              <w:t xml:space="preserve"> </w:t>
            </w:r>
            <w:r w:rsidRPr="00E821F3">
              <w:rPr>
                <w:rFonts w:ascii="Calibri" w:eastAsia="Times New Roman" w:hAnsi="Calibri" w:cs="Calibri"/>
                <w:b/>
                <w:bCs/>
                <w:color w:val="000000"/>
                <w:kern w:val="0"/>
                <w:sz w:val="16"/>
                <w:szCs w:val="16"/>
                <w:lang w:eastAsia="en-AU"/>
                <w14:ligatures w14:val="none"/>
              </w:rPr>
              <w:t>(n)</w:t>
            </w:r>
          </w:p>
        </w:tc>
        <w:tc>
          <w:tcPr>
            <w:tcW w:w="1119" w:type="dxa"/>
            <w:tcBorders>
              <w:top w:val="single" w:sz="4" w:space="0" w:color="auto"/>
              <w:left w:val="nil"/>
              <w:bottom w:val="single" w:sz="4" w:space="0" w:color="auto"/>
              <w:right w:val="nil"/>
            </w:tcBorders>
            <w:shd w:val="clear" w:color="000000" w:fill="FFFFFF"/>
            <w:hideMark/>
          </w:tcPr>
          <w:p w14:paraId="6F80AAA4" w14:textId="35EEEC7B" w:rsidR="00D80358" w:rsidRPr="00E821F3" w:rsidRDefault="00D80358" w:rsidP="00D80358">
            <w:pPr>
              <w:spacing w:after="0" w:line="240" w:lineRule="auto"/>
              <w:jc w:val="right"/>
              <w:rPr>
                <w:rFonts w:ascii="Calibri" w:eastAsia="Times New Roman" w:hAnsi="Calibri" w:cs="Calibri"/>
                <w:b/>
                <w:bCs/>
                <w:color w:val="000000"/>
                <w:kern w:val="0"/>
                <w:sz w:val="16"/>
                <w:szCs w:val="16"/>
                <w:lang w:eastAsia="en-AU"/>
                <w14:ligatures w14:val="none"/>
              </w:rPr>
            </w:pPr>
            <w:r w:rsidRPr="007F1A6A">
              <w:rPr>
                <w:rFonts w:ascii="Calibri" w:eastAsia="Times New Roman" w:hAnsi="Calibri" w:cs="Calibri"/>
                <w:b/>
                <w:bCs/>
                <w:color w:val="000000"/>
                <w:kern w:val="0"/>
                <w:sz w:val="16"/>
                <w:szCs w:val="16"/>
                <w:lang w:eastAsia="en-AU"/>
                <w14:ligatures w14:val="none"/>
              </w:rPr>
              <w:t>Participants</w:t>
            </w:r>
          </w:p>
          <w:p w14:paraId="72E20E0C" w14:textId="4936C138" w:rsidR="00D80358" w:rsidRPr="007F1A6A" w:rsidRDefault="00D80358" w:rsidP="00D80358">
            <w:pPr>
              <w:spacing w:after="0" w:line="240" w:lineRule="auto"/>
              <w:jc w:val="right"/>
              <w:rPr>
                <w:rFonts w:ascii="Calibri" w:eastAsia="Times New Roman" w:hAnsi="Calibri" w:cs="Calibri"/>
                <w:b/>
                <w:bCs/>
                <w:color w:val="000000"/>
                <w:kern w:val="0"/>
                <w:sz w:val="16"/>
                <w:szCs w:val="16"/>
                <w:lang w:eastAsia="en-AU"/>
                <w14:ligatures w14:val="none"/>
              </w:rPr>
            </w:pPr>
            <w:r w:rsidRPr="007F1A6A">
              <w:rPr>
                <w:rFonts w:ascii="Calibri" w:eastAsia="Times New Roman" w:hAnsi="Calibri" w:cs="Calibri"/>
                <w:b/>
                <w:bCs/>
                <w:color w:val="000000"/>
                <w:kern w:val="0"/>
                <w:sz w:val="16"/>
                <w:szCs w:val="16"/>
                <w:lang w:eastAsia="en-AU"/>
                <w14:ligatures w14:val="none"/>
              </w:rPr>
              <w:t>Control</w:t>
            </w:r>
            <w:r>
              <w:rPr>
                <w:rFonts w:ascii="Calibri" w:eastAsia="Times New Roman" w:hAnsi="Calibri" w:cs="Calibri"/>
                <w:b/>
                <w:bCs/>
                <w:color w:val="000000"/>
                <w:kern w:val="0"/>
                <w:sz w:val="16"/>
                <w:szCs w:val="16"/>
                <w:lang w:eastAsia="en-AU"/>
                <w14:ligatures w14:val="none"/>
              </w:rPr>
              <w:t xml:space="preserve"> </w:t>
            </w:r>
            <w:r w:rsidRPr="007F1A6A">
              <w:rPr>
                <w:rFonts w:ascii="Calibri" w:eastAsia="Times New Roman" w:hAnsi="Calibri" w:cs="Calibri"/>
                <w:b/>
                <w:bCs/>
                <w:color w:val="000000"/>
                <w:kern w:val="0"/>
                <w:sz w:val="16"/>
                <w:szCs w:val="16"/>
                <w:lang w:eastAsia="en-AU"/>
                <w14:ligatures w14:val="none"/>
              </w:rPr>
              <w:t>(n)</w:t>
            </w:r>
          </w:p>
        </w:tc>
        <w:tc>
          <w:tcPr>
            <w:tcW w:w="1135" w:type="dxa"/>
            <w:tcBorders>
              <w:top w:val="single" w:sz="4" w:space="0" w:color="auto"/>
              <w:left w:val="nil"/>
              <w:bottom w:val="single" w:sz="4" w:space="0" w:color="auto"/>
              <w:right w:val="nil"/>
            </w:tcBorders>
            <w:shd w:val="clear" w:color="000000" w:fill="FFFFFF"/>
            <w:hideMark/>
          </w:tcPr>
          <w:p w14:paraId="6541CFC1" w14:textId="77777777" w:rsidR="00D80358" w:rsidRPr="007F1A6A" w:rsidRDefault="00D80358" w:rsidP="00D80358">
            <w:pPr>
              <w:spacing w:after="0" w:line="240" w:lineRule="auto"/>
              <w:jc w:val="center"/>
              <w:rPr>
                <w:rFonts w:ascii="Calibri" w:eastAsia="Times New Roman" w:hAnsi="Calibri" w:cs="Calibri"/>
                <w:b/>
                <w:bCs/>
                <w:color w:val="000000"/>
                <w:kern w:val="0"/>
                <w:sz w:val="16"/>
                <w:szCs w:val="16"/>
                <w:lang w:eastAsia="en-AU"/>
                <w14:ligatures w14:val="none"/>
              </w:rPr>
            </w:pPr>
            <w:r w:rsidRPr="007F1A6A">
              <w:rPr>
                <w:rFonts w:ascii="Calibri" w:eastAsia="Times New Roman" w:hAnsi="Calibri" w:cs="Calibri"/>
                <w:b/>
                <w:bCs/>
                <w:color w:val="000000"/>
                <w:kern w:val="0"/>
                <w:sz w:val="16"/>
                <w:szCs w:val="16"/>
                <w:lang w:eastAsia="en-AU"/>
                <w14:ligatures w14:val="none"/>
              </w:rPr>
              <w:t>Study design</w:t>
            </w:r>
          </w:p>
        </w:tc>
        <w:tc>
          <w:tcPr>
            <w:tcW w:w="1128" w:type="dxa"/>
            <w:tcBorders>
              <w:top w:val="single" w:sz="4" w:space="0" w:color="auto"/>
              <w:left w:val="nil"/>
              <w:bottom w:val="single" w:sz="4" w:space="0" w:color="auto"/>
              <w:right w:val="nil"/>
            </w:tcBorders>
            <w:shd w:val="clear" w:color="000000" w:fill="FFFFFF"/>
            <w:hideMark/>
          </w:tcPr>
          <w:p w14:paraId="28CC0BFC" w14:textId="77777777" w:rsidR="00D80358" w:rsidRPr="007F1A6A" w:rsidRDefault="00D80358" w:rsidP="00D80358">
            <w:pPr>
              <w:spacing w:after="0" w:line="240" w:lineRule="auto"/>
              <w:jc w:val="center"/>
              <w:rPr>
                <w:rFonts w:ascii="Calibri" w:eastAsia="Times New Roman" w:hAnsi="Calibri" w:cs="Calibri"/>
                <w:b/>
                <w:bCs/>
                <w:color w:val="000000"/>
                <w:kern w:val="0"/>
                <w:sz w:val="16"/>
                <w:szCs w:val="16"/>
                <w:lang w:eastAsia="en-AU"/>
                <w14:ligatures w14:val="none"/>
              </w:rPr>
            </w:pPr>
            <w:r w:rsidRPr="007F1A6A">
              <w:rPr>
                <w:rFonts w:ascii="Calibri" w:eastAsia="Times New Roman" w:hAnsi="Calibri" w:cs="Calibri"/>
                <w:b/>
                <w:bCs/>
                <w:color w:val="000000"/>
                <w:kern w:val="0"/>
                <w:sz w:val="16"/>
                <w:szCs w:val="16"/>
                <w:lang w:eastAsia="en-AU"/>
                <w14:ligatures w14:val="none"/>
              </w:rPr>
              <w:t>Outcome measure</w:t>
            </w:r>
          </w:p>
        </w:tc>
      </w:tr>
      <w:tr w:rsidR="004B049F" w:rsidRPr="00E821F3" w14:paraId="45029084" w14:textId="77777777" w:rsidTr="00143566">
        <w:trPr>
          <w:cantSplit/>
          <w:trHeight w:val="567"/>
        </w:trPr>
        <w:tc>
          <w:tcPr>
            <w:tcW w:w="1313" w:type="dxa"/>
            <w:tcBorders>
              <w:top w:val="single" w:sz="4" w:space="0" w:color="auto"/>
              <w:left w:val="nil"/>
              <w:bottom w:val="nil"/>
              <w:right w:val="nil"/>
            </w:tcBorders>
            <w:shd w:val="clear" w:color="auto" w:fill="auto"/>
            <w:noWrap/>
            <w:hideMark/>
          </w:tcPr>
          <w:p w14:paraId="60B038AE" w14:textId="742CF4FE"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proofErr w:type="spellStart"/>
            <w:r w:rsidRPr="004B049F">
              <w:rPr>
                <w:sz w:val="16"/>
                <w:szCs w:val="16"/>
              </w:rPr>
              <w:t>Ageron</w:t>
            </w:r>
            <w:proofErr w:type="spellEnd"/>
            <w:r w:rsidRPr="004B049F">
              <w:rPr>
                <w:sz w:val="16"/>
                <w:szCs w:val="16"/>
              </w:rPr>
              <w:t xml:space="preserve"> et al., 2016, France</w:t>
            </w:r>
          </w:p>
        </w:tc>
        <w:tc>
          <w:tcPr>
            <w:tcW w:w="1525" w:type="dxa"/>
            <w:tcBorders>
              <w:top w:val="single" w:sz="4" w:space="0" w:color="auto"/>
              <w:left w:val="nil"/>
              <w:bottom w:val="nil"/>
              <w:right w:val="nil"/>
            </w:tcBorders>
          </w:tcPr>
          <w:p w14:paraId="6D5267E3" w14:textId="1701F5A3"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Comprehensive care</w:t>
            </w:r>
          </w:p>
        </w:tc>
        <w:tc>
          <w:tcPr>
            <w:tcW w:w="2688" w:type="dxa"/>
            <w:tcBorders>
              <w:top w:val="single" w:sz="4" w:space="0" w:color="auto"/>
              <w:left w:val="nil"/>
              <w:bottom w:val="nil"/>
              <w:right w:val="nil"/>
            </w:tcBorders>
            <w:shd w:val="clear" w:color="auto" w:fill="auto"/>
            <w:hideMark/>
          </w:tcPr>
          <w:p w14:paraId="0C1A69A1" w14:textId="1673A374"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To assess effectiveness of a healthcare intervention program for the management of elderly patients admitted to EDs after a fall</w:t>
            </w:r>
          </w:p>
        </w:tc>
        <w:tc>
          <w:tcPr>
            <w:tcW w:w="3031" w:type="dxa"/>
            <w:tcBorders>
              <w:top w:val="single" w:sz="4" w:space="0" w:color="auto"/>
              <w:left w:val="nil"/>
              <w:bottom w:val="nil"/>
              <w:right w:val="nil"/>
            </w:tcBorders>
            <w:shd w:val="clear" w:color="auto" w:fill="auto"/>
            <w:hideMark/>
          </w:tcPr>
          <w:p w14:paraId="6088C498" w14:textId="79EAE83D" w:rsidR="004B049F" w:rsidRPr="00DD2C75"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DD2C75">
              <w:rPr>
                <w:rFonts w:ascii="Calibri" w:eastAsia="Times New Roman" w:hAnsi="Calibri" w:cs="Calibri"/>
                <w:b/>
                <w:bCs/>
                <w:kern w:val="0"/>
                <w:sz w:val="16"/>
                <w:szCs w:val="16"/>
                <w:lang w:eastAsia="en-AU"/>
                <w14:ligatures w14:val="none"/>
              </w:rPr>
              <w:t>Management of falls risk</w:t>
            </w:r>
          </w:p>
          <w:p w14:paraId="6C530121" w14:textId="02ADCC71"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I</w:t>
            </w:r>
            <w:r w:rsidRPr="007F1A6A">
              <w:rPr>
                <w:rFonts w:ascii="Calibri" w:eastAsia="Times New Roman" w:hAnsi="Calibri" w:cs="Calibri"/>
                <w:color w:val="000000"/>
                <w:kern w:val="0"/>
                <w:sz w:val="16"/>
                <w:szCs w:val="16"/>
                <w:lang w:eastAsia="en-AU"/>
                <w14:ligatures w14:val="none"/>
              </w:rPr>
              <w:t>nformation and training tools to improve patient management, e.g., protocols, posters, website, and smartphone app</w:t>
            </w:r>
          </w:p>
        </w:tc>
        <w:tc>
          <w:tcPr>
            <w:tcW w:w="1128" w:type="dxa"/>
            <w:tcBorders>
              <w:top w:val="single" w:sz="4" w:space="0" w:color="auto"/>
              <w:left w:val="nil"/>
              <w:bottom w:val="nil"/>
              <w:right w:val="nil"/>
            </w:tcBorders>
            <w:shd w:val="clear" w:color="auto" w:fill="auto"/>
            <w:hideMark/>
          </w:tcPr>
          <w:p w14:paraId="475F3F4E"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13</w:t>
            </w:r>
          </w:p>
        </w:tc>
        <w:tc>
          <w:tcPr>
            <w:tcW w:w="1389" w:type="dxa"/>
            <w:tcBorders>
              <w:top w:val="single" w:sz="4" w:space="0" w:color="auto"/>
              <w:left w:val="nil"/>
              <w:bottom w:val="nil"/>
              <w:right w:val="nil"/>
            </w:tcBorders>
            <w:shd w:val="clear" w:color="auto" w:fill="auto"/>
            <w:hideMark/>
          </w:tcPr>
          <w:p w14:paraId="2C0C77F7"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2,426</w:t>
            </w:r>
          </w:p>
        </w:tc>
        <w:tc>
          <w:tcPr>
            <w:tcW w:w="1119" w:type="dxa"/>
            <w:tcBorders>
              <w:top w:val="single" w:sz="4" w:space="0" w:color="auto"/>
              <w:left w:val="nil"/>
              <w:bottom w:val="nil"/>
              <w:right w:val="nil"/>
            </w:tcBorders>
            <w:shd w:val="clear" w:color="auto" w:fill="auto"/>
            <w:hideMark/>
          </w:tcPr>
          <w:p w14:paraId="75631665"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2,684</w:t>
            </w:r>
          </w:p>
        </w:tc>
        <w:tc>
          <w:tcPr>
            <w:tcW w:w="1135" w:type="dxa"/>
            <w:tcBorders>
              <w:top w:val="single" w:sz="4" w:space="0" w:color="auto"/>
              <w:left w:val="nil"/>
              <w:bottom w:val="nil"/>
              <w:right w:val="nil"/>
            </w:tcBorders>
            <w:shd w:val="clear" w:color="auto" w:fill="auto"/>
            <w:hideMark/>
          </w:tcPr>
          <w:p w14:paraId="755F0E75" w14:textId="1124B6ED" w:rsidR="004B049F" w:rsidRPr="007F1A6A" w:rsidRDefault="00C72E48"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Pre-post</w:t>
            </w:r>
          </w:p>
        </w:tc>
        <w:tc>
          <w:tcPr>
            <w:tcW w:w="1128" w:type="dxa"/>
            <w:tcBorders>
              <w:top w:val="single" w:sz="4" w:space="0" w:color="auto"/>
              <w:left w:val="nil"/>
              <w:bottom w:val="nil"/>
              <w:right w:val="nil"/>
            </w:tcBorders>
            <w:shd w:val="clear" w:color="auto" w:fill="auto"/>
            <w:hideMark/>
          </w:tcPr>
          <w:p w14:paraId="5ABAA2C0" w14:textId="7BCF8E47"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S</w:t>
            </w:r>
            <w:r w:rsidRPr="007F1A6A">
              <w:rPr>
                <w:rFonts w:ascii="Calibri" w:eastAsia="Times New Roman" w:hAnsi="Calibri" w:cs="Calibri"/>
                <w:color w:val="000000"/>
                <w:kern w:val="0"/>
                <w:sz w:val="16"/>
                <w:szCs w:val="16"/>
                <w:lang w:eastAsia="en-AU"/>
                <w14:ligatures w14:val="none"/>
              </w:rPr>
              <w:t xml:space="preserve">ystem performance </w:t>
            </w:r>
            <w:r>
              <w:rPr>
                <w:rFonts w:ascii="Calibri" w:eastAsia="Times New Roman" w:hAnsi="Calibri" w:cs="Calibri"/>
                <w:color w:val="000000"/>
                <w:kern w:val="0"/>
                <w:sz w:val="16"/>
                <w:szCs w:val="16"/>
                <w:lang w:eastAsia="en-AU"/>
                <w14:ligatures w14:val="none"/>
              </w:rPr>
              <w:t>P</w:t>
            </w:r>
            <w:r w:rsidRPr="007F1A6A">
              <w:rPr>
                <w:rFonts w:ascii="Calibri" w:eastAsia="Times New Roman" w:hAnsi="Calibri" w:cs="Calibri"/>
                <w:color w:val="000000"/>
                <w:kern w:val="0"/>
                <w:sz w:val="16"/>
                <w:szCs w:val="16"/>
                <w:lang w:eastAsia="en-AU"/>
                <w14:ligatures w14:val="none"/>
              </w:rPr>
              <w:t>atient outcomes</w:t>
            </w:r>
          </w:p>
        </w:tc>
      </w:tr>
      <w:tr w:rsidR="004B049F" w:rsidRPr="00E821F3" w14:paraId="021CC286" w14:textId="77777777" w:rsidTr="00143566">
        <w:trPr>
          <w:cantSplit/>
          <w:trHeight w:val="567"/>
        </w:trPr>
        <w:tc>
          <w:tcPr>
            <w:tcW w:w="1313" w:type="dxa"/>
            <w:tcBorders>
              <w:top w:val="nil"/>
              <w:left w:val="nil"/>
              <w:bottom w:val="nil"/>
              <w:right w:val="nil"/>
            </w:tcBorders>
            <w:shd w:val="clear" w:color="auto" w:fill="auto"/>
            <w:noWrap/>
            <w:hideMark/>
          </w:tcPr>
          <w:p w14:paraId="0E6EFFF5" w14:textId="05393589"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4B049F">
              <w:rPr>
                <w:sz w:val="16"/>
                <w:szCs w:val="16"/>
              </w:rPr>
              <w:t>Aldeen et al., 2014, USA</w:t>
            </w:r>
          </w:p>
        </w:tc>
        <w:tc>
          <w:tcPr>
            <w:tcW w:w="1525" w:type="dxa"/>
            <w:tcBorders>
              <w:top w:val="nil"/>
              <w:left w:val="nil"/>
              <w:bottom w:val="nil"/>
              <w:right w:val="nil"/>
            </w:tcBorders>
          </w:tcPr>
          <w:p w14:paraId="79577BEF" w14:textId="41392A5D"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Comprehensive care</w:t>
            </w:r>
          </w:p>
        </w:tc>
        <w:tc>
          <w:tcPr>
            <w:tcW w:w="2688" w:type="dxa"/>
            <w:tcBorders>
              <w:top w:val="nil"/>
              <w:left w:val="nil"/>
              <w:bottom w:val="nil"/>
              <w:right w:val="nil"/>
            </w:tcBorders>
            <w:shd w:val="clear" w:color="auto" w:fill="auto"/>
            <w:hideMark/>
          </w:tcPr>
          <w:p w14:paraId="5AE47198" w14:textId="0365F43D"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To describe characteristics of patients that these GEDI nurse liaisons see, and measure the admission rate of these patients</w:t>
            </w:r>
          </w:p>
        </w:tc>
        <w:tc>
          <w:tcPr>
            <w:tcW w:w="3031" w:type="dxa"/>
            <w:tcBorders>
              <w:top w:val="nil"/>
              <w:left w:val="nil"/>
              <w:bottom w:val="nil"/>
              <w:right w:val="nil"/>
            </w:tcBorders>
            <w:shd w:val="clear" w:color="auto" w:fill="auto"/>
            <w:hideMark/>
          </w:tcPr>
          <w:p w14:paraId="3D909402" w14:textId="6E8ADF19" w:rsidR="004B049F" w:rsidRPr="008038A8"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8038A8">
              <w:rPr>
                <w:rFonts w:ascii="Calibri" w:eastAsia="Times New Roman" w:hAnsi="Calibri" w:cs="Calibri"/>
                <w:b/>
                <w:bCs/>
                <w:color w:val="000000"/>
                <w:kern w:val="0"/>
                <w:sz w:val="16"/>
                <w:szCs w:val="16"/>
                <w:lang w:eastAsia="en-AU"/>
                <w14:ligatures w14:val="none"/>
              </w:rPr>
              <w:t>General assessment and multi-faceted care coordination to reduce avoidable hospital admissions and/or LOS and/or improve ED flow</w:t>
            </w:r>
          </w:p>
          <w:p w14:paraId="08E6C2E4" w14:textId="455DE114"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 xml:space="preserve">Geriatric Nurse Liaison Model. All older adults (≥65) entering the ED were screened using the ISAR tool. </w:t>
            </w:r>
          </w:p>
        </w:tc>
        <w:tc>
          <w:tcPr>
            <w:tcW w:w="1128" w:type="dxa"/>
            <w:tcBorders>
              <w:top w:val="nil"/>
              <w:left w:val="nil"/>
              <w:bottom w:val="nil"/>
              <w:right w:val="nil"/>
            </w:tcBorders>
            <w:shd w:val="clear" w:color="auto" w:fill="auto"/>
            <w:hideMark/>
          </w:tcPr>
          <w:p w14:paraId="17CF632C"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w:t>
            </w:r>
          </w:p>
        </w:tc>
        <w:tc>
          <w:tcPr>
            <w:tcW w:w="1389" w:type="dxa"/>
            <w:tcBorders>
              <w:top w:val="nil"/>
              <w:left w:val="nil"/>
              <w:bottom w:val="nil"/>
              <w:right w:val="nil"/>
            </w:tcBorders>
            <w:shd w:val="clear" w:color="auto" w:fill="auto"/>
            <w:hideMark/>
          </w:tcPr>
          <w:p w14:paraId="0A1C4742"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408</w:t>
            </w:r>
          </w:p>
        </w:tc>
        <w:tc>
          <w:tcPr>
            <w:tcW w:w="1119" w:type="dxa"/>
            <w:tcBorders>
              <w:top w:val="nil"/>
              <w:left w:val="nil"/>
              <w:bottom w:val="nil"/>
              <w:right w:val="nil"/>
            </w:tcBorders>
            <w:shd w:val="clear" w:color="auto" w:fill="auto"/>
            <w:hideMark/>
          </w:tcPr>
          <w:p w14:paraId="79E67242"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6,806</w:t>
            </w:r>
          </w:p>
        </w:tc>
        <w:tc>
          <w:tcPr>
            <w:tcW w:w="1135" w:type="dxa"/>
            <w:tcBorders>
              <w:top w:val="nil"/>
              <w:left w:val="nil"/>
              <w:bottom w:val="nil"/>
              <w:right w:val="nil"/>
            </w:tcBorders>
            <w:shd w:val="clear" w:color="auto" w:fill="auto"/>
            <w:hideMark/>
          </w:tcPr>
          <w:p w14:paraId="18BA5287" w14:textId="403BA78B"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Quasi-experimental</w:t>
            </w:r>
          </w:p>
        </w:tc>
        <w:tc>
          <w:tcPr>
            <w:tcW w:w="1128" w:type="dxa"/>
            <w:tcBorders>
              <w:top w:val="nil"/>
              <w:left w:val="nil"/>
              <w:bottom w:val="nil"/>
              <w:right w:val="nil"/>
            </w:tcBorders>
            <w:shd w:val="clear" w:color="auto" w:fill="auto"/>
            <w:hideMark/>
          </w:tcPr>
          <w:p w14:paraId="3EFCC4F5" w14:textId="672BD9DF"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S</w:t>
            </w:r>
            <w:r w:rsidRPr="007F1A6A">
              <w:rPr>
                <w:rFonts w:ascii="Calibri" w:eastAsia="Times New Roman" w:hAnsi="Calibri" w:cs="Calibri"/>
                <w:color w:val="000000"/>
                <w:kern w:val="0"/>
                <w:sz w:val="16"/>
                <w:szCs w:val="16"/>
                <w:lang w:eastAsia="en-AU"/>
                <w14:ligatures w14:val="none"/>
              </w:rPr>
              <w:t xml:space="preserve">ystem performance </w:t>
            </w:r>
            <w:r>
              <w:rPr>
                <w:rFonts w:ascii="Calibri" w:eastAsia="Times New Roman" w:hAnsi="Calibri" w:cs="Calibri"/>
                <w:color w:val="000000"/>
                <w:kern w:val="0"/>
                <w:sz w:val="16"/>
                <w:szCs w:val="16"/>
                <w:lang w:eastAsia="en-AU"/>
                <w14:ligatures w14:val="none"/>
              </w:rPr>
              <w:t>P</w:t>
            </w:r>
            <w:r w:rsidRPr="007F1A6A">
              <w:rPr>
                <w:rFonts w:ascii="Calibri" w:eastAsia="Times New Roman" w:hAnsi="Calibri" w:cs="Calibri"/>
                <w:color w:val="000000"/>
                <w:kern w:val="0"/>
                <w:sz w:val="16"/>
                <w:szCs w:val="16"/>
                <w:lang w:eastAsia="en-AU"/>
                <w14:ligatures w14:val="none"/>
              </w:rPr>
              <w:t>atient outcomes</w:t>
            </w:r>
          </w:p>
        </w:tc>
      </w:tr>
      <w:tr w:rsidR="004B049F" w:rsidRPr="00E821F3" w14:paraId="161DA7C9" w14:textId="77777777" w:rsidTr="00143566">
        <w:trPr>
          <w:cantSplit/>
          <w:trHeight w:val="567"/>
        </w:trPr>
        <w:tc>
          <w:tcPr>
            <w:tcW w:w="1313" w:type="dxa"/>
            <w:tcBorders>
              <w:top w:val="nil"/>
              <w:left w:val="nil"/>
              <w:bottom w:val="nil"/>
              <w:right w:val="nil"/>
            </w:tcBorders>
            <w:shd w:val="clear" w:color="auto" w:fill="auto"/>
            <w:noWrap/>
            <w:hideMark/>
          </w:tcPr>
          <w:p w14:paraId="245F4827" w14:textId="466F0920"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proofErr w:type="spellStart"/>
            <w:r w:rsidRPr="004B049F">
              <w:rPr>
                <w:sz w:val="16"/>
                <w:szCs w:val="16"/>
              </w:rPr>
              <w:t>Arendts</w:t>
            </w:r>
            <w:proofErr w:type="spellEnd"/>
            <w:r w:rsidRPr="004B049F">
              <w:rPr>
                <w:sz w:val="16"/>
                <w:szCs w:val="16"/>
              </w:rPr>
              <w:t xml:space="preserve"> et al., 2013, Australia</w:t>
            </w:r>
          </w:p>
        </w:tc>
        <w:tc>
          <w:tcPr>
            <w:tcW w:w="1525" w:type="dxa"/>
            <w:tcBorders>
              <w:top w:val="nil"/>
              <w:left w:val="nil"/>
              <w:bottom w:val="nil"/>
              <w:right w:val="nil"/>
            </w:tcBorders>
          </w:tcPr>
          <w:p w14:paraId="686F0507" w14:textId="491B0E01"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Comprehensive care</w:t>
            </w:r>
          </w:p>
        </w:tc>
        <w:tc>
          <w:tcPr>
            <w:tcW w:w="2688" w:type="dxa"/>
            <w:tcBorders>
              <w:top w:val="nil"/>
              <w:left w:val="nil"/>
              <w:bottom w:val="nil"/>
              <w:right w:val="nil"/>
            </w:tcBorders>
            <w:shd w:val="clear" w:color="auto" w:fill="auto"/>
            <w:hideMark/>
          </w:tcPr>
          <w:p w14:paraId="52503489" w14:textId="2609FE57"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To compare important clinical outcomes (mortality, ED re-attendance and re-hospitalisation) in patients requiring facilitated discharge using an allied health care coordination team based in the ED to those not requiring allied health input</w:t>
            </w:r>
          </w:p>
        </w:tc>
        <w:tc>
          <w:tcPr>
            <w:tcW w:w="3031" w:type="dxa"/>
            <w:tcBorders>
              <w:top w:val="nil"/>
              <w:left w:val="nil"/>
              <w:bottom w:val="nil"/>
              <w:right w:val="nil"/>
            </w:tcBorders>
            <w:shd w:val="clear" w:color="auto" w:fill="auto"/>
            <w:hideMark/>
          </w:tcPr>
          <w:p w14:paraId="44BE88C1" w14:textId="5C911C31" w:rsidR="004B049F" w:rsidRPr="00BE4CC1"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BE4CC1">
              <w:rPr>
                <w:rFonts w:ascii="Calibri" w:eastAsia="Times New Roman" w:hAnsi="Calibri" w:cs="Calibri"/>
                <w:b/>
                <w:bCs/>
                <w:color w:val="000000"/>
                <w:kern w:val="0"/>
                <w:sz w:val="16"/>
                <w:szCs w:val="16"/>
                <w:lang w:eastAsia="en-AU"/>
                <w14:ligatures w14:val="none"/>
              </w:rPr>
              <w:t>General assessment and multi-faceted care coordination to reduce avoidable hospital admissions and/or LOS and/or improve ED flow</w:t>
            </w:r>
          </w:p>
          <w:p w14:paraId="69FC4EE6" w14:textId="4FBDF075"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Comprehensive allied health input from a care coordination team prior to discharge</w:t>
            </w:r>
          </w:p>
        </w:tc>
        <w:tc>
          <w:tcPr>
            <w:tcW w:w="1128" w:type="dxa"/>
            <w:tcBorders>
              <w:top w:val="nil"/>
              <w:left w:val="nil"/>
              <w:bottom w:val="nil"/>
              <w:right w:val="nil"/>
            </w:tcBorders>
            <w:shd w:val="clear" w:color="auto" w:fill="auto"/>
            <w:hideMark/>
          </w:tcPr>
          <w:p w14:paraId="0F6BB350"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2</w:t>
            </w:r>
          </w:p>
        </w:tc>
        <w:tc>
          <w:tcPr>
            <w:tcW w:w="1389" w:type="dxa"/>
            <w:tcBorders>
              <w:top w:val="nil"/>
              <w:left w:val="nil"/>
              <w:bottom w:val="nil"/>
              <w:right w:val="nil"/>
            </w:tcBorders>
            <w:shd w:val="clear" w:color="auto" w:fill="auto"/>
            <w:hideMark/>
          </w:tcPr>
          <w:p w14:paraId="31CAAACD"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1,098</w:t>
            </w:r>
          </w:p>
        </w:tc>
        <w:tc>
          <w:tcPr>
            <w:tcW w:w="1119" w:type="dxa"/>
            <w:tcBorders>
              <w:top w:val="nil"/>
              <w:left w:val="nil"/>
              <w:bottom w:val="nil"/>
              <w:right w:val="nil"/>
            </w:tcBorders>
            <w:shd w:val="clear" w:color="auto" w:fill="auto"/>
            <w:hideMark/>
          </w:tcPr>
          <w:p w14:paraId="470750CA"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1,098</w:t>
            </w:r>
          </w:p>
        </w:tc>
        <w:tc>
          <w:tcPr>
            <w:tcW w:w="1135" w:type="dxa"/>
            <w:tcBorders>
              <w:top w:val="nil"/>
              <w:left w:val="nil"/>
              <w:bottom w:val="nil"/>
              <w:right w:val="nil"/>
            </w:tcBorders>
            <w:shd w:val="clear" w:color="auto" w:fill="auto"/>
            <w:hideMark/>
          </w:tcPr>
          <w:p w14:paraId="7EB338CF" w14:textId="063741D8"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Quasi-experimental</w:t>
            </w:r>
          </w:p>
        </w:tc>
        <w:tc>
          <w:tcPr>
            <w:tcW w:w="1128" w:type="dxa"/>
            <w:tcBorders>
              <w:top w:val="nil"/>
              <w:left w:val="nil"/>
              <w:bottom w:val="nil"/>
              <w:right w:val="nil"/>
            </w:tcBorders>
            <w:shd w:val="clear" w:color="auto" w:fill="auto"/>
            <w:hideMark/>
          </w:tcPr>
          <w:p w14:paraId="3C975ED3" w14:textId="25CF9728"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S</w:t>
            </w:r>
            <w:r w:rsidRPr="007F1A6A">
              <w:rPr>
                <w:rFonts w:ascii="Calibri" w:eastAsia="Times New Roman" w:hAnsi="Calibri" w:cs="Calibri"/>
                <w:color w:val="000000"/>
                <w:kern w:val="0"/>
                <w:sz w:val="16"/>
                <w:szCs w:val="16"/>
                <w:lang w:eastAsia="en-AU"/>
                <w14:ligatures w14:val="none"/>
              </w:rPr>
              <w:t xml:space="preserve">ystem performance </w:t>
            </w:r>
            <w:r>
              <w:rPr>
                <w:rFonts w:ascii="Calibri" w:eastAsia="Times New Roman" w:hAnsi="Calibri" w:cs="Calibri"/>
                <w:color w:val="000000"/>
                <w:kern w:val="0"/>
                <w:sz w:val="16"/>
                <w:szCs w:val="16"/>
                <w:lang w:eastAsia="en-AU"/>
                <w14:ligatures w14:val="none"/>
              </w:rPr>
              <w:t>P</w:t>
            </w:r>
            <w:r w:rsidRPr="007F1A6A">
              <w:rPr>
                <w:rFonts w:ascii="Calibri" w:eastAsia="Times New Roman" w:hAnsi="Calibri" w:cs="Calibri"/>
                <w:color w:val="000000"/>
                <w:kern w:val="0"/>
                <w:sz w:val="16"/>
                <w:szCs w:val="16"/>
                <w:lang w:eastAsia="en-AU"/>
                <w14:ligatures w14:val="none"/>
              </w:rPr>
              <w:t>atient outcomes</w:t>
            </w:r>
          </w:p>
        </w:tc>
      </w:tr>
      <w:tr w:rsidR="004B049F" w:rsidRPr="00E821F3" w14:paraId="35EA036E" w14:textId="77777777" w:rsidTr="00143566">
        <w:trPr>
          <w:cantSplit/>
          <w:trHeight w:val="567"/>
        </w:trPr>
        <w:tc>
          <w:tcPr>
            <w:tcW w:w="1313" w:type="dxa"/>
            <w:tcBorders>
              <w:top w:val="nil"/>
              <w:left w:val="nil"/>
              <w:bottom w:val="nil"/>
              <w:right w:val="nil"/>
            </w:tcBorders>
            <w:shd w:val="clear" w:color="auto" w:fill="auto"/>
            <w:noWrap/>
            <w:hideMark/>
          </w:tcPr>
          <w:p w14:paraId="0ABA896A" w14:textId="0F96095A"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proofErr w:type="spellStart"/>
            <w:r w:rsidRPr="004B049F">
              <w:rPr>
                <w:sz w:val="16"/>
                <w:szCs w:val="16"/>
              </w:rPr>
              <w:t>Arendts</w:t>
            </w:r>
            <w:proofErr w:type="spellEnd"/>
            <w:r w:rsidRPr="004B049F">
              <w:rPr>
                <w:sz w:val="16"/>
                <w:szCs w:val="16"/>
              </w:rPr>
              <w:t xml:space="preserve"> et al., 2020, Australia</w:t>
            </w:r>
          </w:p>
        </w:tc>
        <w:tc>
          <w:tcPr>
            <w:tcW w:w="1525" w:type="dxa"/>
            <w:tcBorders>
              <w:top w:val="nil"/>
              <w:left w:val="nil"/>
              <w:bottom w:val="nil"/>
              <w:right w:val="nil"/>
            </w:tcBorders>
          </w:tcPr>
          <w:p w14:paraId="1EA92570" w14:textId="2DF50EB6"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Comprehensive care</w:t>
            </w:r>
          </w:p>
        </w:tc>
        <w:tc>
          <w:tcPr>
            <w:tcW w:w="2688" w:type="dxa"/>
            <w:tcBorders>
              <w:top w:val="nil"/>
              <w:left w:val="nil"/>
              <w:bottom w:val="nil"/>
              <w:right w:val="nil"/>
            </w:tcBorders>
            <w:shd w:val="clear" w:color="auto" w:fill="auto"/>
            <w:hideMark/>
          </w:tcPr>
          <w:p w14:paraId="0B649D35" w14:textId="76CFD847"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To: (1) design and implement a standardised and systematic approach to patients presenting to an ED after a fall; and (2) achieve hospital efficiency gains, such as reduced hospital length of stay, through implementation of this approach</w:t>
            </w:r>
          </w:p>
        </w:tc>
        <w:tc>
          <w:tcPr>
            <w:tcW w:w="3031" w:type="dxa"/>
            <w:tcBorders>
              <w:top w:val="nil"/>
              <w:left w:val="nil"/>
              <w:bottom w:val="nil"/>
              <w:right w:val="nil"/>
            </w:tcBorders>
            <w:shd w:val="clear" w:color="auto" w:fill="auto"/>
            <w:hideMark/>
          </w:tcPr>
          <w:p w14:paraId="377E5F31" w14:textId="77777777" w:rsidR="004B049F" w:rsidRPr="00DD2C75"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DD2C75">
              <w:rPr>
                <w:rFonts w:ascii="Calibri" w:eastAsia="Times New Roman" w:hAnsi="Calibri" w:cs="Calibri"/>
                <w:b/>
                <w:bCs/>
                <w:kern w:val="0"/>
                <w:sz w:val="16"/>
                <w:szCs w:val="16"/>
                <w:lang w:eastAsia="en-AU"/>
                <w14:ligatures w14:val="none"/>
              </w:rPr>
              <w:t>Management of falls risk</w:t>
            </w:r>
          </w:p>
          <w:p w14:paraId="56C240CE" w14:textId="29F879FA" w:rsidR="00DC0218" w:rsidRPr="00DC0218" w:rsidRDefault="00DC0218" w:rsidP="00DC0218">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D</w:t>
            </w:r>
            <w:r w:rsidRPr="00DC0218">
              <w:rPr>
                <w:rFonts w:ascii="Calibri" w:eastAsia="Times New Roman" w:hAnsi="Calibri" w:cs="Calibri"/>
                <w:color w:val="000000"/>
                <w:kern w:val="0"/>
                <w:sz w:val="16"/>
                <w:szCs w:val="16"/>
                <w:lang w:eastAsia="en-AU"/>
                <w14:ligatures w14:val="none"/>
              </w:rPr>
              <w:t>irect admission to an ED short stay unit, standardised assessment of cognition,</w:t>
            </w:r>
          </w:p>
          <w:p w14:paraId="2DEFB752" w14:textId="753D04E3" w:rsidR="004B049F" w:rsidRPr="007F1A6A" w:rsidRDefault="00DC0218" w:rsidP="00DC0218">
            <w:pPr>
              <w:spacing w:after="0" w:line="240" w:lineRule="auto"/>
              <w:rPr>
                <w:rFonts w:ascii="Calibri" w:eastAsia="Times New Roman" w:hAnsi="Calibri" w:cs="Calibri"/>
                <w:color w:val="000000"/>
                <w:kern w:val="0"/>
                <w:sz w:val="16"/>
                <w:szCs w:val="16"/>
                <w:lang w:eastAsia="en-AU"/>
                <w14:ligatures w14:val="none"/>
              </w:rPr>
            </w:pPr>
            <w:r w:rsidRPr="00DC0218">
              <w:rPr>
                <w:rFonts w:ascii="Calibri" w:eastAsia="Times New Roman" w:hAnsi="Calibri" w:cs="Calibri"/>
                <w:color w:val="000000"/>
                <w:kern w:val="0"/>
                <w:sz w:val="16"/>
                <w:szCs w:val="16"/>
                <w:lang w:eastAsia="en-AU"/>
                <w14:ligatures w14:val="none"/>
              </w:rPr>
              <w:t>medications, mobility and discharge risk, and access in the ED to a geriatric consultation service for complex patients</w:t>
            </w:r>
          </w:p>
        </w:tc>
        <w:tc>
          <w:tcPr>
            <w:tcW w:w="1128" w:type="dxa"/>
            <w:tcBorders>
              <w:top w:val="nil"/>
              <w:left w:val="nil"/>
              <w:bottom w:val="nil"/>
              <w:right w:val="nil"/>
            </w:tcBorders>
            <w:shd w:val="clear" w:color="auto" w:fill="auto"/>
            <w:hideMark/>
          </w:tcPr>
          <w:p w14:paraId="6058A00D"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w:t>
            </w:r>
          </w:p>
        </w:tc>
        <w:tc>
          <w:tcPr>
            <w:tcW w:w="1389" w:type="dxa"/>
            <w:tcBorders>
              <w:top w:val="nil"/>
              <w:left w:val="nil"/>
              <w:bottom w:val="nil"/>
              <w:right w:val="nil"/>
            </w:tcBorders>
            <w:shd w:val="clear" w:color="auto" w:fill="auto"/>
            <w:hideMark/>
          </w:tcPr>
          <w:p w14:paraId="4300F5B4"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873</w:t>
            </w:r>
          </w:p>
        </w:tc>
        <w:tc>
          <w:tcPr>
            <w:tcW w:w="1119" w:type="dxa"/>
            <w:tcBorders>
              <w:top w:val="nil"/>
              <w:left w:val="nil"/>
              <w:bottom w:val="nil"/>
              <w:right w:val="nil"/>
            </w:tcBorders>
            <w:shd w:val="clear" w:color="auto" w:fill="auto"/>
            <w:hideMark/>
          </w:tcPr>
          <w:p w14:paraId="16DED236"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562</w:t>
            </w:r>
          </w:p>
        </w:tc>
        <w:tc>
          <w:tcPr>
            <w:tcW w:w="1135" w:type="dxa"/>
            <w:tcBorders>
              <w:top w:val="nil"/>
              <w:left w:val="nil"/>
              <w:bottom w:val="nil"/>
              <w:right w:val="nil"/>
            </w:tcBorders>
            <w:shd w:val="clear" w:color="auto" w:fill="auto"/>
            <w:hideMark/>
          </w:tcPr>
          <w:p w14:paraId="7D331098" w14:textId="5F685CEB" w:rsidR="004B049F" w:rsidRPr="007F1A6A" w:rsidRDefault="00BF3662"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Pre-post</w:t>
            </w:r>
          </w:p>
        </w:tc>
        <w:tc>
          <w:tcPr>
            <w:tcW w:w="1128" w:type="dxa"/>
            <w:tcBorders>
              <w:top w:val="nil"/>
              <w:left w:val="nil"/>
              <w:bottom w:val="nil"/>
              <w:right w:val="nil"/>
            </w:tcBorders>
            <w:shd w:val="clear" w:color="auto" w:fill="auto"/>
            <w:hideMark/>
          </w:tcPr>
          <w:p w14:paraId="7A28B1C7" w14:textId="77777777" w:rsid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S</w:t>
            </w:r>
            <w:r w:rsidRPr="007F1A6A">
              <w:rPr>
                <w:rFonts w:ascii="Calibri" w:eastAsia="Times New Roman" w:hAnsi="Calibri" w:cs="Calibri"/>
                <w:color w:val="000000"/>
                <w:kern w:val="0"/>
                <w:sz w:val="16"/>
                <w:szCs w:val="16"/>
                <w:lang w:eastAsia="en-AU"/>
                <w14:ligatures w14:val="none"/>
              </w:rPr>
              <w:t xml:space="preserve">ystem performance </w:t>
            </w:r>
            <w:r>
              <w:rPr>
                <w:rFonts w:ascii="Calibri" w:eastAsia="Times New Roman" w:hAnsi="Calibri" w:cs="Calibri"/>
                <w:color w:val="000000"/>
                <w:kern w:val="0"/>
                <w:sz w:val="16"/>
                <w:szCs w:val="16"/>
                <w:lang w:eastAsia="en-AU"/>
                <w14:ligatures w14:val="none"/>
              </w:rPr>
              <w:t>P</w:t>
            </w:r>
            <w:r w:rsidRPr="007F1A6A">
              <w:rPr>
                <w:rFonts w:ascii="Calibri" w:eastAsia="Times New Roman" w:hAnsi="Calibri" w:cs="Calibri"/>
                <w:color w:val="000000"/>
                <w:kern w:val="0"/>
                <w:sz w:val="16"/>
                <w:szCs w:val="16"/>
                <w:lang w:eastAsia="en-AU"/>
                <w14:ligatures w14:val="none"/>
              </w:rPr>
              <w:t>atient outcomes</w:t>
            </w:r>
          </w:p>
          <w:p w14:paraId="2B109327" w14:textId="5AF0770B"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Staff experience</w:t>
            </w:r>
          </w:p>
        </w:tc>
      </w:tr>
      <w:tr w:rsidR="004B049F" w:rsidRPr="00E821F3" w14:paraId="09C57881" w14:textId="77777777" w:rsidTr="00143566">
        <w:trPr>
          <w:cantSplit/>
          <w:trHeight w:val="567"/>
        </w:trPr>
        <w:tc>
          <w:tcPr>
            <w:tcW w:w="1313" w:type="dxa"/>
            <w:tcBorders>
              <w:top w:val="nil"/>
              <w:left w:val="nil"/>
              <w:bottom w:val="nil"/>
              <w:right w:val="nil"/>
            </w:tcBorders>
            <w:shd w:val="clear" w:color="auto" w:fill="auto"/>
            <w:noWrap/>
            <w:hideMark/>
          </w:tcPr>
          <w:p w14:paraId="5718E110" w14:textId="0DE13967"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4B049F">
              <w:rPr>
                <w:sz w:val="16"/>
                <w:szCs w:val="16"/>
              </w:rPr>
              <w:lastRenderedPageBreak/>
              <w:t>Argento et al., 2014, USA</w:t>
            </w:r>
          </w:p>
        </w:tc>
        <w:tc>
          <w:tcPr>
            <w:tcW w:w="1525" w:type="dxa"/>
            <w:tcBorders>
              <w:top w:val="nil"/>
              <w:left w:val="nil"/>
              <w:bottom w:val="nil"/>
              <w:right w:val="nil"/>
            </w:tcBorders>
          </w:tcPr>
          <w:p w14:paraId="4B744F3F" w14:textId="77777777"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p>
        </w:tc>
        <w:tc>
          <w:tcPr>
            <w:tcW w:w="2688" w:type="dxa"/>
            <w:tcBorders>
              <w:top w:val="nil"/>
              <w:left w:val="nil"/>
              <w:bottom w:val="nil"/>
              <w:right w:val="nil"/>
            </w:tcBorders>
            <w:shd w:val="clear" w:color="auto" w:fill="auto"/>
            <w:hideMark/>
          </w:tcPr>
          <w:p w14:paraId="554D2635" w14:textId="50BF06CA"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To report on experiences using APRNs embedded in an established ED</w:t>
            </w:r>
          </w:p>
        </w:tc>
        <w:tc>
          <w:tcPr>
            <w:tcW w:w="3031" w:type="dxa"/>
            <w:tcBorders>
              <w:top w:val="nil"/>
              <w:left w:val="nil"/>
              <w:bottom w:val="nil"/>
              <w:right w:val="nil"/>
            </w:tcBorders>
            <w:shd w:val="clear" w:color="auto" w:fill="auto"/>
            <w:hideMark/>
          </w:tcPr>
          <w:p w14:paraId="1F05AE5A" w14:textId="37FE6D5D" w:rsidR="004B049F" w:rsidRPr="005869EF"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5869EF">
              <w:rPr>
                <w:rFonts w:ascii="Calibri" w:eastAsia="Times New Roman" w:hAnsi="Calibri" w:cs="Calibri"/>
                <w:b/>
                <w:bCs/>
                <w:color w:val="000000"/>
                <w:kern w:val="0"/>
                <w:sz w:val="16"/>
                <w:szCs w:val="16"/>
                <w:lang w:eastAsia="en-AU"/>
                <w14:ligatures w14:val="none"/>
              </w:rPr>
              <w:t>General assessment and multi-faceted care coordination to better address patient needs</w:t>
            </w:r>
          </w:p>
          <w:p w14:paraId="0BBF9799" w14:textId="6B1BA7EA"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Two full</w:t>
            </w:r>
            <w:r>
              <w:rPr>
                <w:rFonts w:ascii="Calibri" w:eastAsia="Times New Roman" w:hAnsi="Calibri" w:cs="Calibri"/>
                <w:color w:val="000000"/>
                <w:kern w:val="0"/>
                <w:sz w:val="16"/>
                <w:szCs w:val="16"/>
                <w:lang w:eastAsia="en-AU"/>
                <w14:ligatures w14:val="none"/>
              </w:rPr>
              <w:t>-</w:t>
            </w:r>
            <w:r w:rsidRPr="007F1A6A">
              <w:rPr>
                <w:rFonts w:ascii="Calibri" w:eastAsia="Times New Roman" w:hAnsi="Calibri" w:cs="Calibri"/>
                <w:color w:val="000000"/>
                <w:kern w:val="0"/>
                <w:sz w:val="16"/>
                <w:szCs w:val="16"/>
                <w:lang w:eastAsia="en-AU"/>
                <w14:ligatures w14:val="none"/>
              </w:rPr>
              <w:t>time equivalent APRN</w:t>
            </w:r>
            <w:r>
              <w:rPr>
                <w:rFonts w:ascii="Calibri" w:eastAsia="Times New Roman" w:hAnsi="Calibri" w:cs="Calibri"/>
                <w:color w:val="000000"/>
                <w:kern w:val="0"/>
                <w:sz w:val="16"/>
                <w:szCs w:val="16"/>
                <w:lang w:eastAsia="en-AU"/>
                <w14:ligatures w14:val="none"/>
              </w:rPr>
              <w:t>s</w:t>
            </w:r>
            <w:r w:rsidRPr="007F1A6A">
              <w:rPr>
                <w:rFonts w:ascii="Calibri" w:eastAsia="Times New Roman" w:hAnsi="Calibri" w:cs="Calibri"/>
                <w:color w:val="000000"/>
                <w:kern w:val="0"/>
                <w:sz w:val="16"/>
                <w:szCs w:val="16"/>
                <w:lang w:eastAsia="en-AU"/>
                <w14:ligatures w14:val="none"/>
              </w:rPr>
              <w:t xml:space="preserve"> who cover the ED seven days a week between the hours of 9AM-7PM. The APRNs are highly visible and carry a dedicated phone line to be reached by the ED staff or patient families. Patients &gt; 65 are screened with the Triage Risk Screening Tool. For any patient over the age of 65 with a Triage Risk Screening Tool score of 2 or higher, the APRN contacts the ED physician or, for patients with private doctors in the community, calls the community doctor directly to request permission to perform an evaluation. The APRN performs a CGA focusing on disposition decision making, acuity of care, and goals of care</w:t>
            </w:r>
          </w:p>
        </w:tc>
        <w:tc>
          <w:tcPr>
            <w:tcW w:w="1128" w:type="dxa"/>
            <w:tcBorders>
              <w:top w:val="nil"/>
              <w:left w:val="nil"/>
              <w:bottom w:val="nil"/>
              <w:right w:val="nil"/>
            </w:tcBorders>
            <w:shd w:val="clear" w:color="auto" w:fill="auto"/>
            <w:hideMark/>
          </w:tcPr>
          <w:p w14:paraId="502781FA"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w:t>
            </w:r>
          </w:p>
        </w:tc>
        <w:tc>
          <w:tcPr>
            <w:tcW w:w="1389" w:type="dxa"/>
            <w:tcBorders>
              <w:top w:val="nil"/>
              <w:left w:val="nil"/>
              <w:bottom w:val="nil"/>
              <w:right w:val="nil"/>
            </w:tcBorders>
            <w:shd w:val="clear" w:color="auto" w:fill="auto"/>
            <w:hideMark/>
          </w:tcPr>
          <w:p w14:paraId="16B232E8" w14:textId="082AF794"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In FY 2012: 1,302 consults;</w:t>
            </w:r>
            <w:r w:rsidRPr="007F1A6A">
              <w:rPr>
                <w:rFonts w:ascii="Calibri" w:eastAsia="Times New Roman" w:hAnsi="Calibri" w:cs="Calibri"/>
                <w:color w:val="000000"/>
                <w:kern w:val="0"/>
                <w:sz w:val="16"/>
                <w:szCs w:val="16"/>
                <w:lang w:eastAsia="en-AU"/>
                <w14:ligatures w14:val="none"/>
              </w:rPr>
              <w:br/>
              <w:t>In FY 2013: 1,660 consults</w:t>
            </w:r>
          </w:p>
        </w:tc>
        <w:tc>
          <w:tcPr>
            <w:tcW w:w="1119" w:type="dxa"/>
            <w:tcBorders>
              <w:top w:val="nil"/>
              <w:left w:val="nil"/>
              <w:bottom w:val="nil"/>
              <w:right w:val="nil"/>
            </w:tcBorders>
            <w:shd w:val="clear" w:color="auto" w:fill="auto"/>
            <w:hideMark/>
          </w:tcPr>
          <w:p w14:paraId="4D57B503" w14:textId="782C70CB"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w:t>
            </w:r>
          </w:p>
        </w:tc>
        <w:tc>
          <w:tcPr>
            <w:tcW w:w="1135" w:type="dxa"/>
            <w:tcBorders>
              <w:top w:val="nil"/>
              <w:left w:val="nil"/>
              <w:bottom w:val="nil"/>
              <w:right w:val="nil"/>
            </w:tcBorders>
            <w:shd w:val="clear" w:color="auto" w:fill="auto"/>
            <w:hideMark/>
          </w:tcPr>
          <w:p w14:paraId="38C81FEA" w14:textId="23625CCE"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Cohort</w:t>
            </w:r>
          </w:p>
        </w:tc>
        <w:tc>
          <w:tcPr>
            <w:tcW w:w="1128" w:type="dxa"/>
            <w:tcBorders>
              <w:top w:val="nil"/>
              <w:left w:val="nil"/>
              <w:bottom w:val="nil"/>
              <w:right w:val="nil"/>
            </w:tcBorders>
            <w:shd w:val="clear" w:color="auto" w:fill="auto"/>
            <w:hideMark/>
          </w:tcPr>
          <w:p w14:paraId="707D1618" w14:textId="5E239D0F"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S</w:t>
            </w:r>
            <w:r w:rsidRPr="007F1A6A">
              <w:rPr>
                <w:rFonts w:ascii="Calibri" w:eastAsia="Times New Roman" w:hAnsi="Calibri" w:cs="Calibri"/>
                <w:color w:val="000000"/>
                <w:kern w:val="0"/>
                <w:sz w:val="16"/>
                <w:szCs w:val="16"/>
                <w:lang w:eastAsia="en-AU"/>
                <w14:ligatures w14:val="none"/>
              </w:rPr>
              <w:t xml:space="preserve">ystem performance </w:t>
            </w:r>
            <w:r>
              <w:rPr>
                <w:rFonts w:ascii="Calibri" w:eastAsia="Times New Roman" w:hAnsi="Calibri" w:cs="Calibri"/>
                <w:color w:val="000000"/>
                <w:kern w:val="0"/>
                <w:sz w:val="16"/>
                <w:szCs w:val="16"/>
                <w:lang w:eastAsia="en-AU"/>
                <w14:ligatures w14:val="none"/>
              </w:rPr>
              <w:t>P</w:t>
            </w:r>
            <w:r w:rsidRPr="007F1A6A">
              <w:rPr>
                <w:rFonts w:ascii="Calibri" w:eastAsia="Times New Roman" w:hAnsi="Calibri" w:cs="Calibri"/>
                <w:color w:val="000000"/>
                <w:kern w:val="0"/>
                <w:sz w:val="16"/>
                <w:szCs w:val="16"/>
                <w:lang w:eastAsia="en-AU"/>
                <w14:ligatures w14:val="none"/>
              </w:rPr>
              <w:t xml:space="preserve">atient outcomes </w:t>
            </w:r>
            <w:r>
              <w:rPr>
                <w:rFonts w:ascii="Calibri" w:eastAsia="Times New Roman" w:hAnsi="Calibri" w:cs="Calibri"/>
                <w:color w:val="000000"/>
                <w:kern w:val="0"/>
                <w:sz w:val="16"/>
                <w:szCs w:val="16"/>
                <w:lang w:eastAsia="en-AU"/>
                <w14:ligatures w14:val="none"/>
              </w:rPr>
              <w:t>P</w:t>
            </w:r>
            <w:r w:rsidRPr="007F1A6A">
              <w:rPr>
                <w:rFonts w:ascii="Calibri" w:eastAsia="Times New Roman" w:hAnsi="Calibri" w:cs="Calibri"/>
                <w:color w:val="000000"/>
                <w:kern w:val="0"/>
                <w:sz w:val="16"/>
                <w:szCs w:val="16"/>
                <w:lang w:eastAsia="en-AU"/>
                <w14:ligatures w14:val="none"/>
              </w:rPr>
              <w:t>atient experiences</w:t>
            </w:r>
          </w:p>
        </w:tc>
      </w:tr>
      <w:tr w:rsidR="004B049F" w:rsidRPr="00E821F3" w14:paraId="357CD9B1" w14:textId="77777777" w:rsidTr="00143566">
        <w:trPr>
          <w:cantSplit/>
          <w:trHeight w:val="567"/>
        </w:trPr>
        <w:tc>
          <w:tcPr>
            <w:tcW w:w="1313" w:type="dxa"/>
            <w:tcBorders>
              <w:top w:val="nil"/>
              <w:left w:val="nil"/>
              <w:bottom w:val="nil"/>
              <w:right w:val="nil"/>
            </w:tcBorders>
            <w:shd w:val="clear" w:color="000000" w:fill="FFFFFF"/>
            <w:noWrap/>
            <w:hideMark/>
          </w:tcPr>
          <w:p w14:paraId="77ACA1FC" w14:textId="56B72E58" w:rsidR="004B049F" w:rsidRPr="004B049F" w:rsidRDefault="004B049F" w:rsidP="004B049F">
            <w:pPr>
              <w:spacing w:after="0" w:line="240" w:lineRule="auto"/>
              <w:rPr>
                <w:rFonts w:ascii="Calibri" w:eastAsia="Times New Roman" w:hAnsi="Calibri" w:cs="Calibri"/>
                <w:kern w:val="0"/>
                <w:sz w:val="16"/>
                <w:szCs w:val="16"/>
                <w:lang w:eastAsia="en-AU"/>
                <w14:ligatures w14:val="none"/>
              </w:rPr>
            </w:pPr>
            <w:r w:rsidRPr="004B049F">
              <w:rPr>
                <w:sz w:val="16"/>
                <w:szCs w:val="16"/>
              </w:rPr>
              <w:t>Basic et al., 2002a, Australia</w:t>
            </w:r>
          </w:p>
        </w:tc>
        <w:tc>
          <w:tcPr>
            <w:tcW w:w="1525" w:type="dxa"/>
            <w:tcBorders>
              <w:top w:val="nil"/>
              <w:left w:val="nil"/>
              <w:bottom w:val="nil"/>
              <w:right w:val="nil"/>
            </w:tcBorders>
            <w:shd w:val="clear" w:color="000000" w:fill="FFFFFF"/>
          </w:tcPr>
          <w:p w14:paraId="53F00032" w14:textId="5DF202A2" w:rsidR="004B049F" w:rsidRPr="007B4871" w:rsidRDefault="004B049F" w:rsidP="004B049F">
            <w:pPr>
              <w:spacing w:after="0" w:line="240" w:lineRule="auto"/>
              <w:rPr>
                <w:rFonts w:ascii="Calibri" w:eastAsia="Times New Roman" w:hAnsi="Calibri" w:cs="Calibri"/>
                <w:kern w:val="0"/>
                <w:sz w:val="16"/>
                <w:szCs w:val="16"/>
                <w:lang w:eastAsia="en-AU"/>
                <w14:ligatures w14:val="none"/>
              </w:rPr>
            </w:pPr>
            <w:r w:rsidRPr="007B4871">
              <w:rPr>
                <w:rFonts w:ascii="Calibri" w:eastAsia="Times New Roman" w:hAnsi="Calibri" w:cs="Calibri"/>
                <w:kern w:val="0"/>
                <w:sz w:val="16"/>
                <w:szCs w:val="16"/>
                <w:lang w:eastAsia="en-AU"/>
                <w14:ligatures w14:val="none"/>
              </w:rPr>
              <w:t> </w:t>
            </w:r>
          </w:p>
        </w:tc>
        <w:tc>
          <w:tcPr>
            <w:tcW w:w="2688" w:type="dxa"/>
            <w:tcBorders>
              <w:top w:val="nil"/>
              <w:left w:val="nil"/>
              <w:bottom w:val="nil"/>
              <w:right w:val="nil"/>
            </w:tcBorders>
            <w:shd w:val="clear" w:color="000000" w:fill="FFFFFF"/>
            <w:hideMark/>
          </w:tcPr>
          <w:p w14:paraId="0CB4C5C8" w14:textId="56CEBB30" w:rsidR="004B049F" w:rsidRPr="007B4871" w:rsidRDefault="004B049F" w:rsidP="004B049F">
            <w:pPr>
              <w:spacing w:after="0" w:line="240" w:lineRule="auto"/>
              <w:rPr>
                <w:rFonts w:ascii="Calibri" w:eastAsia="Times New Roman" w:hAnsi="Calibri" w:cs="Calibri"/>
                <w:kern w:val="0"/>
                <w:sz w:val="16"/>
                <w:szCs w:val="16"/>
                <w:lang w:eastAsia="en-AU"/>
                <w14:ligatures w14:val="none"/>
              </w:rPr>
            </w:pPr>
            <w:r w:rsidRPr="007B4871">
              <w:rPr>
                <w:rFonts w:ascii="Calibri" w:eastAsia="Times New Roman" w:hAnsi="Calibri" w:cs="Calibri"/>
                <w:kern w:val="0"/>
                <w:sz w:val="16"/>
                <w:szCs w:val="16"/>
                <w:lang w:eastAsia="en-AU"/>
                <w14:ligatures w14:val="none"/>
              </w:rPr>
              <w:t>To evaluate the ability of a nurse practitioner in geriatrics, working in the ED of a tertiary referral hospital, to assess high-risk elderly patients comprehensively. A secondary aim was to explore patient characteristics associated with referral to community aged care services</w:t>
            </w:r>
          </w:p>
        </w:tc>
        <w:tc>
          <w:tcPr>
            <w:tcW w:w="3031" w:type="dxa"/>
            <w:tcBorders>
              <w:top w:val="nil"/>
              <w:left w:val="nil"/>
              <w:bottom w:val="nil"/>
              <w:right w:val="nil"/>
            </w:tcBorders>
            <w:shd w:val="clear" w:color="000000" w:fill="FFFFFF"/>
            <w:hideMark/>
          </w:tcPr>
          <w:p w14:paraId="1740E1E1" w14:textId="77777777" w:rsidR="004B049F" w:rsidRPr="0096677B" w:rsidRDefault="004B049F" w:rsidP="004B049F">
            <w:pPr>
              <w:spacing w:after="0" w:line="240" w:lineRule="auto"/>
              <w:rPr>
                <w:rFonts w:ascii="Calibri" w:eastAsia="Times New Roman" w:hAnsi="Calibri" w:cs="Calibri"/>
                <w:b/>
                <w:bCs/>
                <w:kern w:val="0"/>
                <w:sz w:val="16"/>
                <w:szCs w:val="16"/>
                <w:lang w:eastAsia="en-AU"/>
                <w14:ligatures w14:val="none"/>
              </w:rPr>
            </w:pPr>
            <w:r w:rsidRPr="0096677B">
              <w:rPr>
                <w:rFonts w:ascii="Calibri" w:eastAsia="Times New Roman" w:hAnsi="Calibri" w:cs="Calibri"/>
                <w:b/>
                <w:bCs/>
                <w:kern w:val="0"/>
                <w:sz w:val="16"/>
                <w:szCs w:val="16"/>
                <w:lang w:eastAsia="en-AU"/>
                <w14:ligatures w14:val="none"/>
              </w:rPr>
              <w:t>General assessment and multi-faceted care coordination to attenuate functional decline</w:t>
            </w:r>
          </w:p>
          <w:p w14:paraId="0E1439C3" w14:textId="2F263C39" w:rsidR="004B049F" w:rsidRPr="007B4871" w:rsidRDefault="004B049F" w:rsidP="004B049F">
            <w:pPr>
              <w:spacing w:after="0" w:line="240" w:lineRule="auto"/>
              <w:rPr>
                <w:rFonts w:ascii="Calibri" w:eastAsia="Times New Roman" w:hAnsi="Calibri" w:cs="Calibri"/>
                <w:kern w:val="0"/>
                <w:sz w:val="16"/>
                <w:szCs w:val="16"/>
                <w:lang w:eastAsia="en-AU"/>
                <w14:ligatures w14:val="none"/>
              </w:rPr>
            </w:pPr>
            <w:r w:rsidRPr="007B4871">
              <w:rPr>
                <w:rFonts w:ascii="Calibri" w:eastAsia="Times New Roman" w:hAnsi="Calibri" w:cs="Calibri"/>
                <w:kern w:val="0"/>
                <w:sz w:val="16"/>
                <w:szCs w:val="16"/>
                <w:lang w:eastAsia="en-AU"/>
                <w14:ligatures w14:val="none"/>
              </w:rPr>
              <w:t>Emergency department aged care liaison nurse - study patients were assessed by a NP experienced in multidimensional assessment and care of the elderly</w:t>
            </w:r>
          </w:p>
        </w:tc>
        <w:tc>
          <w:tcPr>
            <w:tcW w:w="1128" w:type="dxa"/>
            <w:tcBorders>
              <w:top w:val="nil"/>
              <w:left w:val="nil"/>
              <w:bottom w:val="nil"/>
              <w:right w:val="nil"/>
            </w:tcBorders>
            <w:shd w:val="clear" w:color="000000" w:fill="FFFFFF"/>
            <w:hideMark/>
          </w:tcPr>
          <w:p w14:paraId="38F8B8D8" w14:textId="77777777" w:rsidR="004B049F" w:rsidRPr="007B4871" w:rsidRDefault="004B049F" w:rsidP="004B049F">
            <w:pPr>
              <w:spacing w:after="0" w:line="240" w:lineRule="auto"/>
              <w:jc w:val="right"/>
              <w:rPr>
                <w:rFonts w:ascii="Calibri" w:eastAsia="Times New Roman" w:hAnsi="Calibri" w:cs="Calibri"/>
                <w:kern w:val="0"/>
                <w:sz w:val="16"/>
                <w:szCs w:val="16"/>
                <w:lang w:eastAsia="en-AU"/>
                <w14:ligatures w14:val="none"/>
              </w:rPr>
            </w:pPr>
            <w:r w:rsidRPr="007B4871">
              <w:rPr>
                <w:rFonts w:ascii="Calibri" w:eastAsia="Times New Roman" w:hAnsi="Calibri" w:cs="Calibri"/>
                <w:kern w:val="0"/>
                <w:sz w:val="16"/>
                <w:szCs w:val="16"/>
                <w:lang w:eastAsia="en-AU"/>
                <w14:ligatures w14:val="none"/>
              </w:rPr>
              <w:t>1</w:t>
            </w:r>
          </w:p>
        </w:tc>
        <w:tc>
          <w:tcPr>
            <w:tcW w:w="1389" w:type="dxa"/>
            <w:tcBorders>
              <w:top w:val="nil"/>
              <w:left w:val="nil"/>
              <w:bottom w:val="nil"/>
              <w:right w:val="nil"/>
            </w:tcBorders>
            <w:shd w:val="clear" w:color="000000" w:fill="FFFFFF"/>
            <w:hideMark/>
          </w:tcPr>
          <w:p w14:paraId="38D8097D" w14:textId="77777777" w:rsidR="004B049F" w:rsidRPr="007B4871" w:rsidRDefault="004B049F" w:rsidP="004B049F">
            <w:pPr>
              <w:spacing w:after="0" w:line="240" w:lineRule="auto"/>
              <w:jc w:val="right"/>
              <w:rPr>
                <w:rFonts w:ascii="Calibri" w:eastAsia="Times New Roman" w:hAnsi="Calibri" w:cs="Calibri"/>
                <w:kern w:val="0"/>
                <w:sz w:val="16"/>
                <w:szCs w:val="16"/>
                <w:lang w:eastAsia="en-AU"/>
                <w14:ligatures w14:val="none"/>
              </w:rPr>
            </w:pPr>
            <w:r w:rsidRPr="007B4871">
              <w:rPr>
                <w:rFonts w:ascii="Calibri" w:eastAsia="Times New Roman" w:hAnsi="Calibri" w:cs="Calibri"/>
                <w:kern w:val="0"/>
                <w:sz w:val="16"/>
                <w:szCs w:val="16"/>
                <w:lang w:eastAsia="en-AU"/>
                <w14:ligatures w14:val="none"/>
              </w:rPr>
              <w:t>469</w:t>
            </w:r>
          </w:p>
        </w:tc>
        <w:tc>
          <w:tcPr>
            <w:tcW w:w="1119" w:type="dxa"/>
            <w:tcBorders>
              <w:top w:val="nil"/>
              <w:left w:val="nil"/>
              <w:bottom w:val="nil"/>
              <w:right w:val="nil"/>
            </w:tcBorders>
            <w:shd w:val="clear" w:color="000000" w:fill="FFFFFF"/>
            <w:hideMark/>
          </w:tcPr>
          <w:p w14:paraId="52F0E424" w14:textId="5C29F85B" w:rsidR="004B049F" w:rsidRPr="007B4871" w:rsidRDefault="004B049F" w:rsidP="004B049F">
            <w:pPr>
              <w:spacing w:after="0" w:line="240" w:lineRule="auto"/>
              <w:jc w:val="right"/>
              <w:rPr>
                <w:rFonts w:ascii="Calibri" w:eastAsia="Times New Roman" w:hAnsi="Calibri" w:cs="Calibri"/>
                <w:kern w:val="0"/>
                <w:sz w:val="16"/>
                <w:szCs w:val="16"/>
                <w:lang w:eastAsia="en-AU"/>
                <w14:ligatures w14:val="none"/>
              </w:rPr>
            </w:pPr>
            <w:r w:rsidRPr="007B4871">
              <w:rPr>
                <w:rFonts w:ascii="Calibri" w:eastAsia="Times New Roman" w:hAnsi="Calibri" w:cs="Calibri"/>
                <w:kern w:val="0"/>
                <w:sz w:val="16"/>
                <w:szCs w:val="16"/>
                <w:lang w:eastAsia="en-AU"/>
                <w14:ligatures w14:val="none"/>
              </w:rPr>
              <w:t> -</w:t>
            </w:r>
          </w:p>
        </w:tc>
        <w:tc>
          <w:tcPr>
            <w:tcW w:w="1135" w:type="dxa"/>
            <w:tcBorders>
              <w:top w:val="nil"/>
              <w:left w:val="nil"/>
              <w:bottom w:val="nil"/>
              <w:right w:val="nil"/>
            </w:tcBorders>
            <w:shd w:val="clear" w:color="000000" w:fill="FFFFFF"/>
            <w:hideMark/>
          </w:tcPr>
          <w:p w14:paraId="7E6D09D9" w14:textId="68C613AC" w:rsidR="004B049F" w:rsidRPr="007B4871" w:rsidRDefault="004B049F" w:rsidP="004B049F">
            <w:pPr>
              <w:spacing w:after="0" w:line="240" w:lineRule="auto"/>
              <w:rPr>
                <w:rFonts w:ascii="Calibri" w:eastAsia="Times New Roman" w:hAnsi="Calibri" w:cs="Calibri"/>
                <w:kern w:val="0"/>
                <w:sz w:val="16"/>
                <w:szCs w:val="16"/>
                <w:lang w:eastAsia="en-AU"/>
                <w14:ligatures w14:val="none"/>
              </w:rPr>
            </w:pPr>
            <w:r w:rsidRPr="007B4871">
              <w:rPr>
                <w:rFonts w:ascii="Calibri" w:eastAsia="Times New Roman" w:hAnsi="Calibri" w:cs="Calibri"/>
                <w:kern w:val="0"/>
                <w:sz w:val="16"/>
                <w:szCs w:val="16"/>
                <w:lang w:eastAsia="en-AU"/>
                <w14:ligatures w14:val="none"/>
              </w:rPr>
              <w:t> Descriptive</w:t>
            </w:r>
          </w:p>
        </w:tc>
        <w:tc>
          <w:tcPr>
            <w:tcW w:w="1128" w:type="dxa"/>
            <w:tcBorders>
              <w:top w:val="nil"/>
              <w:left w:val="nil"/>
              <w:bottom w:val="nil"/>
              <w:right w:val="nil"/>
            </w:tcBorders>
            <w:shd w:val="clear" w:color="000000" w:fill="FFFFFF"/>
            <w:hideMark/>
          </w:tcPr>
          <w:p w14:paraId="381FC2B1" w14:textId="77777777" w:rsidR="004B049F" w:rsidRPr="007B4871" w:rsidRDefault="004B049F" w:rsidP="004B049F">
            <w:pPr>
              <w:spacing w:after="0" w:line="240" w:lineRule="auto"/>
              <w:rPr>
                <w:rFonts w:ascii="Calibri" w:eastAsia="Times New Roman" w:hAnsi="Calibri" w:cs="Calibri"/>
                <w:kern w:val="0"/>
                <w:sz w:val="16"/>
                <w:szCs w:val="16"/>
                <w:lang w:eastAsia="en-AU"/>
                <w14:ligatures w14:val="none"/>
              </w:rPr>
            </w:pPr>
            <w:r w:rsidRPr="007B4871">
              <w:rPr>
                <w:rFonts w:ascii="Calibri" w:eastAsia="Times New Roman" w:hAnsi="Calibri" w:cs="Calibri"/>
                <w:kern w:val="0"/>
                <w:sz w:val="16"/>
                <w:szCs w:val="16"/>
                <w:lang w:eastAsia="en-AU"/>
                <w14:ligatures w14:val="none"/>
              </w:rPr>
              <w:t>System performance</w:t>
            </w:r>
          </w:p>
        </w:tc>
      </w:tr>
      <w:tr w:rsidR="004B049F" w:rsidRPr="00E821F3" w14:paraId="02A1AD5A" w14:textId="77777777" w:rsidTr="00143566">
        <w:trPr>
          <w:cantSplit/>
          <w:trHeight w:val="567"/>
        </w:trPr>
        <w:tc>
          <w:tcPr>
            <w:tcW w:w="1313" w:type="dxa"/>
            <w:tcBorders>
              <w:top w:val="nil"/>
              <w:left w:val="nil"/>
              <w:bottom w:val="nil"/>
              <w:right w:val="nil"/>
            </w:tcBorders>
            <w:shd w:val="clear" w:color="auto" w:fill="auto"/>
            <w:noWrap/>
            <w:hideMark/>
          </w:tcPr>
          <w:p w14:paraId="11B82987" w14:textId="3136E4F2"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4B049F">
              <w:rPr>
                <w:sz w:val="16"/>
                <w:szCs w:val="16"/>
              </w:rPr>
              <w:t>Basic et al., 200</w:t>
            </w:r>
            <w:r w:rsidR="00BE4A41">
              <w:rPr>
                <w:sz w:val="16"/>
                <w:szCs w:val="16"/>
              </w:rPr>
              <w:t>5</w:t>
            </w:r>
            <w:r w:rsidRPr="004B049F">
              <w:rPr>
                <w:sz w:val="16"/>
                <w:szCs w:val="16"/>
              </w:rPr>
              <w:t>, Australia</w:t>
            </w:r>
          </w:p>
        </w:tc>
        <w:tc>
          <w:tcPr>
            <w:tcW w:w="1525" w:type="dxa"/>
            <w:tcBorders>
              <w:top w:val="nil"/>
              <w:left w:val="nil"/>
              <w:bottom w:val="nil"/>
              <w:right w:val="nil"/>
            </w:tcBorders>
          </w:tcPr>
          <w:p w14:paraId="54F4A9D0" w14:textId="77777777"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p>
        </w:tc>
        <w:tc>
          <w:tcPr>
            <w:tcW w:w="2688" w:type="dxa"/>
            <w:tcBorders>
              <w:top w:val="nil"/>
              <w:left w:val="nil"/>
              <w:bottom w:val="nil"/>
              <w:right w:val="nil"/>
            </w:tcBorders>
            <w:shd w:val="clear" w:color="auto" w:fill="auto"/>
            <w:hideMark/>
          </w:tcPr>
          <w:p w14:paraId="53EBBD16" w14:textId="16765702"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To determine whether early geriatric assessment (in the form of an aged care nurse intervention based in the ED) reduced admission to the hospital, inpatient LOS, or functional decline during the hospitalisation.</w:t>
            </w:r>
          </w:p>
        </w:tc>
        <w:tc>
          <w:tcPr>
            <w:tcW w:w="3031" w:type="dxa"/>
            <w:tcBorders>
              <w:top w:val="nil"/>
              <w:left w:val="nil"/>
              <w:bottom w:val="nil"/>
              <w:right w:val="nil"/>
            </w:tcBorders>
            <w:shd w:val="clear" w:color="auto" w:fill="auto"/>
            <w:hideMark/>
          </w:tcPr>
          <w:p w14:paraId="7F9A8A67" w14:textId="77777777" w:rsidR="004B049F" w:rsidRPr="0096677B" w:rsidRDefault="004B049F" w:rsidP="004B049F">
            <w:pPr>
              <w:spacing w:after="0" w:line="240" w:lineRule="auto"/>
              <w:rPr>
                <w:rFonts w:ascii="Calibri" w:eastAsia="Times New Roman" w:hAnsi="Calibri" w:cs="Calibri"/>
                <w:b/>
                <w:bCs/>
                <w:kern w:val="0"/>
                <w:sz w:val="16"/>
                <w:szCs w:val="16"/>
                <w:lang w:eastAsia="en-AU"/>
                <w14:ligatures w14:val="none"/>
              </w:rPr>
            </w:pPr>
            <w:r w:rsidRPr="0096677B">
              <w:rPr>
                <w:rFonts w:ascii="Calibri" w:eastAsia="Times New Roman" w:hAnsi="Calibri" w:cs="Calibri"/>
                <w:b/>
                <w:bCs/>
                <w:kern w:val="0"/>
                <w:sz w:val="16"/>
                <w:szCs w:val="16"/>
                <w:lang w:eastAsia="en-AU"/>
                <w14:ligatures w14:val="none"/>
              </w:rPr>
              <w:t>General assessment and multi-faceted care coordination to attenuate functional decline</w:t>
            </w:r>
          </w:p>
          <w:p w14:paraId="15C1D5E1" w14:textId="77777777"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Early geriatric assessment by an aged care nurse and intervention based in the ED</w:t>
            </w:r>
          </w:p>
        </w:tc>
        <w:tc>
          <w:tcPr>
            <w:tcW w:w="1128" w:type="dxa"/>
            <w:tcBorders>
              <w:top w:val="nil"/>
              <w:left w:val="nil"/>
              <w:bottom w:val="nil"/>
              <w:right w:val="nil"/>
            </w:tcBorders>
            <w:shd w:val="clear" w:color="auto" w:fill="auto"/>
            <w:hideMark/>
          </w:tcPr>
          <w:p w14:paraId="4836C6E5"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w:t>
            </w:r>
          </w:p>
        </w:tc>
        <w:tc>
          <w:tcPr>
            <w:tcW w:w="1389" w:type="dxa"/>
            <w:tcBorders>
              <w:top w:val="nil"/>
              <w:left w:val="nil"/>
              <w:bottom w:val="nil"/>
              <w:right w:val="nil"/>
            </w:tcBorders>
            <w:shd w:val="clear" w:color="auto" w:fill="auto"/>
            <w:hideMark/>
          </w:tcPr>
          <w:p w14:paraId="787914D5"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114</w:t>
            </w:r>
          </w:p>
        </w:tc>
        <w:tc>
          <w:tcPr>
            <w:tcW w:w="1119" w:type="dxa"/>
            <w:tcBorders>
              <w:top w:val="nil"/>
              <w:left w:val="nil"/>
              <w:bottom w:val="nil"/>
              <w:right w:val="nil"/>
            </w:tcBorders>
            <w:shd w:val="clear" w:color="auto" w:fill="auto"/>
            <w:hideMark/>
          </w:tcPr>
          <w:p w14:paraId="582120D2"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110</w:t>
            </w:r>
          </w:p>
        </w:tc>
        <w:tc>
          <w:tcPr>
            <w:tcW w:w="1135" w:type="dxa"/>
            <w:tcBorders>
              <w:top w:val="nil"/>
              <w:left w:val="nil"/>
              <w:bottom w:val="nil"/>
              <w:right w:val="nil"/>
            </w:tcBorders>
            <w:shd w:val="clear" w:color="auto" w:fill="auto"/>
            <w:hideMark/>
          </w:tcPr>
          <w:p w14:paraId="09F4F26E" w14:textId="77777777"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RCT</w:t>
            </w:r>
          </w:p>
        </w:tc>
        <w:tc>
          <w:tcPr>
            <w:tcW w:w="1128" w:type="dxa"/>
            <w:tcBorders>
              <w:top w:val="nil"/>
              <w:left w:val="nil"/>
              <w:bottom w:val="nil"/>
              <w:right w:val="nil"/>
            </w:tcBorders>
            <w:shd w:val="clear" w:color="auto" w:fill="auto"/>
            <w:hideMark/>
          </w:tcPr>
          <w:p w14:paraId="15052D25" w14:textId="053D61A7"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S</w:t>
            </w:r>
            <w:r w:rsidRPr="007F1A6A">
              <w:rPr>
                <w:rFonts w:ascii="Calibri" w:eastAsia="Times New Roman" w:hAnsi="Calibri" w:cs="Calibri"/>
                <w:color w:val="000000"/>
                <w:kern w:val="0"/>
                <w:sz w:val="16"/>
                <w:szCs w:val="16"/>
                <w:lang w:eastAsia="en-AU"/>
                <w14:ligatures w14:val="none"/>
              </w:rPr>
              <w:t xml:space="preserve">ystem performance </w:t>
            </w:r>
            <w:r>
              <w:rPr>
                <w:rFonts w:ascii="Calibri" w:eastAsia="Times New Roman" w:hAnsi="Calibri" w:cs="Calibri"/>
                <w:color w:val="000000"/>
                <w:kern w:val="0"/>
                <w:sz w:val="16"/>
                <w:szCs w:val="16"/>
                <w:lang w:eastAsia="en-AU"/>
                <w14:ligatures w14:val="none"/>
              </w:rPr>
              <w:t>P</w:t>
            </w:r>
            <w:r w:rsidRPr="007F1A6A">
              <w:rPr>
                <w:rFonts w:ascii="Calibri" w:eastAsia="Times New Roman" w:hAnsi="Calibri" w:cs="Calibri"/>
                <w:color w:val="000000"/>
                <w:kern w:val="0"/>
                <w:sz w:val="16"/>
                <w:szCs w:val="16"/>
                <w:lang w:eastAsia="en-AU"/>
                <w14:ligatures w14:val="none"/>
              </w:rPr>
              <w:t>atient outcomes</w:t>
            </w:r>
          </w:p>
        </w:tc>
      </w:tr>
      <w:tr w:rsidR="004B049F" w:rsidRPr="00E821F3" w14:paraId="22459861" w14:textId="77777777" w:rsidTr="00143566">
        <w:trPr>
          <w:cantSplit/>
          <w:trHeight w:val="567"/>
        </w:trPr>
        <w:tc>
          <w:tcPr>
            <w:tcW w:w="1313" w:type="dxa"/>
            <w:tcBorders>
              <w:top w:val="nil"/>
              <w:left w:val="nil"/>
              <w:bottom w:val="nil"/>
              <w:right w:val="nil"/>
            </w:tcBorders>
            <w:shd w:val="clear" w:color="auto" w:fill="auto"/>
            <w:noWrap/>
          </w:tcPr>
          <w:p w14:paraId="5B480E26" w14:textId="62EC5CDB"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proofErr w:type="spellStart"/>
            <w:r w:rsidRPr="004B049F">
              <w:rPr>
                <w:sz w:val="16"/>
                <w:szCs w:val="16"/>
              </w:rPr>
              <w:t>Beauchet</w:t>
            </w:r>
            <w:proofErr w:type="spellEnd"/>
            <w:r w:rsidRPr="004B049F">
              <w:rPr>
                <w:sz w:val="16"/>
                <w:szCs w:val="16"/>
              </w:rPr>
              <w:t xml:space="preserve"> et al., 2021, Canada</w:t>
            </w:r>
          </w:p>
        </w:tc>
        <w:tc>
          <w:tcPr>
            <w:tcW w:w="1525" w:type="dxa"/>
            <w:tcBorders>
              <w:top w:val="nil"/>
              <w:left w:val="nil"/>
              <w:bottom w:val="nil"/>
              <w:right w:val="nil"/>
            </w:tcBorders>
          </w:tcPr>
          <w:p w14:paraId="7653A8D5" w14:textId="77777777"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p>
        </w:tc>
        <w:tc>
          <w:tcPr>
            <w:tcW w:w="2688" w:type="dxa"/>
            <w:tcBorders>
              <w:top w:val="nil"/>
              <w:left w:val="nil"/>
              <w:bottom w:val="nil"/>
              <w:right w:val="nil"/>
            </w:tcBorders>
            <w:shd w:val="clear" w:color="auto" w:fill="auto"/>
          </w:tcPr>
          <w:p w14:paraId="0280FC34" w14:textId="5412246D"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 xml:space="preserve">To examine whether the use of ER2 tool in daily ED practice reduce the length of stay in ED and hospital, and hospitalisation in </w:t>
            </w:r>
            <w:r w:rsidR="00260D46">
              <w:rPr>
                <w:rFonts w:ascii="Calibri" w:eastAsia="Times New Roman" w:hAnsi="Calibri" w:cs="Calibri"/>
                <w:color w:val="000000"/>
                <w:kern w:val="0"/>
                <w:sz w:val="16"/>
                <w:szCs w:val="16"/>
                <w:lang w:eastAsia="en-AU"/>
                <w14:ligatures w14:val="none"/>
              </w:rPr>
              <w:t>older adults</w:t>
            </w:r>
            <w:r w:rsidRPr="007F1A6A">
              <w:rPr>
                <w:rFonts w:ascii="Calibri" w:eastAsia="Times New Roman" w:hAnsi="Calibri" w:cs="Calibri"/>
                <w:color w:val="000000"/>
                <w:kern w:val="0"/>
                <w:sz w:val="16"/>
                <w:szCs w:val="16"/>
                <w:lang w:eastAsia="en-AU"/>
                <w14:ligatures w14:val="none"/>
              </w:rPr>
              <w:t xml:space="preserve"> visiting ED on stretcher.</w:t>
            </w:r>
          </w:p>
        </w:tc>
        <w:tc>
          <w:tcPr>
            <w:tcW w:w="3031" w:type="dxa"/>
            <w:tcBorders>
              <w:top w:val="nil"/>
              <w:left w:val="nil"/>
              <w:bottom w:val="nil"/>
              <w:right w:val="nil"/>
            </w:tcBorders>
            <w:shd w:val="clear" w:color="auto" w:fill="auto"/>
          </w:tcPr>
          <w:p w14:paraId="088223B3" w14:textId="77777777" w:rsidR="004B049F" w:rsidRPr="00BE4CC1"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BE4CC1">
              <w:rPr>
                <w:rFonts w:ascii="Calibri" w:eastAsia="Times New Roman" w:hAnsi="Calibri" w:cs="Calibri"/>
                <w:b/>
                <w:bCs/>
                <w:color w:val="000000"/>
                <w:kern w:val="0"/>
                <w:sz w:val="16"/>
                <w:szCs w:val="16"/>
                <w:lang w:eastAsia="en-AU"/>
                <w14:ligatures w14:val="none"/>
              </w:rPr>
              <w:t>General assessment and multi-faceted care coordination to reduce avoidable hospital admissions and/or LOS and/or improve ED flow</w:t>
            </w:r>
          </w:p>
          <w:p w14:paraId="2957FE14" w14:textId="5809BDEC"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 xml:space="preserve">ER2 is a validated clinical tool which screens </w:t>
            </w:r>
            <w:r w:rsidR="00260D46">
              <w:rPr>
                <w:rFonts w:ascii="Calibri" w:eastAsia="Times New Roman" w:hAnsi="Calibri" w:cs="Calibri"/>
                <w:color w:val="000000"/>
                <w:kern w:val="0"/>
                <w:sz w:val="16"/>
                <w:szCs w:val="16"/>
                <w:lang w:eastAsia="en-AU"/>
                <w14:ligatures w14:val="none"/>
              </w:rPr>
              <w:t>older adults</w:t>
            </w:r>
            <w:r w:rsidRPr="007F1A6A">
              <w:rPr>
                <w:rFonts w:ascii="Calibri" w:eastAsia="Times New Roman" w:hAnsi="Calibri" w:cs="Calibri"/>
                <w:color w:val="000000"/>
                <w:kern w:val="0"/>
                <w:sz w:val="16"/>
                <w:szCs w:val="16"/>
                <w:lang w:eastAsia="en-AU"/>
                <w14:ligatures w14:val="none"/>
              </w:rPr>
              <w:t xml:space="preserve"> visiting ED at high risk of hospitalisation and long LOS in ED. In addition to its assessment part, ER2 has an intervention part based on tailor-made geriatric recommendations for improved ED care</w:t>
            </w:r>
          </w:p>
        </w:tc>
        <w:tc>
          <w:tcPr>
            <w:tcW w:w="1128" w:type="dxa"/>
            <w:tcBorders>
              <w:top w:val="nil"/>
              <w:left w:val="nil"/>
              <w:bottom w:val="nil"/>
              <w:right w:val="nil"/>
            </w:tcBorders>
            <w:shd w:val="clear" w:color="auto" w:fill="auto"/>
          </w:tcPr>
          <w:p w14:paraId="2FBB1F09" w14:textId="5C6D386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w:t>
            </w:r>
          </w:p>
        </w:tc>
        <w:tc>
          <w:tcPr>
            <w:tcW w:w="1389" w:type="dxa"/>
            <w:tcBorders>
              <w:top w:val="nil"/>
              <w:left w:val="nil"/>
              <w:bottom w:val="nil"/>
              <w:right w:val="nil"/>
            </w:tcBorders>
            <w:shd w:val="clear" w:color="auto" w:fill="auto"/>
          </w:tcPr>
          <w:p w14:paraId="38A2579D" w14:textId="6519AF7E"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1,698</w:t>
            </w:r>
          </w:p>
        </w:tc>
        <w:tc>
          <w:tcPr>
            <w:tcW w:w="1119" w:type="dxa"/>
            <w:tcBorders>
              <w:top w:val="nil"/>
              <w:left w:val="nil"/>
              <w:bottom w:val="nil"/>
              <w:right w:val="nil"/>
            </w:tcBorders>
            <w:shd w:val="clear" w:color="auto" w:fill="auto"/>
          </w:tcPr>
          <w:p w14:paraId="4707F67B" w14:textId="256E5A14"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2,233</w:t>
            </w:r>
          </w:p>
        </w:tc>
        <w:tc>
          <w:tcPr>
            <w:tcW w:w="1135" w:type="dxa"/>
            <w:tcBorders>
              <w:top w:val="nil"/>
              <w:left w:val="nil"/>
              <w:bottom w:val="nil"/>
              <w:right w:val="nil"/>
            </w:tcBorders>
            <w:shd w:val="clear" w:color="auto" w:fill="auto"/>
          </w:tcPr>
          <w:p w14:paraId="17879B5C" w14:textId="15827AEC"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Quasi-experimental</w:t>
            </w:r>
          </w:p>
        </w:tc>
        <w:tc>
          <w:tcPr>
            <w:tcW w:w="1128" w:type="dxa"/>
            <w:tcBorders>
              <w:top w:val="nil"/>
              <w:left w:val="nil"/>
              <w:bottom w:val="nil"/>
              <w:right w:val="nil"/>
            </w:tcBorders>
            <w:shd w:val="clear" w:color="auto" w:fill="auto"/>
          </w:tcPr>
          <w:p w14:paraId="485FE79F" w14:textId="49B2786A" w:rsid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S</w:t>
            </w:r>
            <w:r w:rsidRPr="007F1A6A">
              <w:rPr>
                <w:rFonts w:ascii="Calibri" w:eastAsia="Times New Roman" w:hAnsi="Calibri" w:cs="Calibri"/>
                <w:color w:val="000000"/>
                <w:kern w:val="0"/>
                <w:sz w:val="16"/>
                <w:szCs w:val="16"/>
                <w:lang w:eastAsia="en-AU"/>
                <w14:ligatures w14:val="none"/>
              </w:rPr>
              <w:t xml:space="preserve">ystem performance </w:t>
            </w:r>
            <w:r>
              <w:rPr>
                <w:rFonts w:ascii="Calibri" w:eastAsia="Times New Roman" w:hAnsi="Calibri" w:cs="Calibri"/>
                <w:color w:val="000000"/>
                <w:kern w:val="0"/>
                <w:sz w:val="16"/>
                <w:szCs w:val="16"/>
                <w:lang w:eastAsia="en-AU"/>
                <w14:ligatures w14:val="none"/>
              </w:rPr>
              <w:t>P</w:t>
            </w:r>
            <w:r w:rsidRPr="007F1A6A">
              <w:rPr>
                <w:rFonts w:ascii="Calibri" w:eastAsia="Times New Roman" w:hAnsi="Calibri" w:cs="Calibri"/>
                <w:color w:val="000000"/>
                <w:kern w:val="0"/>
                <w:sz w:val="16"/>
                <w:szCs w:val="16"/>
                <w:lang w:eastAsia="en-AU"/>
                <w14:ligatures w14:val="none"/>
              </w:rPr>
              <w:t>atient outcomes</w:t>
            </w:r>
          </w:p>
        </w:tc>
      </w:tr>
      <w:tr w:rsidR="004B049F" w:rsidRPr="00E821F3" w14:paraId="53D07A5F" w14:textId="77777777" w:rsidTr="00143566">
        <w:trPr>
          <w:cantSplit/>
          <w:trHeight w:val="567"/>
        </w:trPr>
        <w:tc>
          <w:tcPr>
            <w:tcW w:w="1313" w:type="dxa"/>
            <w:tcBorders>
              <w:top w:val="nil"/>
              <w:left w:val="nil"/>
              <w:bottom w:val="nil"/>
              <w:right w:val="nil"/>
            </w:tcBorders>
            <w:shd w:val="clear" w:color="auto" w:fill="auto"/>
            <w:noWrap/>
            <w:hideMark/>
          </w:tcPr>
          <w:p w14:paraId="0F83FF0F" w14:textId="12E2E6BA"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proofErr w:type="spellStart"/>
            <w:r w:rsidRPr="004B049F">
              <w:rPr>
                <w:sz w:val="16"/>
                <w:szCs w:val="16"/>
              </w:rPr>
              <w:lastRenderedPageBreak/>
              <w:t>Beauchet</w:t>
            </w:r>
            <w:proofErr w:type="spellEnd"/>
            <w:r w:rsidRPr="004B049F">
              <w:rPr>
                <w:sz w:val="16"/>
                <w:szCs w:val="16"/>
              </w:rPr>
              <w:t xml:space="preserve"> et al., 2022, Canada</w:t>
            </w:r>
          </w:p>
        </w:tc>
        <w:tc>
          <w:tcPr>
            <w:tcW w:w="1525" w:type="dxa"/>
            <w:tcBorders>
              <w:top w:val="nil"/>
              <w:left w:val="nil"/>
              <w:bottom w:val="nil"/>
              <w:right w:val="nil"/>
            </w:tcBorders>
          </w:tcPr>
          <w:p w14:paraId="537CFD2E" w14:textId="285BF657"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N</w:t>
            </w:r>
            <w:r w:rsidRPr="007F1A6A">
              <w:rPr>
                <w:rFonts w:ascii="Calibri" w:eastAsia="Times New Roman" w:hAnsi="Calibri" w:cs="Calibri"/>
                <w:color w:val="000000"/>
                <w:kern w:val="0"/>
                <w:sz w:val="16"/>
                <w:szCs w:val="16"/>
                <w:lang w:eastAsia="en-AU"/>
                <w14:ligatures w14:val="none"/>
              </w:rPr>
              <w:t>eurocognitive disorders</w:t>
            </w:r>
          </w:p>
        </w:tc>
        <w:tc>
          <w:tcPr>
            <w:tcW w:w="2688" w:type="dxa"/>
            <w:tcBorders>
              <w:top w:val="nil"/>
              <w:left w:val="nil"/>
              <w:bottom w:val="nil"/>
              <w:right w:val="nil"/>
            </w:tcBorders>
            <w:shd w:val="clear" w:color="auto" w:fill="auto"/>
            <w:hideMark/>
          </w:tcPr>
          <w:p w14:paraId="0BF77C30" w14:textId="76024474"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 xml:space="preserve">To examine whether the ER2 tool recommendations were associated with incident hospital admissions and LOS in ED in </w:t>
            </w:r>
            <w:r w:rsidR="00260D46">
              <w:rPr>
                <w:rFonts w:ascii="Calibri" w:eastAsia="Times New Roman" w:hAnsi="Calibri" w:cs="Calibri"/>
                <w:color w:val="000000"/>
                <w:kern w:val="0"/>
                <w:sz w:val="16"/>
                <w:szCs w:val="16"/>
                <w:lang w:eastAsia="en-AU"/>
                <w14:ligatures w14:val="none"/>
              </w:rPr>
              <w:t>older adults</w:t>
            </w:r>
            <w:r w:rsidRPr="007F1A6A">
              <w:rPr>
                <w:rFonts w:ascii="Calibri" w:eastAsia="Times New Roman" w:hAnsi="Calibri" w:cs="Calibri"/>
                <w:color w:val="000000"/>
                <w:kern w:val="0"/>
                <w:sz w:val="16"/>
                <w:szCs w:val="16"/>
                <w:lang w:eastAsia="en-AU"/>
                <w14:ligatures w14:val="none"/>
              </w:rPr>
              <w:t xml:space="preserve"> with major neurocognitive disorders</w:t>
            </w:r>
            <w:r>
              <w:rPr>
                <w:rFonts w:ascii="Calibri" w:eastAsia="Times New Roman" w:hAnsi="Calibri" w:cs="Calibri"/>
                <w:color w:val="000000"/>
                <w:kern w:val="0"/>
                <w:sz w:val="16"/>
                <w:szCs w:val="16"/>
                <w:lang w:eastAsia="en-AU"/>
                <w14:ligatures w14:val="none"/>
              </w:rPr>
              <w:t xml:space="preserve"> </w:t>
            </w:r>
            <w:r w:rsidRPr="007F1A6A">
              <w:rPr>
                <w:rFonts w:ascii="Calibri" w:eastAsia="Times New Roman" w:hAnsi="Calibri" w:cs="Calibri"/>
                <w:color w:val="000000"/>
                <w:kern w:val="0"/>
                <w:sz w:val="16"/>
                <w:szCs w:val="16"/>
                <w:lang w:eastAsia="en-AU"/>
                <w14:ligatures w14:val="none"/>
              </w:rPr>
              <w:t>visiting ED.</w:t>
            </w:r>
          </w:p>
        </w:tc>
        <w:tc>
          <w:tcPr>
            <w:tcW w:w="3031" w:type="dxa"/>
            <w:tcBorders>
              <w:top w:val="nil"/>
              <w:left w:val="nil"/>
              <w:bottom w:val="nil"/>
              <w:right w:val="nil"/>
            </w:tcBorders>
            <w:shd w:val="clear" w:color="auto" w:fill="auto"/>
            <w:hideMark/>
          </w:tcPr>
          <w:p w14:paraId="5A8BA706" w14:textId="77777777" w:rsidR="004B049F" w:rsidRPr="00BE4CC1"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BE4CC1">
              <w:rPr>
                <w:rFonts w:ascii="Calibri" w:eastAsia="Times New Roman" w:hAnsi="Calibri" w:cs="Calibri"/>
                <w:b/>
                <w:bCs/>
                <w:color w:val="000000"/>
                <w:kern w:val="0"/>
                <w:sz w:val="16"/>
                <w:szCs w:val="16"/>
                <w:lang w:eastAsia="en-AU"/>
                <w14:ligatures w14:val="none"/>
              </w:rPr>
              <w:t>General assessment and multi-faceted care coordination to reduce avoidable hospital admissions and/or LOS and/or improve ED flow</w:t>
            </w:r>
          </w:p>
          <w:p w14:paraId="3063F662" w14:textId="0474E4B5"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 xml:space="preserve">ER2 is a validated clinical tool which screens </w:t>
            </w:r>
            <w:r w:rsidR="00260D46">
              <w:rPr>
                <w:rFonts w:ascii="Calibri" w:eastAsia="Times New Roman" w:hAnsi="Calibri" w:cs="Calibri"/>
                <w:color w:val="000000"/>
                <w:kern w:val="0"/>
                <w:sz w:val="16"/>
                <w:szCs w:val="16"/>
                <w:lang w:eastAsia="en-AU"/>
                <w14:ligatures w14:val="none"/>
              </w:rPr>
              <w:t>older adults</w:t>
            </w:r>
            <w:r w:rsidRPr="007F1A6A">
              <w:rPr>
                <w:rFonts w:ascii="Calibri" w:eastAsia="Times New Roman" w:hAnsi="Calibri" w:cs="Calibri"/>
                <w:color w:val="000000"/>
                <w:kern w:val="0"/>
                <w:sz w:val="16"/>
                <w:szCs w:val="16"/>
                <w:lang w:eastAsia="en-AU"/>
                <w14:ligatures w14:val="none"/>
              </w:rPr>
              <w:t xml:space="preserve"> visiting ED at high risk of hospitalisation and long LOS in ED. In addition to its assessment part, ER2 has an intervention part based on tailor-made geriatric recommendations for improved ED care</w:t>
            </w:r>
          </w:p>
        </w:tc>
        <w:tc>
          <w:tcPr>
            <w:tcW w:w="1128" w:type="dxa"/>
            <w:tcBorders>
              <w:top w:val="nil"/>
              <w:left w:val="nil"/>
              <w:bottom w:val="nil"/>
              <w:right w:val="nil"/>
            </w:tcBorders>
            <w:shd w:val="clear" w:color="auto" w:fill="auto"/>
            <w:hideMark/>
          </w:tcPr>
          <w:p w14:paraId="05EFE93E"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w:t>
            </w:r>
          </w:p>
        </w:tc>
        <w:tc>
          <w:tcPr>
            <w:tcW w:w="1389" w:type="dxa"/>
            <w:tcBorders>
              <w:top w:val="nil"/>
              <w:left w:val="nil"/>
              <w:bottom w:val="nil"/>
              <w:right w:val="nil"/>
            </w:tcBorders>
            <w:shd w:val="clear" w:color="auto" w:fill="auto"/>
            <w:hideMark/>
          </w:tcPr>
          <w:p w14:paraId="5FD3A89E"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169</w:t>
            </w:r>
          </w:p>
        </w:tc>
        <w:tc>
          <w:tcPr>
            <w:tcW w:w="1119" w:type="dxa"/>
            <w:tcBorders>
              <w:top w:val="nil"/>
              <w:left w:val="nil"/>
              <w:bottom w:val="nil"/>
              <w:right w:val="nil"/>
            </w:tcBorders>
            <w:shd w:val="clear" w:color="auto" w:fill="auto"/>
            <w:hideMark/>
          </w:tcPr>
          <w:p w14:paraId="55F89EF9"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187</w:t>
            </w:r>
          </w:p>
        </w:tc>
        <w:tc>
          <w:tcPr>
            <w:tcW w:w="1135" w:type="dxa"/>
            <w:tcBorders>
              <w:top w:val="nil"/>
              <w:left w:val="nil"/>
              <w:bottom w:val="nil"/>
              <w:right w:val="nil"/>
            </w:tcBorders>
            <w:shd w:val="clear" w:color="auto" w:fill="auto"/>
            <w:hideMark/>
          </w:tcPr>
          <w:p w14:paraId="3DF78DAD" w14:textId="749814AF"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Quasi-experimental</w:t>
            </w:r>
          </w:p>
        </w:tc>
        <w:tc>
          <w:tcPr>
            <w:tcW w:w="1128" w:type="dxa"/>
            <w:tcBorders>
              <w:top w:val="nil"/>
              <w:left w:val="nil"/>
              <w:bottom w:val="nil"/>
              <w:right w:val="nil"/>
            </w:tcBorders>
            <w:shd w:val="clear" w:color="auto" w:fill="auto"/>
            <w:hideMark/>
          </w:tcPr>
          <w:p w14:paraId="5D02E9CE" w14:textId="5F8CE877"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S</w:t>
            </w:r>
            <w:r w:rsidRPr="007F1A6A">
              <w:rPr>
                <w:rFonts w:ascii="Calibri" w:eastAsia="Times New Roman" w:hAnsi="Calibri" w:cs="Calibri"/>
                <w:color w:val="000000"/>
                <w:kern w:val="0"/>
                <w:sz w:val="16"/>
                <w:szCs w:val="16"/>
                <w:lang w:eastAsia="en-AU"/>
                <w14:ligatures w14:val="none"/>
              </w:rPr>
              <w:t xml:space="preserve">ystem performance </w:t>
            </w:r>
            <w:r>
              <w:rPr>
                <w:rFonts w:ascii="Calibri" w:eastAsia="Times New Roman" w:hAnsi="Calibri" w:cs="Calibri"/>
                <w:color w:val="000000"/>
                <w:kern w:val="0"/>
                <w:sz w:val="16"/>
                <w:szCs w:val="16"/>
                <w:lang w:eastAsia="en-AU"/>
                <w14:ligatures w14:val="none"/>
              </w:rPr>
              <w:t>P</w:t>
            </w:r>
            <w:r w:rsidRPr="007F1A6A">
              <w:rPr>
                <w:rFonts w:ascii="Calibri" w:eastAsia="Times New Roman" w:hAnsi="Calibri" w:cs="Calibri"/>
                <w:color w:val="000000"/>
                <w:kern w:val="0"/>
                <w:sz w:val="16"/>
                <w:szCs w:val="16"/>
                <w:lang w:eastAsia="en-AU"/>
                <w14:ligatures w14:val="none"/>
              </w:rPr>
              <w:t>atient outcomes</w:t>
            </w:r>
          </w:p>
        </w:tc>
      </w:tr>
      <w:tr w:rsidR="004B049F" w:rsidRPr="00E821F3" w14:paraId="33964162" w14:textId="77777777" w:rsidTr="00143566">
        <w:trPr>
          <w:cantSplit/>
          <w:trHeight w:val="567"/>
        </w:trPr>
        <w:tc>
          <w:tcPr>
            <w:tcW w:w="1313" w:type="dxa"/>
            <w:tcBorders>
              <w:top w:val="nil"/>
              <w:left w:val="nil"/>
              <w:bottom w:val="nil"/>
              <w:right w:val="nil"/>
            </w:tcBorders>
            <w:shd w:val="clear" w:color="auto" w:fill="auto"/>
            <w:noWrap/>
            <w:hideMark/>
          </w:tcPr>
          <w:p w14:paraId="601A0925" w14:textId="739AB81C"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proofErr w:type="spellStart"/>
            <w:r w:rsidRPr="004B049F">
              <w:rPr>
                <w:sz w:val="16"/>
                <w:szCs w:val="16"/>
              </w:rPr>
              <w:t>Blomaard</w:t>
            </w:r>
            <w:proofErr w:type="spellEnd"/>
            <w:r w:rsidRPr="004B049F">
              <w:rPr>
                <w:sz w:val="16"/>
                <w:szCs w:val="16"/>
              </w:rPr>
              <w:t xml:space="preserve"> et al., 2021a, The Netherlands</w:t>
            </w:r>
          </w:p>
        </w:tc>
        <w:tc>
          <w:tcPr>
            <w:tcW w:w="1525" w:type="dxa"/>
            <w:tcBorders>
              <w:top w:val="nil"/>
              <w:left w:val="nil"/>
              <w:bottom w:val="nil"/>
              <w:right w:val="nil"/>
            </w:tcBorders>
          </w:tcPr>
          <w:p w14:paraId="700E84C5" w14:textId="6B063A40"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w:t>
            </w:r>
          </w:p>
        </w:tc>
        <w:tc>
          <w:tcPr>
            <w:tcW w:w="2688" w:type="dxa"/>
            <w:tcBorders>
              <w:top w:val="nil"/>
              <w:left w:val="nil"/>
              <w:bottom w:val="nil"/>
              <w:right w:val="nil"/>
            </w:tcBorders>
            <w:shd w:val="clear" w:color="auto" w:fill="auto"/>
            <w:hideMark/>
          </w:tcPr>
          <w:p w14:paraId="11898A6F" w14:textId="0D449716"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 xml:space="preserve">To evaluate the effects of implementation of the APOP screening program for </w:t>
            </w:r>
            <w:r w:rsidR="00260D46">
              <w:rPr>
                <w:rFonts w:ascii="Calibri" w:eastAsia="Times New Roman" w:hAnsi="Calibri" w:cs="Calibri"/>
                <w:color w:val="000000"/>
                <w:kern w:val="0"/>
                <w:sz w:val="16"/>
                <w:szCs w:val="16"/>
                <w:lang w:eastAsia="en-AU"/>
                <w14:ligatures w14:val="none"/>
              </w:rPr>
              <w:t>older adults</w:t>
            </w:r>
            <w:r w:rsidRPr="007F1A6A">
              <w:rPr>
                <w:rFonts w:ascii="Calibri" w:eastAsia="Times New Roman" w:hAnsi="Calibri" w:cs="Calibri"/>
                <w:color w:val="000000"/>
                <w:kern w:val="0"/>
                <w:sz w:val="16"/>
                <w:szCs w:val="16"/>
                <w:lang w:eastAsia="en-AU"/>
                <w14:ligatures w14:val="none"/>
              </w:rPr>
              <w:t xml:space="preserve"> in routine ED care shortly after implementation.</w:t>
            </w:r>
          </w:p>
        </w:tc>
        <w:tc>
          <w:tcPr>
            <w:tcW w:w="3031" w:type="dxa"/>
            <w:tcBorders>
              <w:top w:val="nil"/>
              <w:left w:val="nil"/>
              <w:bottom w:val="nil"/>
              <w:right w:val="nil"/>
            </w:tcBorders>
            <w:shd w:val="clear" w:color="auto" w:fill="auto"/>
            <w:hideMark/>
          </w:tcPr>
          <w:p w14:paraId="7EB08A2D" w14:textId="77777777" w:rsidR="004B049F" w:rsidRPr="00BE4CC1"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BE4CC1">
              <w:rPr>
                <w:rFonts w:ascii="Calibri" w:eastAsia="Times New Roman" w:hAnsi="Calibri" w:cs="Calibri"/>
                <w:b/>
                <w:bCs/>
                <w:color w:val="000000"/>
                <w:kern w:val="0"/>
                <w:sz w:val="16"/>
                <w:szCs w:val="16"/>
                <w:lang w:eastAsia="en-AU"/>
                <w14:ligatures w14:val="none"/>
              </w:rPr>
              <w:t>General assessment and multi-faceted care coordination to reduce avoidable hospital admissions and/or LOS and/or improve ED flow</w:t>
            </w:r>
          </w:p>
          <w:p w14:paraId="64907301" w14:textId="05327562"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 xml:space="preserve">The APOP screening program consists of three parts: (1) screening </w:t>
            </w:r>
            <w:r w:rsidR="00260D46">
              <w:rPr>
                <w:rFonts w:ascii="Calibri" w:eastAsia="Times New Roman" w:hAnsi="Calibri" w:cs="Calibri"/>
                <w:color w:val="000000"/>
                <w:kern w:val="0"/>
                <w:sz w:val="16"/>
                <w:szCs w:val="16"/>
                <w:lang w:eastAsia="en-AU"/>
                <w14:ligatures w14:val="none"/>
              </w:rPr>
              <w:t>older adults</w:t>
            </w:r>
            <w:r w:rsidRPr="007F1A6A">
              <w:rPr>
                <w:rFonts w:ascii="Calibri" w:eastAsia="Times New Roman" w:hAnsi="Calibri" w:cs="Calibri"/>
                <w:color w:val="000000"/>
                <w:kern w:val="0"/>
                <w:sz w:val="16"/>
                <w:szCs w:val="16"/>
                <w:lang w:eastAsia="en-AU"/>
                <w14:ligatures w14:val="none"/>
              </w:rPr>
              <w:t xml:space="preserve"> for risk of functional decline/mortality and signs of impaired cognition; (2) targeted interventions for high-risk patients in the ED; and (3) interventions for high-risk patients who are hospitalised or discharged home</w:t>
            </w:r>
          </w:p>
        </w:tc>
        <w:tc>
          <w:tcPr>
            <w:tcW w:w="1128" w:type="dxa"/>
            <w:tcBorders>
              <w:top w:val="nil"/>
              <w:left w:val="nil"/>
              <w:bottom w:val="nil"/>
              <w:right w:val="nil"/>
            </w:tcBorders>
            <w:shd w:val="clear" w:color="auto" w:fill="auto"/>
            <w:hideMark/>
          </w:tcPr>
          <w:p w14:paraId="1498CD6D"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w:t>
            </w:r>
          </w:p>
        </w:tc>
        <w:tc>
          <w:tcPr>
            <w:tcW w:w="1389" w:type="dxa"/>
            <w:tcBorders>
              <w:top w:val="nil"/>
              <w:left w:val="nil"/>
              <w:bottom w:val="nil"/>
              <w:right w:val="nil"/>
            </w:tcBorders>
            <w:shd w:val="clear" w:color="auto" w:fill="auto"/>
            <w:hideMark/>
          </w:tcPr>
          <w:p w14:paraId="450D7CD4"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953</w:t>
            </w:r>
          </w:p>
        </w:tc>
        <w:tc>
          <w:tcPr>
            <w:tcW w:w="1119" w:type="dxa"/>
            <w:tcBorders>
              <w:top w:val="nil"/>
              <w:left w:val="nil"/>
              <w:bottom w:val="nil"/>
              <w:right w:val="nil"/>
            </w:tcBorders>
            <w:shd w:val="clear" w:color="auto" w:fill="auto"/>
            <w:hideMark/>
          </w:tcPr>
          <w:p w14:paraId="317AADA1"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920</w:t>
            </w:r>
          </w:p>
        </w:tc>
        <w:tc>
          <w:tcPr>
            <w:tcW w:w="1135" w:type="dxa"/>
            <w:tcBorders>
              <w:top w:val="nil"/>
              <w:left w:val="nil"/>
              <w:bottom w:val="nil"/>
              <w:right w:val="nil"/>
            </w:tcBorders>
            <w:shd w:val="clear" w:color="auto" w:fill="auto"/>
            <w:hideMark/>
          </w:tcPr>
          <w:p w14:paraId="4A63C072" w14:textId="54A18EDE"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Quasi-experimental</w:t>
            </w:r>
          </w:p>
        </w:tc>
        <w:tc>
          <w:tcPr>
            <w:tcW w:w="1128" w:type="dxa"/>
            <w:tcBorders>
              <w:top w:val="nil"/>
              <w:left w:val="nil"/>
              <w:bottom w:val="nil"/>
              <w:right w:val="nil"/>
            </w:tcBorders>
            <w:shd w:val="clear" w:color="auto" w:fill="auto"/>
            <w:hideMark/>
          </w:tcPr>
          <w:p w14:paraId="6FDAAFC6" w14:textId="00D49A24"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S</w:t>
            </w:r>
            <w:r w:rsidRPr="007F1A6A">
              <w:rPr>
                <w:rFonts w:ascii="Calibri" w:eastAsia="Times New Roman" w:hAnsi="Calibri" w:cs="Calibri"/>
                <w:color w:val="000000"/>
                <w:kern w:val="0"/>
                <w:sz w:val="16"/>
                <w:szCs w:val="16"/>
                <w:lang w:eastAsia="en-AU"/>
                <w14:ligatures w14:val="none"/>
              </w:rPr>
              <w:t xml:space="preserve">ystem performance </w:t>
            </w:r>
            <w:r>
              <w:rPr>
                <w:rFonts w:ascii="Calibri" w:eastAsia="Times New Roman" w:hAnsi="Calibri" w:cs="Calibri"/>
                <w:color w:val="000000"/>
                <w:kern w:val="0"/>
                <w:sz w:val="16"/>
                <w:szCs w:val="16"/>
                <w:lang w:eastAsia="en-AU"/>
                <w14:ligatures w14:val="none"/>
              </w:rPr>
              <w:t>P</w:t>
            </w:r>
            <w:r w:rsidRPr="007F1A6A">
              <w:rPr>
                <w:rFonts w:ascii="Calibri" w:eastAsia="Times New Roman" w:hAnsi="Calibri" w:cs="Calibri"/>
                <w:color w:val="000000"/>
                <w:kern w:val="0"/>
                <w:sz w:val="16"/>
                <w:szCs w:val="16"/>
                <w:lang w:eastAsia="en-AU"/>
                <w14:ligatures w14:val="none"/>
              </w:rPr>
              <w:t>atient outcomes</w:t>
            </w:r>
          </w:p>
        </w:tc>
      </w:tr>
      <w:tr w:rsidR="004B049F" w:rsidRPr="00E821F3" w14:paraId="24557099" w14:textId="77777777" w:rsidTr="00143566">
        <w:trPr>
          <w:cantSplit/>
          <w:trHeight w:val="567"/>
        </w:trPr>
        <w:tc>
          <w:tcPr>
            <w:tcW w:w="1313" w:type="dxa"/>
            <w:tcBorders>
              <w:top w:val="nil"/>
              <w:left w:val="nil"/>
              <w:bottom w:val="nil"/>
              <w:right w:val="nil"/>
            </w:tcBorders>
            <w:shd w:val="clear" w:color="auto" w:fill="auto"/>
            <w:noWrap/>
            <w:hideMark/>
          </w:tcPr>
          <w:p w14:paraId="26570938" w14:textId="4401D7A8"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proofErr w:type="spellStart"/>
            <w:r w:rsidRPr="004B049F">
              <w:rPr>
                <w:sz w:val="16"/>
                <w:szCs w:val="16"/>
              </w:rPr>
              <w:t>Blomaard</w:t>
            </w:r>
            <w:proofErr w:type="spellEnd"/>
            <w:r w:rsidRPr="004B049F">
              <w:rPr>
                <w:sz w:val="16"/>
                <w:szCs w:val="16"/>
              </w:rPr>
              <w:t xml:space="preserve"> et al., 2021b, The Netherlands</w:t>
            </w:r>
          </w:p>
        </w:tc>
        <w:tc>
          <w:tcPr>
            <w:tcW w:w="1525" w:type="dxa"/>
            <w:tcBorders>
              <w:top w:val="nil"/>
              <w:left w:val="nil"/>
              <w:bottom w:val="nil"/>
              <w:right w:val="nil"/>
            </w:tcBorders>
          </w:tcPr>
          <w:p w14:paraId="0F99DE2B" w14:textId="68F59080"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w:t>
            </w:r>
          </w:p>
        </w:tc>
        <w:tc>
          <w:tcPr>
            <w:tcW w:w="2688" w:type="dxa"/>
            <w:tcBorders>
              <w:top w:val="nil"/>
              <w:left w:val="nil"/>
              <w:bottom w:val="nil"/>
              <w:right w:val="nil"/>
            </w:tcBorders>
            <w:shd w:val="clear" w:color="auto" w:fill="auto"/>
            <w:hideMark/>
          </w:tcPr>
          <w:p w14:paraId="2BACD73D" w14:textId="495C3B38"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 xml:space="preserve">To explore the experiences with, and attitudes towards geriatric screening in routine ED care among </w:t>
            </w:r>
            <w:r w:rsidR="00260D46">
              <w:rPr>
                <w:rFonts w:ascii="Calibri" w:eastAsia="Times New Roman" w:hAnsi="Calibri" w:cs="Calibri"/>
                <w:color w:val="000000"/>
                <w:kern w:val="0"/>
                <w:sz w:val="16"/>
                <w:szCs w:val="16"/>
                <w:lang w:eastAsia="en-AU"/>
                <w14:ligatures w14:val="none"/>
              </w:rPr>
              <w:t>older adults</w:t>
            </w:r>
            <w:r w:rsidRPr="007F1A6A">
              <w:rPr>
                <w:rFonts w:ascii="Calibri" w:eastAsia="Times New Roman" w:hAnsi="Calibri" w:cs="Calibri"/>
                <w:color w:val="000000"/>
                <w:kern w:val="0"/>
                <w:sz w:val="16"/>
                <w:szCs w:val="16"/>
                <w:lang w:eastAsia="en-AU"/>
                <w14:ligatures w14:val="none"/>
              </w:rPr>
              <w:t xml:space="preserve"> who visited the ED</w:t>
            </w:r>
          </w:p>
        </w:tc>
        <w:tc>
          <w:tcPr>
            <w:tcW w:w="3031" w:type="dxa"/>
            <w:tcBorders>
              <w:top w:val="nil"/>
              <w:left w:val="nil"/>
              <w:bottom w:val="nil"/>
              <w:right w:val="nil"/>
            </w:tcBorders>
            <w:shd w:val="clear" w:color="auto" w:fill="auto"/>
            <w:hideMark/>
          </w:tcPr>
          <w:p w14:paraId="644B5499" w14:textId="77777777" w:rsidR="004B049F" w:rsidRPr="00BE4CC1"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BE4CC1">
              <w:rPr>
                <w:rFonts w:ascii="Calibri" w:eastAsia="Times New Roman" w:hAnsi="Calibri" w:cs="Calibri"/>
                <w:b/>
                <w:bCs/>
                <w:color w:val="000000"/>
                <w:kern w:val="0"/>
                <w:sz w:val="16"/>
                <w:szCs w:val="16"/>
                <w:lang w:eastAsia="en-AU"/>
                <w14:ligatures w14:val="none"/>
              </w:rPr>
              <w:t>General assessment and multi-faceted care coordination to reduce avoidable hospital admissions and/or LOS and/or improve ED flow</w:t>
            </w:r>
          </w:p>
          <w:p w14:paraId="20CA14CE" w14:textId="26C1AD46"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 xml:space="preserve">The APOP screening program consists of three parts: (1) screening </w:t>
            </w:r>
            <w:r w:rsidR="00260D46">
              <w:rPr>
                <w:rFonts w:ascii="Calibri" w:eastAsia="Times New Roman" w:hAnsi="Calibri" w:cs="Calibri"/>
                <w:color w:val="000000"/>
                <w:kern w:val="0"/>
                <w:sz w:val="16"/>
                <w:szCs w:val="16"/>
                <w:lang w:eastAsia="en-AU"/>
                <w14:ligatures w14:val="none"/>
              </w:rPr>
              <w:t>older adults</w:t>
            </w:r>
            <w:r w:rsidRPr="007F1A6A">
              <w:rPr>
                <w:rFonts w:ascii="Calibri" w:eastAsia="Times New Roman" w:hAnsi="Calibri" w:cs="Calibri"/>
                <w:color w:val="000000"/>
                <w:kern w:val="0"/>
                <w:sz w:val="16"/>
                <w:szCs w:val="16"/>
                <w:lang w:eastAsia="en-AU"/>
                <w14:ligatures w14:val="none"/>
              </w:rPr>
              <w:t xml:space="preserve"> for risk of functional decline/mortality and signs of impaired cognition; (2) targeted interventions for high-risk patients in the ED; and (3) interventions for high-risk patients who are hospitalised or discharged home</w:t>
            </w:r>
          </w:p>
        </w:tc>
        <w:tc>
          <w:tcPr>
            <w:tcW w:w="1128" w:type="dxa"/>
            <w:tcBorders>
              <w:top w:val="nil"/>
              <w:left w:val="nil"/>
              <w:bottom w:val="nil"/>
              <w:right w:val="nil"/>
            </w:tcBorders>
            <w:shd w:val="clear" w:color="auto" w:fill="auto"/>
            <w:hideMark/>
          </w:tcPr>
          <w:p w14:paraId="038CEDEB"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w:t>
            </w:r>
          </w:p>
        </w:tc>
        <w:tc>
          <w:tcPr>
            <w:tcW w:w="1389" w:type="dxa"/>
            <w:tcBorders>
              <w:top w:val="nil"/>
              <w:left w:val="nil"/>
              <w:bottom w:val="nil"/>
              <w:right w:val="nil"/>
            </w:tcBorders>
            <w:shd w:val="clear" w:color="auto" w:fill="auto"/>
            <w:hideMark/>
          </w:tcPr>
          <w:p w14:paraId="509003FF"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13</w:t>
            </w:r>
          </w:p>
        </w:tc>
        <w:tc>
          <w:tcPr>
            <w:tcW w:w="1119" w:type="dxa"/>
            <w:tcBorders>
              <w:top w:val="nil"/>
              <w:left w:val="nil"/>
              <w:bottom w:val="nil"/>
              <w:right w:val="nil"/>
            </w:tcBorders>
            <w:shd w:val="clear" w:color="auto" w:fill="auto"/>
            <w:hideMark/>
          </w:tcPr>
          <w:p w14:paraId="3FF62D3F"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w:t>
            </w:r>
          </w:p>
        </w:tc>
        <w:tc>
          <w:tcPr>
            <w:tcW w:w="1135" w:type="dxa"/>
            <w:tcBorders>
              <w:top w:val="nil"/>
              <w:left w:val="nil"/>
              <w:bottom w:val="nil"/>
              <w:right w:val="nil"/>
            </w:tcBorders>
            <w:shd w:val="clear" w:color="auto" w:fill="auto"/>
            <w:hideMark/>
          </w:tcPr>
          <w:p w14:paraId="62329B08" w14:textId="77777777"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Qualitative research</w:t>
            </w:r>
          </w:p>
        </w:tc>
        <w:tc>
          <w:tcPr>
            <w:tcW w:w="1128" w:type="dxa"/>
            <w:tcBorders>
              <w:top w:val="nil"/>
              <w:left w:val="nil"/>
              <w:bottom w:val="nil"/>
              <w:right w:val="nil"/>
            </w:tcBorders>
            <w:shd w:val="clear" w:color="auto" w:fill="auto"/>
            <w:hideMark/>
          </w:tcPr>
          <w:p w14:paraId="4A72773E" w14:textId="31B5B91B"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P</w:t>
            </w:r>
            <w:r w:rsidRPr="007F1A6A">
              <w:rPr>
                <w:rFonts w:ascii="Calibri" w:eastAsia="Times New Roman" w:hAnsi="Calibri" w:cs="Calibri"/>
                <w:color w:val="000000"/>
                <w:kern w:val="0"/>
                <w:sz w:val="16"/>
                <w:szCs w:val="16"/>
                <w:lang w:eastAsia="en-AU"/>
                <w14:ligatures w14:val="none"/>
              </w:rPr>
              <w:t>atient experience</w:t>
            </w:r>
          </w:p>
        </w:tc>
      </w:tr>
      <w:tr w:rsidR="004B049F" w:rsidRPr="00E821F3" w14:paraId="65AB139E" w14:textId="77777777" w:rsidTr="00143566">
        <w:trPr>
          <w:cantSplit/>
          <w:trHeight w:val="567"/>
        </w:trPr>
        <w:tc>
          <w:tcPr>
            <w:tcW w:w="1313" w:type="dxa"/>
            <w:tcBorders>
              <w:top w:val="nil"/>
              <w:left w:val="nil"/>
              <w:bottom w:val="nil"/>
              <w:right w:val="nil"/>
            </w:tcBorders>
            <w:shd w:val="clear" w:color="auto" w:fill="auto"/>
            <w:noWrap/>
            <w:hideMark/>
          </w:tcPr>
          <w:p w14:paraId="7CCD66B5" w14:textId="473A57BE"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4B049F">
              <w:rPr>
                <w:sz w:val="16"/>
                <w:szCs w:val="16"/>
              </w:rPr>
              <w:lastRenderedPageBreak/>
              <w:t>Bosetti et al., 2020, France</w:t>
            </w:r>
          </w:p>
        </w:tc>
        <w:tc>
          <w:tcPr>
            <w:tcW w:w="1525" w:type="dxa"/>
            <w:tcBorders>
              <w:top w:val="nil"/>
              <w:left w:val="nil"/>
              <w:bottom w:val="nil"/>
              <w:right w:val="nil"/>
            </w:tcBorders>
          </w:tcPr>
          <w:p w14:paraId="7F8D0337" w14:textId="2FB56407"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N</w:t>
            </w:r>
            <w:r w:rsidRPr="007F1A6A">
              <w:rPr>
                <w:rFonts w:ascii="Calibri" w:eastAsia="Times New Roman" w:hAnsi="Calibri" w:cs="Calibri"/>
                <w:color w:val="000000"/>
                <w:kern w:val="0"/>
                <w:sz w:val="16"/>
                <w:szCs w:val="16"/>
                <w:lang w:eastAsia="en-AU"/>
                <w14:ligatures w14:val="none"/>
              </w:rPr>
              <w:t>eurocognitive disorders</w:t>
            </w:r>
          </w:p>
        </w:tc>
        <w:tc>
          <w:tcPr>
            <w:tcW w:w="2688" w:type="dxa"/>
            <w:tcBorders>
              <w:top w:val="nil"/>
              <w:left w:val="nil"/>
              <w:bottom w:val="nil"/>
              <w:right w:val="nil"/>
            </w:tcBorders>
            <w:shd w:val="clear" w:color="auto" w:fill="auto"/>
            <w:hideMark/>
          </w:tcPr>
          <w:p w14:paraId="2A8FCF21" w14:textId="2513B17E"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 xml:space="preserve">To assess the effectiveness of a geriatric emergency medicine unit for elderly patients with </w:t>
            </w:r>
            <w:r w:rsidRPr="00144590">
              <w:rPr>
                <w:rFonts w:ascii="Calibri" w:eastAsia="Times New Roman" w:hAnsi="Calibri" w:cs="Calibri"/>
                <w:color w:val="000000"/>
                <w:kern w:val="0"/>
                <w:sz w:val="16"/>
                <w:szCs w:val="16"/>
                <w:lang w:eastAsia="en-AU"/>
                <w14:ligatures w14:val="none"/>
              </w:rPr>
              <w:t xml:space="preserve">neurocognitive disorders </w:t>
            </w:r>
            <w:r w:rsidRPr="007F1A6A">
              <w:rPr>
                <w:rFonts w:ascii="Calibri" w:eastAsia="Times New Roman" w:hAnsi="Calibri" w:cs="Calibri"/>
                <w:color w:val="000000"/>
                <w:kern w:val="0"/>
                <w:sz w:val="16"/>
                <w:szCs w:val="16"/>
                <w:lang w:eastAsia="en-AU"/>
                <w14:ligatures w14:val="none"/>
              </w:rPr>
              <w:t>admitted to the ED.</w:t>
            </w:r>
          </w:p>
        </w:tc>
        <w:tc>
          <w:tcPr>
            <w:tcW w:w="3031" w:type="dxa"/>
            <w:tcBorders>
              <w:top w:val="nil"/>
              <w:left w:val="nil"/>
              <w:bottom w:val="nil"/>
              <w:right w:val="nil"/>
            </w:tcBorders>
            <w:shd w:val="clear" w:color="auto" w:fill="auto"/>
            <w:hideMark/>
          </w:tcPr>
          <w:p w14:paraId="4F6325E4" w14:textId="77777777" w:rsidR="004B049F" w:rsidRPr="00BE4CC1"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BE4CC1">
              <w:rPr>
                <w:rFonts w:ascii="Calibri" w:eastAsia="Times New Roman" w:hAnsi="Calibri" w:cs="Calibri"/>
                <w:b/>
                <w:bCs/>
                <w:color w:val="000000"/>
                <w:kern w:val="0"/>
                <w:sz w:val="16"/>
                <w:szCs w:val="16"/>
                <w:lang w:eastAsia="en-AU"/>
                <w14:ligatures w14:val="none"/>
              </w:rPr>
              <w:t>General assessment and multi-faceted care coordination to reduce avoidable hospital admissions and/or LOS and/or improve ED flow</w:t>
            </w:r>
          </w:p>
          <w:p w14:paraId="6A09F370" w14:textId="00A8721B"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 xml:space="preserve">The </w:t>
            </w:r>
            <w:r w:rsidR="00F46F76" w:rsidRPr="00F46F76">
              <w:rPr>
                <w:rFonts w:ascii="Calibri" w:eastAsia="Times New Roman" w:hAnsi="Calibri" w:cs="Calibri"/>
                <w:color w:val="000000"/>
                <w:kern w:val="0"/>
                <w:sz w:val="16"/>
                <w:szCs w:val="16"/>
                <w:lang w:eastAsia="en-AU"/>
                <w14:ligatures w14:val="none"/>
              </w:rPr>
              <w:t>Geriatric Emergency Medicine Unit</w:t>
            </w:r>
            <w:r w:rsidR="00F46F76" w:rsidRPr="007F1A6A">
              <w:rPr>
                <w:rFonts w:ascii="Calibri" w:eastAsia="Times New Roman" w:hAnsi="Calibri" w:cs="Calibri"/>
                <w:color w:val="000000"/>
                <w:kern w:val="0"/>
                <w:sz w:val="16"/>
                <w:szCs w:val="16"/>
                <w:lang w:eastAsia="en-AU"/>
                <w14:ligatures w14:val="none"/>
              </w:rPr>
              <w:t xml:space="preserve"> </w:t>
            </w:r>
            <w:r w:rsidRPr="007F1A6A">
              <w:rPr>
                <w:rFonts w:ascii="Calibri" w:eastAsia="Times New Roman" w:hAnsi="Calibri" w:cs="Calibri"/>
                <w:color w:val="000000"/>
                <w:kern w:val="0"/>
                <w:sz w:val="16"/>
                <w:szCs w:val="16"/>
                <w:lang w:eastAsia="en-AU"/>
                <w14:ligatures w14:val="none"/>
              </w:rPr>
              <w:t>intervention included paramedical assessment by nurses (autonomy, deficiencies, neurosensory disorders, and lifestyle), medical assessment by geriatricians (acute pathology, comorbidities, screening of geriatric syndromes, and regular treatment), and social assessment for patients in a vulnerable social situation. The team developed individual healthcare plans and recommended additional assessments and first treatments. The team guided patients in choosing appropriate care facilities or home care services</w:t>
            </w:r>
          </w:p>
        </w:tc>
        <w:tc>
          <w:tcPr>
            <w:tcW w:w="1128" w:type="dxa"/>
            <w:tcBorders>
              <w:top w:val="nil"/>
              <w:left w:val="nil"/>
              <w:bottom w:val="nil"/>
              <w:right w:val="nil"/>
            </w:tcBorders>
            <w:shd w:val="clear" w:color="auto" w:fill="auto"/>
            <w:hideMark/>
          </w:tcPr>
          <w:p w14:paraId="1ACCF059"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w:t>
            </w:r>
          </w:p>
        </w:tc>
        <w:tc>
          <w:tcPr>
            <w:tcW w:w="1389" w:type="dxa"/>
            <w:tcBorders>
              <w:top w:val="nil"/>
              <w:left w:val="nil"/>
              <w:bottom w:val="nil"/>
              <w:right w:val="nil"/>
            </w:tcBorders>
            <w:shd w:val="clear" w:color="auto" w:fill="auto"/>
            <w:hideMark/>
          </w:tcPr>
          <w:p w14:paraId="432D45F2"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400</w:t>
            </w:r>
          </w:p>
        </w:tc>
        <w:tc>
          <w:tcPr>
            <w:tcW w:w="1119" w:type="dxa"/>
            <w:tcBorders>
              <w:top w:val="nil"/>
              <w:left w:val="nil"/>
              <w:bottom w:val="nil"/>
              <w:right w:val="nil"/>
            </w:tcBorders>
            <w:shd w:val="clear" w:color="auto" w:fill="auto"/>
            <w:hideMark/>
          </w:tcPr>
          <w:p w14:paraId="3AE136EC"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401</w:t>
            </w:r>
          </w:p>
        </w:tc>
        <w:tc>
          <w:tcPr>
            <w:tcW w:w="1135" w:type="dxa"/>
            <w:tcBorders>
              <w:top w:val="nil"/>
              <w:left w:val="nil"/>
              <w:bottom w:val="nil"/>
              <w:right w:val="nil"/>
            </w:tcBorders>
            <w:shd w:val="clear" w:color="auto" w:fill="auto"/>
            <w:hideMark/>
          </w:tcPr>
          <w:p w14:paraId="6D04C5B0" w14:textId="0025E20B"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Cohort</w:t>
            </w:r>
          </w:p>
        </w:tc>
        <w:tc>
          <w:tcPr>
            <w:tcW w:w="1128" w:type="dxa"/>
            <w:tcBorders>
              <w:top w:val="nil"/>
              <w:left w:val="nil"/>
              <w:bottom w:val="nil"/>
              <w:right w:val="nil"/>
            </w:tcBorders>
            <w:shd w:val="clear" w:color="auto" w:fill="auto"/>
            <w:hideMark/>
          </w:tcPr>
          <w:p w14:paraId="6B20D57D" w14:textId="29ACCDF0"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S</w:t>
            </w:r>
            <w:r w:rsidRPr="007F1A6A">
              <w:rPr>
                <w:rFonts w:ascii="Calibri" w:eastAsia="Times New Roman" w:hAnsi="Calibri" w:cs="Calibri"/>
                <w:color w:val="000000"/>
                <w:kern w:val="0"/>
                <w:sz w:val="16"/>
                <w:szCs w:val="16"/>
                <w:lang w:eastAsia="en-AU"/>
                <w14:ligatures w14:val="none"/>
              </w:rPr>
              <w:t xml:space="preserve">ystem performance </w:t>
            </w:r>
            <w:r>
              <w:rPr>
                <w:rFonts w:ascii="Calibri" w:eastAsia="Times New Roman" w:hAnsi="Calibri" w:cs="Calibri"/>
                <w:color w:val="000000"/>
                <w:kern w:val="0"/>
                <w:sz w:val="16"/>
                <w:szCs w:val="16"/>
                <w:lang w:eastAsia="en-AU"/>
                <w14:ligatures w14:val="none"/>
              </w:rPr>
              <w:t>P</w:t>
            </w:r>
            <w:r w:rsidRPr="007F1A6A">
              <w:rPr>
                <w:rFonts w:ascii="Calibri" w:eastAsia="Times New Roman" w:hAnsi="Calibri" w:cs="Calibri"/>
                <w:color w:val="000000"/>
                <w:kern w:val="0"/>
                <w:sz w:val="16"/>
                <w:szCs w:val="16"/>
                <w:lang w:eastAsia="en-AU"/>
                <w14:ligatures w14:val="none"/>
              </w:rPr>
              <w:t>atient outcomes</w:t>
            </w:r>
          </w:p>
        </w:tc>
      </w:tr>
      <w:tr w:rsidR="004B049F" w:rsidRPr="00E821F3" w14:paraId="14BD5330" w14:textId="77777777" w:rsidTr="00143566">
        <w:trPr>
          <w:cantSplit/>
          <w:trHeight w:val="567"/>
        </w:trPr>
        <w:tc>
          <w:tcPr>
            <w:tcW w:w="1313" w:type="dxa"/>
            <w:tcBorders>
              <w:top w:val="nil"/>
              <w:left w:val="nil"/>
              <w:bottom w:val="nil"/>
              <w:right w:val="nil"/>
            </w:tcBorders>
            <w:shd w:val="clear" w:color="auto" w:fill="auto"/>
            <w:noWrap/>
            <w:hideMark/>
          </w:tcPr>
          <w:p w14:paraId="6F1C944C" w14:textId="0590D000" w:rsidR="004B049F" w:rsidRPr="004B049F" w:rsidRDefault="004B049F" w:rsidP="004B049F">
            <w:pPr>
              <w:spacing w:after="0" w:line="240" w:lineRule="auto"/>
              <w:rPr>
                <w:rFonts w:ascii="Calibri" w:eastAsia="Times New Roman" w:hAnsi="Calibri" w:cs="Calibri"/>
                <w:kern w:val="0"/>
                <w:sz w:val="16"/>
                <w:szCs w:val="16"/>
                <w:lang w:eastAsia="en-AU"/>
                <w14:ligatures w14:val="none"/>
              </w:rPr>
            </w:pPr>
            <w:r w:rsidRPr="004B049F">
              <w:rPr>
                <w:sz w:val="16"/>
                <w:szCs w:val="16"/>
              </w:rPr>
              <w:t>Boucher et al., 2019, Canada</w:t>
            </w:r>
          </w:p>
        </w:tc>
        <w:tc>
          <w:tcPr>
            <w:tcW w:w="1525" w:type="dxa"/>
            <w:tcBorders>
              <w:top w:val="nil"/>
              <w:left w:val="nil"/>
              <w:bottom w:val="nil"/>
              <w:right w:val="nil"/>
            </w:tcBorders>
          </w:tcPr>
          <w:p w14:paraId="1A5FC317" w14:textId="77777777" w:rsidR="004B049F" w:rsidRPr="001524ED" w:rsidRDefault="004B049F" w:rsidP="004B049F">
            <w:pPr>
              <w:spacing w:after="0" w:line="240" w:lineRule="auto"/>
              <w:rPr>
                <w:rFonts w:ascii="Calibri" w:eastAsia="Times New Roman" w:hAnsi="Calibri" w:cs="Calibri"/>
                <w:kern w:val="0"/>
                <w:sz w:val="16"/>
                <w:szCs w:val="16"/>
                <w:lang w:eastAsia="en-AU"/>
                <w14:ligatures w14:val="none"/>
              </w:rPr>
            </w:pPr>
          </w:p>
        </w:tc>
        <w:tc>
          <w:tcPr>
            <w:tcW w:w="2688" w:type="dxa"/>
            <w:tcBorders>
              <w:top w:val="nil"/>
              <w:left w:val="nil"/>
              <w:bottom w:val="nil"/>
              <w:right w:val="nil"/>
            </w:tcBorders>
            <w:shd w:val="clear" w:color="auto" w:fill="auto"/>
            <w:hideMark/>
          </w:tcPr>
          <w:p w14:paraId="54C74460" w14:textId="4E605C9A" w:rsidR="004B049F" w:rsidRPr="001524ED" w:rsidRDefault="004B049F" w:rsidP="004B049F">
            <w:pPr>
              <w:spacing w:after="0" w:line="240" w:lineRule="auto"/>
              <w:rPr>
                <w:rFonts w:ascii="Calibri" w:eastAsia="Times New Roman" w:hAnsi="Calibri" w:cs="Calibri"/>
                <w:kern w:val="0"/>
                <w:sz w:val="16"/>
                <w:szCs w:val="16"/>
                <w:lang w:eastAsia="en-AU"/>
                <w14:ligatures w14:val="none"/>
              </w:rPr>
            </w:pPr>
            <w:r w:rsidRPr="001524ED">
              <w:rPr>
                <w:rFonts w:ascii="Calibri" w:eastAsia="Times New Roman" w:hAnsi="Calibri" w:cs="Calibri"/>
                <w:kern w:val="0"/>
                <w:sz w:val="16"/>
                <w:szCs w:val="16"/>
                <w:lang w:eastAsia="en-AU"/>
                <w14:ligatures w14:val="none"/>
              </w:rPr>
              <w:t xml:space="preserve">To compare the acceptability of self-assessment using a tablet in the ED to a standard assessment by a research assistant, according to </w:t>
            </w:r>
            <w:r w:rsidR="00260D46">
              <w:rPr>
                <w:rFonts w:ascii="Calibri" w:eastAsia="Times New Roman" w:hAnsi="Calibri" w:cs="Calibri"/>
                <w:kern w:val="0"/>
                <w:sz w:val="16"/>
                <w:szCs w:val="16"/>
                <w:lang w:eastAsia="en-AU"/>
                <w14:ligatures w14:val="none"/>
              </w:rPr>
              <w:t>older adults</w:t>
            </w:r>
            <w:r w:rsidRPr="001524ED">
              <w:rPr>
                <w:rFonts w:ascii="Calibri" w:eastAsia="Times New Roman" w:hAnsi="Calibri" w:cs="Calibri"/>
                <w:kern w:val="0"/>
                <w:sz w:val="16"/>
                <w:szCs w:val="16"/>
                <w:lang w:eastAsia="en-AU"/>
                <w14:ligatures w14:val="none"/>
              </w:rPr>
              <w:t xml:space="preserve"> and their caregivers</w:t>
            </w:r>
          </w:p>
        </w:tc>
        <w:tc>
          <w:tcPr>
            <w:tcW w:w="3031" w:type="dxa"/>
            <w:tcBorders>
              <w:top w:val="nil"/>
              <w:left w:val="nil"/>
              <w:bottom w:val="nil"/>
              <w:right w:val="nil"/>
            </w:tcBorders>
            <w:shd w:val="clear" w:color="auto" w:fill="auto"/>
            <w:hideMark/>
          </w:tcPr>
          <w:p w14:paraId="18EFD5F7" w14:textId="43F016B5" w:rsidR="004B049F" w:rsidRPr="00AC271B" w:rsidRDefault="004B049F" w:rsidP="004B049F">
            <w:pPr>
              <w:spacing w:after="0" w:line="240" w:lineRule="auto"/>
              <w:rPr>
                <w:rFonts w:ascii="Calibri" w:eastAsia="Times New Roman" w:hAnsi="Calibri" w:cs="Calibri"/>
                <w:b/>
                <w:bCs/>
                <w:kern w:val="0"/>
                <w:sz w:val="16"/>
                <w:szCs w:val="16"/>
                <w:lang w:eastAsia="en-AU"/>
                <w14:ligatures w14:val="none"/>
              </w:rPr>
            </w:pPr>
            <w:r w:rsidRPr="00AC271B">
              <w:rPr>
                <w:rFonts w:ascii="Calibri" w:eastAsia="Times New Roman" w:hAnsi="Calibri" w:cs="Calibri"/>
                <w:b/>
                <w:bCs/>
                <w:kern w:val="0"/>
                <w:sz w:val="16"/>
                <w:szCs w:val="16"/>
                <w:lang w:eastAsia="en-AU"/>
                <w14:ligatures w14:val="none"/>
              </w:rPr>
              <w:t>General assessment and multi-faceted care coordination to attenuate functional decline</w:t>
            </w:r>
          </w:p>
          <w:p w14:paraId="7B96F189" w14:textId="2069E12A" w:rsidR="004B049F" w:rsidRPr="001524ED" w:rsidRDefault="004B049F" w:rsidP="004B049F">
            <w:pPr>
              <w:spacing w:after="0" w:line="240" w:lineRule="auto"/>
              <w:rPr>
                <w:rFonts w:ascii="Calibri" w:eastAsia="Times New Roman" w:hAnsi="Calibri" w:cs="Calibri"/>
                <w:kern w:val="0"/>
                <w:sz w:val="16"/>
                <w:szCs w:val="16"/>
                <w:lang w:eastAsia="en-AU"/>
                <w14:ligatures w14:val="none"/>
              </w:rPr>
            </w:pPr>
            <w:r w:rsidRPr="001524ED">
              <w:rPr>
                <w:rFonts w:ascii="Calibri" w:eastAsia="Times New Roman" w:hAnsi="Calibri" w:cs="Calibri"/>
                <w:kern w:val="0"/>
                <w:sz w:val="16"/>
                <w:szCs w:val="16"/>
                <w:lang w:eastAsia="en-AU"/>
                <w14:ligatures w14:val="none"/>
              </w:rPr>
              <w:t>Patients were asked to self-assess their functional status using a modified OARS scale, on an electronic tablet. They then assessed their frailty level using a modified CFS</w:t>
            </w:r>
          </w:p>
        </w:tc>
        <w:tc>
          <w:tcPr>
            <w:tcW w:w="1128" w:type="dxa"/>
            <w:tcBorders>
              <w:top w:val="nil"/>
              <w:left w:val="nil"/>
              <w:bottom w:val="nil"/>
              <w:right w:val="nil"/>
            </w:tcBorders>
            <w:shd w:val="clear" w:color="auto" w:fill="auto"/>
            <w:hideMark/>
          </w:tcPr>
          <w:p w14:paraId="68BD0CBA" w14:textId="77777777" w:rsidR="004B049F" w:rsidRPr="001524ED" w:rsidRDefault="004B049F" w:rsidP="004B049F">
            <w:pPr>
              <w:spacing w:after="0" w:line="240" w:lineRule="auto"/>
              <w:jc w:val="right"/>
              <w:rPr>
                <w:rFonts w:ascii="Calibri" w:eastAsia="Times New Roman" w:hAnsi="Calibri" w:cs="Calibri"/>
                <w:kern w:val="0"/>
                <w:sz w:val="16"/>
                <w:szCs w:val="16"/>
                <w:lang w:eastAsia="en-AU"/>
                <w14:ligatures w14:val="none"/>
              </w:rPr>
            </w:pPr>
            <w:r w:rsidRPr="001524ED">
              <w:rPr>
                <w:rFonts w:ascii="Calibri" w:eastAsia="Times New Roman" w:hAnsi="Calibri" w:cs="Calibri"/>
                <w:kern w:val="0"/>
                <w:sz w:val="16"/>
                <w:szCs w:val="16"/>
                <w:lang w:eastAsia="en-AU"/>
                <w14:ligatures w14:val="none"/>
              </w:rPr>
              <w:t>1</w:t>
            </w:r>
          </w:p>
        </w:tc>
        <w:tc>
          <w:tcPr>
            <w:tcW w:w="1389" w:type="dxa"/>
            <w:tcBorders>
              <w:top w:val="nil"/>
              <w:left w:val="nil"/>
              <w:bottom w:val="nil"/>
              <w:right w:val="nil"/>
            </w:tcBorders>
            <w:shd w:val="clear" w:color="auto" w:fill="auto"/>
            <w:hideMark/>
          </w:tcPr>
          <w:p w14:paraId="379E346E" w14:textId="77777777" w:rsidR="004B049F" w:rsidRPr="001524ED" w:rsidRDefault="004B049F" w:rsidP="004B049F">
            <w:pPr>
              <w:spacing w:after="0" w:line="240" w:lineRule="auto"/>
              <w:jc w:val="right"/>
              <w:rPr>
                <w:rFonts w:ascii="Calibri" w:eastAsia="Times New Roman" w:hAnsi="Calibri" w:cs="Calibri"/>
                <w:kern w:val="0"/>
                <w:sz w:val="16"/>
                <w:szCs w:val="16"/>
                <w:lang w:eastAsia="en-AU"/>
                <w14:ligatures w14:val="none"/>
              </w:rPr>
            </w:pPr>
            <w:r w:rsidRPr="001524ED">
              <w:rPr>
                <w:rFonts w:ascii="Calibri" w:eastAsia="Times New Roman" w:hAnsi="Calibri" w:cs="Calibri"/>
                <w:kern w:val="0"/>
                <w:sz w:val="16"/>
                <w:szCs w:val="16"/>
                <w:lang w:eastAsia="en-AU"/>
                <w14:ligatures w14:val="none"/>
              </w:rPr>
              <w:t>67</w:t>
            </w:r>
          </w:p>
        </w:tc>
        <w:tc>
          <w:tcPr>
            <w:tcW w:w="1119" w:type="dxa"/>
            <w:tcBorders>
              <w:top w:val="nil"/>
              <w:left w:val="nil"/>
              <w:bottom w:val="nil"/>
              <w:right w:val="nil"/>
            </w:tcBorders>
            <w:shd w:val="clear" w:color="auto" w:fill="auto"/>
            <w:hideMark/>
          </w:tcPr>
          <w:p w14:paraId="4B4E3946" w14:textId="550705D4" w:rsidR="004B049F" w:rsidRPr="001524ED" w:rsidRDefault="004B049F" w:rsidP="004B049F">
            <w:pPr>
              <w:spacing w:after="0" w:line="240" w:lineRule="auto"/>
              <w:jc w:val="right"/>
              <w:rPr>
                <w:rFonts w:ascii="Calibri" w:eastAsia="Times New Roman" w:hAnsi="Calibri" w:cs="Calibri"/>
                <w:kern w:val="0"/>
                <w:sz w:val="16"/>
                <w:szCs w:val="16"/>
                <w:lang w:eastAsia="en-AU"/>
                <w14:ligatures w14:val="none"/>
              </w:rPr>
            </w:pPr>
            <w:r>
              <w:rPr>
                <w:rFonts w:ascii="Calibri" w:eastAsia="Times New Roman" w:hAnsi="Calibri" w:cs="Calibri"/>
                <w:kern w:val="0"/>
                <w:sz w:val="16"/>
                <w:szCs w:val="16"/>
                <w:lang w:eastAsia="en-AU"/>
                <w14:ligatures w14:val="none"/>
              </w:rPr>
              <w:t>-</w:t>
            </w:r>
          </w:p>
        </w:tc>
        <w:tc>
          <w:tcPr>
            <w:tcW w:w="1135" w:type="dxa"/>
            <w:tcBorders>
              <w:top w:val="nil"/>
              <w:left w:val="nil"/>
              <w:bottom w:val="nil"/>
              <w:right w:val="nil"/>
            </w:tcBorders>
            <w:shd w:val="clear" w:color="auto" w:fill="auto"/>
            <w:hideMark/>
          </w:tcPr>
          <w:p w14:paraId="12F8200E" w14:textId="46DDA838" w:rsidR="004B049F" w:rsidRPr="001524ED" w:rsidRDefault="004B049F" w:rsidP="004B049F">
            <w:pPr>
              <w:spacing w:after="0" w:line="240" w:lineRule="auto"/>
              <w:rPr>
                <w:rFonts w:ascii="Calibri" w:eastAsia="Times New Roman" w:hAnsi="Calibri" w:cs="Calibri"/>
                <w:kern w:val="0"/>
                <w:sz w:val="16"/>
                <w:szCs w:val="16"/>
                <w:lang w:eastAsia="en-AU"/>
                <w14:ligatures w14:val="none"/>
              </w:rPr>
            </w:pPr>
            <w:r>
              <w:rPr>
                <w:rFonts w:ascii="Calibri" w:eastAsia="Times New Roman" w:hAnsi="Calibri" w:cs="Calibri"/>
                <w:kern w:val="0"/>
                <w:sz w:val="16"/>
                <w:szCs w:val="16"/>
                <w:lang w:eastAsia="en-AU"/>
                <w14:ligatures w14:val="none"/>
              </w:rPr>
              <w:t>RCT</w:t>
            </w:r>
          </w:p>
        </w:tc>
        <w:tc>
          <w:tcPr>
            <w:tcW w:w="1128" w:type="dxa"/>
            <w:tcBorders>
              <w:top w:val="nil"/>
              <w:left w:val="nil"/>
              <w:bottom w:val="nil"/>
              <w:right w:val="nil"/>
            </w:tcBorders>
            <w:shd w:val="clear" w:color="auto" w:fill="auto"/>
            <w:hideMark/>
          </w:tcPr>
          <w:p w14:paraId="53F26298" w14:textId="77777777" w:rsidR="004B049F" w:rsidRPr="001524ED" w:rsidRDefault="004B049F" w:rsidP="004B049F">
            <w:pPr>
              <w:spacing w:after="0" w:line="240" w:lineRule="auto"/>
              <w:rPr>
                <w:rFonts w:ascii="Calibri" w:eastAsia="Times New Roman" w:hAnsi="Calibri" w:cs="Calibri"/>
                <w:kern w:val="0"/>
                <w:sz w:val="16"/>
                <w:szCs w:val="16"/>
                <w:lang w:eastAsia="en-AU"/>
                <w14:ligatures w14:val="none"/>
              </w:rPr>
            </w:pPr>
            <w:r w:rsidRPr="001524ED">
              <w:rPr>
                <w:rFonts w:ascii="Calibri" w:eastAsia="Times New Roman" w:hAnsi="Calibri" w:cs="Calibri"/>
                <w:kern w:val="0"/>
                <w:sz w:val="16"/>
                <w:szCs w:val="16"/>
                <w:lang w:eastAsia="en-AU"/>
                <w14:ligatures w14:val="none"/>
              </w:rPr>
              <w:t>Patient experience</w:t>
            </w:r>
          </w:p>
        </w:tc>
      </w:tr>
      <w:tr w:rsidR="004B049F" w:rsidRPr="00E821F3" w14:paraId="1A7B8FA8" w14:textId="77777777" w:rsidTr="00143566">
        <w:trPr>
          <w:cantSplit/>
          <w:trHeight w:val="567"/>
        </w:trPr>
        <w:tc>
          <w:tcPr>
            <w:tcW w:w="1313" w:type="dxa"/>
            <w:tcBorders>
              <w:top w:val="nil"/>
              <w:left w:val="nil"/>
              <w:bottom w:val="nil"/>
              <w:right w:val="nil"/>
            </w:tcBorders>
            <w:shd w:val="clear" w:color="auto" w:fill="auto"/>
            <w:noWrap/>
            <w:hideMark/>
          </w:tcPr>
          <w:p w14:paraId="0FA451C2" w14:textId="4B0A000D"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4B049F">
              <w:rPr>
                <w:sz w:val="16"/>
                <w:szCs w:val="16"/>
              </w:rPr>
              <w:t>Brymer et al., 2001, UK</w:t>
            </w:r>
          </w:p>
        </w:tc>
        <w:tc>
          <w:tcPr>
            <w:tcW w:w="1525" w:type="dxa"/>
            <w:tcBorders>
              <w:top w:val="nil"/>
              <w:left w:val="nil"/>
              <w:bottom w:val="nil"/>
              <w:right w:val="nil"/>
            </w:tcBorders>
          </w:tcPr>
          <w:p w14:paraId="429F8607" w14:textId="77777777"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p>
        </w:tc>
        <w:tc>
          <w:tcPr>
            <w:tcW w:w="2688" w:type="dxa"/>
            <w:tcBorders>
              <w:top w:val="nil"/>
              <w:left w:val="nil"/>
              <w:bottom w:val="nil"/>
              <w:right w:val="nil"/>
            </w:tcBorders>
            <w:shd w:val="clear" w:color="auto" w:fill="auto"/>
            <w:hideMark/>
          </w:tcPr>
          <w:p w14:paraId="338C2AE4" w14:textId="3E0E38A2"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To measure the impact of a 1-day workshop for emergency nurses that addresses the educational topics of geriatric depression, physical assessment of the elderly, and mental status testing</w:t>
            </w:r>
          </w:p>
        </w:tc>
        <w:tc>
          <w:tcPr>
            <w:tcW w:w="3031" w:type="dxa"/>
            <w:tcBorders>
              <w:top w:val="nil"/>
              <w:left w:val="nil"/>
              <w:bottom w:val="nil"/>
              <w:right w:val="nil"/>
            </w:tcBorders>
            <w:shd w:val="clear" w:color="auto" w:fill="auto"/>
            <w:hideMark/>
          </w:tcPr>
          <w:p w14:paraId="7552185C" w14:textId="77777777" w:rsidR="004B049F" w:rsidRPr="008F2FFA" w:rsidRDefault="004B049F" w:rsidP="004B049F">
            <w:pPr>
              <w:spacing w:after="0" w:line="240" w:lineRule="auto"/>
              <w:rPr>
                <w:rFonts w:ascii="Calibri" w:eastAsia="Times New Roman" w:hAnsi="Calibri" w:cs="Calibri"/>
                <w:b/>
                <w:bCs/>
                <w:kern w:val="0"/>
                <w:sz w:val="16"/>
                <w:szCs w:val="16"/>
                <w:lang w:eastAsia="en-AU"/>
                <w14:ligatures w14:val="none"/>
              </w:rPr>
            </w:pPr>
            <w:r w:rsidRPr="008F2FFA">
              <w:rPr>
                <w:rFonts w:ascii="Calibri" w:eastAsia="Times New Roman" w:hAnsi="Calibri" w:cs="Calibri"/>
                <w:b/>
                <w:bCs/>
                <w:kern w:val="0"/>
                <w:sz w:val="16"/>
                <w:szCs w:val="16"/>
                <w:lang w:eastAsia="en-AU"/>
                <w14:ligatures w14:val="none"/>
              </w:rPr>
              <w:t>Staff education</w:t>
            </w:r>
          </w:p>
          <w:p w14:paraId="23563F40" w14:textId="5C673751"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Workshop consisting of case-based didactic sessions addressing (1) physical assessment of the elderly, (2) delirium, depression, and dementia, and (3) a practical approach to mental status testing in the elderly</w:t>
            </w:r>
          </w:p>
        </w:tc>
        <w:tc>
          <w:tcPr>
            <w:tcW w:w="1128" w:type="dxa"/>
            <w:tcBorders>
              <w:top w:val="nil"/>
              <w:left w:val="nil"/>
              <w:bottom w:val="nil"/>
              <w:right w:val="nil"/>
            </w:tcBorders>
            <w:shd w:val="clear" w:color="auto" w:fill="auto"/>
            <w:hideMark/>
          </w:tcPr>
          <w:p w14:paraId="3EC54C99"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w:t>
            </w:r>
          </w:p>
        </w:tc>
        <w:tc>
          <w:tcPr>
            <w:tcW w:w="1389" w:type="dxa"/>
            <w:tcBorders>
              <w:top w:val="nil"/>
              <w:left w:val="nil"/>
              <w:bottom w:val="nil"/>
              <w:right w:val="nil"/>
            </w:tcBorders>
            <w:shd w:val="clear" w:color="auto" w:fill="auto"/>
            <w:hideMark/>
          </w:tcPr>
          <w:p w14:paraId="321854F6"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51</w:t>
            </w:r>
          </w:p>
        </w:tc>
        <w:tc>
          <w:tcPr>
            <w:tcW w:w="1119" w:type="dxa"/>
            <w:tcBorders>
              <w:top w:val="nil"/>
              <w:left w:val="nil"/>
              <w:bottom w:val="nil"/>
              <w:right w:val="nil"/>
            </w:tcBorders>
            <w:shd w:val="clear" w:color="auto" w:fill="auto"/>
            <w:hideMark/>
          </w:tcPr>
          <w:p w14:paraId="6A8030DD"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51</w:t>
            </w:r>
          </w:p>
        </w:tc>
        <w:tc>
          <w:tcPr>
            <w:tcW w:w="1135" w:type="dxa"/>
            <w:tcBorders>
              <w:top w:val="nil"/>
              <w:left w:val="nil"/>
              <w:bottom w:val="nil"/>
              <w:right w:val="nil"/>
            </w:tcBorders>
            <w:shd w:val="clear" w:color="auto" w:fill="auto"/>
            <w:hideMark/>
          </w:tcPr>
          <w:p w14:paraId="52DF83C6" w14:textId="3228FC67" w:rsidR="004B049F" w:rsidRPr="007F1A6A" w:rsidRDefault="00305674"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Pre-post</w:t>
            </w:r>
          </w:p>
        </w:tc>
        <w:tc>
          <w:tcPr>
            <w:tcW w:w="1128" w:type="dxa"/>
            <w:tcBorders>
              <w:top w:val="nil"/>
              <w:left w:val="nil"/>
              <w:bottom w:val="nil"/>
              <w:right w:val="nil"/>
            </w:tcBorders>
            <w:shd w:val="clear" w:color="auto" w:fill="auto"/>
            <w:hideMark/>
          </w:tcPr>
          <w:p w14:paraId="271694DE" w14:textId="0F600185" w:rsid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S</w:t>
            </w:r>
            <w:r w:rsidRPr="007F1A6A">
              <w:rPr>
                <w:rFonts w:ascii="Calibri" w:eastAsia="Times New Roman" w:hAnsi="Calibri" w:cs="Calibri"/>
                <w:color w:val="000000"/>
                <w:kern w:val="0"/>
                <w:sz w:val="16"/>
                <w:szCs w:val="16"/>
                <w:lang w:eastAsia="en-AU"/>
                <w14:ligatures w14:val="none"/>
              </w:rPr>
              <w:t>ystem performance</w:t>
            </w:r>
          </w:p>
          <w:p w14:paraId="63CF1593" w14:textId="025F6886"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S</w:t>
            </w:r>
            <w:r w:rsidRPr="007F1A6A">
              <w:rPr>
                <w:rFonts w:ascii="Calibri" w:eastAsia="Times New Roman" w:hAnsi="Calibri" w:cs="Calibri"/>
                <w:color w:val="000000"/>
                <w:kern w:val="0"/>
                <w:sz w:val="16"/>
                <w:szCs w:val="16"/>
                <w:lang w:eastAsia="en-AU"/>
                <w14:ligatures w14:val="none"/>
              </w:rPr>
              <w:t>taff experience</w:t>
            </w:r>
          </w:p>
        </w:tc>
      </w:tr>
      <w:tr w:rsidR="004B049F" w:rsidRPr="00E821F3" w14:paraId="05A3CC5F" w14:textId="77777777" w:rsidTr="00143566">
        <w:trPr>
          <w:cantSplit/>
          <w:trHeight w:val="567"/>
        </w:trPr>
        <w:tc>
          <w:tcPr>
            <w:tcW w:w="1313" w:type="dxa"/>
            <w:tcBorders>
              <w:top w:val="nil"/>
              <w:left w:val="nil"/>
              <w:bottom w:val="nil"/>
              <w:right w:val="nil"/>
            </w:tcBorders>
            <w:shd w:val="clear" w:color="auto" w:fill="auto"/>
            <w:noWrap/>
            <w:hideMark/>
          </w:tcPr>
          <w:p w14:paraId="1142DF0D" w14:textId="6E28E78B"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4B049F">
              <w:rPr>
                <w:sz w:val="16"/>
                <w:szCs w:val="16"/>
              </w:rPr>
              <w:t>Callahan et al., 2020, USA</w:t>
            </w:r>
          </w:p>
        </w:tc>
        <w:tc>
          <w:tcPr>
            <w:tcW w:w="1525" w:type="dxa"/>
            <w:tcBorders>
              <w:top w:val="nil"/>
              <w:left w:val="nil"/>
              <w:bottom w:val="nil"/>
              <w:right w:val="nil"/>
            </w:tcBorders>
          </w:tcPr>
          <w:p w14:paraId="508DADC1" w14:textId="5CCB3F1A"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Head trauma</w:t>
            </w:r>
          </w:p>
        </w:tc>
        <w:tc>
          <w:tcPr>
            <w:tcW w:w="2688" w:type="dxa"/>
            <w:tcBorders>
              <w:top w:val="nil"/>
              <w:left w:val="nil"/>
              <w:bottom w:val="nil"/>
              <w:right w:val="nil"/>
            </w:tcBorders>
            <w:shd w:val="clear" w:color="auto" w:fill="auto"/>
            <w:hideMark/>
          </w:tcPr>
          <w:p w14:paraId="67CD4B1B" w14:textId="09C62122"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To evaluate the consequences amended trauma activation criteria with a particular interest in the rate of over and under triage</w:t>
            </w:r>
          </w:p>
        </w:tc>
        <w:tc>
          <w:tcPr>
            <w:tcW w:w="3031" w:type="dxa"/>
            <w:tcBorders>
              <w:top w:val="nil"/>
              <w:left w:val="nil"/>
              <w:bottom w:val="nil"/>
              <w:right w:val="nil"/>
            </w:tcBorders>
            <w:shd w:val="clear" w:color="auto" w:fill="auto"/>
            <w:hideMark/>
          </w:tcPr>
          <w:p w14:paraId="38FA94FF" w14:textId="77777777" w:rsidR="004B049F" w:rsidRPr="00F66ECF"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F66ECF">
              <w:rPr>
                <w:rFonts w:eastAsia="Times New Roman" w:cstheme="minorHAnsi"/>
                <w:b/>
                <w:bCs/>
                <w:color w:val="000000"/>
                <w:kern w:val="0"/>
                <w:sz w:val="16"/>
                <w:szCs w:val="16"/>
                <w:lang w:eastAsia="en-AU"/>
                <w14:ligatures w14:val="none"/>
              </w:rPr>
              <w:t>Geriatric trauma protocol</w:t>
            </w:r>
          </w:p>
          <w:p w14:paraId="49C72C5D" w14:textId="2D3921A0"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Amended trauma activation guidelines requiring at least a Level II activation for all patients 65 years or older taking antithrombotic medication who presented with the suspicion of head trauma</w:t>
            </w:r>
          </w:p>
        </w:tc>
        <w:tc>
          <w:tcPr>
            <w:tcW w:w="1128" w:type="dxa"/>
            <w:tcBorders>
              <w:top w:val="nil"/>
              <w:left w:val="nil"/>
              <w:bottom w:val="nil"/>
              <w:right w:val="nil"/>
            </w:tcBorders>
            <w:shd w:val="clear" w:color="auto" w:fill="auto"/>
            <w:hideMark/>
          </w:tcPr>
          <w:p w14:paraId="78FDD8A7"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w:t>
            </w:r>
          </w:p>
        </w:tc>
        <w:tc>
          <w:tcPr>
            <w:tcW w:w="1389" w:type="dxa"/>
            <w:tcBorders>
              <w:top w:val="nil"/>
              <w:left w:val="nil"/>
              <w:bottom w:val="nil"/>
              <w:right w:val="nil"/>
            </w:tcBorders>
            <w:shd w:val="clear" w:color="auto" w:fill="auto"/>
            <w:hideMark/>
          </w:tcPr>
          <w:p w14:paraId="3D6D7BF3"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398</w:t>
            </w:r>
          </w:p>
        </w:tc>
        <w:tc>
          <w:tcPr>
            <w:tcW w:w="1119" w:type="dxa"/>
            <w:tcBorders>
              <w:top w:val="nil"/>
              <w:left w:val="nil"/>
              <w:bottom w:val="nil"/>
              <w:right w:val="nil"/>
            </w:tcBorders>
            <w:shd w:val="clear" w:color="auto" w:fill="auto"/>
            <w:hideMark/>
          </w:tcPr>
          <w:p w14:paraId="2C38E7BB"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43</w:t>
            </w:r>
          </w:p>
        </w:tc>
        <w:tc>
          <w:tcPr>
            <w:tcW w:w="1135" w:type="dxa"/>
            <w:tcBorders>
              <w:top w:val="nil"/>
              <w:left w:val="nil"/>
              <w:bottom w:val="nil"/>
              <w:right w:val="nil"/>
            </w:tcBorders>
            <w:shd w:val="clear" w:color="auto" w:fill="auto"/>
            <w:hideMark/>
          </w:tcPr>
          <w:p w14:paraId="1E1EAB3B" w14:textId="6B54C588" w:rsidR="004B049F" w:rsidRPr="007F1A6A" w:rsidRDefault="00320C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Pre-post</w:t>
            </w:r>
          </w:p>
        </w:tc>
        <w:tc>
          <w:tcPr>
            <w:tcW w:w="1128" w:type="dxa"/>
            <w:tcBorders>
              <w:top w:val="nil"/>
              <w:left w:val="nil"/>
              <w:bottom w:val="nil"/>
              <w:right w:val="nil"/>
            </w:tcBorders>
            <w:shd w:val="clear" w:color="auto" w:fill="auto"/>
            <w:hideMark/>
          </w:tcPr>
          <w:p w14:paraId="199BB60D" w14:textId="692E743B"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S</w:t>
            </w:r>
            <w:r w:rsidRPr="007F1A6A">
              <w:rPr>
                <w:rFonts w:ascii="Calibri" w:eastAsia="Times New Roman" w:hAnsi="Calibri" w:cs="Calibri"/>
                <w:color w:val="000000"/>
                <w:kern w:val="0"/>
                <w:sz w:val="16"/>
                <w:szCs w:val="16"/>
                <w:lang w:eastAsia="en-AU"/>
                <w14:ligatures w14:val="none"/>
              </w:rPr>
              <w:t xml:space="preserve">ystem performance </w:t>
            </w:r>
            <w:r>
              <w:rPr>
                <w:rFonts w:ascii="Calibri" w:eastAsia="Times New Roman" w:hAnsi="Calibri" w:cs="Calibri"/>
                <w:color w:val="000000"/>
                <w:kern w:val="0"/>
                <w:sz w:val="16"/>
                <w:szCs w:val="16"/>
                <w:lang w:eastAsia="en-AU"/>
                <w14:ligatures w14:val="none"/>
              </w:rPr>
              <w:t>P</w:t>
            </w:r>
            <w:r w:rsidRPr="007F1A6A">
              <w:rPr>
                <w:rFonts w:ascii="Calibri" w:eastAsia="Times New Roman" w:hAnsi="Calibri" w:cs="Calibri"/>
                <w:color w:val="000000"/>
                <w:kern w:val="0"/>
                <w:sz w:val="16"/>
                <w:szCs w:val="16"/>
                <w:lang w:eastAsia="en-AU"/>
                <w14:ligatures w14:val="none"/>
              </w:rPr>
              <w:t>atient outcomes</w:t>
            </w:r>
          </w:p>
        </w:tc>
      </w:tr>
      <w:tr w:rsidR="004B049F" w:rsidRPr="00E821F3" w14:paraId="27019A62" w14:textId="77777777" w:rsidTr="00143566">
        <w:trPr>
          <w:cantSplit/>
          <w:trHeight w:val="567"/>
        </w:trPr>
        <w:tc>
          <w:tcPr>
            <w:tcW w:w="1313" w:type="dxa"/>
            <w:tcBorders>
              <w:top w:val="nil"/>
              <w:left w:val="nil"/>
              <w:bottom w:val="nil"/>
              <w:right w:val="nil"/>
            </w:tcBorders>
            <w:shd w:val="clear" w:color="auto" w:fill="auto"/>
            <w:noWrap/>
            <w:hideMark/>
          </w:tcPr>
          <w:p w14:paraId="77E3FC19" w14:textId="035041D9"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4B049F">
              <w:rPr>
                <w:sz w:val="16"/>
                <w:szCs w:val="16"/>
              </w:rPr>
              <w:lastRenderedPageBreak/>
              <w:t>Carr et al., 2018, USA</w:t>
            </w:r>
          </w:p>
        </w:tc>
        <w:tc>
          <w:tcPr>
            <w:tcW w:w="1525" w:type="dxa"/>
            <w:tcBorders>
              <w:top w:val="nil"/>
              <w:left w:val="nil"/>
              <w:bottom w:val="nil"/>
              <w:right w:val="nil"/>
            </w:tcBorders>
          </w:tcPr>
          <w:p w14:paraId="7FB20EA8" w14:textId="7C40AB1F"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Trauma</w:t>
            </w:r>
          </w:p>
        </w:tc>
        <w:tc>
          <w:tcPr>
            <w:tcW w:w="2688" w:type="dxa"/>
            <w:tcBorders>
              <w:top w:val="nil"/>
              <w:left w:val="nil"/>
              <w:bottom w:val="nil"/>
              <w:right w:val="nil"/>
            </w:tcBorders>
            <w:shd w:val="clear" w:color="auto" w:fill="auto"/>
            <w:hideMark/>
          </w:tcPr>
          <w:p w14:paraId="652F0ED8" w14:textId="61A8600C"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To identify the age at which an increase in trauma activation status is beneficial</w:t>
            </w:r>
          </w:p>
        </w:tc>
        <w:tc>
          <w:tcPr>
            <w:tcW w:w="3031" w:type="dxa"/>
            <w:tcBorders>
              <w:top w:val="nil"/>
              <w:left w:val="nil"/>
              <w:bottom w:val="nil"/>
              <w:right w:val="nil"/>
            </w:tcBorders>
            <w:shd w:val="clear" w:color="auto" w:fill="auto"/>
            <w:hideMark/>
          </w:tcPr>
          <w:p w14:paraId="67F121B6" w14:textId="77777777" w:rsidR="004B049F" w:rsidRPr="00F66ECF"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F66ECF">
              <w:rPr>
                <w:rFonts w:eastAsia="Times New Roman" w:cstheme="minorHAnsi"/>
                <w:b/>
                <w:bCs/>
                <w:color w:val="000000"/>
                <w:kern w:val="0"/>
                <w:sz w:val="16"/>
                <w:szCs w:val="16"/>
                <w:lang w:eastAsia="en-AU"/>
                <w14:ligatures w14:val="none"/>
              </w:rPr>
              <w:t>Geriatric trauma protocol</w:t>
            </w:r>
          </w:p>
          <w:p w14:paraId="5959744C" w14:textId="3A63AE7D"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A policy change increased the activation criteria to the highest level for patients 70 years or older with a significant mechanism of</w:t>
            </w:r>
            <w:r w:rsidRPr="007F1A6A">
              <w:rPr>
                <w:rFonts w:ascii="Calibri" w:eastAsia="Times New Roman" w:hAnsi="Calibri" w:cs="Calibri"/>
                <w:color w:val="000000"/>
                <w:kern w:val="0"/>
                <w:sz w:val="16"/>
                <w:szCs w:val="16"/>
                <w:lang w:eastAsia="en-AU"/>
                <w14:ligatures w14:val="none"/>
              </w:rPr>
              <w:br/>
              <w:t>injury</w:t>
            </w:r>
          </w:p>
        </w:tc>
        <w:tc>
          <w:tcPr>
            <w:tcW w:w="1128" w:type="dxa"/>
            <w:tcBorders>
              <w:top w:val="nil"/>
              <w:left w:val="nil"/>
              <w:bottom w:val="nil"/>
              <w:right w:val="nil"/>
            </w:tcBorders>
            <w:shd w:val="clear" w:color="auto" w:fill="auto"/>
            <w:hideMark/>
          </w:tcPr>
          <w:p w14:paraId="57CF6B30"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w:t>
            </w:r>
          </w:p>
        </w:tc>
        <w:tc>
          <w:tcPr>
            <w:tcW w:w="1389" w:type="dxa"/>
            <w:tcBorders>
              <w:top w:val="nil"/>
              <w:left w:val="nil"/>
              <w:bottom w:val="nil"/>
              <w:right w:val="nil"/>
            </w:tcBorders>
            <w:shd w:val="clear" w:color="auto" w:fill="auto"/>
            <w:hideMark/>
          </w:tcPr>
          <w:p w14:paraId="4B4FF9A3"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2,422</w:t>
            </w:r>
          </w:p>
        </w:tc>
        <w:tc>
          <w:tcPr>
            <w:tcW w:w="1119" w:type="dxa"/>
            <w:tcBorders>
              <w:top w:val="nil"/>
              <w:left w:val="nil"/>
              <w:bottom w:val="nil"/>
              <w:right w:val="nil"/>
            </w:tcBorders>
            <w:shd w:val="clear" w:color="auto" w:fill="auto"/>
            <w:hideMark/>
          </w:tcPr>
          <w:p w14:paraId="5628BCF4"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1,919</w:t>
            </w:r>
          </w:p>
        </w:tc>
        <w:tc>
          <w:tcPr>
            <w:tcW w:w="1135" w:type="dxa"/>
            <w:tcBorders>
              <w:top w:val="nil"/>
              <w:left w:val="nil"/>
              <w:bottom w:val="nil"/>
              <w:right w:val="nil"/>
            </w:tcBorders>
            <w:shd w:val="clear" w:color="auto" w:fill="auto"/>
            <w:hideMark/>
          </w:tcPr>
          <w:p w14:paraId="73E5B534" w14:textId="2414492E" w:rsidR="004B049F" w:rsidRPr="007F1A6A" w:rsidRDefault="00D65145"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Pre-post</w:t>
            </w:r>
          </w:p>
        </w:tc>
        <w:tc>
          <w:tcPr>
            <w:tcW w:w="1128" w:type="dxa"/>
            <w:tcBorders>
              <w:top w:val="nil"/>
              <w:left w:val="nil"/>
              <w:bottom w:val="nil"/>
              <w:right w:val="nil"/>
            </w:tcBorders>
            <w:shd w:val="clear" w:color="auto" w:fill="auto"/>
            <w:hideMark/>
          </w:tcPr>
          <w:p w14:paraId="4E65808E" w14:textId="19137C51"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S</w:t>
            </w:r>
            <w:r w:rsidRPr="007F1A6A">
              <w:rPr>
                <w:rFonts w:ascii="Calibri" w:eastAsia="Times New Roman" w:hAnsi="Calibri" w:cs="Calibri"/>
                <w:color w:val="000000"/>
                <w:kern w:val="0"/>
                <w:sz w:val="16"/>
                <w:szCs w:val="16"/>
                <w:lang w:eastAsia="en-AU"/>
                <w14:ligatures w14:val="none"/>
              </w:rPr>
              <w:t xml:space="preserve">ystem performance </w:t>
            </w:r>
            <w:r>
              <w:rPr>
                <w:rFonts w:ascii="Calibri" w:eastAsia="Times New Roman" w:hAnsi="Calibri" w:cs="Calibri"/>
                <w:color w:val="000000"/>
                <w:kern w:val="0"/>
                <w:sz w:val="16"/>
                <w:szCs w:val="16"/>
                <w:lang w:eastAsia="en-AU"/>
                <w14:ligatures w14:val="none"/>
              </w:rPr>
              <w:t>P</w:t>
            </w:r>
            <w:r w:rsidRPr="007F1A6A">
              <w:rPr>
                <w:rFonts w:ascii="Calibri" w:eastAsia="Times New Roman" w:hAnsi="Calibri" w:cs="Calibri"/>
                <w:color w:val="000000"/>
                <w:kern w:val="0"/>
                <w:sz w:val="16"/>
                <w:szCs w:val="16"/>
                <w:lang w:eastAsia="en-AU"/>
                <w14:ligatures w14:val="none"/>
              </w:rPr>
              <w:t>atient outcomes</w:t>
            </w:r>
          </w:p>
        </w:tc>
      </w:tr>
      <w:tr w:rsidR="004B049F" w:rsidRPr="00E821F3" w14:paraId="4AB2992B" w14:textId="77777777" w:rsidTr="00F44B0C">
        <w:trPr>
          <w:cantSplit/>
          <w:trHeight w:val="567"/>
        </w:trPr>
        <w:tc>
          <w:tcPr>
            <w:tcW w:w="1313" w:type="dxa"/>
            <w:tcBorders>
              <w:top w:val="nil"/>
              <w:left w:val="nil"/>
              <w:bottom w:val="nil"/>
              <w:right w:val="nil"/>
            </w:tcBorders>
            <w:shd w:val="clear" w:color="auto" w:fill="auto"/>
            <w:noWrap/>
          </w:tcPr>
          <w:p w14:paraId="038C706E" w14:textId="0982AD21"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4B049F">
              <w:rPr>
                <w:sz w:val="16"/>
                <w:szCs w:val="16"/>
              </w:rPr>
              <w:t>Chong et al., 2021, Singapore</w:t>
            </w:r>
          </w:p>
        </w:tc>
        <w:tc>
          <w:tcPr>
            <w:tcW w:w="1525" w:type="dxa"/>
            <w:tcBorders>
              <w:top w:val="nil"/>
              <w:left w:val="nil"/>
              <w:bottom w:val="nil"/>
              <w:right w:val="nil"/>
            </w:tcBorders>
          </w:tcPr>
          <w:p w14:paraId="2F13C283" w14:textId="00CE1E33"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Avoidable admissions</w:t>
            </w:r>
          </w:p>
        </w:tc>
        <w:tc>
          <w:tcPr>
            <w:tcW w:w="2688" w:type="dxa"/>
            <w:tcBorders>
              <w:top w:val="nil"/>
              <w:left w:val="nil"/>
              <w:bottom w:val="nil"/>
              <w:right w:val="nil"/>
            </w:tcBorders>
            <w:shd w:val="clear" w:color="auto" w:fill="auto"/>
          </w:tcPr>
          <w:p w14:paraId="522417AB" w14:textId="7E69292B"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To evaluate the effectiveness of ED Interventions for Frailty in reducing potentially avoidable acute admissions.</w:t>
            </w:r>
          </w:p>
        </w:tc>
        <w:tc>
          <w:tcPr>
            <w:tcW w:w="3031" w:type="dxa"/>
            <w:tcBorders>
              <w:top w:val="nil"/>
              <w:left w:val="nil"/>
              <w:bottom w:val="nil"/>
              <w:right w:val="nil"/>
            </w:tcBorders>
            <w:shd w:val="clear" w:color="auto" w:fill="auto"/>
          </w:tcPr>
          <w:p w14:paraId="235D61FE" w14:textId="77777777" w:rsidR="004B049F" w:rsidRPr="00F44B0C"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F44B0C">
              <w:rPr>
                <w:rFonts w:ascii="Calibri" w:eastAsia="Times New Roman" w:hAnsi="Calibri" w:cs="Calibri"/>
                <w:b/>
                <w:bCs/>
                <w:kern w:val="0"/>
                <w:sz w:val="16"/>
                <w:szCs w:val="16"/>
                <w:lang w:eastAsia="en-AU"/>
                <w14:ligatures w14:val="none"/>
              </w:rPr>
              <w:t>General assessment and multi-faceted care coordination to attenuate functional decline</w:t>
            </w:r>
          </w:p>
          <w:p w14:paraId="4DACDF00" w14:textId="50850698"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Geriatric patients reviewed by Advanced Practice Nurse, and then multidisciplinary geriatric assessment.  Follow-up care planning, discharge counselling and education,</w:t>
            </w:r>
            <w:r>
              <w:rPr>
                <w:rFonts w:ascii="Calibri" w:eastAsia="Times New Roman" w:hAnsi="Calibri" w:cs="Calibri"/>
                <w:color w:val="000000"/>
                <w:kern w:val="0"/>
                <w:sz w:val="16"/>
                <w:szCs w:val="16"/>
                <w:lang w:eastAsia="en-AU"/>
                <w14:ligatures w14:val="none"/>
              </w:rPr>
              <w:t xml:space="preserve"> </w:t>
            </w:r>
            <w:r w:rsidRPr="007F1A6A">
              <w:rPr>
                <w:rFonts w:ascii="Calibri" w:eastAsia="Times New Roman" w:hAnsi="Calibri" w:cs="Calibri"/>
                <w:color w:val="000000"/>
                <w:kern w:val="0"/>
                <w:sz w:val="16"/>
                <w:szCs w:val="16"/>
                <w:lang w:eastAsia="en-AU"/>
                <w14:ligatures w14:val="none"/>
              </w:rPr>
              <w:t>and telephonic follow-up consultation are provided for those who are discharged.</w:t>
            </w:r>
          </w:p>
        </w:tc>
        <w:tc>
          <w:tcPr>
            <w:tcW w:w="1128" w:type="dxa"/>
            <w:tcBorders>
              <w:top w:val="nil"/>
              <w:left w:val="nil"/>
              <w:bottom w:val="nil"/>
              <w:right w:val="nil"/>
            </w:tcBorders>
            <w:shd w:val="clear" w:color="auto" w:fill="auto"/>
          </w:tcPr>
          <w:p w14:paraId="7BF3E1B5" w14:textId="1A5ACD56"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w:t>
            </w:r>
          </w:p>
        </w:tc>
        <w:tc>
          <w:tcPr>
            <w:tcW w:w="1389" w:type="dxa"/>
            <w:tcBorders>
              <w:top w:val="nil"/>
              <w:left w:val="nil"/>
              <w:bottom w:val="nil"/>
              <w:right w:val="nil"/>
            </w:tcBorders>
            <w:shd w:val="clear" w:color="auto" w:fill="auto"/>
          </w:tcPr>
          <w:p w14:paraId="5626CD5F" w14:textId="28842719"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43</w:t>
            </w:r>
          </w:p>
        </w:tc>
        <w:tc>
          <w:tcPr>
            <w:tcW w:w="1119" w:type="dxa"/>
            <w:tcBorders>
              <w:top w:val="nil"/>
              <w:left w:val="nil"/>
              <w:bottom w:val="nil"/>
              <w:right w:val="nil"/>
            </w:tcBorders>
            <w:shd w:val="clear" w:color="auto" w:fill="auto"/>
          </w:tcPr>
          <w:p w14:paraId="29A18FA7" w14:textId="70DCAF2A"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57</w:t>
            </w:r>
          </w:p>
        </w:tc>
        <w:tc>
          <w:tcPr>
            <w:tcW w:w="1135" w:type="dxa"/>
            <w:tcBorders>
              <w:top w:val="nil"/>
              <w:left w:val="nil"/>
              <w:bottom w:val="nil"/>
              <w:right w:val="nil"/>
            </w:tcBorders>
            <w:shd w:val="clear" w:color="auto" w:fill="auto"/>
          </w:tcPr>
          <w:p w14:paraId="3610C0DA" w14:textId="5D38CA3A"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Quasi-experimental</w:t>
            </w:r>
          </w:p>
        </w:tc>
        <w:tc>
          <w:tcPr>
            <w:tcW w:w="1128" w:type="dxa"/>
            <w:tcBorders>
              <w:top w:val="nil"/>
              <w:left w:val="nil"/>
              <w:bottom w:val="nil"/>
              <w:right w:val="nil"/>
            </w:tcBorders>
            <w:shd w:val="clear" w:color="auto" w:fill="auto"/>
          </w:tcPr>
          <w:p w14:paraId="3BC3341A" w14:textId="66B30988"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S</w:t>
            </w:r>
            <w:r w:rsidRPr="007F1A6A">
              <w:rPr>
                <w:rFonts w:ascii="Calibri" w:eastAsia="Times New Roman" w:hAnsi="Calibri" w:cs="Calibri"/>
                <w:color w:val="000000"/>
                <w:kern w:val="0"/>
                <w:sz w:val="16"/>
                <w:szCs w:val="16"/>
                <w:lang w:eastAsia="en-AU"/>
                <w14:ligatures w14:val="none"/>
              </w:rPr>
              <w:t xml:space="preserve">ystem performance </w:t>
            </w:r>
            <w:r>
              <w:rPr>
                <w:rFonts w:ascii="Calibri" w:eastAsia="Times New Roman" w:hAnsi="Calibri" w:cs="Calibri"/>
                <w:color w:val="000000"/>
                <w:kern w:val="0"/>
                <w:sz w:val="16"/>
                <w:szCs w:val="16"/>
                <w:lang w:eastAsia="en-AU"/>
                <w14:ligatures w14:val="none"/>
              </w:rPr>
              <w:t>P</w:t>
            </w:r>
            <w:r w:rsidRPr="007F1A6A">
              <w:rPr>
                <w:rFonts w:ascii="Calibri" w:eastAsia="Times New Roman" w:hAnsi="Calibri" w:cs="Calibri"/>
                <w:color w:val="000000"/>
                <w:kern w:val="0"/>
                <w:sz w:val="16"/>
                <w:szCs w:val="16"/>
                <w:lang w:eastAsia="en-AU"/>
                <w14:ligatures w14:val="none"/>
              </w:rPr>
              <w:t>atient outcomes</w:t>
            </w:r>
          </w:p>
        </w:tc>
      </w:tr>
      <w:tr w:rsidR="004B049F" w:rsidRPr="00E821F3" w14:paraId="1A55E4BF" w14:textId="77777777" w:rsidTr="00143566">
        <w:trPr>
          <w:cantSplit/>
          <w:trHeight w:val="567"/>
        </w:trPr>
        <w:tc>
          <w:tcPr>
            <w:tcW w:w="1313" w:type="dxa"/>
            <w:tcBorders>
              <w:top w:val="nil"/>
              <w:left w:val="nil"/>
              <w:bottom w:val="nil"/>
              <w:right w:val="nil"/>
            </w:tcBorders>
            <w:shd w:val="clear" w:color="auto" w:fill="auto"/>
            <w:noWrap/>
          </w:tcPr>
          <w:p w14:paraId="64A4C112" w14:textId="11A38090"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4B049F">
              <w:rPr>
                <w:sz w:val="16"/>
                <w:szCs w:val="16"/>
              </w:rPr>
              <w:t>Chong et al., 2022, Singapore</w:t>
            </w:r>
          </w:p>
        </w:tc>
        <w:tc>
          <w:tcPr>
            <w:tcW w:w="1525" w:type="dxa"/>
            <w:tcBorders>
              <w:top w:val="nil"/>
              <w:left w:val="nil"/>
              <w:bottom w:val="nil"/>
              <w:right w:val="nil"/>
            </w:tcBorders>
          </w:tcPr>
          <w:p w14:paraId="62A26A91" w14:textId="77777777" w:rsid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 xml:space="preserve">Functional </w:t>
            </w:r>
          </w:p>
          <w:p w14:paraId="0BDF152B" w14:textId="77777777" w:rsid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 xml:space="preserve">decline post </w:t>
            </w:r>
          </w:p>
          <w:p w14:paraId="1F8FC0FC" w14:textId="083BD9F5"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ED visit</w:t>
            </w:r>
          </w:p>
        </w:tc>
        <w:tc>
          <w:tcPr>
            <w:tcW w:w="2688" w:type="dxa"/>
            <w:tcBorders>
              <w:top w:val="nil"/>
              <w:left w:val="nil"/>
              <w:bottom w:val="nil"/>
              <w:right w:val="nil"/>
            </w:tcBorders>
            <w:shd w:val="clear" w:color="auto" w:fill="auto"/>
          </w:tcPr>
          <w:p w14:paraId="68EB372C" w14:textId="7B253C7B"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To evaluate the effectiveness of a multicomponent frailty intervention in improving functional outcomes among older persons.</w:t>
            </w:r>
          </w:p>
        </w:tc>
        <w:tc>
          <w:tcPr>
            <w:tcW w:w="3031" w:type="dxa"/>
            <w:tcBorders>
              <w:top w:val="nil"/>
              <w:left w:val="nil"/>
              <w:bottom w:val="nil"/>
              <w:right w:val="nil"/>
            </w:tcBorders>
            <w:shd w:val="clear" w:color="auto" w:fill="auto"/>
          </w:tcPr>
          <w:p w14:paraId="5E8E2887" w14:textId="77777777" w:rsidR="004B049F" w:rsidRPr="00F44B0C"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F44B0C">
              <w:rPr>
                <w:rFonts w:ascii="Calibri" w:eastAsia="Times New Roman" w:hAnsi="Calibri" w:cs="Calibri"/>
                <w:b/>
                <w:bCs/>
                <w:kern w:val="0"/>
                <w:sz w:val="16"/>
                <w:szCs w:val="16"/>
                <w:lang w:eastAsia="en-AU"/>
                <w14:ligatures w14:val="none"/>
              </w:rPr>
              <w:t>General assessment and multi-faceted care coordination to attenuate functional decline</w:t>
            </w:r>
          </w:p>
          <w:p w14:paraId="22B07298" w14:textId="0EB5A7FA" w:rsidR="004B049F" w:rsidRPr="00F44B0C" w:rsidRDefault="004B049F" w:rsidP="004B049F">
            <w:pPr>
              <w:spacing w:after="0" w:line="240" w:lineRule="auto"/>
              <w:rPr>
                <w:rFonts w:ascii="Calibri" w:eastAsia="Times New Roman" w:hAnsi="Calibri" w:cs="Calibri"/>
                <w:b/>
                <w:bCs/>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 xml:space="preserve">Multicomponent </w:t>
            </w:r>
            <w:r>
              <w:rPr>
                <w:rFonts w:ascii="Calibri" w:eastAsia="Times New Roman" w:hAnsi="Calibri" w:cs="Calibri"/>
                <w:color w:val="000000"/>
                <w:kern w:val="0"/>
                <w:sz w:val="16"/>
                <w:szCs w:val="16"/>
                <w:lang w:eastAsia="en-AU"/>
                <w14:ligatures w14:val="none"/>
              </w:rPr>
              <w:t>f</w:t>
            </w:r>
            <w:r w:rsidRPr="007F1A6A">
              <w:rPr>
                <w:rFonts w:ascii="Calibri" w:eastAsia="Times New Roman" w:hAnsi="Calibri" w:cs="Calibri"/>
                <w:color w:val="000000"/>
                <w:kern w:val="0"/>
                <w:sz w:val="16"/>
                <w:szCs w:val="16"/>
                <w:lang w:eastAsia="en-AU"/>
                <w14:ligatures w14:val="none"/>
              </w:rPr>
              <w:t xml:space="preserve">railty </w:t>
            </w:r>
            <w:r>
              <w:rPr>
                <w:rFonts w:ascii="Calibri" w:eastAsia="Times New Roman" w:hAnsi="Calibri" w:cs="Calibri"/>
                <w:color w:val="000000"/>
                <w:kern w:val="0"/>
                <w:sz w:val="16"/>
                <w:szCs w:val="16"/>
                <w:lang w:eastAsia="en-AU"/>
                <w14:ligatures w14:val="none"/>
              </w:rPr>
              <w:t>i</w:t>
            </w:r>
            <w:r w:rsidRPr="007F1A6A">
              <w:rPr>
                <w:rFonts w:ascii="Calibri" w:eastAsia="Times New Roman" w:hAnsi="Calibri" w:cs="Calibri"/>
                <w:color w:val="000000"/>
                <w:kern w:val="0"/>
                <w:sz w:val="16"/>
                <w:szCs w:val="16"/>
                <w:lang w:eastAsia="en-AU"/>
                <w14:ligatures w14:val="none"/>
              </w:rPr>
              <w:t xml:space="preserve">ntervention comprising </w:t>
            </w:r>
            <w:r>
              <w:rPr>
                <w:rFonts w:ascii="Calibri" w:eastAsia="Times New Roman" w:hAnsi="Calibri" w:cs="Calibri"/>
                <w:color w:val="000000"/>
                <w:kern w:val="0"/>
                <w:sz w:val="16"/>
                <w:szCs w:val="16"/>
                <w:lang w:eastAsia="en-AU"/>
                <w14:ligatures w14:val="none"/>
              </w:rPr>
              <w:t>CGA</w:t>
            </w:r>
            <w:r w:rsidRPr="007F1A6A">
              <w:rPr>
                <w:rFonts w:ascii="Calibri" w:eastAsia="Times New Roman" w:hAnsi="Calibri" w:cs="Calibri"/>
                <w:color w:val="000000"/>
                <w:kern w:val="0"/>
                <w:sz w:val="16"/>
                <w:szCs w:val="16"/>
                <w:lang w:eastAsia="en-AU"/>
                <w14:ligatures w14:val="none"/>
              </w:rPr>
              <w:t>, frailty education, discharge transition package</w:t>
            </w:r>
          </w:p>
        </w:tc>
        <w:tc>
          <w:tcPr>
            <w:tcW w:w="1128" w:type="dxa"/>
            <w:tcBorders>
              <w:top w:val="nil"/>
              <w:left w:val="nil"/>
              <w:bottom w:val="nil"/>
              <w:right w:val="nil"/>
            </w:tcBorders>
            <w:shd w:val="clear" w:color="auto" w:fill="auto"/>
          </w:tcPr>
          <w:p w14:paraId="6629025D" w14:textId="69F9C8A2"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w:t>
            </w:r>
          </w:p>
        </w:tc>
        <w:tc>
          <w:tcPr>
            <w:tcW w:w="1389" w:type="dxa"/>
            <w:tcBorders>
              <w:top w:val="nil"/>
              <w:left w:val="nil"/>
              <w:bottom w:val="nil"/>
              <w:right w:val="nil"/>
            </w:tcBorders>
            <w:shd w:val="clear" w:color="auto" w:fill="auto"/>
          </w:tcPr>
          <w:p w14:paraId="4E4C9F1F" w14:textId="2E92CC24"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70</w:t>
            </w:r>
          </w:p>
        </w:tc>
        <w:tc>
          <w:tcPr>
            <w:tcW w:w="1119" w:type="dxa"/>
            <w:tcBorders>
              <w:top w:val="nil"/>
              <w:left w:val="nil"/>
              <w:bottom w:val="nil"/>
              <w:right w:val="nil"/>
            </w:tcBorders>
            <w:shd w:val="clear" w:color="auto" w:fill="auto"/>
          </w:tcPr>
          <w:p w14:paraId="6C815355" w14:textId="50AE3A06"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70</w:t>
            </w:r>
          </w:p>
        </w:tc>
        <w:tc>
          <w:tcPr>
            <w:tcW w:w="1135" w:type="dxa"/>
            <w:tcBorders>
              <w:top w:val="nil"/>
              <w:left w:val="nil"/>
              <w:bottom w:val="nil"/>
              <w:right w:val="nil"/>
            </w:tcBorders>
            <w:shd w:val="clear" w:color="auto" w:fill="auto"/>
          </w:tcPr>
          <w:p w14:paraId="3866D35F" w14:textId="46F4D3D1"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Quasi-experimental</w:t>
            </w:r>
          </w:p>
        </w:tc>
        <w:tc>
          <w:tcPr>
            <w:tcW w:w="1128" w:type="dxa"/>
            <w:tcBorders>
              <w:top w:val="nil"/>
              <w:left w:val="nil"/>
              <w:bottom w:val="nil"/>
              <w:right w:val="nil"/>
            </w:tcBorders>
            <w:shd w:val="clear" w:color="auto" w:fill="auto"/>
          </w:tcPr>
          <w:p w14:paraId="5BC7C824" w14:textId="276D1ED3" w:rsid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P</w:t>
            </w:r>
            <w:r w:rsidRPr="007F1A6A">
              <w:rPr>
                <w:rFonts w:ascii="Calibri" w:eastAsia="Times New Roman" w:hAnsi="Calibri" w:cs="Calibri"/>
                <w:color w:val="000000"/>
                <w:kern w:val="0"/>
                <w:sz w:val="16"/>
                <w:szCs w:val="16"/>
                <w:lang w:eastAsia="en-AU"/>
                <w14:ligatures w14:val="none"/>
              </w:rPr>
              <w:t>atient outcomes</w:t>
            </w:r>
          </w:p>
        </w:tc>
      </w:tr>
      <w:tr w:rsidR="004B049F" w:rsidRPr="00E821F3" w14:paraId="01F44363" w14:textId="77777777" w:rsidTr="00143566">
        <w:trPr>
          <w:cantSplit/>
          <w:trHeight w:val="567"/>
        </w:trPr>
        <w:tc>
          <w:tcPr>
            <w:tcW w:w="1313" w:type="dxa"/>
            <w:tcBorders>
              <w:top w:val="nil"/>
              <w:left w:val="nil"/>
              <w:bottom w:val="nil"/>
              <w:right w:val="nil"/>
            </w:tcBorders>
            <w:shd w:val="clear" w:color="auto" w:fill="auto"/>
            <w:noWrap/>
            <w:hideMark/>
          </w:tcPr>
          <w:p w14:paraId="45CB2852" w14:textId="1DDFCCD9"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4B049F">
              <w:rPr>
                <w:sz w:val="16"/>
                <w:szCs w:val="16"/>
              </w:rPr>
              <w:t>Conroy et al., 2014, UK</w:t>
            </w:r>
          </w:p>
        </w:tc>
        <w:tc>
          <w:tcPr>
            <w:tcW w:w="1525" w:type="dxa"/>
            <w:tcBorders>
              <w:top w:val="nil"/>
              <w:left w:val="nil"/>
              <w:bottom w:val="nil"/>
              <w:right w:val="nil"/>
            </w:tcBorders>
          </w:tcPr>
          <w:p w14:paraId="394612BB" w14:textId="1226655E"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Avoidable admissions</w:t>
            </w:r>
          </w:p>
        </w:tc>
        <w:tc>
          <w:tcPr>
            <w:tcW w:w="2688" w:type="dxa"/>
            <w:tcBorders>
              <w:top w:val="nil"/>
              <w:left w:val="nil"/>
              <w:bottom w:val="nil"/>
              <w:right w:val="nil"/>
            </w:tcBorders>
            <w:shd w:val="clear" w:color="auto" w:fill="auto"/>
            <w:hideMark/>
          </w:tcPr>
          <w:p w14:paraId="5077662B" w14:textId="41FA456C"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To evaluate the impact of an embedded CGA service in the ED</w:t>
            </w:r>
          </w:p>
        </w:tc>
        <w:tc>
          <w:tcPr>
            <w:tcW w:w="3031" w:type="dxa"/>
            <w:tcBorders>
              <w:top w:val="nil"/>
              <w:left w:val="nil"/>
              <w:bottom w:val="nil"/>
              <w:right w:val="nil"/>
            </w:tcBorders>
            <w:shd w:val="clear" w:color="auto" w:fill="auto"/>
            <w:hideMark/>
          </w:tcPr>
          <w:p w14:paraId="7828B6B9" w14:textId="4CF6D097" w:rsidR="004B049F" w:rsidRPr="00121CE8"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121CE8">
              <w:rPr>
                <w:rFonts w:ascii="Calibri" w:eastAsia="Times New Roman" w:hAnsi="Calibri" w:cs="Calibri"/>
                <w:b/>
                <w:bCs/>
                <w:color w:val="000000"/>
                <w:kern w:val="0"/>
                <w:sz w:val="16"/>
                <w:szCs w:val="16"/>
                <w:lang w:eastAsia="en-AU"/>
                <w14:ligatures w14:val="none"/>
              </w:rPr>
              <w:t>General assessment and multi-faceted care coordination to reduce avoidable hospital admissions and/or LOS and/or improve ED flow</w:t>
            </w:r>
          </w:p>
          <w:p w14:paraId="0F9753FE" w14:textId="5ED04D0C"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CGA</w:t>
            </w:r>
            <w:r w:rsidRPr="007F1A6A">
              <w:rPr>
                <w:rFonts w:ascii="Calibri" w:eastAsia="Times New Roman" w:hAnsi="Calibri" w:cs="Calibri"/>
                <w:color w:val="000000"/>
                <w:kern w:val="0"/>
                <w:sz w:val="16"/>
                <w:szCs w:val="16"/>
                <w:lang w:eastAsia="en-AU"/>
                <w14:ligatures w14:val="none"/>
              </w:rPr>
              <w:t xml:space="preserve"> comprising multidimensional interdisciplinary diagnosis and development of coordinated plan for treatment and follow up</w:t>
            </w:r>
          </w:p>
        </w:tc>
        <w:tc>
          <w:tcPr>
            <w:tcW w:w="1128" w:type="dxa"/>
            <w:tcBorders>
              <w:top w:val="nil"/>
              <w:left w:val="nil"/>
              <w:bottom w:val="nil"/>
              <w:right w:val="nil"/>
            </w:tcBorders>
            <w:shd w:val="clear" w:color="auto" w:fill="auto"/>
            <w:hideMark/>
          </w:tcPr>
          <w:p w14:paraId="3B7DFEFB"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w:t>
            </w:r>
          </w:p>
        </w:tc>
        <w:tc>
          <w:tcPr>
            <w:tcW w:w="1389" w:type="dxa"/>
            <w:tcBorders>
              <w:top w:val="nil"/>
              <w:left w:val="nil"/>
              <w:bottom w:val="nil"/>
              <w:right w:val="nil"/>
            </w:tcBorders>
            <w:shd w:val="clear" w:color="auto" w:fill="auto"/>
            <w:hideMark/>
          </w:tcPr>
          <w:p w14:paraId="6BABB680"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9035</w:t>
            </w:r>
          </w:p>
        </w:tc>
        <w:tc>
          <w:tcPr>
            <w:tcW w:w="1119" w:type="dxa"/>
            <w:tcBorders>
              <w:top w:val="nil"/>
              <w:left w:val="nil"/>
              <w:bottom w:val="nil"/>
              <w:right w:val="nil"/>
            </w:tcBorders>
            <w:shd w:val="clear" w:color="auto" w:fill="auto"/>
            <w:hideMark/>
          </w:tcPr>
          <w:p w14:paraId="35854C1B"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444</w:t>
            </w:r>
          </w:p>
        </w:tc>
        <w:tc>
          <w:tcPr>
            <w:tcW w:w="1135" w:type="dxa"/>
            <w:tcBorders>
              <w:top w:val="nil"/>
              <w:left w:val="nil"/>
              <w:bottom w:val="nil"/>
              <w:right w:val="nil"/>
            </w:tcBorders>
            <w:shd w:val="clear" w:color="auto" w:fill="auto"/>
            <w:hideMark/>
          </w:tcPr>
          <w:p w14:paraId="55C5682C" w14:textId="39A1DC1E"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0307AC">
              <w:rPr>
                <w:rFonts w:ascii="Calibri" w:eastAsia="Times New Roman" w:hAnsi="Calibri" w:cs="Calibri"/>
                <w:kern w:val="0"/>
                <w:sz w:val="16"/>
                <w:szCs w:val="16"/>
                <w:lang w:eastAsia="en-AU"/>
                <w14:ligatures w14:val="none"/>
              </w:rPr>
              <w:t>Pre-post</w:t>
            </w:r>
          </w:p>
        </w:tc>
        <w:tc>
          <w:tcPr>
            <w:tcW w:w="1128" w:type="dxa"/>
            <w:tcBorders>
              <w:top w:val="nil"/>
              <w:left w:val="nil"/>
              <w:bottom w:val="nil"/>
              <w:right w:val="nil"/>
            </w:tcBorders>
            <w:shd w:val="clear" w:color="auto" w:fill="auto"/>
            <w:hideMark/>
          </w:tcPr>
          <w:p w14:paraId="113A3AF3" w14:textId="7C003C97"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S</w:t>
            </w:r>
            <w:r w:rsidRPr="007F1A6A">
              <w:rPr>
                <w:rFonts w:ascii="Calibri" w:eastAsia="Times New Roman" w:hAnsi="Calibri" w:cs="Calibri"/>
                <w:color w:val="000000"/>
                <w:kern w:val="0"/>
                <w:sz w:val="16"/>
                <w:szCs w:val="16"/>
                <w:lang w:eastAsia="en-AU"/>
                <w14:ligatures w14:val="none"/>
              </w:rPr>
              <w:t xml:space="preserve">ystem performance </w:t>
            </w:r>
            <w:r>
              <w:rPr>
                <w:rFonts w:ascii="Calibri" w:eastAsia="Times New Roman" w:hAnsi="Calibri" w:cs="Calibri"/>
                <w:color w:val="000000"/>
                <w:kern w:val="0"/>
                <w:sz w:val="16"/>
                <w:szCs w:val="16"/>
                <w:lang w:eastAsia="en-AU"/>
                <w14:ligatures w14:val="none"/>
              </w:rPr>
              <w:t>P</w:t>
            </w:r>
            <w:r w:rsidRPr="007F1A6A">
              <w:rPr>
                <w:rFonts w:ascii="Calibri" w:eastAsia="Times New Roman" w:hAnsi="Calibri" w:cs="Calibri"/>
                <w:color w:val="000000"/>
                <w:kern w:val="0"/>
                <w:sz w:val="16"/>
                <w:szCs w:val="16"/>
                <w:lang w:eastAsia="en-AU"/>
                <w14:ligatures w14:val="none"/>
              </w:rPr>
              <w:t>atient outcomes</w:t>
            </w:r>
          </w:p>
        </w:tc>
      </w:tr>
      <w:tr w:rsidR="004B049F" w:rsidRPr="00E821F3" w14:paraId="67108B12" w14:textId="77777777" w:rsidTr="00143566">
        <w:trPr>
          <w:cantSplit/>
          <w:trHeight w:val="567"/>
        </w:trPr>
        <w:tc>
          <w:tcPr>
            <w:tcW w:w="1313" w:type="dxa"/>
            <w:tcBorders>
              <w:top w:val="nil"/>
              <w:left w:val="nil"/>
              <w:bottom w:val="nil"/>
              <w:right w:val="nil"/>
            </w:tcBorders>
            <w:shd w:val="clear" w:color="000000" w:fill="FFFFFF"/>
            <w:noWrap/>
            <w:hideMark/>
          </w:tcPr>
          <w:p w14:paraId="12C9EEE8" w14:textId="154B53CD" w:rsidR="004B049F" w:rsidRPr="004B049F" w:rsidRDefault="004B049F" w:rsidP="004B049F">
            <w:pPr>
              <w:spacing w:after="0" w:line="240" w:lineRule="auto"/>
              <w:rPr>
                <w:rFonts w:ascii="Calibri" w:eastAsia="Times New Roman" w:hAnsi="Calibri" w:cs="Calibri"/>
                <w:kern w:val="0"/>
                <w:sz w:val="16"/>
                <w:szCs w:val="16"/>
                <w:lang w:eastAsia="en-AU"/>
                <w14:ligatures w14:val="none"/>
              </w:rPr>
            </w:pPr>
            <w:r w:rsidRPr="004B049F">
              <w:rPr>
                <w:sz w:val="16"/>
                <w:szCs w:val="16"/>
              </w:rPr>
              <w:t>Corbett et al., 2005, Australia</w:t>
            </w:r>
          </w:p>
        </w:tc>
        <w:tc>
          <w:tcPr>
            <w:tcW w:w="1525" w:type="dxa"/>
            <w:tcBorders>
              <w:top w:val="nil"/>
              <w:left w:val="nil"/>
              <w:bottom w:val="nil"/>
              <w:right w:val="nil"/>
            </w:tcBorders>
            <w:shd w:val="clear" w:color="000000" w:fill="FFFFFF"/>
          </w:tcPr>
          <w:p w14:paraId="215ACB0D" w14:textId="660B7740" w:rsidR="004B049F" w:rsidRPr="00A07F99" w:rsidRDefault="004B049F" w:rsidP="004B049F">
            <w:pPr>
              <w:spacing w:after="0" w:line="240" w:lineRule="auto"/>
              <w:rPr>
                <w:rFonts w:ascii="Calibri" w:eastAsia="Times New Roman" w:hAnsi="Calibri" w:cs="Calibri"/>
                <w:kern w:val="0"/>
                <w:sz w:val="16"/>
                <w:szCs w:val="16"/>
                <w:lang w:eastAsia="en-AU"/>
                <w14:ligatures w14:val="none"/>
              </w:rPr>
            </w:pPr>
            <w:r w:rsidRPr="00A07F99">
              <w:rPr>
                <w:rFonts w:ascii="Calibri" w:eastAsia="Times New Roman" w:hAnsi="Calibri" w:cs="Calibri"/>
                <w:kern w:val="0"/>
                <w:sz w:val="16"/>
                <w:szCs w:val="16"/>
                <w:lang w:eastAsia="en-AU"/>
                <w14:ligatures w14:val="none"/>
              </w:rPr>
              <w:t>Avoidable admissions</w:t>
            </w:r>
          </w:p>
        </w:tc>
        <w:tc>
          <w:tcPr>
            <w:tcW w:w="2688" w:type="dxa"/>
            <w:tcBorders>
              <w:top w:val="nil"/>
              <w:left w:val="nil"/>
              <w:bottom w:val="nil"/>
              <w:right w:val="nil"/>
            </w:tcBorders>
            <w:shd w:val="clear" w:color="000000" w:fill="FFFFFF"/>
            <w:hideMark/>
          </w:tcPr>
          <w:p w14:paraId="6D6E1E7F" w14:textId="1C289AA5" w:rsidR="004B049F" w:rsidRPr="00A07F99" w:rsidRDefault="004B049F" w:rsidP="004B049F">
            <w:pPr>
              <w:spacing w:after="0" w:line="240" w:lineRule="auto"/>
              <w:rPr>
                <w:rFonts w:ascii="Calibri" w:eastAsia="Times New Roman" w:hAnsi="Calibri" w:cs="Calibri"/>
                <w:kern w:val="0"/>
                <w:sz w:val="16"/>
                <w:szCs w:val="16"/>
                <w:lang w:eastAsia="en-AU"/>
                <w14:ligatures w14:val="none"/>
              </w:rPr>
            </w:pPr>
            <w:r w:rsidRPr="00A07F99">
              <w:rPr>
                <w:rFonts w:ascii="Calibri" w:eastAsia="Times New Roman" w:hAnsi="Calibri" w:cs="Calibri"/>
                <w:kern w:val="0"/>
                <w:sz w:val="16"/>
                <w:szCs w:val="16"/>
                <w:lang w:eastAsia="en-AU"/>
                <w14:ligatures w14:val="none"/>
              </w:rPr>
              <w:t xml:space="preserve">To evaluate the effectiveness of the care coordination program operating in the ED in improving outcomes for </w:t>
            </w:r>
            <w:r w:rsidR="00260D46">
              <w:rPr>
                <w:rFonts w:ascii="Calibri" w:eastAsia="Times New Roman" w:hAnsi="Calibri" w:cs="Calibri"/>
                <w:kern w:val="0"/>
                <w:sz w:val="16"/>
                <w:szCs w:val="16"/>
                <w:lang w:eastAsia="en-AU"/>
                <w14:ligatures w14:val="none"/>
              </w:rPr>
              <w:t>older adults</w:t>
            </w:r>
            <w:r w:rsidRPr="00A07F99">
              <w:rPr>
                <w:rFonts w:ascii="Calibri" w:eastAsia="Times New Roman" w:hAnsi="Calibri" w:cs="Calibri"/>
                <w:kern w:val="0"/>
                <w:sz w:val="16"/>
                <w:szCs w:val="16"/>
                <w:lang w:eastAsia="en-AU"/>
                <w14:ligatures w14:val="none"/>
              </w:rPr>
              <w:t xml:space="preserve"> and reducing ED admissions and re-presentations</w:t>
            </w:r>
          </w:p>
        </w:tc>
        <w:tc>
          <w:tcPr>
            <w:tcW w:w="3031" w:type="dxa"/>
            <w:tcBorders>
              <w:top w:val="nil"/>
              <w:left w:val="nil"/>
              <w:bottom w:val="nil"/>
              <w:right w:val="nil"/>
            </w:tcBorders>
            <w:shd w:val="clear" w:color="000000" w:fill="FFFFFF"/>
            <w:hideMark/>
          </w:tcPr>
          <w:p w14:paraId="4B2705BE" w14:textId="33141DB8" w:rsidR="004B049F" w:rsidRPr="00DA0D07" w:rsidRDefault="004B049F" w:rsidP="004B049F">
            <w:pPr>
              <w:spacing w:after="0" w:line="240" w:lineRule="auto"/>
              <w:rPr>
                <w:rFonts w:ascii="Calibri" w:eastAsia="Times New Roman" w:hAnsi="Calibri" w:cs="Calibri"/>
                <w:b/>
                <w:bCs/>
                <w:kern w:val="0"/>
                <w:sz w:val="16"/>
                <w:szCs w:val="16"/>
                <w:lang w:eastAsia="en-AU"/>
                <w14:ligatures w14:val="none"/>
              </w:rPr>
            </w:pPr>
            <w:r w:rsidRPr="00DA0D07">
              <w:rPr>
                <w:rFonts w:ascii="Calibri" w:eastAsia="Times New Roman" w:hAnsi="Calibri" w:cs="Calibri"/>
                <w:b/>
                <w:bCs/>
                <w:color w:val="000000"/>
                <w:kern w:val="0"/>
                <w:sz w:val="16"/>
                <w:szCs w:val="16"/>
                <w:lang w:eastAsia="en-AU"/>
                <w14:ligatures w14:val="none"/>
              </w:rPr>
              <w:t>General assessment and multi-faceted care coordination to reduce avoidable hospital admissions and/or LOS and/or improve ED flow</w:t>
            </w:r>
          </w:p>
          <w:p w14:paraId="3494D53D" w14:textId="68F7630B" w:rsidR="004B049F" w:rsidRPr="00A07F99" w:rsidRDefault="004B049F" w:rsidP="004B049F">
            <w:pPr>
              <w:spacing w:after="0" w:line="240" w:lineRule="auto"/>
              <w:rPr>
                <w:rFonts w:ascii="Calibri" w:eastAsia="Times New Roman" w:hAnsi="Calibri" w:cs="Calibri"/>
                <w:kern w:val="0"/>
                <w:sz w:val="16"/>
                <w:szCs w:val="16"/>
                <w:lang w:eastAsia="en-AU"/>
                <w14:ligatures w14:val="none"/>
              </w:rPr>
            </w:pPr>
            <w:r w:rsidRPr="00A07F99">
              <w:rPr>
                <w:rFonts w:ascii="Calibri" w:eastAsia="Times New Roman" w:hAnsi="Calibri" w:cs="Calibri"/>
                <w:kern w:val="0"/>
                <w:sz w:val="16"/>
                <w:szCs w:val="16"/>
                <w:lang w:eastAsia="en-AU"/>
                <w14:ligatures w14:val="none"/>
              </w:rPr>
              <w:t>Care Coordination</w:t>
            </w:r>
            <w:r w:rsidR="002C644C">
              <w:rPr>
                <w:rFonts w:ascii="Calibri" w:eastAsia="Times New Roman" w:hAnsi="Calibri" w:cs="Calibri"/>
                <w:kern w:val="0"/>
                <w:sz w:val="16"/>
                <w:szCs w:val="16"/>
                <w:lang w:eastAsia="en-AU"/>
                <w14:ligatures w14:val="none"/>
              </w:rPr>
              <w:t xml:space="preserve"> program</w:t>
            </w:r>
          </w:p>
        </w:tc>
        <w:tc>
          <w:tcPr>
            <w:tcW w:w="1128" w:type="dxa"/>
            <w:tcBorders>
              <w:top w:val="nil"/>
              <w:left w:val="nil"/>
              <w:bottom w:val="nil"/>
              <w:right w:val="nil"/>
            </w:tcBorders>
            <w:shd w:val="clear" w:color="000000" w:fill="FFFFFF"/>
            <w:hideMark/>
          </w:tcPr>
          <w:p w14:paraId="4CC55C9A" w14:textId="77777777" w:rsidR="004B049F" w:rsidRPr="00A07F99" w:rsidRDefault="004B049F" w:rsidP="004B049F">
            <w:pPr>
              <w:spacing w:after="0" w:line="240" w:lineRule="auto"/>
              <w:jc w:val="right"/>
              <w:rPr>
                <w:rFonts w:ascii="Calibri" w:eastAsia="Times New Roman" w:hAnsi="Calibri" w:cs="Calibri"/>
                <w:kern w:val="0"/>
                <w:sz w:val="16"/>
                <w:szCs w:val="16"/>
                <w:lang w:eastAsia="en-AU"/>
                <w14:ligatures w14:val="none"/>
              </w:rPr>
            </w:pPr>
            <w:r w:rsidRPr="00A07F99">
              <w:rPr>
                <w:rFonts w:ascii="Calibri" w:eastAsia="Times New Roman" w:hAnsi="Calibri" w:cs="Calibri"/>
                <w:kern w:val="0"/>
                <w:sz w:val="16"/>
                <w:szCs w:val="16"/>
                <w:lang w:eastAsia="en-AU"/>
                <w14:ligatures w14:val="none"/>
              </w:rPr>
              <w:t>1</w:t>
            </w:r>
          </w:p>
        </w:tc>
        <w:tc>
          <w:tcPr>
            <w:tcW w:w="1389" w:type="dxa"/>
            <w:tcBorders>
              <w:top w:val="nil"/>
              <w:left w:val="nil"/>
              <w:bottom w:val="nil"/>
              <w:right w:val="nil"/>
            </w:tcBorders>
            <w:shd w:val="clear" w:color="000000" w:fill="FFFFFF"/>
            <w:hideMark/>
          </w:tcPr>
          <w:p w14:paraId="4A7E58CF" w14:textId="7B11E62F" w:rsidR="004B049F" w:rsidRPr="00A07F99" w:rsidRDefault="004B049F" w:rsidP="004B049F">
            <w:pPr>
              <w:spacing w:after="0" w:line="240" w:lineRule="auto"/>
              <w:jc w:val="right"/>
              <w:rPr>
                <w:rFonts w:ascii="Calibri" w:eastAsia="Times New Roman" w:hAnsi="Calibri" w:cs="Calibri"/>
                <w:kern w:val="0"/>
                <w:sz w:val="16"/>
                <w:szCs w:val="16"/>
                <w:lang w:eastAsia="en-AU"/>
                <w14:ligatures w14:val="none"/>
              </w:rPr>
            </w:pPr>
            <w:r w:rsidRPr="00A07F99">
              <w:rPr>
                <w:rFonts w:ascii="Calibri" w:eastAsia="Times New Roman" w:hAnsi="Calibri" w:cs="Calibri"/>
                <w:kern w:val="0"/>
                <w:sz w:val="16"/>
                <w:szCs w:val="16"/>
                <w:lang w:eastAsia="en-AU"/>
                <w14:ligatures w14:val="none"/>
              </w:rPr>
              <w:t>134,890</w:t>
            </w:r>
          </w:p>
        </w:tc>
        <w:tc>
          <w:tcPr>
            <w:tcW w:w="1119" w:type="dxa"/>
            <w:tcBorders>
              <w:top w:val="nil"/>
              <w:left w:val="nil"/>
              <w:bottom w:val="nil"/>
              <w:right w:val="nil"/>
            </w:tcBorders>
            <w:shd w:val="clear" w:color="000000" w:fill="FFFFFF"/>
            <w:hideMark/>
          </w:tcPr>
          <w:p w14:paraId="6C21E75F" w14:textId="2821147F" w:rsidR="004B049F" w:rsidRPr="00A07F99" w:rsidRDefault="004B049F" w:rsidP="004B049F">
            <w:pPr>
              <w:spacing w:after="0" w:line="240" w:lineRule="auto"/>
              <w:jc w:val="right"/>
              <w:rPr>
                <w:rFonts w:ascii="Calibri" w:eastAsia="Times New Roman" w:hAnsi="Calibri" w:cs="Calibri"/>
                <w:kern w:val="0"/>
                <w:sz w:val="16"/>
                <w:szCs w:val="16"/>
                <w:lang w:eastAsia="en-AU"/>
                <w14:ligatures w14:val="none"/>
              </w:rPr>
            </w:pPr>
            <w:r w:rsidRPr="00A07F99">
              <w:rPr>
                <w:rFonts w:ascii="Calibri" w:eastAsia="Times New Roman" w:hAnsi="Calibri" w:cs="Calibri"/>
                <w:kern w:val="0"/>
                <w:sz w:val="16"/>
                <w:szCs w:val="16"/>
                <w:lang w:eastAsia="en-AU"/>
                <w14:ligatures w14:val="none"/>
              </w:rPr>
              <w:t> 40,510</w:t>
            </w:r>
          </w:p>
        </w:tc>
        <w:tc>
          <w:tcPr>
            <w:tcW w:w="1135" w:type="dxa"/>
            <w:tcBorders>
              <w:top w:val="nil"/>
              <w:left w:val="nil"/>
              <w:bottom w:val="nil"/>
              <w:right w:val="nil"/>
            </w:tcBorders>
            <w:shd w:val="clear" w:color="000000" w:fill="FFFFFF"/>
            <w:hideMark/>
          </w:tcPr>
          <w:p w14:paraId="6BB6101C" w14:textId="77777777" w:rsidR="004B049F" w:rsidRPr="00A07F99" w:rsidRDefault="004B049F" w:rsidP="004B049F">
            <w:pPr>
              <w:spacing w:after="0" w:line="240" w:lineRule="auto"/>
              <w:rPr>
                <w:rFonts w:ascii="Calibri" w:eastAsia="Times New Roman" w:hAnsi="Calibri" w:cs="Calibri"/>
                <w:kern w:val="0"/>
                <w:sz w:val="16"/>
                <w:szCs w:val="16"/>
                <w:lang w:eastAsia="en-AU"/>
                <w14:ligatures w14:val="none"/>
              </w:rPr>
            </w:pPr>
            <w:r w:rsidRPr="00A07F99">
              <w:rPr>
                <w:rFonts w:ascii="Calibri" w:eastAsia="Times New Roman" w:hAnsi="Calibri" w:cs="Calibri"/>
                <w:kern w:val="0"/>
                <w:sz w:val="16"/>
                <w:szCs w:val="16"/>
                <w:lang w:eastAsia="en-AU"/>
                <w14:ligatures w14:val="none"/>
              </w:rPr>
              <w:t>Pre-post</w:t>
            </w:r>
          </w:p>
        </w:tc>
        <w:tc>
          <w:tcPr>
            <w:tcW w:w="1128" w:type="dxa"/>
            <w:tcBorders>
              <w:top w:val="nil"/>
              <w:left w:val="nil"/>
              <w:bottom w:val="nil"/>
              <w:right w:val="nil"/>
            </w:tcBorders>
            <w:shd w:val="clear" w:color="000000" w:fill="FFFFFF"/>
            <w:hideMark/>
          </w:tcPr>
          <w:p w14:paraId="4294F1E4" w14:textId="0EC2CC4F" w:rsidR="004B049F" w:rsidRPr="00A07F99" w:rsidRDefault="004B049F" w:rsidP="004B049F">
            <w:pPr>
              <w:spacing w:after="0" w:line="240" w:lineRule="auto"/>
              <w:rPr>
                <w:rFonts w:ascii="Calibri" w:eastAsia="Times New Roman" w:hAnsi="Calibri" w:cs="Calibri"/>
                <w:kern w:val="0"/>
                <w:sz w:val="16"/>
                <w:szCs w:val="16"/>
                <w:lang w:eastAsia="en-AU"/>
                <w14:ligatures w14:val="none"/>
              </w:rPr>
            </w:pPr>
            <w:r w:rsidRPr="00A07F99">
              <w:rPr>
                <w:rFonts w:ascii="Calibri" w:eastAsia="Times New Roman" w:hAnsi="Calibri" w:cs="Calibri"/>
                <w:kern w:val="0"/>
                <w:sz w:val="16"/>
                <w:szCs w:val="16"/>
                <w:lang w:eastAsia="en-AU"/>
                <w14:ligatures w14:val="none"/>
              </w:rPr>
              <w:t>System performance Patient outcomes</w:t>
            </w:r>
          </w:p>
        </w:tc>
      </w:tr>
      <w:tr w:rsidR="004B049F" w:rsidRPr="00E821F3" w14:paraId="004CD5B1" w14:textId="77777777" w:rsidTr="00143566">
        <w:trPr>
          <w:cantSplit/>
          <w:trHeight w:val="567"/>
        </w:trPr>
        <w:tc>
          <w:tcPr>
            <w:tcW w:w="1313" w:type="dxa"/>
            <w:tcBorders>
              <w:top w:val="nil"/>
              <w:left w:val="nil"/>
              <w:bottom w:val="nil"/>
              <w:right w:val="nil"/>
            </w:tcBorders>
            <w:shd w:val="clear" w:color="000000" w:fill="FFFFFF"/>
            <w:noWrap/>
            <w:hideMark/>
          </w:tcPr>
          <w:p w14:paraId="00B42A2E" w14:textId="30971FAC" w:rsidR="004B049F" w:rsidRPr="004B049F" w:rsidRDefault="004B049F" w:rsidP="004B049F">
            <w:pPr>
              <w:spacing w:after="0" w:line="240" w:lineRule="auto"/>
              <w:rPr>
                <w:rFonts w:ascii="Calibri" w:eastAsia="Times New Roman" w:hAnsi="Calibri" w:cs="Calibri"/>
                <w:kern w:val="0"/>
                <w:sz w:val="16"/>
                <w:szCs w:val="16"/>
                <w:lang w:eastAsia="en-AU"/>
                <w14:ligatures w14:val="none"/>
              </w:rPr>
            </w:pPr>
            <w:r w:rsidRPr="004B049F">
              <w:rPr>
                <w:sz w:val="16"/>
                <w:szCs w:val="16"/>
              </w:rPr>
              <w:t>Desy et al., 2008, USA</w:t>
            </w:r>
          </w:p>
        </w:tc>
        <w:tc>
          <w:tcPr>
            <w:tcW w:w="1525" w:type="dxa"/>
            <w:tcBorders>
              <w:top w:val="nil"/>
              <w:left w:val="nil"/>
              <w:bottom w:val="nil"/>
              <w:right w:val="nil"/>
            </w:tcBorders>
            <w:shd w:val="clear" w:color="000000" w:fill="FFFFFF"/>
          </w:tcPr>
          <w:p w14:paraId="60EAC39D" w14:textId="77777777" w:rsidR="004B049F" w:rsidRPr="0056796F" w:rsidRDefault="004B049F" w:rsidP="004B049F">
            <w:pPr>
              <w:spacing w:after="0" w:line="240" w:lineRule="auto"/>
              <w:rPr>
                <w:rFonts w:ascii="Calibri" w:eastAsia="Times New Roman" w:hAnsi="Calibri" w:cs="Calibri"/>
                <w:kern w:val="0"/>
                <w:sz w:val="16"/>
                <w:szCs w:val="16"/>
                <w:lang w:eastAsia="en-AU"/>
                <w14:ligatures w14:val="none"/>
              </w:rPr>
            </w:pPr>
            <w:r w:rsidRPr="0056796F">
              <w:rPr>
                <w:rFonts w:ascii="Calibri" w:eastAsia="Times New Roman" w:hAnsi="Calibri" w:cs="Calibri"/>
                <w:kern w:val="0"/>
                <w:sz w:val="16"/>
                <w:szCs w:val="16"/>
                <w:lang w:eastAsia="en-AU"/>
                <w14:ligatures w14:val="none"/>
              </w:rPr>
              <w:t xml:space="preserve">ED nurses </w:t>
            </w:r>
          </w:p>
          <w:p w14:paraId="295F576C" w14:textId="77777777" w:rsidR="004B049F" w:rsidRPr="0056796F" w:rsidRDefault="004B049F" w:rsidP="004B049F">
            <w:pPr>
              <w:spacing w:after="0" w:line="240" w:lineRule="auto"/>
              <w:rPr>
                <w:rFonts w:ascii="Calibri" w:eastAsia="Times New Roman" w:hAnsi="Calibri" w:cs="Calibri"/>
                <w:kern w:val="0"/>
                <w:sz w:val="16"/>
                <w:szCs w:val="16"/>
                <w:lang w:eastAsia="en-AU"/>
                <w14:ligatures w14:val="none"/>
              </w:rPr>
            </w:pPr>
            <w:r w:rsidRPr="0056796F">
              <w:rPr>
                <w:rFonts w:ascii="Calibri" w:eastAsia="Times New Roman" w:hAnsi="Calibri" w:cs="Calibri"/>
                <w:kern w:val="0"/>
                <w:sz w:val="16"/>
                <w:szCs w:val="16"/>
                <w:lang w:eastAsia="en-AU"/>
                <w14:ligatures w14:val="none"/>
              </w:rPr>
              <w:t xml:space="preserve">lack of </w:t>
            </w:r>
          </w:p>
          <w:p w14:paraId="49A9879A" w14:textId="77777777" w:rsidR="004B049F" w:rsidRPr="0056796F" w:rsidRDefault="004B049F" w:rsidP="004B049F">
            <w:pPr>
              <w:spacing w:after="0" w:line="240" w:lineRule="auto"/>
              <w:rPr>
                <w:rFonts w:ascii="Calibri" w:eastAsia="Times New Roman" w:hAnsi="Calibri" w:cs="Calibri"/>
                <w:kern w:val="0"/>
                <w:sz w:val="16"/>
                <w:szCs w:val="16"/>
                <w:lang w:eastAsia="en-AU"/>
                <w14:ligatures w14:val="none"/>
              </w:rPr>
            </w:pPr>
            <w:r w:rsidRPr="0056796F">
              <w:rPr>
                <w:rFonts w:ascii="Calibri" w:eastAsia="Times New Roman" w:hAnsi="Calibri" w:cs="Calibri"/>
                <w:kern w:val="0"/>
                <w:sz w:val="16"/>
                <w:szCs w:val="16"/>
                <w:lang w:eastAsia="en-AU"/>
                <w14:ligatures w14:val="none"/>
              </w:rPr>
              <w:t>geriatric-</w:t>
            </w:r>
          </w:p>
          <w:p w14:paraId="07C3EFB9" w14:textId="77777777" w:rsidR="004B049F" w:rsidRPr="0056796F" w:rsidRDefault="004B049F" w:rsidP="004B049F">
            <w:pPr>
              <w:spacing w:after="0" w:line="240" w:lineRule="auto"/>
              <w:rPr>
                <w:rFonts w:ascii="Calibri" w:eastAsia="Times New Roman" w:hAnsi="Calibri" w:cs="Calibri"/>
                <w:kern w:val="0"/>
                <w:sz w:val="16"/>
                <w:szCs w:val="16"/>
                <w:lang w:eastAsia="en-AU"/>
                <w14:ligatures w14:val="none"/>
              </w:rPr>
            </w:pPr>
            <w:r w:rsidRPr="0056796F">
              <w:rPr>
                <w:rFonts w:ascii="Calibri" w:eastAsia="Times New Roman" w:hAnsi="Calibri" w:cs="Calibri"/>
                <w:kern w:val="0"/>
                <w:sz w:val="16"/>
                <w:szCs w:val="16"/>
                <w:lang w:eastAsia="en-AU"/>
                <w14:ligatures w14:val="none"/>
              </w:rPr>
              <w:t>specific</w:t>
            </w:r>
          </w:p>
          <w:p w14:paraId="232C3A30" w14:textId="02D03858" w:rsidR="004B049F" w:rsidRPr="0056796F" w:rsidRDefault="004B049F" w:rsidP="004B049F">
            <w:pPr>
              <w:spacing w:after="0" w:line="240" w:lineRule="auto"/>
              <w:rPr>
                <w:rFonts w:ascii="Calibri" w:eastAsia="Times New Roman" w:hAnsi="Calibri" w:cs="Calibri"/>
                <w:kern w:val="0"/>
                <w:sz w:val="16"/>
                <w:szCs w:val="16"/>
                <w:lang w:eastAsia="en-AU"/>
                <w14:ligatures w14:val="none"/>
              </w:rPr>
            </w:pPr>
            <w:r w:rsidRPr="0056796F">
              <w:rPr>
                <w:rFonts w:ascii="Calibri" w:eastAsia="Times New Roman" w:hAnsi="Calibri" w:cs="Calibri"/>
                <w:kern w:val="0"/>
                <w:sz w:val="16"/>
                <w:szCs w:val="16"/>
                <w:lang w:eastAsia="en-AU"/>
                <w14:ligatures w14:val="none"/>
              </w:rPr>
              <w:t xml:space="preserve"> knowledge</w:t>
            </w:r>
          </w:p>
        </w:tc>
        <w:tc>
          <w:tcPr>
            <w:tcW w:w="2688" w:type="dxa"/>
            <w:tcBorders>
              <w:top w:val="nil"/>
              <w:left w:val="nil"/>
              <w:bottom w:val="nil"/>
              <w:right w:val="nil"/>
            </w:tcBorders>
            <w:shd w:val="clear" w:color="000000" w:fill="FFFFFF"/>
            <w:hideMark/>
          </w:tcPr>
          <w:p w14:paraId="3D031A19" w14:textId="073BFB81" w:rsidR="004B049F" w:rsidRPr="0056796F" w:rsidRDefault="004B049F" w:rsidP="004B049F">
            <w:pPr>
              <w:spacing w:after="0" w:line="240" w:lineRule="auto"/>
              <w:rPr>
                <w:rFonts w:ascii="Calibri" w:eastAsia="Times New Roman" w:hAnsi="Calibri" w:cs="Calibri"/>
                <w:kern w:val="0"/>
                <w:sz w:val="16"/>
                <w:szCs w:val="16"/>
                <w:lang w:eastAsia="en-AU"/>
                <w14:ligatures w14:val="none"/>
              </w:rPr>
            </w:pPr>
            <w:r w:rsidRPr="0056796F">
              <w:rPr>
                <w:rFonts w:ascii="Calibri" w:eastAsia="Times New Roman" w:hAnsi="Calibri" w:cs="Calibri"/>
                <w:kern w:val="0"/>
                <w:sz w:val="16"/>
                <w:szCs w:val="16"/>
                <w:lang w:eastAsia="en-AU"/>
                <w14:ligatures w14:val="none"/>
              </w:rPr>
              <w:t>To evaluate the impact of the GENE course on emergency nurses ‘geriatric best practices in the ED</w:t>
            </w:r>
          </w:p>
        </w:tc>
        <w:tc>
          <w:tcPr>
            <w:tcW w:w="3031" w:type="dxa"/>
            <w:tcBorders>
              <w:top w:val="nil"/>
              <w:left w:val="nil"/>
              <w:bottom w:val="nil"/>
              <w:right w:val="nil"/>
            </w:tcBorders>
            <w:shd w:val="clear" w:color="000000" w:fill="FFFFFF"/>
            <w:hideMark/>
          </w:tcPr>
          <w:p w14:paraId="4E077A3E" w14:textId="0FE96AFA" w:rsidR="004B049F" w:rsidRPr="008F2FFA" w:rsidRDefault="004B049F" w:rsidP="004B049F">
            <w:pPr>
              <w:spacing w:after="0" w:line="240" w:lineRule="auto"/>
              <w:rPr>
                <w:rFonts w:ascii="Calibri" w:eastAsia="Times New Roman" w:hAnsi="Calibri" w:cs="Calibri"/>
                <w:b/>
                <w:bCs/>
                <w:kern w:val="0"/>
                <w:sz w:val="16"/>
                <w:szCs w:val="16"/>
                <w:lang w:eastAsia="en-AU"/>
                <w14:ligatures w14:val="none"/>
              </w:rPr>
            </w:pPr>
            <w:r w:rsidRPr="008F2FFA">
              <w:rPr>
                <w:rFonts w:ascii="Calibri" w:eastAsia="Times New Roman" w:hAnsi="Calibri" w:cs="Calibri"/>
                <w:b/>
                <w:bCs/>
                <w:kern w:val="0"/>
                <w:sz w:val="16"/>
                <w:szCs w:val="16"/>
                <w:lang w:eastAsia="en-AU"/>
                <w14:ligatures w14:val="none"/>
              </w:rPr>
              <w:t>Staff education</w:t>
            </w:r>
          </w:p>
          <w:p w14:paraId="3B0D0B55" w14:textId="7AA6047F" w:rsidR="004B049F" w:rsidRPr="0056796F" w:rsidRDefault="004B049F" w:rsidP="004B049F">
            <w:pPr>
              <w:spacing w:after="0" w:line="240" w:lineRule="auto"/>
              <w:rPr>
                <w:rFonts w:ascii="Calibri" w:eastAsia="Times New Roman" w:hAnsi="Calibri" w:cs="Calibri"/>
                <w:kern w:val="0"/>
                <w:sz w:val="16"/>
                <w:szCs w:val="16"/>
                <w:lang w:eastAsia="en-AU"/>
                <w14:ligatures w14:val="none"/>
              </w:rPr>
            </w:pPr>
            <w:r w:rsidRPr="0056796F">
              <w:rPr>
                <w:rFonts w:ascii="Calibri" w:eastAsia="Times New Roman" w:hAnsi="Calibri" w:cs="Calibri"/>
                <w:kern w:val="0"/>
                <w:sz w:val="16"/>
                <w:szCs w:val="16"/>
                <w:lang w:eastAsia="en-AU"/>
                <w14:ligatures w14:val="none"/>
              </w:rPr>
              <w:t>8-hour Geriatric Emergency Nursing Education course</w:t>
            </w:r>
          </w:p>
        </w:tc>
        <w:tc>
          <w:tcPr>
            <w:tcW w:w="1128" w:type="dxa"/>
            <w:tcBorders>
              <w:top w:val="nil"/>
              <w:left w:val="nil"/>
              <w:bottom w:val="nil"/>
              <w:right w:val="nil"/>
            </w:tcBorders>
            <w:shd w:val="clear" w:color="000000" w:fill="FFFFFF"/>
            <w:hideMark/>
          </w:tcPr>
          <w:p w14:paraId="7E78A0BB" w14:textId="77777777" w:rsidR="004B049F" w:rsidRPr="0056796F" w:rsidRDefault="004B049F" w:rsidP="004B049F">
            <w:pPr>
              <w:spacing w:after="0" w:line="240" w:lineRule="auto"/>
              <w:jc w:val="right"/>
              <w:rPr>
                <w:rFonts w:ascii="Calibri" w:eastAsia="Times New Roman" w:hAnsi="Calibri" w:cs="Calibri"/>
                <w:kern w:val="0"/>
                <w:sz w:val="16"/>
                <w:szCs w:val="16"/>
                <w:lang w:eastAsia="en-AU"/>
                <w14:ligatures w14:val="none"/>
              </w:rPr>
            </w:pPr>
            <w:r w:rsidRPr="0056796F">
              <w:rPr>
                <w:rFonts w:ascii="Calibri" w:eastAsia="Times New Roman" w:hAnsi="Calibri" w:cs="Calibri"/>
                <w:kern w:val="0"/>
                <w:sz w:val="16"/>
                <w:szCs w:val="16"/>
                <w:lang w:eastAsia="en-AU"/>
                <w14:ligatures w14:val="none"/>
              </w:rPr>
              <w:t>1</w:t>
            </w:r>
          </w:p>
        </w:tc>
        <w:tc>
          <w:tcPr>
            <w:tcW w:w="1389" w:type="dxa"/>
            <w:tcBorders>
              <w:top w:val="nil"/>
              <w:left w:val="nil"/>
              <w:bottom w:val="nil"/>
              <w:right w:val="nil"/>
            </w:tcBorders>
            <w:shd w:val="clear" w:color="000000" w:fill="FFFFFF"/>
            <w:hideMark/>
          </w:tcPr>
          <w:p w14:paraId="74BB1280" w14:textId="1236A503" w:rsidR="004B049F" w:rsidRPr="0056796F" w:rsidRDefault="004B049F" w:rsidP="004B049F">
            <w:pPr>
              <w:spacing w:after="0" w:line="240" w:lineRule="auto"/>
              <w:jc w:val="right"/>
              <w:rPr>
                <w:rFonts w:ascii="Calibri" w:eastAsia="Times New Roman" w:hAnsi="Calibri" w:cs="Calibri"/>
                <w:kern w:val="0"/>
                <w:sz w:val="16"/>
                <w:szCs w:val="16"/>
                <w:lang w:eastAsia="en-AU"/>
                <w14:ligatures w14:val="none"/>
              </w:rPr>
            </w:pPr>
            <w:r w:rsidRPr="0056796F">
              <w:rPr>
                <w:rFonts w:ascii="Calibri" w:eastAsia="Times New Roman" w:hAnsi="Calibri" w:cs="Calibri"/>
                <w:kern w:val="0"/>
                <w:sz w:val="16"/>
                <w:szCs w:val="16"/>
                <w:lang w:eastAsia="en-AU"/>
                <w14:ligatures w14:val="none"/>
              </w:rPr>
              <w:t>100</w:t>
            </w:r>
          </w:p>
        </w:tc>
        <w:tc>
          <w:tcPr>
            <w:tcW w:w="1119" w:type="dxa"/>
            <w:tcBorders>
              <w:top w:val="nil"/>
              <w:left w:val="nil"/>
              <w:bottom w:val="nil"/>
              <w:right w:val="nil"/>
            </w:tcBorders>
            <w:shd w:val="clear" w:color="000000" w:fill="FFFFFF"/>
            <w:hideMark/>
          </w:tcPr>
          <w:p w14:paraId="47C1C058" w14:textId="2581C21B" w:rsidR="004B049F" w:rsidRPr="0056796F" w:rsidRDefault="004B049F" w:rsidP="004B049F">
            <w:pPr>
              <w:spacing w:after="0" w:line="240" w:lineRule="auto"/>
              <w:jc w:val="right"/>
              <w:rPr>
                <w:rFonts w:ascii="Calibri" w:eastAsia="Times New Roman" w:hAnsi="Calibri" w:cs="Calibri"/>
                <w:kern w:val="0"/>
                <w:sz w:val="16"/>
                <w:szCs w:val="16"/>
                <w:lang w:eastAsia="en-AU"/>
                <w14:ligatures w14:val="none"/>
              </w:rPr>
            </w:pPr>
            <w:r w:rsidRPr="0056796F">
              <w:rPr>
                <w:rFonts w:ascii="Calibri" w:eastAsia="Times New Roman" w:hAnsi="Calibri" w:cs="Calibri"/>
                <w:kern w:val="0"/>
                <w:sz w:val="16"/>
                <w:szCs w:val="16"/>
                <w:lang w:eastAsia="en-AU"/>
                <w14:ligatures w14:val="none"/>
              </w:rPr>
              <w:t>63</w:t>
            </w:r>
          </w:p>
        </w:tc>
        <w:tc>
          <w:tcPr>
            <w:tcW w:w="1135" w:type="dxa"/>
            <w:tcBorders>
              <w:top w:val="nil"/>
              <w:left w:val="nil"/>
              <w:bottom w:val="nil"/>
              <w:right w:val="nil"/>
            </w:tcBorders>
            <w:shd w:val="clear" w:color="000000" w:fill="FFFFFF"/>
            <w:hideMark/>
          </w:tcPr>
          <w:p w14:paraId="6EFCD5F2" w14:textId="77777777" w:rsidR="004B049F" w:rsidRPr="0056796F" w:rsidRDefault="004B049F" w:rsidP="004B049F">
            <w:pPr>
              <w:spacing w:after="0" w:line="240" w:lineRule="auto"/>
              <w:rPr>
                <w:rFonts w:ascii="Calibri" w:eastAsia="Times New Roman" w:hAnsi="Calibri" w:cs="Calibri"/>
                <w:kern w:val="0"/>
                <w:sz w:val="16"/>
                <w:szCs w:val="16"/>
                <w:lang w:eastAsia="en-AU"/>
                <w14:ligatures w14:val="none"/>
              </w:rPr>
            </w:pPr>
            <w:r w:rsidRPr="0056796F">
              <w:rPr>
                <w:rFonts w:ascii="Calibri" w:eastAsia="Times New Roman" w:hAnsi="Calibri" w:cs="Calibri"/>
                <w:kern w:val="0"/>
                <w:sz w:val="16"/>
                <w:szCs w:val="16"/>
                <w:lang w:eastAsia="en-AU"/>
                <w14:ligatures w14:val="none"/>
              </w:rPr>
              <w:t>Pre-post</w:t>
            </w:r>
          </w:p>
        </w:tc>
        <w:tc>
          <w:tcPr>
            <w:tcW w:w="1128" w:type="dxa"/>
            <w:tcBorders>
              <w:top w:val="nil"/>
              <w:left w:val="nil"/>
              <w:bottom w:val="nil"/>
              <w:right w:val="nil"/>
            </w:tcBorders>
            <w:shd w:val="clear" w:color="000000" w:fill="FFFFFF"/>
            <w:hideMark/>
          </w:tcPr>
          <w:p w14:paraId="30523489" w14:textId="347AAD56" w:rsidR="004B049F" w:rsidRPr="0056796F" w:rsidRDefault="004B049F" w:rsidP="004B049F">
            <w:pPr>
              <w:spacing w:after="0" w:line="240" w:lineRule="auto"/>
              <w:rPr>
                <w:rFonts w:ascii="Calibri" w:eastAsia="Times New Roman" w:hAnsi="Calibri" w:cs="Calibri"/>
                <w:kern w:val="0"/>
                <w:sz w:val="16"/>
                <w:szCs w:val="16"/>
                <w:lang w:eastAsia="en-AU"/>
                <w14:ligatures w14:val="none"/>
              </w:rPr>
            </w:pPr>
            <w:r w:rsidRPr="0056796F">
              <w:rPr>
                <w:rFonts w:ascii="Calibri" w:eastAsia="Times New Roman" w:hAnsi="Calibri" w:cs="Calibri"/>
                <w:kern w:val="0"/>
                <w:sz w:val="16"/>
                <w:szCs w:val="16"/>
                <w:lang w:eastAsia="en-AU"/>
                <w14:ligatures w14:val="none"/>
              </w:rPr>
              <w:t>System performance</w:t>
            </w:r>
          </w:p>
          <w:p w14:paraId="74A886EB" w14:textId="1F430CA3" w:rsidR="004B049F" w:rsidRPr="0056796F" w:rsidRDefault="004B049F" w:rsidP="004B049F">
            <w:pPr>
              <w:spacing w:after="0" w:line="240" w:lineRule="auto"/>
              <w:rPr>
                <w:rFonts w:ascii="Calibri" w:eastAsia="Times New Roman" w:hAnsi="Calibri" w:cs="Calibri"/>
                <w:kern w:val="0"/>
                <w:sz w:val="16"/>
                <w:szCs w:val="16"/>
                <w:lang w:eastAsia="en-AU"/>
                <w14:ligatures w14:val="none"/>
              </w:rPr>
            </w:pPr>
            <w:r w:rsidRPr="0056796F">
              <w:rPr>
                <w:rFonts w:ascii="Calibri" w:eastAsia="Times New Roman" w:hAnsi="Calibri" w:cs="Calibri"/>
                <w:kern w:val="0"/>
                <w:sz w:val="16"/>
                <w:szCs w:val="16"/>
                <w:lang w:eastAsia="en-AU"/>
                <w14:ligatures w14:val="none"/>
              </w:rPr>
              <w:t>Staff experience</w:t>
            </w:r>
          </w:p>
        </w:tc>
      </w:tr>
      <w:tr w:rsidR="004B049F" w:rsidRPr="00E821F3" w14:paraId="45BE2F6E" w14:textId="77777777" w:rsidTr="00143566">
        <w:trPr>
          <w:cantSplit/>
          <w:trHeight w:val="567"/>
        </w:trPr>
        <w:tc>
          <w:tcPr>
            <w:tcW w:w="1313" w:type="dxa"/>
            <w:tcBorders>
              <w:top w:val="nil"/>
              <w:left w:val="nil"/>
              <w:bottom w:val="nil"/>
              <w:right w:val="nil"/>
            </w:tcBorders>
            <w:shd w:val="clear" w:color="auto" w:fill="auto"/>
            <w:noWrap/>
            <w:hideMark/>
          </w:tcPr>
          <w:p w14:paraId="1EAEA592" w14:textId="08C5AE5E"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4B049F">
              <w:rPr>
                <w:sz w:val="16"/>
                <w:szCs w:val="16"/>
              </w:rPr>
              <w:lastRenderedPageBreak/>
              <w:t>Dresden et al., 2020, USA</w:t>
            </w:r>
          </w:p>
        </w:tc>
        <w:tc>
          <w:tcPr>
            <w:tcW w:w="1525" w:type="dxa"/>
            <w:tcBorders>
              <w:top w:val="nil"/>
              <w:left w:val="nil"/>
              <w:bottom w:val="nil"/>
              <w:right w:val="nil"/>
            </w:tcBorders>
          </w:tcPr>
          <w:p w14:paraId="3348AF2F" w14:textId="090E3AEC"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Avoidable admissions</w:t>
            </w:r>
          </w:p>
        </w:tc>
        <w:tc>
          <w:tcPr>
            <w:tcW w:w="2688" w:type="dxa"/>
            <w:tcBorders>
              <w:top w:val="nil"/>
              <w:left w:val="nil"/>
              <w:bottom w:val="nil"/>
              <w:right w:val="nil"/>
            </w:tcBorders>
            <w:shd w:val="clear" w:color="auto" w:fill="auto"/>
            <w:hideMark/>
          </w:tcPr>
          <w:p w14:paraId="3A459CC3" w14:textId="720E8D1E"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To evaluate the association between GEDI-WISE Transitional Care Nurse care and readmission for geriatric patients who visit the ED within 30 days of a prior hospital discharge</w:t>
            </w:r>
          </w:p>
        </w:tc>
        <w:tc>
          <w:tcPr>
            <w:tcW w:w="3031" w:type="dxa"/>
            <w:tcBorders>
              <w:top w:val="nil"/>
              <w:left w:val="nil"/>
              <w:bottom w:val="nil"/>
              <w:right w:val="nil"/>
            </w:tcBorders>
            <w:shd w:val="clear" w:color="auto" w:fill="auto"/>
            <w:hideMark/>
          </w:tcPr>
          <w:p w14:paraId="15E3FB9D" w14:textId="77777777" w:rsidR="00F372D8" w:rsidRPr="00DA0D07" w:rsidRDefault="00F372D8" w:rsidP="00F372D8">
            <w:pPr>
              <w:spacing w:after="0" w:line="240" w:lineRule="auto"/>
              <w:rPr>
                <w:rFonts w:ascii="Calibri" w:eastAsia="Times New Roman" w:hAnsi="Calibri" w:cs="Calibri"/>
                <w:b/>
                <w:bCs/>
                <w:kern w:val="0"/>
                <w:sz w:val="16"/>
                <w:szCs w:val="16"/>
                <w:lang w:eastAsia="en-AU"/>
                <w14:ligatures w14:val="none"/>
              </w:rPr>
            </w:pPr>
            <w:r w:rsidRPr="00DA0D07">
              <w:rPr>
                <w:rFonts w:ascii="Calibri" w:eastAsia="Times New Roman" w:hAnsi="Calibri" w:cs="Calibri"/>
                <w:b/>
                <w:bCs/>
                <w:color w:val="000000"/>
                <w:kern w:val="0"/>
                <w:sz w:val="16"/>
                <w:szCs w:val="16"/>
                <w:lang w:eastAsia="en-AU"/>
                <w14:ligatures w14:val="none"/>
              </w:rPr>
              <w:t>General assessment and multi-faceted care coordination to reduce avoidable hospital admissions and/or LOS and/or improve ED flow</w:t>
            </w:r>
          </w:p>
          <w:p w14:paraId="1B9BBDDB" w14:textId="7440EC40"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ED-based transitional care nurse program to identify individuals with geriatric-specific health-related needs and coordinate their transition from ED to home with the goal of avoiding inpatient admissions when feasible and safe</w:t>
            </w:r>
          </w:p>
        </w:tc>
        <w:tc>
          <w:tcPr>
            <w:tcW w:w="1128" w:type="dxa"/>
            <w:tcBorders>
              <w:top w:val="nil"/>
              <w:left w:val="nil"/>
              <w:bottom w:val="nil"/>
              <w:right w:val="nil"/>
            </w:tcBorders>
            <w:shd w:val="clear" w:color="auto" w:fill="auto"/>
            <w:hideMark/>
          </w:tcPr>
          <w:p w14:paraId="40CF4C4E"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3</w:t>
            </w:r>
          </w:p>
        </w:tc>
        <w:tc>
          <w:tcPr>
            <w:tcW w:w="1389" w:type="dxa"/>
            <w:tcBorders>
              <w:top w:val="nil"/>
              <w:left w:val="nil"/>
              <w:bottom w:val="nil"/>
              <w:right w:val="nil"/>
            </w:tcBorders>
            <w:shd w:val="clear" w:color="auto" w:fill="auto"/>
            <w:hideMark/>
          </w:tcPr>
          <w:p w14:paraId="6BAF2CB1" w14:textId="6CDE3468"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608</w:t>
            </w:r>
          </w:p>
        </w:tc>
        <w:tc>
          <w:tcPr>
            <w:tcW w:w="1119" w:type="dxa"/>
            <w:tcBorders>
              <w:top w:val="nil"/>
              <w:left w:val="nil"/>
              <w:bottom w:val="nil"/>
              <w:right w:val="nil"/>
            </w:tcBorders>
            <w:shd w:val="clear" w:color="auto" w:fill="auto"/>
            <w:hideMark/>
          </w:tcPr>
          <w:p w14:paraId="3A5272C5" w14:textId="7AA35E63"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6230</w:t>
            </w:r>
          </w:p>
        </w:tc>
        <w:tc>
          <w:tcPr>
            <w:tcW w:w="1135" w:type="dxa"/>
            <w:tcBorders>
              <w:top w:val="nil"/>
              <w:left w:val="nil"/>
              <w:bottom w:val="nil"/>
              <w:right w:val="nil"/>
            </w:tcBorders>
            <w:shd w:val="clear" w:color="auto" w:fill="auto"/>
            <w:hideMark/>
          </w:tcPr>
          <w:p w14:paraId="0809BBC6" w14:textId="1550ED21"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Cohort</w:t>
            </w:r>
          </w:p>
        </w:tc>
        <w:tc>
          <w:tcPr>
            <w:tcW w:w="1128" w:type="dxa"/>
            <w:tcBorders>
              <w:top w:val="nil"/>
              <w:left w:val="nil"/>
              <w:bottom w:val="nil"/>
              <w:right w:val="nil"/>
            </w:tcBorders>
            <w:shd w:val="clear" w:color="auto" w:fill="auto"/>
            <w:hideMark/>
          </w:tcPr>
          <w:p w14:paraId="787543FD" w14:textId="3A639031"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A07F99">
              <w:rPr>
                <w:rFonts w:ascii="Calibri" w:eastAsia="Times New Roman" w:hAnsi="Calibri" w:cs="Calibri"/>
                <w:kern w:val="0"/>
                <w:sz w:val="16"/>
                <w:szCs w:val="16"/>
                <w:lang w:eastAsia="en-AU"/>
                <w14:ligatures w14:val="none"/>
              </w:rPr>
              <w:t>System performance Patient outcomes</w:t>
            </w:r>
          </w:p>
        </w:tc>
      </w:tr>
      <w:tr w:rsidR="004B049F" w:rsidRPr="00E821F3" w14:paraId="74BCB3C7" w14:textId="77777777" w:rsidTr="00143566">
        <w:trPr>
          <w:cantSplit/>
          <w:trHeight w:val="567"/>
        </w:trPr>
        <w:tc>
          <w:tcPr>
            <w:tcW w:w="1313" w:type="dxa"/>
            <w:tcBorders>
              <w:top w:val="nil"/>
              <w:left w:val="nil"/>
              <w:bottom w:val="nil"/>
              <w:right w:val="nil"/>
            </w:tcBorders>
            <w:shd w:val="clear" w:color="auto" w:fill="auto"/>
            <w:noWrap/>
            <w:hideMark/>
          </w:tcPr>
          <w:p w14:paraId="763F3894" w14:textId="1707D047"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4B049F">
              <w:rPr>
                <w:sz w:val="16"/>
                <w:szCs w:val="16"/>
              </w:rPr>
              <w:t>Elliott et al., 2017, UK</w:t>
            </w:r>
          </w:p>
        </w:tc>
        <w:tc>
          <w:tcPr>
            <w:tcW w:w="1525" w:type="dxa"/>
            <w:tcBorders>
              <w:top w:val="nil"/>
              <w:left w:val="nil"/>
              <w:bottom w:val="nil"/>
              <w:right w:val="nil"/>
            </w:tcBorders>
          </w:tcPr>
          <w:p w14:paraId="01F736FF" w14:textId="77777777" w:rsid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U</w:t>
            </w:r>
            <w:r>
              <w:rPr>
                <w:rFonts w:ascii="Calibri" w:eastAsia="Times New Roman" w:hAnsi="Calibri" w:cs="Calibri"/>
                <w:color w:val="000000"/>
                <w:kern w:val="0"/>
                <w:sz w:val="16"/>
                <w:szCs w:val="16"/>
                <w:lang w:eastAsia="en-AU"/>
                <w14:ligatures w14:val="none"/>
              </w:rPr>
              <w:t>tility</w:t>
            </w:r>
            <w:r w:rsidRPr="007F1A6A">
              <w:rPr>
                <w:rFonts w:ascii="Calibri" w:eastAsia="Times New Roman" w:hAnsi="Calibri" w:cs="Calibri"/>
                <w:color w:val="000000"/>
                <w:kern w:val="0"/>
                <w:sz w:val="16"/>
                <w:szCs w:val="16"/>
                <w:lang w:eastAsia="en-AU"/>
                <w14:ligatures w14:val="none"/>
              </w:rPr>
              <w:t xml:space="preserve"> of </w:t>
            </w:r>
          </w:p>
          <w:p w14:paraId="04059525" w14:textId="77777777" w:rsid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 xml:space="preserve">Frailty </w:t>
            </w:r>
          </w:p>
          <w:p w14:paraId="65375FB9" w14:textId="77777777" w:rsid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s</w:t>
            </w:r>
            <w:r w:rsidRPr="007F1A6A">
              <w:rPr>
                <w:rFonts w:ascii="Calibri" w:eastAsia="Times New Roman" w:hAnsi="Calibri" w:cs="Calibri"/>
                <w:color w:val="000000"/>
                <w:kern w:val="0"/>
                <w:sz w:val="16"/>
                <w:szCs w:val="16"/>
                <w:lang w:eastAsia="en-AU"/>
                <w14:ligatures w14:val="none"/>
              </w:rPr>
              <w:t>creening</w:t>
            </w:r>
          </w:p>
          <w:p w14:paraId="18601761" w14:textId="77777777" w:rsid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tools</w:t>
            </w:r>
          </w:p>
          <w:p w14:paraId="2C40F504" w14:textId="77777777"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p>
        </w:tc>
        <w:tc>
          <w:tcPr>
            <w:tcW w:w="2688" w:type="dxa"/>
            <w:tcBorders>
              <w:top w:val="nil"/>
              <w:left w:val="nil"/>
              <w:bottom w:val="nil"/>
              <w:right w:val="nil"/>
            </w:tcBorders>
            <w:shd w:val="clear" w:color="auto" w:fill="auto"/>
            <w:hideMark/>
          </w:tcPr>
          <w:p w14:paraId="77AE7A5C" w14:textId="1361DBFB"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To ascertain which validated frailty tools were quick, simple, and acceptable for use in clinical practice.</w:t>
            </w:r>
          </w:p>
        </w:tc>
        <w:tc>
          <w:tcPr>
            <w:tcW w:w="3031" w:type="dxa"/>
            <w:tcBorders>
              <w:top w:val="nil"/>
              <w:left w:val="nil"/>
              <w:bottom w:val="nil"/>
              <w:right w:val="nil"/>
            </w:tcBorders>
            <w:shd w:val="clear" w:color="auto" w:fill="auto"/>
            <w:hideMark/>
          </w:tcPr>
          <w:p w14:paraId="5710C21E" w14:textId="38F3CF4B" w:rsidR="004B049F" w:rsidRPr="00932F90"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932F90">
              <w:rPr>
                <w:rFonts w:ascii="Calibri" w:eastAsia="Times New Roman" w:hAnsi="Calibri" w:cs="Calibri"/>
                <w:b/>
                <w:bCs/>
                <w:kern w:val="0"/>
                <w:sz w:val="16"/>
                <w:szCs w:val="16"/>
                <w:lang w:eastAsia="en-AU"/>
                <w14:ligatures w14:val="none"/>
              </w:rPr>
              <w:t>General assessment and multi-faceted care coordination to attenuate functional decline</w:t>
            </w:r>
          </w:p>
          <w:p w14:paraId="7B991B05" w14:textId="21FBE1C3"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Frailty screening tools</w:t>
            </w:r>
          </w:p>
        </w:tc>
        <w:tc>
          <w:tcPr>
            <w:tcW w:w="1128" w:type="dxa"/>
            <w:tcBorders>
              <w:top w:val="nil"/>
              <w:left w:val="nil"/>
              <w:bottom w:val="nil"/>
              <w:right w:val="nil"/>
            </w:tcBorders>
            <w:shd w:val="clear" w:color="auto" w:fill="auto"/>
            <w:hideMark/>
          </w:tcPr>
          <w:p w14:paraId="3BAE9BE8"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w:t>
            </w:r>
          </w:p>
        </w:tc>
        <w:tc>
          <w:tcPr>
            <w:tcW w:w="1389" w:type="dxa"/>
            <w:tcBorders>
              <w:top w:val="nil"/>
              <w:left w:val="nil"/>
              <w:bottom w:val="nil"/>
              <w:right w:val="nil"/>
            </w:tcBorders>
            <w:shd w:val="clear" w:color="auto" w:fill="auto"/>
            <w:hideMark/>
          </w:tcPr>
          <w:p w14:paraId="349FEE52"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121</w:t>
            </w:r>
          </w:p>
        </w:tc>
        <w:tc>
          <w:tcPr>
            <w:tcW w:w="1119" w:type="dxa"/>
            <w:tcBorders>
              <w:top w:val="nil"/>
              <w:left w:val="nil"/>
              <w:bottom w:val="nil"/>
              <w:right w:val="nil"/>
            </w:tcBorders>
            <w:shd w:val="clear" w:color="auto" w:fill="auto"/>
            <w:hideMark/>
          </w:tcPr>
          <w:p w14:paraId="76868DDD" w14:textId="5FA961A3"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w:t>
            </w:r>
          </w:p>
        </w:tc>
        <w:tc>
          <w:tcPr>
            <w:tcW w:w="1135" w:type="dxa"/>
            <w:tcBorders>
              <w:top w:val="nil"/>
              <w:left w:val="nil"/>
              <w:bottom w:val="nil"/>
              <w:right w:val="nil"/>
            </w:tcBorders>
            <w:shd w:val="clear" w:color="auto" w:fill="auto"/>
            <w:hideMark/>
          </w:tcPr>
          <w:p w14:paraId="22FD3B77" w14:textId="77777777"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Qualitative research</w:t>
            </w:r>
          </w:p>
        </w:tc>
        <w:tc>
          <w:tcPr>
            <w:tcW w:w="1128" w:type="dxa"/>
            <w:tcBorders>
              <w:top w:val="nil"/>
              <w:left w:val="nil"/>
              <w:bottom w:val="nil"/>
              <w:right w:val="nil"/>
            </w:tcBorders>
            <w:shd w:val="clear" w:color="auto" w:fill="auto"/>
            <w:hideMark/>
          </w:tcPr>
          <w:p w14:paraId="67DF1886" w14:textId="3ACA2A4D"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S</w:t>
            </w:r>
            <w:r w:rsidRPr="007F1A6A">
              <w:rPr>
                <w:rFonts w:ascii="Calibri" w:eastAsia="Times New Roman" w:hAnsi="Calibri" w:cs="Calibri"/>
                <w:color w:val="000000"/>
                <w:kern w:val="0"/>
                <w:sz w:val="16"/>
                <w:szCs w:val="16"/>
                <w:lang w:eastAsia="en-AU"/>
                <w14:ligatures w14:val="none"/>
              </w:rPr>
              <w:t>taff experience</w:t>
            </w:r>
          </w:p>
        </w:tc>
      </w:tr>
      <w:tr w:rsidR="004B049F" w:rsidRPr="00E821F3" w14:paraId="667C005D" w14:textId="77777777" w:rsidTr="00143566">
        <w:trPr>
          <w:cantSplit/>
          <w:trHeight w:val="567"/>
        </w:trPr>
        <w:tc>
          <w:tcPr>
            <w:tcW w:w="1313" w:type="dxa"/>
            <w:tcBorders>
              <w:top w:val="nil"/>
              <w:left w:val="nil"/>
              <w:bottom w:val="nil"/>
              <w:right w:val="nil"/>
            </w:tcBorders>
            <w:shd w:val="clear" w:color="000000" w:fill="FFFFFF"/>
            <w:noWrap/>
            <w:hideMark/>
          </w:tcPr>
          <w:p w14:paraId="0649D71A" w14:textId="21CDFFB3"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4B049F">
              <w:rPr>
                <w:sz w:val="16"/>
                <w:szCs w:val="16"/>
              </w:rPr>
              <w:t>Ellis et al., 2012, UK</w:t>
            </w:r>
          </w:p>
        </w:tc>
        <w:tc>
          <w:tcPr>
            <w:tcW w:w="1525" w:type="dxa"/>
            <w:tcBorders>
              <w:top w:val="nil"/>
              <w:left w:val="nil"/>
              <w:bottom w:val="nil"/>
              <w:right w:val="nil"/>
            </w:tcBorders>
            <w:shd w:val="clear" w:color="000000" w:fill="FFFFFF"/>
          </w:tcPr>
          <w:p w14:paraId="5DF7AAD5" w14:textId="396DA1C1"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Avoidable admissions</w:t>
            </w:r>
          </w:p>
        </w:tc>
        <w:tc>
          <w:tcPr>
            <w:tcW w:w="2688" w:type="dxa"/>
            <w:tcBorders>
              <w:top w:val="nil"/>
              <w:left w:val="nil"/>
              <w:bottom w:val="nil"/>
              <w:right w:val="nil"/>
            </w:tcBorders>
            <w:shd w:val="clear" w:color="000000" w:fill="FFFFFF"/>
            <w:hideMark/>
          </w:tcPr>
          <w:p w14:paraId="4359B7F5" w14:textId="526DEBB0"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 xml:space="preserve">To evaluate the results of the implementation of an Acute Care for Elders unit situated adjacent to the ED and medical receiving unit </w:t>
            </w:r>
          </w:p>
        </w:tc>
        <w:tc>
          <w:tcPr>
            <w:tcW w:w="3031" w:type="dxa"/>
            <w:tcBorders>
              <w:top w:val="nil"/>
              <w:left w:val="nil"/>
              <w:bottom w:val="nil"/>
              <w:right w:val="nil"/>
            </w:tcBorders>
            <w:shd w:val="clear" w:color="000000" w:fill="FFFFFF"/>
            <w:hideMark/>
          </w:tcPr>
          <w:p w14:paraId="21FBD3D8" w14:textId="54FABA11" w:rsidR="004B049F" w:rsidRPr="00971B49"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971B49">
              <w:rPr>
                <w:rFonts w:ascii="Calibri" w:eastAsia="Times New Roman" w:hAnsi="Calibri" w:cs="Calibri"/>
                <w:b/>
                <w:bCs/>
                <w:color w:val="000000"/>
                <w:kern w:val="0"/>
                <w:sz w:val="16"/>
                <w:szCs w:val="16"/>
                <w:lang w:eastAsia="en-AU"/>
                <w14:ligatures w14:val="none"/>
              </w:rPr>
              <w:t>General assessment and multi-faceted care coordination to reduce avoidable hospital admissions and/or LOS and/or improve ED flow</w:t>
            </w:r>
          </w:p>
          <w:p w14:paraId="63F3167B" w14:textId="01EDCEBB" w:rsidR="004B049F" w:rsidRPr="007F1A6A" w:rsidRDefault="009B4896" w:rsidP="004B049F">
            <w:pPr>
              <w:spacing w:after="0" w:line="240" w:lineRule="auto"/>
              <w:rPr>
                <w:rFonts w:ascii="Calibri" w:eastAsia="Times New Roman" w:hAnsi="Calibri" w:cs="Calibri"/>
                <w:color w:val="000000"/>
                <w:kern w:val="0"/>
                <w:sz w:val="16"/>
                <w:szCs w:val="16"/>
                <w:lang w:eastAsia="en-AU"/>
                <w14:ligatures w14:val="none"/>
              </w:rPr>
            </w:pPr>
            <w:r w:rsidRPr="009B4896">
              <w:rPr>
                <w:rFonts w:ascii="Calibri" w:eastAsia="Times New Roman" w:hAnsi="Calibri" w:cs="Calibri"/>
                <w:color w:val="000000"/>
                <w:kern w:val="0"/>
                <w:sz w:val="16"/>
                <w:szCs w:val="16"/>
                <w:lang w:eastAsia="en-AU"/>
                <w14:ligatures w14:val="none"/>
              </w:rPr>
              <w:t>Acute Care for Elders</w:t>
            </w:r>
            <w:r>
              <w:rPr>
                <w:rFonts w:ascii="Calibri" w:eastAsia="Times New Roman" w:hAnsi="Calibri" w:cs="Calibri"/>
                <w:color w:val="000000"/>
                <w:kern w:val="0"/>
                <w:sz w:val="16"/>
                <w:szCs w:val="16"/>
                <w:lang w:eastAsia="en-AU"/>
                <w14:ligatures w14:val="none"/>
              </w:rPr>
              <w:t xml:space="preserve"> unit</w:t>
            </w:r>
            <w:r w:rsidR="00BC5FB9">
              <w:rPr>
                <w:rFonts w:ascii="Calibri" w:eastAsia="Times New Roman" w:hAnsi="Calibri" w:cs="Calibri"/>
                <w:color w:val="000000"/>
                <w:kern w:val="0"/>
                <w:sz w:val="16"/>
                <w:szCs w:val="16"/>
                <w:lang w:eastAsia="en-AU"/>
                <w14:ligatures w14:val="none"/>
              </w:rPr>
              <w:t xml:space="preserve"> in the ED</w:t>
            </w:r>
          </w:p>
        </w:tc>
        <w:tc>
          <w:tcPr>
            <w:tcW w:w="1128" w:type="dxa"/>
            <w:tcBorders>
              <w:top w:val="nil"/>
              <w:left w:val="nil"/>
              <w:bottom w:val="nil"/>
              <w:right w:val="nil"/>
            </w:tcBorders>
            <w:shd w:val="clear" w:color="000000" w:fill="FFFFFF"/>
            <w:hideMark/>
          </w:tcPr>
          <w:p w14:paraId="7FB25CC6"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w:t>
            </w:r>
          </w:p>
        </w:tc>
        <w:tc>
          <w:tcPr>
            <w:tcW w:w="1389" w:type="dxa"/>
            <w:tcBorders>
              <w:top w:val="nil"/>
              <w:left w:val="nil"/>
              <w:bottom w:val="nil"/>
              <w:right w:val="nil"/>
            </w:tcBorders>
            <w:shd w:val="clear" w:color="000000" w:fill="FFFFFF" w:themeFill="background1"/>
            <w:hideMark/>
          </w:tcPr>
          <w:p w14:paraId="789E0DF0" w14:textId="7026B8D9"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 xml:space="preserve">210 </w:t>
            </w:r>
          </w:p>
        </w:tc>
        <w:tc>
          <w:tcPr>
            <w:tcW w:w="1119" w:type="dxa"/>
            <w:tcBorders>
              <w:top w:val="nil"/>
              <w:left w:val="nil"/>
              <w:bottom w:val="nil"/>
              <w:right w:val="nil"/>
            </w:tcBorders>
            <w:shd w:val="clear" w:color="000000" w:fill="FFFFFF"/>
            <w:hideMark/>
          </w:tcPr>
          <w:p w14:paraId="6289B3AF" w14:textId="222A4548"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539</w:t>
            </w:r>
          </w:p>
        </w:tc>
        <w:tc>
          <w:tcPr>
            <w:tcW w:w="1135" w:type="dxa"/>
            <w:tcBorders>
              <w:top w:val="nil"/>
              <w:left w:val="nil"/>
              <w:bottom w:val="nil"/>
              <w:right w:val="nil"/>
            </w:tcBorders>
            <w:shd w:val="clear" w:color="000000" w:fill="FFFFFF"/>
            <w:hideMark/>
          </w:tcPr>
          <w:p w14:paraId="57BF3862" w14:textId="01F0D8BA"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 Quasi-experimental</w:t>
            </w:r>
          </w:p>
        </w:tc>
        <w:tc>
          <w:tcPr>
            <w:tcW w:w="1128" w:type="dxa"/>
            <w:tcBorders>
              <w:top w:val="nil"/>
              <w:left w:val="nil"/>
              <w:bottom w:val="nil"/>
              <w:right w:val="nil"/>
            </w:tcBorders>
            <w:shd w:val="clear" w:color="000000" w:fill="FFFFFF"/>
            <w:hideMark/>
          </w:tcPr>
          <w:p w14:paraId="5DE2F273" w14:textId="5EE3F2F3"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A07F99">
              <w:rPr>
                <w:rFonts w:ascii="Calibri" w:eastAsia="Times New Roman" w:hAnsi="Calibri" w:cs="Calibri"/>
                <w:kern w:val="0"/>
                <w:sz w:val="16"/>
                <w:szCs w:val="16"/>
                <w:lang w:eastAsia="en-AU"/>
                <w14:ligatures w14:val="none"/>
              </w:rPr>
              <w:t>System performance Patient outcomes</w:t>
            </w:r>
          </w:p>
        </w:tc>
      </w:tr>
      <w:tr w:rsidR="004B049F" w:rsidRPr="00E821F3" w14:paraId="1E1BFA53" w14:textId="77777777" w:rsidTr="00143566">
        <w:trPr>
          <w:cantSplit/>
          <w:trHeight w:val="567"/>
        </w:trPr>
        <w:tc>
          <w:tcPr>
            <w:tcW w:w="1313" w:type="dxa"/>
            <w:tcBorders>
              <w:top w:val="nil"/>
              <w:left w:val="nil"/>
              <w:bottom w:val="nil"/>
              <w:right w:val="nil"/>
            </w:tcBorders>
            <w:shd w:val="clear" w:color="auto" w:fill="auto"/>
            <w:noWrap/>
            <w:hideMark/>
          </w:tcPr>
          <w:p w14:paraId="3E26E0C7" w14:textId="3762EB68"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4B049F">
              <w:rPr>
                <w:sz w:val="16"/>
                <w:szCs w:val="16"/>
              </w:rPr>
              <w:t>Fernandez et al., 2019, USA</w:t>
            </w:r>
          </w:p>
        </w:tc>
        <w:tc>
          <w:tcPr>
            <w:tcW w:w="1525" w:type="dxa"/>
            <w:tcBorders>
              <w:top w:val="nil"/>
              <w:left w:val="nil"/>
              <w:bottom w:val="nil"/>
              <w:right w:val="nil"/>
            </w:tcBorders>
          </w:tcPr>
          <w:p w14:paraId="57BAE597" w14:textId="3DE347D3"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Trauma</w:t>
            </w:r>
          </w:p>
        </w:tc>
        <w:tc>
          <w:tcPr>
            <w:tcW w:w="2688" w:type="dxa"/>
            <w:tcBorders>
              <w:top w:val="nil"/>
              <w:left w:val="nil"/>
              <w:bottom w:val="nil"/>
              <w:right w:val="nil"/>
            </w:tcBorders>
            <w:shd w:val="clear" w:color="auto" w:fill="auto"/>
            <w:hideMark/>
          </w:tcPr>
          <w:p w14:paraId="6E81CBB6" w14:textId="763B305A"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To evaluate outcomes of the T3 implementation</w:t>
            </w:r>
          </w:p>
        </w:tc>
        <w:tc>
          <w:tcPr>
            <w:tcW w:w="3031" w:type="dxa"/>
            <w:tcBorders>
              <w:top w:val="nil"/>
              <w:left w:val="nil"/>
              <w:bottom w:val="nil"/>
              <w:right w:val="nil"/>
            </w:tcBorders>
            <w:shd w:val="clear" w:color="auto" w:fill="auto"/>
            <w:hideMark/>
          </w:tcPr>
          <w:p w14:paraId="6FF232D4" w14:textId="77777777" w:rsidR="004B049F" w:rsidRPr="00F66ECF"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F66ECF">
              <w:rPr>
                <w:rFonts w:eastAsia="Times New Roman" w:cstheme="minorHAnsi"/>
                <w:b/>
                <w:bCs/>
                <w:color w:val="000000"/>
                <w:kern w:val="0"/>
                <w:sz w:val="16"/>
                <w:szCs w:val="16"/>
                <w:lang w:eastAsia="en-AU"/>
                <w14:ligatures w14:val="none"/>
              </w:rPr>
              <w:t>Geriatric trauma protocol</w:t>
            </w:r>
          </w:p>
          <w:p w14:paraId="0470FA89" w14:textId="612AE9BE"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A third triage tier introduced for patients with occult head, neck, and torso injury, comprising E</w:t>
            </w:r>
            <w:r>
              <w:rPr>
                <w:rFonts w:ascii="Calibri" w:eastAsia="Times New Roman" w:hAnsi="Calibri" w:cs="Calibri"/>
                <w:color w:val="000000"/>
                <w:kern w:val="0"/>
                <w:sz w:val="16"/>
                <w:szCs w:val="16"/>
                <w:lang w:eastAsia="en-AU"/>
                <w14:ligatures w14:val="none"/>
              </w:rPr>
              <w:t xml:space="preserve">mergency </w:t>
            </w:r>
            <w:r w:rsidRPr="007F1A6A">
              <w:rPr>
                <w:rFonts w:ascii="Calibri" w:eastAsia="Times New Roman" w:hAnsi="Calibri" w:cs="Calibri"/>
                <w:color w:val="000000"/>
                <w:kern w:val="0"/>
                <w:sz w:val="16"/>
                <w:szCs w:val="16"/>
                <w:lang w:eastAsia="en-AU"/>
                <w14:ligatures w14:val="none"/>
              </w:rPr>
              <w:t>M</w:t>
            </w:r>
            <w:r>
              <w:rPr>
                <w:rFonts w:ascii="Calibri" w:eastAsia="Times New Roman" w:hAnsi="Calibri" w:cs="Calibri"/>
                <w:color w:val="000000"/>
                <w:kern w:val="0"/>
                <w:sz w:val="16"/>
                <w:szCs w:val="16"/>
                <w:lang w:eastAsia="en-AU"/>
                <w14:ligatures w14:val="none"/>
              </w:rPr>
              <w:t xml:space="preserve">edicine </w:t>
            </w:r>
            <w:r w:rsidRPr="007F1A6A">
              <w:rPr>
                <w:rFonts w:ascii="Calibri" w:eastAsia="Times New Roman" w:hAnsi="Calibri" w:cs="Calibri"/>
                <w:color w:val="000000"/>
                <w:kern w:val="0"/>
                <w:sz w:val="16"/>
                <w:szCs w:val="16"/>
                <w:lang w:eastAsia="en-AU"/>
                <w14:ligatures w14:val="none"/>
              </w:rPr>
              <w:t>P</w:t>
            </w:r>
            <w:r>
              <w:rPr>
                <w:rFonts w:ascii="Calibri" w:eastAsia="Times New Roman" w:hAnsi="Calibri" w:cs="Calibri"/>
                <w:color w:val="000000"/>
                <w:kern w:val="0"/>
                <w:sz w:val="16"/>
                <w:szCs w:val="16"/>
                <w:lang w:eastAsia="en-AU"/>
                <w14:ligatures w14:val="none"/>
              </w:rPr>
              <w:t>hysician</w:t>
            </w:r>
            <w:r w:rsidRPr="007F1A6A">
              <w:rPr>
                <w:rFonts w:ascii="Calibri" w:eastAsia="Times New Roman" w:hAnsi="Calibri" w:cs="Calibri"/>
                <w:color w:val="000000"/>
                <w:kern w:val="0"/>
                <w:sz w:val="16"/>
                <w:szCs w:val="16"/>
                <w:lang w:eastAsia="en-AU"/>
                <w14:ligatures w14:val="none"/>
              </w:rPr>
              <w:t xml:space="preserve">, </w:t>
            </w:r>
            <w:r>
              <w:rPr>
                <w:rFonts w:ascii="Calibri" w:eastAsia="Times New Roman" w:hAnsi="Calibri" w:cs="Calibri"/>
                <w:color w:val="000000"/>
                <w:kern w:val="0"/>
                <w:sz w:val="16"/>
                <w:szCs w:val="16"/>
                <w:lang w:eastAsia="en-AU"/>
                <w14:ligatures w14:val="none"/>
              </w:rPr>
              <w:t>Trauma Nurse</w:t>
            </w:r>
            <w:r w:rsidRPr="007F1A6A">
              <w:rPr>
                <w:rFonts w:ascii="Calibri" w:eastAsia="Times New Roman" w:hAnsi="Calibri" w:cs="Calibri"/>
                <w:color w:val="000000"/>
                <w:kern w:val="0"/>
                <w:sz w:val="16"/>
                <w:szCs w:val="16"/>
                <w:lang w:eastAsia="en-AU"/>
                <w14:ligatures w14:val="none"/>
              </w:rPr>
              <w:t>, L</w:t>
            </w:r>
            <w:r>
              <w:rPr>
                <w:rFonts w:ascii="Calibri" w:eastAsia="Times New Roman" w:hAnsi="Calibri" w:cs="Calibri"/>
                <w:color w:val="000000"/>
                <w:kern w:val="0"/>
                <w:sz w:val="16"/>
                <w:szCs w:val="16"/>
                <w:lang w:eastAsia="en-AU"/>
                <w14:ligatures w14:val="none"/>
              </w:rPr>
              <w:t>aboratory technician</w:t>
            </w:r>
            <w:r w:rsidRPr="007F1A6A">
              <w:rPr>
                <w:rFonts w:ascii="Calibri" w:eastAsia="Times New Roman" w:hAnsi="Calibri" w:cs="Calibri"/>
                <w:color w:val="000000"/>
                <w:kern w:val="0"/>
                <w:sz w:val="16"/>
                <w:szCs w:val="16"/>
                <w:lang w:eastAsia="en-AU"/>
                <w14:ligatures w14:val="none"/>
              </w:rPr>
              <w:t>, R</w:t>
            </w:r>
            <w:r>
              <w:rPr>
                <w:rFonts w:ascii="Calibri" w:eastAsia="Times New Roman" w:hAnsi="Calibri" w:cs="Calibri"/>
                <w:color w:val="000000"/>
                <w:kern w:val="0"/>
                <w:sz w:val="16"/>
                <w:szCs w:val="16"/>
                <w:lang w:eastAsia="en-AU"/>
                <w14:ligatures w14:val="none"/>
              </w:rPr>
              <w:t xml:space="preserve">adiology </w:t>
            </w:r>
            <w:r w:rsidRPr="007F1A6A">
              <w:rPr>
                <w:rFonts w:ascii="Calibri" w:eastAsia="Times New Roman" w:hAnsi="Calibri" w:cs="Calibri"/>
                <w:color w:val="000000"/>
                <w:kern w:val="0"/>
                <w:sz w:val="16"/>
                <w:szCs w:val="16"/>
                <w:lang w:eastAsia="en-AU"/>
                <w14:ligatures w14:val="none"/>
              </w:rPr>
              <w:t>T</w:t>
            </w:r>
            <w:r>
              <w:rPr>
                <w:rFonts w:ascii="Calibri" w:eastAsia="Times New Roman" w:hAnsi="Calibri" w:cs="Calibri"/>
                <w:color w:val="000000"/>
                <w:kern w:val="0"/>
                <w:sz w:val="16"/>
                <w:szCs w:val="16"/>
                <w:lang w:eastAsia="en-AU"/>
                <w14:ligatures w14:val="none"/>
              </w:rPr>
              <w:t>echnician</w:t>
            </w:r>
            <w:r w:rsidRPr="007F1A6A">
              <w:rPr>
                <w:rFonts w:ascii="Calibri" w:eastAsia="Times New Roman" w:hAnsi="Calibri" w:cs="Calibri"/>
                <w:color w:val="000000"/>
                <w:kern w:val="0"/>
                <w:sz w:val="16"/>
                <w:szCs w:val="16"/>
                <w:lang w:eastAsia="en-AU"/>
                <w14:ligatures w14:val="none"/>
              </w:rPr>
              <w:t>, and ED</w:t>
            </w:r>
            <w:r>
              <w:rPr>
                <w:rFonts w:ascii="Calibri" w:eastAsia="Times New Roman" w:hAnsi="Calibri" w:cs="Calibri"/>
                <w:color w:val="000000"/>
                <w:kern w:val="0"/>
                <w:sz w:val="16"/>
                <w:szCs w:val="16"/>
                <w:lang w:eastAsia="en-AU"/>
                <w14:ligatures w14:val="none"/>
              </w:rPr>
              <w:t xml:space="preserve"> </w:t>
            </w:r>
            <w:r w:rsidRPr="007F1A6A">
              <w:rPr>
                <w:rFonts w:ascii="Calibri" w:eastAsia="Times New Roman" w:hAnsi="Calibri" w:cs="Calibri"/>
                <w:color w:val="000000"/>
                <w:kern w:val="0"/>
                <w:sz w:val="16"/>
                <w:szCs w:val="16"/>
                <w:lang w:eastAsia="en-AU"/>
                <w14:ligatures w14:val="none"/>
              </w:rPr>
              <w:t>R</w:t>
            </w:r>
            <w:r>
              <w:rPr>
                <w:rFonts w:ascii="Calibri" w:eastAsia="Times New Roman" w:hAnsi="Calibri" w:cs="Calibri"/>
                <w:color w:val="000000"/>
                <w:kern w:val="0"/>
                <w:sz w:val="16"/>
                <w:szCs w:val="16"/>
                <w:lang w:eastAsia="en-AU"/>
                <w14:ligatures w14:val="none"/>
              </w:rPr>
              <w:t>egistrar</w:t>
            </w:r>
            <w:r w:rsidRPr="007F1A6A">
              <w:rPr>
                <w:rFonts w:ascii="Calibri" w:eastAsia="Times New Roman" w:hAnsi="Calibri" w:cs="Calibri"/>
                <w:color w:val="000000"/>
                <w:kern w:val="0"/>
                <w:sz w:val="16"/>
                <w:szCs w:val="16"/>
                <w:lang w:eastAsia="en-AU"/>
                <w14:ligatures w14:val="none"/>
              </w:rPr>
              <w:t xml:space="preserve"> for expedited evaluation of a standard history and physical assessment with emphasis on the primary and secondary trauma survey. The Radiology Department also expedited the acquisition and reading of computed tomography studies ordered under the T3 process</w:t>
            </w:r>
          </w:p>
        </w:tc>
        <w:tc>
          <w:tcPr>
            <w:tcW w:w="1128" w:type="dxa"/>
            <w:tcBorders>
              <w:top w:val="nil"/>
              <w:left w:val="nil"/>
              <w:bottom w:val="nil"/>
              <w:right w:val="nil"/>
            </w:tcBorders>
            <w:shd w:val="clear" w:color="auto" w:fill="auto"/>
            <w:hideMark/>
          </w:tcPr>
          <w:p w14:paraId="7D47FF28"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w:t>
            </w:r>
          </w:p>
        </w:tc>
        <w:tc>
          <w:tcPr>
            <w:tcW w:w="1389" w:type="dxa"/>
            <w:tcBorders>
              <w:top w:val="nil"/>
              <w:left w:val="nil"/>
              <w:bottom w:val="nil"/>
              <w:right w:val="nil"/>
            </w:tcBorders>
            <w:shd w:val="clear" w:color="000000" w:fill="FFFFFF" w:themeFill="background1"/>
            <w:hideMark/>
          </w:tcPr>
          <w:p w14:paraId="4E1493DF" w14:textId="546F4ACA"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3086</w:t>
            </w:r>
          </w:p>
        </w:tc>
        <w:tc>
          <w:tcPr>
            <w:tcW w:w="1119" w:type="dxa"/>
            <w:tcBorders>
              <w:top w:val="nil"/>
              <w:left w:val="nil"/>
              <w:bottom w:val="nil"/>
              <w:right w:val="nil"/>
            </w:tcBorders>
            <w:shd w:val="clear" w:color="auto" w:fill="auto"/>
            <w:hideMark/>
          </w:tcPr>
          <w:p w14:paraId="0679B30C"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749</w:t>
            </w:r>
          </w:p>
        </w:tc>
        <w:tc>
          <w:tcPr>
            <w:tcW w:w="1135" w:type="dxa"/>
            <w:tcBorders>
              <w:top w:val="nil"/>
              <w:left w:val="nil"/>
              <w:bottom w:val="nil"/>
              <w:right w:val="nil"/>
            </w:tcBorders>
            <w:shd w:val="clear" w:color="auto" w:fill="auto"/>
            <w:hideMark/>
          </w:tcPr>
          <w:p w14:paraId="05D68F75" w14:textId="5617201D" w:rsidR="004B049F" w:rsidRPr="007F1A6A" w:rsidRDefault="00447B15"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Pre-post</w:t>
            </w:r>
          </w:p>
        </w:tc>
        <w:tc>
          <w:tcPr>
            <w:tcW w:w="1128" w:type="dxa"/>
            <w:tcBorders>
              <w:top w:val="nil"/>
              <w:left w:val="nil"/>
              <w:bottom w:val="nil"/>
              <w:right w:val="nil"/>
            </w:tcBorders>
            <w:shd w:val="clear" w:color="auto" w:fill="auto"/>
            <w:hideMark/>
          </w:tcPr>
          <w:p w14:paraId="134A228B" w14:textId="412ECC89"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A07F99">
              <w:rPr>
                <w:rFonts w:ascii="Calibri" w:eastAsia="Times New Roman" w:hAnsi="Calibri" w:cs="Calibri"/>
                <w:kern w:val="0"/>
                <w:sz w:val="16"/>
                <w:szCs w:val="16"/>
                <w:lang w:eastAsia="en-AU"/>
                <w14:ligatures w14:val="none"/>
              </w:rPr>
              <w:t>System performance Patient outcomes</w:t>
            </w:r>
          </w:p>
        </w:tc>
      </w:tr>
      <w:tr w:rsidR="004B049F" w:rsidRPr="00E821F3" w14:paraId="26877B9C" w14:textId="77777777" w:rsidTr="00143566">
        <w:trPr>
          <w:cantSplit/>
          <w:trHeight w:val="567"/>
        </w:trPr>
        <w:tc>
          <w:tcPr>
            <w:tcW w:w="1313" w:type="dxa"/>
            <w:tcBorders>
              <w:top w:val="nil"/>
              <w:left w:val="nil"/>
              <w:bottom w:val="nil"/>
              <w:right w:val="nil"/>
            </w:tcBorders>
            <w:shd w:val="clear" w:color="auto" w:fill="auto"/>
            <w:noWrap/>
            <w:hideMark/>
          </w:tcPr>
          <w:p w14:paraId="325F1519" w14:textId="05700332"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4B049F">
              <w:rPr>
                <w:sz w:val="16"/>
                <w:szCs w:val="16"/>
              </w:rPr>
              <w:t>Foo et al., 2012 Singapore</w:t>
            </w:r>
          </w:p>
        </w:tc>
        <w:tc>
          <w:tcPr>
            <w:tcW w:w="1525" w:type="dxa"/>
            <w:tcBorders>
              <w:top w:val="nil"/>
              <w:left w:val="nil"/>
              <w:bottom w:val="nil"/>
              <w:right w:val="nil"/>
            </w:tcBorders>
          </w:tcPr>
          <w:p w14:paraId="534733E8" w14:textId="77777777" w:rsid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ED</w:t>
            </w:r>
          </w:p>
          <w:p w14:paraId="5064622B" w14:textId="6D9F2558"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Re-attendance</w:t>
            </w:r>
          </w:p>
        </w:tc>
        <w:tc>
          <w:tcPr>
            <w:tcW w:w="2688" w:type="dxa"/>
            <w:tcBorders>
              <w:top w:val="nil"/>
              <w:left w:val="nil"/>
              <w:bottom w:val="nil"/>
              <w:right w:val="nil"/>
            </w:tcBorders>
            <w:shd w:val="clear" w:color="auto" w:fill="auto"/>
            <w:hideMark/>
          </w:tcPr>
          <w:p w14:paraId="515FFF5D" w14:textId="0B2321E0"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To determine whether geriatric assessment in an ED</w:t>
            </w:r>
            <w:r>
              <w:rPr>
                <w:rFonts w:ascii="Calibri" w:eastAsia="Times New Roman" w:hAnsi="Calibri" w:cs="Calibri"/>
                <w:color w:val="000000"/>
                <w:kern w:val="0"/>
                <w:sz w:val="16"/>
                <w:szCs w:val="16"/>
                <w:lang w:eastAsia="en-AU"/>
                <w14:ligatures w14:val="none"/>
              </w:rPr>
              <w:t xml:space="preserve"> </w:t>
            </w:r>
            <w:r w:rsidRPr="007F1A6A">
              <w:rPr>
                <w:rFonts w:ascii="Calibri" w:eastAsia="Times New Roman" w:hAnsi="Calibri" w:cs="Calibri"/>
                <w:color w:val="000000"/>
                <w:kern w:val="0"/>
                <w:sz w:val="16"/>
                <w:szCs w:val="16"/>
                <w:lang w:eastAsia="en-AU"/>
                <w14:ligatures w14:val="none"/>
              </w:rPr>
              <w:t>O</w:t>
            </w:r>
            <w:r>
              <w:rPr>
                <w:rFonts w:ascii="Calibri" w:eastAsia="Times New Roman" w:hAnsi="Calibri" w:cs="Calibri"/>
                <w:color w:val="000000"/>
                <w:kern w:val="0"/>
                <w:sz w:val="16"/>
                <w:szCs w:val="16"/>
                <w:lang w:eastAsia="en-AU"/>
                <w14:ligatures w14:val="none"/>
              </w:rPr>
              <w:t xml:space="preserve">bservation </w:t>
            </w:r>
            <w:r w:rsidRPr="007F1A6A">
              <w:rPr>
                <w:rFonts w:ascii="Calibri" w:eastAsia="Times New Roman" w:hAnsi="Calibri" w:cs="Calibri"/>
                <w:color w:val="000000"/>
                <w:kern w:val="0"/>
                <w:sz w:val="16"/>
                <w:szCs w:val="16"/>
                <w:lang w:eastAsia="en-AU"/>
                <w14:ligatures w14:val="none"/>
              </w:rPr>
              <w:t>U</w:t>
            </w:r>
            <w:r>
              <w:rPr>
                <w:rFonts w:ascii="Calibri" w:eastAsia="Times New Roman" w:hAnsi="Calibri" w:cs="Calibri"/>
                <w:color w:val="000000"/>
                <w:kern w:val="0"/>
                <w:sz w:val="16"/>
                <w:szCs w:val="16"/>
                <w:lang w:eastAsia="en-AU"/>
                <w14:ligatures w14:val="none"/>
              </w:rPr>
              <w:t>nit</w:t>
            </w:r>
            <w:r w:rsidRPr="007F1A6A">
              <w:rPr>
                <w:rFonts w:ascii="Calibri" w:eastAsia="Times New Roman" w:hAnsi="Calibri" w:cs="Calibri"/>
                <w:color w:val="000000"/>
                <w:kern w:val="0"/>
                <w:sz w:val="16"/>
                <w:szCs w:val="16"/>
                <w:lang w:eastAsia="en-AU"/>
                <w14:ligatures w14:val="none"/>
              </w:rPr>
              <w:t xml:space="preserve"> would have any impact on functional outcomes and health-care utilisation rates</w:t>
            </w:r>
          </w:p>
        </w:tc>
        <w:tc>
          <w:tcPr>
            <w:tcW w:w="3031" w:type="dxa"/>
            <w:tcBorders>
              <w:top w:val="nil"/>
              <w:left w:val="nil"/>
              <w:bottom w:val="nil"/>
              <w:right w:val="nil"/>
            </w:tcBorders>
            <w:shd w:val="clear" w:color="auto" w:fill="auto"/>
            <w:hideMark/>
          </w:tcPr>
          <w:p w14:paraId="777F00B4" w14:textId="77777777" w:rsidR="004B049F" w:rsidRPr="00971B49"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971B49">
              <w:rPr>
                <w:rFonts w:ascii="Calibri" w:eastAsia="Times New Roman" w:hAnsi="Calibri" w:cs="Calibri"/>
                <w:b/>
                <w:bCs/>
                <w:color w:val="000000"/>
                <w:kern w:val="0"/>
                <w:sz w:val="16"/>
                <w:szCs w:val="16"/>
                <w:lang w:eastAsia="en-AU"/>
                <w14:ligatures w14:val="none"/>
              </w:rPr>
              <w:t>General assessment and multi-faceted care coordination to reduce avoidable hospital admissions and/or LOS and/or improve ED flow</w:t>
            </w:r>
          </w:p>
          <w:p w14:paraId="6AD464E7" w14:textId="2CD02EDC"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Geriatric assessment, immediate interventions initiated such as medication review, or referral to adjunct services such as physio or geriatric outpatients</w:t>
            </w:r>
          </w:p>
        </w:tc>
        <w:tc>
          <w:tcPr>
            <w:tcW w:w="1128" w:type="dxa"/>
            <w:tcBorders>
              <w:top w:val="nil"/>
              <w:left w:val="nil"/>
              <w:bottom w:val="nil"/>
              <w:right w:val="nil"/>
            </w:tcBorders>
            <w:shd w:val="clear" w:color="auto" w:fill="auto"/>
            <w:hideMark/>
          </w:tcPr>
          <w:p w14:paraId="712FF51D"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w:t>
            </w:r>
          </w:p>
        </w:tc>
        <w:tc>
          <w:tcPr>
            <w:tcW w:w="1389" w:type="dxa"/>
            <w:tcBorders>
              <w:top w:val="nil"/>
              <w:left w:val="nil"/>
              <w:bottom w:val="nil"/>
              <w:right w:val="nil"/>
            </w:tcBorders>
            <w:shd w:val="clear" w:color="auto" w:fill="auto"/>
            <w:hideMark/>
          </w:tcPr>
          <w:p w14:paraId="57DB5BD6"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315</w:t>
            </w:r>
          </w:p>
        </w:tc>
        <w:tc>
          <w:tcPr>
            <w:tcW w:w="1119" w:type="dxa"/>
            <w:tcBorders>
              <w:top w:val="nil"/>
              <w:left w:val="nil"/>
              <w:bottom w:val="nil"/>
              <w:right w:val="nil"/>
            </w:tcBorders>
            <w:shd w:val="clear" w:color="auto" w:fill="auto"/>
            <w:hideMark/>
          </w:tcPr>
          <w:p w14:paraId="155EF5CA"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172</w:t>
            </w:r>
          </w:p>
        </w:tc>
        <w:tc>
          <w:tcPr>
            <w:tcW w:w="1135" w:type="dxa"/>
            <w:tcBorders>
              <w:top w:val="nil"/>
              <w:left w:val="nil"/>
              <w:bottom w:val="nil"/>
              <w:right w:val="nil"/>
            </w:tcBorders>
            <w:shd w:val="clear" w:color="auto" w:fill="auto"/>
            <w:hideMark/>
          </w:tcPr>
          <w:p w14:paraId="77080013" w14:textId="77777777"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Quasi-experimental</w:t>
            </w:r>
          </w:p>
        </w:tc>
        <w:tc>
          <w:tcPr>
            <w:tcW w:w="1128" w:type="dxa"/>
            <w:tcBorders>
              <w:top w:val="nil"/>
              <w:left w:val="nil"/>
              <w:bottom w:val="nil"/>
              <w:right w:val="nil"/>
            </w:tcBorders>
            <w:shd w:val="clear" w:color="auto" w:fill="auto"/>
            <w:hideMark/>
          </w:tcPr>
          <w:p w14:paraId="08F7D3DD" w14:textId="5F3FB13D"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A07F99">
              <w:rPr>
                <w:rFonts w:ascii="Calibri" w:eastAsia="Times New Roman" w:hAnsi="Calibri" w:cs="Calibri"/>
                <w:kern w:val="0"/>
                <w:sz w:val="16"/>
                <w:szCs w:val="16"/>
                <w:lang w:eastAsia="en-AU"/>
                <w14:ligatures w14:val="none"/>
              </w:rPr>
              <w:t xml:space="preserve">System performance </w:t>
            </w:r>
            <w:r>
              <w:rPr>
                <w:rFonts w:ascii="Calibri" w:eastAsia="Times New Roman" w:hAnsi="Calibri" w:cs="Calibri"/>
                <w:color w:val="000000"/>
                <w:kern w:val="0"/>
                <w:sz w:val="16"/>
                <w:szCs w:val="16"/>
                <w:lang w:eastAsia="en-AU"/>
                <w14:ligatures w14:val="none"/>
              </w:rPr>
              <w:t>P</w:t>
            </w:r>
            <w:r w:rsidRPr="007F1A6A">
              <w:rPr>
                <w:rFonts w:ascii="Calibri" w:eastAsia="Times New Roman" w:hAnsi="Calibri" w:cs="Calibri"/>
                <w:color w:val="000000"/>
                <w:kern w:val="0"/>
                <w:sz w:val="16"/>
                <w:szCs w:val="16"/>
                <w:lang w:eastAsia="en-AU"/>
                <w14:ligatures w14:val="none"/>
              </w:rPr>
              <w:t>atient outcomes</w:t>
            </w:r>
          </w:p>
        </w:tc>
      </w:tr>
      <w:tr w:rsidR="004B049F" w:rsidRPr="00E821F3" w14:paraId="2C3C220D" w14:textId="77777777" w:rsidTr="00143566">
        <w:trPr>
          <w:cantSplit/>
          <w:trHeight w:val="567"/>
        </w:trPr>
        <w:tc>
          <w:tcPr>
            <w:tcW w:w="1313" w:type="dxa"/>
            <w:tcBorders>
              <w:top w:val="nil"/>
              <w:left w:val="nil"/>
              <w:bottom w:val="nil"/>
              <w:right w:val="nil"/>
            </w:tcBorders>
            <w:shd w:val="clear" w:color="auto" w:fill="auto"/>
            <w:noWrap/>
            <w:hideMark/>
          </w:tcPr>
          <w:p w14:paraId="369DDD99" w14:textId="2768B08B"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4B049F">
              <w:rPr>
                <w:sz w:val="16"/>
                <w:szCs w:val="16"/>
              </w:rPr>
              <w:lastRenderedPageBreak/>
              <w:t>Foo et al., 2014, Singapore</w:t>
            </w:r>
          </w:p>
        </w:tc>
        <w:tc>
          <w:tcPr>
            <w:tcW w:w="1525" w:type="dxa"/>
            <w:tcBorders>
              <w:top w:val="nil"/>
              <w:left w:val="nil"/>
              <w:bottom w:val="nil"/>
              <w:right w:val="nil"/>
            </w:tcBorders>
          </w:tcPr>
          <w:p w14:paraId="2D38F99E" w14:textId="0D68878D"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Functional decline post ED visit</w:t>
            </w:r>
          </w:p>
        </w:tc>
        <w:tc>
          <w:tcPr>
            <w:tcW w:w="2688" w:type="dxa"/>
            <w:tcBorders>
              <w:top w:val="nil"/>
              <w:left w:val="nil"/>
              <w:bottom w:val="nil"/>
              <w:right w:val="nil"/>
            </w:tcBorders>
            <w:shd w:val="clear" w:color="auto" w:fill="auto"/>
            <w:hideMark/>
          </w:tcPr>
          <w:p w14:paraId="1737D71E" w14:textId="6EBEEA8C"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To determine if risk stratification followed by rapid geriatric screening in an ED reduced functional decline, ED reattendance and hospitalisation.</w:t>
            </w:r>
          </w:p>
        </w:tc>
        <w:tc>
          <w:tcPr>
            <w:tcW w:w="3031" w:type="dxa"/>
            <w:tcBorders>
              <w:top w:val="nil"/>
              <w:left w:val="nil"/>
              <w:bottom w:val="nil"/>
              <w:right w:val="nil"/>
            </w:tcBorders>
            <w:shd w:val="clear" w:color="auto" w:fill="auto"/>
            <w:hideMark/>
          </w:tcPr>
          <w:p w14:paraId="0A97E480" w14:textId="77777777" w:rsidR="00676ECC" w:rsidRPr="00676ECC" w:rsidRDefault="00676ECC" w:rsidP="004B049F">
            <w:pPr>
              <w:spacing w:after="0" w:line="240" w:lineRule="auto"/>
              <w:rPr>
                <w:rFonts w:ascii="Calibri" w:eastAsia="Times New Roman" w:hAnsi="Calibri" w:cs="Calibri"/>
                <w:b/>
                <w:bCs/>
                <w:color w:val="000000"/>
                <w:kern w:val="0"/>
                <w:sz w:val="16"/>
                <w:szCs w:val="16"/>
                <w:lang w:eastAsia="en-AU"/>
                <w14:ligatures w14:val="none"/>
              </w:rPr>
            </w:pPr>
            <w:r w:rsidRPr="00676ECC">
              <w:rPr>
                <w:rFonts w:ascii="Calibri" w:eastAsia="Times New Roman" w:hAnsi="Calibri" w:cs="Calibri"/>
                <w:b/>
                <w:bCs/>
                <w:kern w:val="0"/>
                <w:sz w:val="16"/>
                <w:szCs w:val="16"/>
                <w:lang w:eastAsia="en-AU"/>
                <w14:ligatures w14:val="none"/>
              </w:rPr>
              <w:t>General assessment and multi-faceted care coordination to attenuate functional decline</w:t>
            </w:r>
            <w:r w:rsidRPr="00676ECC">
              <w:rPr>
                <w:rFonts w:ascii="Calibri" w:eastAsia="Times New Roman" w:hAnsi="Calibri" w:cs="Calibri"/>
                <w:b/>
                <w:bCs/>
                <w:color w:val="000000"/>
                <w:kern w:val="0"/>
                <w:sz w:val="16"/>
                <w:szCs w:val="16"/>
                <w:lang w:eastAsia="en-AU"/>
                <w14:ligatures w14:val="none"/>
              </w:rPr>
              <w:t xml:space="preserve"> </w:t>
            </w:r>
          </w:p>
          <w:p w14:paraId="544452EB" w14:textId="14292C5F"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 xml:space="preserve">Screening and assessment, medication reconciliation, postural </w:t>
            </w:r>
            <w:r>
              <w:rPr>
                <w:rFonts w:ascii="Calibri" w:eastAsia="Times New Roman" w:hAnsi="Calibri" w:cs="Calibri"/>
                <w:color w:val="000000"/>
                <w:kern w:val="0"/>
                <w:sz w:val="16"/>
                <w:szCs w:val="16"/>
                <w:lang w:eastAsia="en-AU"/>
                <w14:ligatures w14:val="none"/>
              </w:rPr>
              <w:t>blood pressure</w:t>
            </w:r>
            <w:r w:rsidRPr="007F1A6A">
              <w:rPr>
                <w:rFonts w:ascii="Calibri" w:eastAsia="Times New Roman" w:hAnsi="Calibri" w:cs="Calibri"/>
                <w:color w:val="000000"/>
                <w:kern w:val="0"/>
                <w:sz w:val="16"/>
                <w:szCs w:val="16"/>
                <w:lang w:eastAsia="en-AU"/>
                <w14:ligatures w14:val="none"/>
              </w:rPr>
              <w:t xml:space="preserve">, referral to </w:t>
            </w:r>
            <w:r>
              <w:rPr>
                <w:rFonts w:ascii="Calibri" w:eastAsia="Times New Roman" w:hAnsi="Calibri" w:cs="Calibri"/>
                <w:color w:val="000000"/>
                <w:kern w:val="0"/>
                <w:sz w:val="16"/>
                <w:szCs w:val="16"/>
                <w:lang w:eastAsia="en-AU"/>
                <w14:ligatures w14:val="none"/>
              </w:rPr>
              <w:t>allied health professionals</w:t>
            </w:r>
            <w:r w:rsidRPr="007F1A6A">
              <w:rPr>
                <w:rFonts w:ascii="Calibri" w:eastAsia="Times New Roman" w:hAnsi="Calibri" w:cs="Calibri"/>
                <w:color w:val="000000"/>
                <w:kern w:val="0"/>
                <w:sz w:val="16"/>
                <w:szCs w:val="16"/>
                <w:lang w:eastAsia="en-AU"/>
                <w14:ligatures w14:val="none"/>
              </w:rPr>
              <w:t>, geriatric assessment clinic, at home care, and transitional and outreach services as indicated</w:t>
            </w:r>
          </w:p>
        </w:tc>
        <w:tc>
          <w:tcPr>
            <w:tcW w:w="1128" w:type="dxa"/>
            <w:tcBorders>
              <w:top w:val="nil"/>
              <w:left w:val="nil"/>
              <w:bottom w:val="nil"/>
              <w:right w:val="nil"/>
            </w:tcBorders>
            <w:shd w:val="clear" w:color="auto" w:fill="auto"/>
            <w:hideMark/>
          </w:tcPr>
          <w:p w14:paraId="5C2DE3FA"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w:t>
            </w:r>
          </w:p>
        </w:tc>
        <w:tc>
          <w:tcPr>
            <w:tcW w:w="1389" w:type="dxa"/>
            <w:tcBorders>
              <w:top w:val="nil"/>
              <w:left w:val="nil"/>
              <w:bottom w:val="nil"/>
              <w:right w:val="nil"/>
            </w:tcBorders>
            <w:shd w:val="clear" w:color="auto" w:fill="auto"/>
            <w:hideMark/>
          </w:tcPr>
          <w:p w14:paraId="678FC928"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280</w:t>
            </w:r>
          </w:p>
        </w:tc>
        <w:tc>
          <w:tcPr>
            <w:tcW w:w="1119" w:type="dxa"/>
            <w:tcBorders>
              <w:top w:val="nil"/>
              <w:left w:val="nil"/>
              <w:bottom w:val="nil"/>
              <w:right w:val="nil"/>
            </w:tcBorders>
            <w:shd w:val="clear" w:color="auto" w:fill="auto"/>
            <w:hideMark/>
          </w:tcPr>
          <w:p w14:paraId="1224ED7C"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394</w:t>
            </w:r>
          </w:p>
        </w:tc>
        <w:tc>
          <w:tcPr>
            <w:tcW w:w="1135" w:type="dxa"/>
            <w:tcBorders>
              <w:top w:val="nil"/>
              <w:left w:val="nil"/>
              <w:bottom w:val="nil"/>
              <w:right w:val="nil"/>
            </w:tcBorders>
            <w:shd w:val="clear" w:color="auto" w:fill="auto"/>
            <w:hideMark/>
          </w:tcPr>
          <w:p w14:paraId="2DB75B61" w14:textId="77777777"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Quasi-experimental</w:t>
            </w:r>
          </w:p>
        </w:tc>
        <w:tc>
          <w:tcPr>
            <w:tcW w:w="1128" w:type="dxa"/>
            <w:tcBorders>
              <w:top w:val="nil"/>
              <w:left w:val="nil"/>
              <w:bottom w:val="nil"/>
              <w:right w:val="nil"/>
            </w:tcBorders>
            <w:shd w:val="clear" w:color="auto" w:fill="auto"/>
            <w:hideMark/>
          </w:tcPr>
          <w:p w14:paraId="6E396DF4" w14:textId="4A8B4F11"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A07F99">
              <w:rPr>
                <w:rFonts w:ascii="Calibri" w:eastAsia="Times New Roman" w:hAnsi="Calibri" w:cs="Calibri"/>
                <w:kern w:val="0"/>
                <w:sz w:val="16"/>
                <w:szCs w:val="16"/>
                <w:lang w:eastAsia="en-AU"/>
                <w14:ligatures w14:val="none"/>
              </w:rPr>
              <w:t>System performance Patient outcomes</w:t>
            </w:r>
          </w:p>
        </w:tc>
      </w:tr>
      <w:tr w:rsidR="004B049F" w:rsidRPr="00E821F3" w14:paraId="0848DD94" w14:textId="77777777" w:rsidTr="00143566">
        <w:trPr>
          <w:cantSplit/>
          <w:trHeight w:val="567"/>
        </w:trPr>
        <w:tc>
          <w:tcPr>
            <w:tcW w:w="1313" w:type="dxa"/>
            <w:tcBorders>
              <w:top w:val="nil"/>
              <w:left w:val="nil"/>
              <w:bottom w:val="nil"/>
              <w:right w:val="nil"/>
            </w:tcBorders>
            <w:shd w:val="clear" w:color="auto" w:fill="auto"/>
            <w:noWrap/>
            <w:hideMark/>
          </w:tcPr>
          <w:p w14:paraId="2E0AB795" w14:textId="7C5B53D0" w:rsidR="004B049F" w:rsidRPr="004B049F" w:rsidRDefault="004B049F" w:rsidP="004B049F">
            <w:pPr>
              <w:spacing w:after="0" w:line="240" w:lineRule="auto"/>
              <w:rPr>
                <w:rFonts w:ascii="Calibri" w:eastAsia="Times New Roman" w:hAnsi="Calibri" w:cs="Calibri"/>
                <w:kern w:val="0"/>
                <w:sz w:val="16"/>
                <w:szCs w:val="16"/>
                <w:lang w:eastAsia="en-AU"/>
                <w14:ligatures w14:val="none"/>
              </w:rPr>
            </w:pPr>
            <w:r w:rsidRPr="004B049F">
              <w:rPr>
                <w:sz w:val="16"/>
                <w:szCs w:val="16"/>
              </w:rPr>
              <w:t xml:space="preserve">Goldberg </w:t>
            </w:r>
            <w:proofErr w:type="gramStart"/>
            <w:r w:rsidRPr="004B049F">
              <w:rPr>
                <w:sz w:val="16"/>
                <w:szCs w:val="16"/>
              </w:rPr>
              <w:t>et al..</w:t>
            </w:r>
            <w:proofErr w:type="gramEnd"/>
            <w:r w:rsidRPr="004B049F">
              <w:rPr>
                <w:sz w:val="16"/>
                <w:szCs w:val="16"/>
              </w:rPr>
              <w:t xml:space="preserve"> 2020a, USA</w:t>
            </w:r>
          </w:p>
        </w:tc>
        <w:tc>
          <w:tcPr>
            <w:tcW w:w="1525" w:type="dxa"/>
            <w:tcBorders>
              <w:top w:val="nil"/>
              <w:left w:val="nil"/>
              <w:bottom w:val="nil"/>
              <w:right w:val="nil"/>
            </w:tcBorders>
          </w:tcPr>
          <w:p w14:paraId="7611F5FC" w14:textId="77777777" w:rsidR="004B049F" w:rsidRPr="007F1A6A" w:rsidRDefault="004B049F" w:rsidP="004B049F">
            <w:pPr>
              <w:spacing w:after="0" w:line="240" w:lineRule="auto"/>
              <w:rPr>
                <w:rFonts w:ascii="Calibri" w:eastAsia="Times New Roman" w:hAnsi="Calibri" w:cs="Calibri"/>
                <w:kern w:val="0"/>
                <w:sz w:val="16"/>
                <w:szCs w:val="16"/>
                <w:lang w:eastAsia="en-AU"/>
                <w14:ligatures w14:val="none"/>
              </w:rPr>
            </w:pPr>
          </w:p>
        </w:tc>
        <w:tc>
          <w:tcPr>
            <w:tcW w:w="2688" w:type="dxa"/>
            <w:tcBorders>
              <w:top w:val="nil"/>
              <w:left w:val="nil"/>
              <w:bottom w:val="nil"/>
              <w:right w:val="nil"/>
            </w:tcBorders>
            <w:shd w:val="clear" w:color="auto" w:fill="auto"/>
            <w:hideMark/>
          </w:tcPr>
          <w:p w14:paraId="44AE0BFC" w14:textId="0176253F" w:rsidR="004B049F" w:rsidRPr="007F1A6A" w:rsidRDefault="004B049F" w:rsidP="004B049F">
            <w:pPr>
              <w:spacing w:after="0" w:line="240" w:lineRule="auto"/>
              <w:rPr>
                <w:rFonts w:ascii="Calibri" w:eastAsia="Times New Roman" w:hAnsi="Calibri" w:cs="Calibri"/>
                <w:kern w:val="0"/>
                <w:sz w:val="16"/>
                <w:szCs w:val="16"/>
                <w:lang w:eastAsia="en-AU"/>
                <w14:ligatures w14:val="none"/>
              </w:rPr>
            </w:pPr>
            <w:r w:rsidRPr="007F1A6A">
              <w:rPr>
                <w:rFonts w:ascii="Calibri" w:eastAsia="Times New Roman" w:hAnsi="Calibri" w:cs="Calibri"/>
                <w:kern w:val="0"/>
                <w:sz w:val="16"/>
                <w:szCs w:val="16"/>
                <w:lang w:eastAsia="en-AU"/>
                <w14:ligatures w14:val="none"/>
              </w:rPr>
              <w:t xml:space="preserve">To </w:t>
            </w:r>
            <w:r w:rsidR="00906361">
              <w:rPr>
                <w:rFonts w:ascii="Calibri" w:eastAsia="Times New Roman" w:hAnsi="Calibri" w:cs="Calibri"/>
                <w:kern w:val="0"/>
                <w:sz w:val="16"/>
                <w:szCs w:val="16"/>
                <w:lang w:eastAsia="en-AU"/>
                <w14:ligatures w14:val="none"/>
              </w:rPr>
              <w:t xml:space="preserve">describe </w:t>
            </w:r>
            <w:r w:rsidR="00E1564A" w:rsidRPr="00E1564A">
              <w:rPr>
                <w:rFonts w:ascii="Calibri" w:eastAsia="Times New Roman" w:hAnsi="Calibri" w:cs="Calibri"/>
                <w:kern w:val="0"/>
                <w:sz w:val="16"/>
                <w:szCs w:val="16"/>
                <w:lang w:eastAsia="en-AU"/>
                <w14:ligatures w14:val="none"/>
              </w:rPr>
              <w:t xml:space="preserve">a multidisciplinary </w:t>
            </w:r>
            <w:proofErr w:type="gramStart"/>
            <w:r w:rsidR="00E1564A" w:rsidRPr="00E1564A">
              <w:rPr>
                <w:rFonts w:ascii="Calibri" w:eastAsia="Times New Roman" w:hAnsi="Calibri" w:cs="Calibri"/>
                <w:kern w:val="0"/>
                <w:sz w:val="16"/>
                <w:szCs w:val="16"/>
                <w:lang w:eastAsia="en-AU"/>
                <w14:ligatures w14:val="none"/>
              </w:rPr>
              <w:t>team</w:t>
            </w:r>
            <w:proofErr w:type="gramEnd"/>
            <w:r w:rsidR="00E1564A" w:rsidRPr="00E1564A">
              <w:rPr>
                <w:rFonts w:ascii="Calibri" w:eastAsia="Times New Roman" w:hAnsi="Calibri" w:cs="Calibri"/>
                <w:kern w:val="0"/>
                <w:sz w:val="16"/>
                <w:szCs w:val="16"/>
                <w:lang w:eastAsia="en-AU"/>
                <w14:ligatures w14:val="none"/>
              </w:rPr>
              <w:t xml:space="preserve"> fall prevention intervention for older adults who seek care in the ED after having a fall</w:t>
            </w:r>
          </w:p>
        </w:tc>
        <w:tc>
          <w:tcPr>
            <w:tcW w:w="3031" w:type="dxa"/>
            <w:tcBorders>
              <w:top w:val="nil"/>
              <w:left w:val="nil"/>
              <w:bottom w:val="nil"/>
              <w:right w:val="nil"/>
            </w:tcBorders>
            <w:shd w:val="clear" w:color="auto" w:fill="auto"/>
            <w:hideMark/>
          </w:tcPr>
          <w:p w14:paraId="14A85723" w14:textId="77777777" w:rsidR="004B049F" w:rsidRPr="00971B49"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971B49">
              <w:rPr>
                <w:rFonts w:ascii="Calibri" w:eastAsia="Times New Roman" w:hAnsi="Calibri" w:cs="Calibri"/>
                <w:b/>
                <w:bCs/>
                <w:color w:val="000000"/>
                <w:kern w:val="0"/>
                <w:sz w:val="16"/>
                <w:szCs w:val="16"/>
                <w:lang w:eastAsia="en-AU"/>
                <w14:ligatures w14:val="none"/>
              </w:rPr>
              <w:t>General assessment and multi-faceted care coordination to reduce avoidable hospital admissions and/or LOS and/or improve ED flow</w:t>
            </w:r>
          </w:p>
          <w:p w14:paraId="640EABAB" w14:textId="1517C4C5" w:rsidR="004B049F" w:rsidRPr="007F1A6A" w:rsidRDefault="004B049F" w:rsidP="004B049F">
            <w:pPr>
              <w:spacing w:after="0" w:line="240" w:lineRule="auto"/>
              <w:rPr>
                <w:rFonts w:ascii="Calibri" w:eastAsia="Times New Roman" w:hAnsi="Calibri" w:cs="Calibri"/>
                <w:kern w:val="0"/>
                <w:sz w:val="16"/>
                <w:szCs w:val="16"/>
                <w:lang w:eastAsia="en-AU"/>
                <w14:ligatures w14:val="none"/>
              </w:rPr>
            </w:pPr>
            <w:r w:rsidRPr="007F1A6A">
              <w:rPr>
                <w:rFonts w:ascii="Calibri" w:eastAsia="Times New Roman" w:hAnsi="Calibri" w:cs="Calibri"/>
                <w:kern w:val="0"/>
                <w:sz w:val="16"/>
                <w:szCs w:val="16"/>
                <w:lang w:eastAsia="en-AU"/>
                <w14:ligatures w14:val="none"/>
              </w:rPr>
              <w:t>A brief medication therapy management session delivered by a pharmacist, a fall risk assessment and plan by a physical therapist, referrals to outpatient services (</w:t>
            </w:r>
            <w:proofErr w:type="spellStart"/>
            <w:r w:rsidRPr="007F1A6A">
              <w:rPr>
                <w:rFonts w:ascii="Calibri" w:eastAsia="Times New Roman" w:hAnsi="Calibri" w:cs="Calibri"/>
                <w:kern w:val="0"/>
                <w:sz w:val="16"/>
                <w:szCs w:val="16"/>
                <w:lang w:eastAsia="en-AU"/>
                <w14:ligatures w14:val="none"/>
              </w:rPr>
              <w:t>eg</w:t>
            </w:r>
            <w:proofErr w:type="spellEnd"/>
            <w:r w:rsidRPr="007F1A6A">
              <w:rPr>
                <w:rFonts w:ascii="Calibri" w:eastAsia="Times New Roman" w:hAnsi="Calibri" w:cs="Calibri"/>
                <w:kern w:val="0"/>
                <w:sz w:val="16"/>
                <w:szCs w:val="16"/>
                <w:lang w:eastAsia="en-AU"/>
                <w14:ligatures w14:val="none"/>
              </w:rPr>
              <w:t>, home safety evaluation, outpatient PT).</w:t>
            </w:r>
          </w:p>
        </w:tc>
        <w:tc>
          <w:tcPr>
            <w:tcW w:w="1128" w:type="dxa"/>
            <w:tcBorders>
              <w:top w:val="nil"/>
              <w:left w:val="nil"/>
              <w:bottom w:val="nil"/>
              <w:right w:val="nil"/>
            </w:tcBorders>
            <w:shd w:val="clear" w:color="auto" w:fill="auto"/>
            <w:hideMark/>
          </w:tcPr>
          <w:p w14:paraId="21DCB942" w14:textId="77777777" w:rsidR="004B049F" w:rsidRPr="007F1A6A" w:rsidRDefault="004B049F" w:rsidP="004B049F">
            <w:pPr>
              <w:spacing w:after="0" w:line="240" w:lineRule="auto"/>
              <w:jc w:val="right"/>
              <w:rPr>
                <w:rFonts w:ascii="Calibri" w:eastAsia="Times New Roman" w:hAnsi="Calibri" w:cs="Calibri"/>
                <w:kern w:val="0"/>
                <w:sz w:val="16"/>
                <w:szCs w:val="16"/>
                <w:lang w:eastAsia="en-AU"/>
                <w14:ligatures w14:val="none"/>
              </w:rPr>
            </w:pPr>
            <w:r w:rsidRPr="007F1A6A">
              <w:rPr>
                <w:rFonts w:ascii="Calibri" w:eastAsia="Times New Roman" w:hAnsi="Calibri" w:cs="Calibri"/>
                <w:kern w:val="0"/>
                <w:sz w:val="16"/>
                <w:szCs w:val="16"/>
                <w:lang w:eastAsia="en-AU"/>
                <w14:ligatures w14:val="none"/>
              </w:rPr>
              <w:t>2</w:t>
            </w:r>
          </w:p>
        </w:tc>
        <w:tc>
          <w:tcPr>
            <w:tcW w:w="1389" w:type="dxa"/>
            <w:tcBorders>
              <w:top w:val="nil"/>
              <w:left w:val="nil"/>
              <w:bottom w:val="nil"/>
              <w:right w:val="nil"/>
            </w:tcBorders>
            <w:shd w:val="clear" w:color="auto" w:fill="auto"/>
            <w:hideMark/>
          </w:tcPr>
          <w:p w14:paraId="2BBBCF4D" w14:textId="77777777" w:rsidR="004B049F" w:rsidRPr="007F1A6A" w:rsidRDefault="004B049F" w:rsidP="004B049F">
            <w:pPr>
              <w:spacing w:after="0" w:line="240" w:lineRule="auto"/>
              <w:jc w:val="right"/>
              <w:rPr>
                <w:rFonts w:ascii="Calibri" w:eastAsia="Times New Roman" w:hAnsi="Calibri" w:cs="Calibri"/>
                <w:kern w:val="0"/>
                <w:sz w:val="16"/>
                <w:szCs w:val="16"/>
                <w:lang w:eastAsia="en-AU"/>
                <w14:ligatures w14:val="none"/>
              </w:rPr>
            </w:pPr>
            <w:r w:rsidRPr="007F1A6A">
              <w:rPr>
                <w:rFonts w:ascii="Calibri" w:eastAsia="Times New Roman" w:hAnsi="Calibri" w:cs="Calibri"/>
                <w:kern w:val="0"/>
                <w:sz w:val="16"/>
                <w:szCs w:val="16"/>
                <w:lang w:eastAsia="en-AU"/>
                <w14:ligatures w14:val="none"/>
              </w:rPr>
              <w:t>55</w:t>
            </w:r>
          </w:p>
        </w:tc>
        <w:tc>
          <w:tcPr>
            <w:tcW w:w="1119" w:type="dxa"/>
            <w:tcBorders>
              <w:top w:val="nil"/>
              <w:left w:val="nil"/>
              <w:bottom w:val="nil"/>
              <w:right w:val="nil"/>
            </w:tcBorders>
            <w:shd w:val="clear" w:color="auto" w:fill="auto"/>
            <w:hideMark/>
          </w:tcPr>
          <w:p w14:paraId="5F0C8AE6" w14:textId="77777777" w:rsidR="004B049F" w:rsidRPr="007F1A6A" w:rsidRDefault="004B049F" w:rsidP="004B049F">
            <w:pPr>
              <w:spacing w:after="0" w:line="240" w:lineRule="auto"/>
              <w:jc w:val="right"/>
              <w:rPr>
                <w:rFonts w:ascii="Calibri" w:eastAsia="Times New Roman" w:hAnsi="Calibri" w:cs="Calibri"/>
                <w:kern w:val="0"/>
                <w:sz w:val="16"/>
                <w:szCs w:val="16"/>
                <w:lang w:eastAsia="en-AU"/>
                <w14:ligatures w14:val="none"/>
              </w:rPr>
            </w:pPr>
            <w:r w:rsidRPr="007F1A6A">
              <w:rPr>
                <w:rFonts w:ascii="Calibri" w:eastAsia="Times New Roman" w:hAnsi="Calibri" w:cs="Calibri"/>
                <w:kern w:val="0"/>
                <w:sz w:val="16"/>
                <w:szCs w:val="16"/>
                <w:lang w:eastAsia="en-AU"/>
                <w14:ligatures w14:val="none"/>
              </w:rPr>
              <w:t>55</w:t>
            </w:r>
          </w:p>
        </w:tc>
        <w:tc>
          <w:tcPr>
            <w:tcW w:w="1135" w:type="dxa"/>
            <w:tcBorders>
              <w:top w:val="nil"/>
              <w:left w:val="nil"/>
              <w:bottom w:val="nil"/>
              <w:right w:val="nil"/>
            </w:tcBorders>
            <w:shd w:val="clear" w:color="auto" w:fill="auto"/>
            <w:hideMark/>
          </w:tcPr>
          <w:p w14:paraId="7F396FCB" w14:textId="77777777" w:rsidR="004B049F" w:rsidRPr="007F1A6A" w:rsidRDefault="004B049F" w:rsidP="004B049F">
            <w:pPr>
              <w:spacing w:after="0" w:line="240" w:lineRule="auto"/>
              <w:rPr>
                <w:rFonts w:ascii="Calibri" w:eastAsia="Times New Roman" w:hAnsi="Calibri" w:cs="Calibri"/>
                <w:kern w:val="0"/>
                <w:sz w:val="16"/>
                <w:szCs w:val="16"/>
                <w:lang w:eastAsia="en-AU"/>
                <w14:ligatures w14:val="none"/>
              </w:rPr>
            </w:pPr>
            <w:r w:rsidRPr="007F1A6A">
              <w:rPr>
                <w:rFonts w:ascii="Calibri" w:eastAsia="Times New Roman" w:hAnsi="Calibri" w:cs="Calibri"/>
                <w:kern w:val="0"/>
                <w:sz w:val="16"/>
                <w:szCs w:val="16"/>
                <w:lang w:eastAsia="en-AU"/>
                <w14:ligatures w14:val="none"/>
              </w:rPr>
              <w:t>RCT</w:t>
            </w:r>
          </w:p>
        </w:tc>
        <w:tc>
          <w:tcPr>
            <w:tcW w:w="1128" w:type="dxa"/>
            <w:tcBorders>
              <w:top w:val="nil"/>
              <w:left w:val="nil"/>
              <w:bottom w:val="nil"/>
              <w:right w:val="nil"/>
            </w:tcBorders>
            <w:shd w:val="clear" w:color="auto" w:fill="auto"/>
            <w:hideMark/>
          </w:tcPr>
          <w:p w14:paraId="5982C192" w14:textId="3C8719F7" w:rsidR="004B049F" w:rsidRPr="007F1A6A" w:rsidRDefault="004B049F" w:rsidP="004B049F">
            <w:pPr>
              <w:spacing w:after="0" w:line="240" w:lineRule="auto"/>
              <w:rPr>
                <w:rFonts w:ascii="Calibri" w:eastAsia="Times New Roman" w:hAnsi="Calibri" w:cs="Calibri"/>
                <w:kern w:val="0"/>
                <w:sz w:val="16"/>
                <w:szCs w:val="16"/>
                <w:lang w:eastAsia="en-AU"/>
                <w14:ligatures w14:val="none"/>
              </w:rPr>
            </w:pPr>
            <w:r w:rsidRPr="00A07F99">
              <w:rPr>
                <w:rFonts w:ascii="Calibri" w:eastAsia="Times New Roman" w:hAnsi="Calibri" w:cs="Calibri"/>
                <w:kern w:val="0"/>
                <w:sz w:val="16"/>
                <w:szCs w:val="16"/>
                <w:lang w:eastAsia="en-AU"/>
                <w14:ligatures w14:val="none"/>
              </w:rPr>
              <w:t>System performance Patient outcomes</w:t>
            </w:r>
            <w:r w:rsidRPr="007F1A6A">
              <w:rPr>
                <w:rFonts w:ascii="Calibri" w:eastAsia="Times New Roman" w:hAnsi="Calibri" w:cs="Calibri"/>
                <w:kern w:val="0"/>
                <w:sz w:val="16"/>
                <w:szCs w:val="16"/>
                <w:lang w:eastAsia="en-AU"/>
                <w14:ligatures w14:val="none"/>
              </w:rPr>
              <w:t xml:space="preserve"> </w:t>
            </w:r>
          </w:p>
        </w:tc>
      </w:tr>
      <w:tr w:rsidR="004B049F" w:rsidRPr="00E821F3" w14:paraId="5A548283" w14:textId="77777777" w:rsidTr="00143566">
        <w:trPr>
          <w:cantSplit/>
          <w:trHeight w:val="567"/>
        </w:trPr>
        <w:tc>
          <w:tcPr>
            <w:tcW w:w="1313" w:type="dxa"/>
            <w:tcBorders>
              <w:top w:val="nil"/>
              <w:left w:val="nil"/>
              <w:bottom w:val="nil"/>
              <w:right w:val="nil"/>
            </w:tcBorders>
            <w:shd w:val="clear" w:color="auto" w:fill="auto"/>
            <w:noWrap/>
            <w:hideMark/>
          </w:tcPr>
          <w:p w14:paraId="6E691A94" w14:textId="070E69E2"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4B049F">
              <w:rPr>
                <w:sz w:val="16"/>
                <w:szCs w:val="16"/>
              </w:rPr>
              <w:t>Goldberg et al., 2020b, USA</w:t>
            </w:r>
          </w:p>
        </w:tc>
        <w:tc>
          <w:tcPr>
            <w:tcW w:w="1525" w:type="dxa"/>
            <w:tcBorders>
              <w:top w:val="nil"/>
              <w:left w:val="nil"/>
              <w:bottom w:val="nil"/>
              <w:right w:val="nil"/>
            </w:tcBorders>
          </w:tcPr>
          <w:p w14:paraId="379C379A" w14:textId="77777777"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p>
        </w:tc>
        <w:tc>
          <w:tcPr>
            <w:tcW w:w="2688" w:type="dxa"/>
            <w:tcBorders>
              <w:top w:val="nil"/>
              <w:left w:val="nil"/>
              <w:bottom w:val="nil"/>
              <w:right w:val="nil"/>
            </w:tcBorders>
            <w:shd w:val="clear" w:color="auto" w:fill="auto"/>
            <w:hideMark/>
          </w:tcPr>
          <w:p w14:paraId="5D5C0A7A" w14:textId="3EA70D3A"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To</w:t>
            </w:r>
            <w:r w:rsidR="004717B1">
              <w:rPr>
                <w:rFonts w:ascii="Calibri" w:eastAsia="Times New Roman" w:hAnsi="Calibri" w:cs="Calibri"/>
                <w:color w:val="000000"/>
                <w:kern w:val="0"/>
                <w:sz w:val="16"/>
                <w:szCs w:val="16"/>
                <w:lang w:eastAsia="en-AU"/>
                <w14:ligatures w14:val="none"/>
              </w:rPr>
              <w:t xml:space="preserve"> </w:t>
            </w:r>
            <w:r w:rsidR="004717B1" w:rsidRPr="004717B1">
              <w:rPr>
                <w:rFonts w:ascii="Calibri" w:eastAsia="Times New Roman" w:hAnsi="Calibri" w:cs="Calibri"/>
                <w:color w:val="000000"/>
                <w:kern w:val="0"/>
                <w:sz w:val="16"/>
                <w:szCs w:val="16"/>
                <w:lang w:eastAsia="en-AU"/>
                <w14:ligatures w14:val="none"/>
              </w:rPr>
              <w:t>determine</w:t>
            </w:r>
            <w:r w:rsidR="004717B1">
              <w:rPr>
                <w:rFonts w:ascii="Calibri" w:eastAsia="Times New Roman" w:hAnsi="Calibri" w:cs="Calibri"/>
                <w:color w:val="000000"/>
                <w:kern w:val="0"/>
                <w:sz w:val="16"/>
                <w:szCs w:val="16"/>
                <w:lang w:eastAsia="en-AU"/>
                <w14:ligatures w14:val="none"/>
              </w:rPr>
              <w:t xml:space="preserve"> </w:t>
            </w:r>
            <w:r w:rsidR="004717B1" w:rsidRPr="004717B1">
              <w:rPr>
                <w:rFonts w:ascii="Calibri" w:eastAsia="Times New Roman" w:hAnsi="Calibri" w:cs="Calibri"/>
                <w:color w:val="000000"/>
                <w:kern w:val="0"/>
                <w:sz w:val="16"/>
                <w:szCs w:val="16"/>
                <w:lang w:eastAsia="en-AU"/>
                <w14:ligatures w14:val="none"/>
              </w:rPr>
              <w:t>whether</w:t>
            </w:r>
            <w:r w:rsidR="004717B1">
              <w:rPr>
                <w:rFonts w:ascii="Calibri" w:eastAsia="Times New Roman" w:hAnsi="Calibri" w:cs="Calibri"/>
                <w:color w:val="000000"/>
                <w:kern w:val="0"/>
                <w:sz w:val="16"/>
                <w:szCs w:val="16"/>
                <w:lang w:eastAsia="en-AU"/>
                <w14:ligatures w14:val="none"/>
              </w:rPr>
              <w:t xml:space="preserve"> </w:t>
            </w:r>
            <w:r w:rsidR="004717B1" w:rsidRPr="004717B1">
              <w:rPr>
                <w:rFonts w:ascii="Calibri" w:eastAsia="Times New Roman" w:hAnsi="Calibri" w:cs="Calibri"/>
                <w:color w:val="000000"/>
                <w:kern w:val="0"/>
                <w:sz w:val="16"/>
                <w:szCs w:val="16"/>
                <w:lang w:eastAsia="en-AU"/>
                <w14:ligatures w14:val="none"/>
              </w:rPr>
              <w:t>an</w:t>
            </w:r>
            <w:r w:rsidR="004717B1">
              <w:rPr>
                <w:rFonts w:ascii="Calibri" w:eastAsia="Times New Roman" w:hAnsi="Calibri" w:cs="Calibri"/>
                <w:color w:val="000000"/>
                <w:kern w:val="0"/>
                <w:sz w:val="16"/>
                <w:szCs w:val="16"/>
                <w:lang w:eastAsia="en-AU"/>
                <w14:ligatures w14:val="none"/>
              </w:rPr>
              <w:t xml:space="preserve"> </w:t>
            </w:r>
            <w:r w:rsidR="004717B1" w:rsidRPr="004717B1">
              <w:rPr>
                <w:rFonts w:ascii="Calibri" w:eastAsia="Times New Roman" w:hAnsi="Calibri" w:cs="Calibri"/>
                <w:color w:val="000000"/>
                <w:kern w:val="0"/>
                <w:sz w:val="16"/>
                <w:szCs w:val="16"/>
                <w:lang w:eastAsia="en-AU"/>
                <w14:ligatures w14:val="none"/>
              </w:rPr>
              <w:t>ED–initiated</w:t>
            </w:r>
            <w:r w:rsidR="004717B1">
              <w:rPr>
                <w:rFonts w:ascii="Calibri" w:eastAsia="Times New Roman" w:hAnsi="Calibri" w:cs="Calibri"/>
                <w:color w:val="000000"/>
                <w:kern w:val="0"/>
                <w:sz w:val="16"/>
                <w:szCs w:val="16"/>
                <w:lang w:eastAsia="en-AU"/>
                <w14:ligatures w14:val="none"/>
              </w:rPr>
              <w:t xml:space="preserve"> </w:t>
            </w:r>
            <w:r w:rsidR="004717B1" w:rsidRPr="004717B1">
              <w:rPr>
                <w:rFonts w:ascii="Calibri" w:eastAsia="Times New Roman" w:hAnsi="Calibri" w:cs="Calibri"/>
                <w:color w:val="000000"/>
                <w:kern w:val="0"/>
                <w:sz w:val="16"/>
                <w:szCs w:val="16"/>
                <w:lang w:eastAsia="en-AU"/>
                <w14:ligatures w14:val="none"/>
              </w:rPr>
              <w:t>fall-prevention</w:t>
            </w:r>
            <w:r w:rsidR="004717B1">
              <w:rPr>
                <w:rFonts w:ascii="Calibri" w:eastAsia="Times New Roman" w:hAnsi="Calibri" w:cs="Calibri"/>
                <w:color w:val="000000"/>
                <w:kern w:val="0"/>
                <w:sz w:val="16"/>
                <w:szCs w:val="16"/>
                <w:lang w:eastAsia="en-AU"/>
                <w14:ligatures w14:val="none"/>
              </w:rPr>
              <w:t xml:space="preserve"> </w:t>
            </w:r>
            <w:r w:rsidR="004717B1" w:rsidRPr="004717B1">
              <w:rPr>
                <w:rFonts w:ascii="Calibri" w:eastAsia="Times New Roman" w:hAnsi="Calibri" w:cs="Calibri"/>
                <w:color w:val="000000"/>
                <w:kern w:val="0"/>
                <w:sz w:val="16"/>
                <w:szCs w:val="16"/>
                <w:lang w:eastAsia="en-AU"/>
                <w14:ligatures w14:val="none"/>
              </w:rPr>
              <w:t>intervention</w:t>
            </w:r>
            <w:r w:rsidR="004717B1">
              <w:rPr>
                <w:rFonts w:ascii="Calibri" w:eastAsia="Times New Roman" w:hAnsi="Calibri" w:cs="Calibri"/>
                <w:color w:val="000000"/>
                <w:kern w:val="0"/>
                <w:sz w:val="16"/>
                <w:szCs w:val="16"/>
                <w:lang w:eastAsia="en-AU"/>
                <w14:ligatures w14:val="none"/>
              </w:rPr>
              <w:t xml:space="preserve"> </w:t>
            </w:r>
            <w:r w:rsidR="004717B1" w:rsidRPr="004717B1">
              <w:rPr>
                <w:rFonts w:ascii="Calibri" w:eastAsia="Times New Roman" w:hAnsi="Calibri" w:cs="Calibri"/>
                <w:color w:val="000000"/>
                <w:kern w:val="0"/>
                <w:sz w:val="16"/>
                <w:szCs w:val="16"/>
                <w:lang w:eastAsia="en-AU"/>
                <w14:ligatures w14:val="none"/>
              </w:rPr>
              <w:t>can</w:t>
            </w:r>
            <w:r w:rsidR="004717B1">
              <w:rPr>
                <w:rFonts w:ascii="Calibri" w:eastAsia="Times New Roman" w:hAnsi="Calibri" w:cs="Calibri"/>
                <w:color w:val="000000"/>
                <w:kern w:val="0"/>
                <w:sz w:val="16"/>
                <w:szCs w:val="16"/>
                <w:lang w:eastAsia="en-AU"/>
                <w14:ligatures w14:val="none"/>
              </w:rPr>
              <w:t xml:space="preserve"> </w:t>
            </w:r>
            <w:r w:rsidR="004717B1" w:rsidRPr="004717B1">
              <w:rPr>
                <w:rFonts w:ascii="Calibri" w:eastAsia="Times New Roman" w:hAnsi="Calibri" w:cs="Calibri"/>
                <w:color w:val="000000"/>
                <w:kern w:val="0"/>
                <w:sz w:val="16"/>
                <w:szCs w:val="16"/>
                <w:lang w:eastAsia="en-AU"/>
                <w14:ligatures w14:val="none"/>
              </w:rPr>
              <w:t>reduce subsequent</w:t>
            </w:r>
            <w:r w:rsidR="004717B1">
              <w:rPr>
                <w:rFonts w:ascii="Calibri" w:eastAsia="Times New Roman" w:hAnsi="Calibri" w:cs="Calibri"/>
                <w:color w:val="000000"/>
                <w:kern w:val="0"/>
                <w:sz w:val="16"/>
                <w:szCs w:val="16"/>
                <w:lang w:eastAsia="en-AU"/>
                <w14:ligatures w14:val="none"/>
              </w:rPr>
              <w:t xml:space="preserve"> </w:t>
            </w:r>
            <w:r w:rsidR="004717B1" w:rsidRPr="004717B1">
              <w:rPr>
                <w:rFonts w:ascii="Calibri" w:eastAsia="Times New Roman" w:hAnsi="Calibri" w:cs="Calibri"/>
                <w:color w:val="000000"/>
                <w:kern w:val="0"/>
                <w:sz w:val="16"/>
                <w:szCs w:val="16"/>
                <w:lang w:eastAsia="en-AU"/>
                <w14:ligatures w14:val="none"/>
              </w:rPr>
              <w:t>fall-related</w:t>
            </w:r>
            <w:r w:rsidR="004717B1">
              <w:rPr>
                <w:rFonts w:ascii="Calibri" w:eastAsia="Times New Roman" w:hAnsi="Calibri" w:cs="Calibri"/>
                <w:color w:val="000000"/>
                <w:kern w:val="0"/>
                <w:sz w:val="16"/>
                <w:szCs w:val="16"/>
                <w:lang w:eastAsia="en-AU"/>
                <w14:ligatures w14:val="none"/>
              </w:rPr>
              <w:t xml:space="preserve"> </w:t>
            </w:r>
            <w:r w:rsidR="004717B1" w:rsidRPr="004717B1">
              <w:rPr>
                <w:rFonts w:ascii="Calibri" w:eastAsia="Times New Roman" w:hAnsi="Calibri" w:cs="Calibri"/>
                <w:color w:val="000000"/>
                <w:kern w:val="0"/>
                <w:sz w:val="16"/>
                <w:szCs w:val="16"/>
                <w:lang w:eastAsia="en-AU"/>
                <w14:ligatures w14:val="none"/>
              </w:rPr>
              <w:t>and</w:t>
            </w:r>
            <w:r w:rsidR="004717B1">
              <w:rPr>
                <w:rFonts w:ascii="Calibri" w:eastAsia="Times New Roman" w:hAnsi="Calibri" w:cs="Calibri"/>
                <w:color w:val="000000"/>
                <w:kern w:val="0"/>
                <w:sz w:val="16"/>
                <w:szCs w:val="16"/>
                <w:lang w:eastAsia="en-AU"/>
                <w14:ligatures w14:val="none"/>
              </w:rPr>
              <w:t xml:space="preserve"> </w:t>
            </w:r>
            <w:r w:rsidR="004717B1" w:rsidRPr="004717B1">
              <w:rPr>
                <w:rFonts w:ascii="Calibri" w:eastAsia="Times New Roman" w:hAnsi="Calibri" w:cs="Calibri"/>
                <w:color w:val="000000"/>
                <w:kern w:val="0"/>
                <w:sz w:val="16"/>
                <w:szCs w:val="16"/>
                <w:lang w:eastAsia="en-AU"/>
                <w14:ligatures w14:val="none"/>
              </w:rPr>
              <w:t>all</w:t>
            </w:r>
            <w:r w:rsidR="004717B1">
              <w:rPr>
                <w:rFonts w:ascii="Calibri" w:eastAsia="Times New Roman" w:hAnsi="Calibri" w:cs="Calibri"/>
                <w:color w:val="000000"/>
                <w:kern w:val="0"/>
                <w:sz w:val="16"/>
                <w:szCs w:val="16"/>
                <w:lang w:eastAsia="en-AU"/>
                <w14:ligatures w14:val="none"/>
              </w:rPr>
              <w:t xml:space="preserve"> </w:t>
            </w:r>
            <w:r w:rsidR="004717B1" w:rsidRPr="004717B1">
              <w:rPr>
                <w:rFonts w:ascii="Calibri" w:eastAsia="Times New Roman" w:hAnsi="Calibri" w:cs="Calibri"/>
                <w:color w:val="000000"/>
                <w:kern w:val="0"/>
                <w:sz w:val="16"/>
                <w:szCs w:val="16"/>
                <w:lang w:eastAsia="en-AU"/>
                <w14:ligatures w14:val="none"/>
              </w:rPr>
              <w:t>cause</w:t>
            </w:r>
            <w:r w:rsidR="004717B1">
              <w:rPr>
                <w:rFonts w:ascii="Calibri" w:eastAsia="Times New Roman" w:hAnsi="Calibri" w:cs="Calibri"/>
                <w:color w:val="000000"/>
                <w:kern w:val="0"/>
                <w:sz w:val="16"/>
                <w:szCs w:val="16"/>
                <w:lang w:eastAsia="en-AU"/>
                <w14:ligatures w14:val="none"/>
              </w:rPr>
              <w:t xml:space="preserve"> </w:t>
            </w:r>
            <w:r w:rsidR="004717B1" w:rsidRPr="004717B1">
              <w:rPr>
                <w:rFonts w:ascii="Calibri" w:eastAsia="Times New Roman" w:hAnsi="Calibri" w:cs="Calibri"/>
                <w:color w:val="000000"/>
                <w:kern w:val="0"/>
                <w:sz w:val="16"/>
                <w:szCs w:val="16"/>
                <w:lang w:eastAsia="en-AU"/>
                <w14:ligatures w14:val="none"/>
              </w:rPr>
              <w:t>ED</w:t>
            </w:r>
            <w:r w:rsidR="004717B1">
              <w:rPr>
                <w:rFonts w:ascii="Calibri" w:eastAsia="Times New Roman" w:hAnsi="Calibri" w:cs="Calibri"/>
                <w:color w:val="000000"/>
                <w:kern w:val="0"/>
                <w:sz w:val="16"/>
                <w:szCs w:val="16"/>
                <w:lang w:eastAsia="en-AU"/>
                <w14:ligatures w14:val="none"/>
              </w:rPr>
              <w:t xml:space="preserve"> </w:t>
            </w:r>
            <w:r w:rsidR="004717B1" w:rsidRPr="004717B1">
              <w:rPr>
                <w:rFonts w:ascii="Calibri" w:eastAsia="Times New Roman" w:hAnsi="Calibri" w:cs="Calibri"/>
                <w:color w:val="000000"/>
                <w:kern w:val="0"/>
                <w:sz w:val="16"/>
                <w:szCs w:val="16"/>
                <w:lang w:eastAsia="en-AU"/>
                <w14:ligatures w14:val="none"/>
              </w:rPr>
              <w:t>visits</w:t>
            </w:r>
            <w:r w:rsidR="004717B1">
              <w:rPr>
                <w:rFonts w:ascii="Calibri" w:eastAsia="Times New Roman" w:hAnsi="Calibri" w:cs="Calibri"/>
                <w:color w:val="000000"/>
                <w:kern w:val="0"/>
                <w:sz w:val="16"/>
                <w:szCs w:val="16"/>
                <w:lang w:eastAsia="en-AU"/>
                <w14:ligatures w14:val="none"/>
              </w:rPr>
              <w:t xml:space="preserve"> </w:t>
            </w:r>
            <w:r w:rsidR="004717B1" w:rsidRPr="004717B1">
              <w:rPr>
                <w:rFonts w:ascii="Calibri" w:eastAsia="Times New Roman" w:hAnsi="Calibri" w:cs="Calibri"/>
                <w:color w:val="000000"/>
                <w:kern w:val="0"/>
                <w:sz w:val="16"/>
                <w:szCs w:val="16"/>
                <w:lang w:eastAsia="en-AU"/>
                <w14:ligatures w14:val="none"/>
              </w:rPr>
              <w:t>and</w:t>
            </w:r>
            <w:r w:rsidR="00DC302A">
              <w:rPr>
                <w:rFonts w:ascii="Calibri" w:eastAsia="Times New Roman" w:hAnsi="Calibri" w:cs="Calibri"/>
                <w:color w:val="000000"/>
                <w:kern w:val="0"/>
                <w:sz w:val="16"/>
                <w:szCs w:val="16"/>
                <w:lang w:eastAsia="en-AU"/>
                <w14:ligatures w14:val="none"/>
              </w:rPr>
              <w:t xml:space="preserve"> </w:t>
            </w:r>
            <w:r w:rsidR="004717B1" w:rsidRPr="004717B1">
              <w:rPr>
                <w:rFonts w:ascii="Calibri" w:eastAsia="Times New Roman" w:hAnsi="Calibri" w:cs="Calibri"/>
                <w:color w:val="000000"/>
                <w:kern w:val="0"/>
                <w:sz w:val="16"/>
                <w:szCs w:val="16"/>
                <w:lang w:eastAsia="en-AU"/>
                <w14:ligatures w14:val="none"/>
              </w:rPr>
              <w:t>hospital</w:t>
            </w:r>
            <w:r w:rsidR="00DC302A">
              <w:rPr>
                <w:rFonts w:ascii="Calibri" w:eastAsia="Times New Roman" w:hAnsi="Calibri" w:cs="Calibri"/>
                <w:color w:val="000000"/>
                <w:kern w:val="0"/>
                <w:sz w:val="16"/>
                <w:szCs w:val="16"/>
                <w:lang w:eastAsia="en-AU"/>
                <w14:ligatures w14:val="none"/>
              </w:rPr>
              <w:t xml:space="preserve"> admissions </w:t>
            </w:r>
            <w:r w:rsidR="004717B1" w:rsidRPr="004717B1">
              <w:rPr>
                <w:rFonts w:ascii="Calibri" w:eastAsia="Times New Roman" w:hAnsi="Calibri" w:cs="Calibri"/>
                <w:color w:val="000000"/>
                <w:kern w:val="0"/>
                <w:sz w:val="16"/>
                <w:szCs w:val="16"/>
                <w:lang w:eastAsia="en-AU"/>
                <w14:ligatures w14:val="none"/>
              </w:rPr>
              <w:t>in</w:t>
            </w:r>
            <w:r w:rsidR="00DC302A">
              <w:rPr>
                <w:rFonts w:ascii="Calibri" w:eastAsia="Times New Roman" w:hAnsi="Calibri" w:cs="Calibri"/>
                <w:color w:val="000000"/>
                <w:kern w:val="0"/>
                <w:sz w:val="16"/>
                <w:szCs w:val="16"/>
                <w:lang w:eastAsia="en-AU"/>
                <w14:ligatures w14:val="none"/>
              </w:rPr>
              <w:t xml:space="preserve"> </w:t>
            </w:r>
            <w:r w:rsidR="004717B1" w:rsidRPr="004717B1">
              <w:rPr>
                <w:rFonts w:ascii="Calibri" w:eastAsia="Times New Roman" w:hAnsi="Calibri" w:cs="Calibri"/>
                <w:color w:val="000000"/>
                <w:kern w:val="0"/>
                <w:sz w:val="16"/>
                <w:szCs w:val="16"/>
                <w:lang w:eastAsia="en-AU"/>
                <w14:ligatures w14:val="none"/>
              </w:rPr>
              <w:t>older</w:t>
            </w:r>
            <w:r w:rsidR="00DC302A">
              <w:rPr>
                <w:rFonts w:ascii="Calibri" w:eastAsia="Times New Roman" w:hAnsi="Calibri" w:cs="Calibri"/>
                <w:color w:val="000000"/>
                <w:kern w:val="0"/>
                <w:sz w:val="16"/>
                <w:szCs w:val="16"/>
                <w:lang w:eastAsia="en-AU"/>
                <w14:ligatures w14:val="none"/>
              </w:rPr>
              <w:t xml:space="preserve"> </w:t>
            </w:r>
            <w:r w:rsidR="004717B1" w:rsidRPr="004717B1">
              <w:rPr>
                <w:rFonts w:ascii="Calibri" w:eastAsia="Times New Roman" w:hAnsi="Calibri" w:cs="Calibri"/>
                <w:color w:val="000000"/>
                <w:kern w:val="0"/>
                <w:sz w:val="16"/>
                <w:szCs w:val="16"/>
                <w:lang w:eastAsia="en-AU"/>
                <w14:ligatures w14:val="none"/>
              </w:rPr>
              <w:t>adults</w:t>
            </w:r>
          </w:p>
        </w:tc>
        <w:tc>
          <w:tcPr>
            <w:tcW w:w="3031" w:type="dxa"/>
            <w:tcBorders>
              <w:top w:val="nil"/>
              <w:left w:val="nil"/>
              <w:bottom w:val="nil"/>
              <w:right w:val="nil"/>
            </w:tcBorders>
            <w:shd w:val="clear" w:color="auto" w:fill="auto"/>
            <w:hideMark/>
          </w:tcPr>
          <w:p w14:paraId="73C051CC" w14:textId="77777777" w:rsidR="004B049F" w:rsidRPr="00971B49"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971B49">
              <w:rPr>
                <w:rFonts w:ascii="Calibri" w:eastAsia="Times New Roman" w:hAnsi="Calibri" w:cs="Calibri"/>
                <w:b/>
                <w:bCs/>
                <w:color w:val="000000"/>
                <w:kern w:val="0"/>
                <w:sz w:val="16"/>
                <w:szCs w:val="16"/>
                <w:lang w:eastAsia="en-AU"/>
                <w14:ligatures w14:val="none"/>
              </w:rPr>
              <w:t>General assessment and multi-faceted care coordination to reduce avoidable hospital admissions and/or LOS and/or improve ED flow</w:t>
            </w:r>
          </w:p>
          <w:p w14:paraId="2F0AE44E" w14:textId="3DF091D1"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A brief medication therapy management session delivered by a pharmacist, a fall risk assessment and plan by a physical therapist, referrals to outpatient services (</w:t>
            </w:r>
            <w:proofErr w:type="spellStart"/>
            <w:r w:rsidRPr="007F1A6A">
              <w:rPr>
                <w:rFonts w:ascii="Calibri" w:eastAsia="Times New Roman" w:hAnsi="Calibri" w:cs="Calibri"/>
                <w:color w:val="000000"/>
                <w:kern w:val="0"/>
                <w:sz w:val="16"/>
                <w:szCs w:val="16"/>
                <w:lang w:eastAsia="en-AU"/>
                <w14:ligatures w14:val="none"/>
              </w:rPr>
              <w:t>eg</w:t>
            </w:r>
            <w:proofErr w:type="spellEnd"/>
            <w:r w:rsidRPr="007F1A6A">
              <w:rPr>
                <w:rFonts w:ascii="Calibri" w:eastAsia="Times New Roman" w:hAnsi="Calibri" w:cs="Calibri"/>
                <w:color w:val="000000"/>
                <w:kern w:val="0"/>
                <w:sz w:val="16"/>
                <w:szCs w:val="16"/>
                <w:lang w:eastAsia="en-AU"/>
                <w14:ligatures w14:val="none"/>
              </w:rPr>
              <w:t>, home safety evaluation, outpatient PT).</w:t>
            </w:r>
          </w:p>
        </w:tc>
        <w:tc>
          <w:tcPr>
            <w:tcW w:w="1128" w:type="dxa"/>
            <w:tcBorders>
              <w:top w:val="nil"/>
              <w:left w:val="nil"/>
              <w:bottom w:val="nil"/>
              <w:right w:val="nil"/>
            </w:tcBorders>
            <w:shd w:val="clear" w:color="auto" w:fill="auto"/>
            <w:hideMark/>
          </w:tcPr>
          <w:p w14:paraId="4FE55316"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2</w:t>
            </w:r>
          </w:p>
        </w:tc>
        <w:tc>
          <w:tcPr>
            <w:tcW w:w="1389" w:type="dxa"/>
            <w:tcBorders>
              <w:top w:val="nil"/>
              <w:left w:val="nil"/>
              <w:bottom w:val="nil"/>
              <w:right w:val="nil"/>
            </w:tcBorders>
            <w:shd w:val="clear" w:color="auto" w:fill="auto"/>
            <w:hideMark/>
          </w:tcPr>
          <w:p w14:paraId="2BB14929"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55</w:t>
            </w:r>
          </w:p>
        </w:tc>
        <w:tc>
          <w:tcPr>
            <w:tcW w:w="1119" w:type="dxa"/>
            <w:tcBorders>
              <w:top w:val="nil"/>
              <w:left w:val="nil"/>
              <w:bottom w:val="nil"/>
              <w:right w:val="nil"/>
            </w:tcBorders>
            <w:shd w:val="clear" w:color="auto" w:fill="auto"/>
            <w:hideMark/>
          </w:tcPr>
          <w:p w14:paraId="4B507F63" w14:textId="77777777" w:rsidR="004B049F" w:rsidRPr="007F1A6A" w:rsidRDefault="004B049F" w:rsidP="004B049F">
            <w:pPr>
              <w:spacing w:after="0" w:line="240" w:lineRule="auto"/>
              <w:jc w:val="right"/>
              <w:rPr>
                <w:rFonts w:ascii="Calibri" w:eastAsia="Times New Roman" w:hAnsi="Calibri" w:cs="Calibri"/>
                <w:kern w:val="0"/>
                <w:sz w:val="16"/>
                <w:szCs w:val="16"/>
                <w:lang w:eastAsia="en-AU"/>
                <w14:ligatures w14:val="none"/>
              </w:rPr>
            </w:pPr>
            <w:r w:rsidRPr="007F1A6A">
              <w:rPr>
                <w:rFonts w:ascii="Calibri" w:eastAsia="Times New Roman" w:hAnsi="Calibri" w:cs="Calibri"/>
                <w:kern w:val="0"/>
                <w:sz w:val="16"/>
                <w:szCs w:val="16"/>
                <w:lang w:eastAsia="en-AU"/>
                <w14:ligatures w14:val="none"/>
              </w:rPr>
              <w:t>55</w:t>
            </w:r>
          </w:p>
        </w:tc>
        <w:tc>
          <w:tcPr>
            <w:tcW w:w="1135" w:type="dxa"/>
            <w:tcBorders>
              <w:top w:val="nil"/>
              <w:left w:val="nil"/>
              <w:bottom w:val="nil"/>
              <w:right w:val="nil"/>
            </w:tcBorders>
            <w:shd w:val="clear" w:color="auto" w:fill="auto"/>
            <w:hideMark/>
          </w:tcPr>
          <w:p w14:paraId="6A33DC78" w14:textId="77777777"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RCT</w:t>
            </w:r>
          </w:p>
        </w:tc>
        <w:tc>
          <w:tcPr>
            <w:tcW w:w="1128" w:type="dxa"/>
            <w:tcBorders>
              <w:top w:val="nil"/>
              <w:left w:val="nil"/>
              <w:bottom w:val="nil"/>
              <w:right w:val="nil"/>
            </w:tcBorders>
            <w:shd w:val="clear" w:color="auto" w:fill="auto"/>
            <w:hideMark/>
          </w:tcPr>
          <w:p w14:paraId="1BE5ADDE" w14:textId="77777777" w:rsidR="004B049F" w:rsidRDefault="004B049F" w:rsidP="004B049F">
            <w:pPr>
              <w:spacing w:after="0" w:line="240" w:lineRule="auto"/>
              <w:rPr>
                <w:rFonts w:ascii="Calibri" w:eastAsia="Times New Roman" w:hAnsi="Calibri" w:cs="Calibri"/>
                <w:kern w:val="0"/>
                <w:sz w:val="16"/>
                <w:szCs w:val="16"/>
                <w:lang w:eastAsia="en-AU"/>
                <w14:ligatures w14:val="none"/>
              </w:rPr>
            </w:pPr>
            <w:r w:rsidRPr="00A07F99">
              <w:rPr>
                <w:rFonts w:ascii="Calibri" w:eastAsia="Times New Roman" w:hAnsi="Calibri" w:cs="Calibri"/>
                <w:kern w:val="0"/>
                <w:sz w:val="16"/>
                <w:szCs w:val="16"/>
                <w:lang w:eastAsia="en-AU"/>
                <w14:ligatures w14:val="none"/>
              </w:rPr>
              <w:t>Patient outcomes</w:t>
            </w:r>
          </w:p>
          <w:p w14:paraId="629DC9D3" w14:textId="20A110F2"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p>
        </w:tc>
      </w:tr>
      <w:tr w:rsidR="004B049F" w:rsidRPr="00E821F3" w14:paraId="61F012D1" w14:textId="77777777" w:rsidTr="00143566">
        <w:trPr>
          <w:cantSplit/>
          <w:trHeight w:val="567"/>
        </w:trPr>
        <w:tc>
          <w:tcPr>
            <w:tcW w:w="1313" w:type="dxa"/>
            <w:tcBorders>
              <w:top w:val="nil"/>
              <w:left w:val="nil"/>
              <w:bottom w:val="nil"/>
              <w:right w:val="nil"/>
            </w:tcBorders>
            <w:shd w:val="clear" w:color="auto" w:fill="auto"/>
            <w:noWrap/>
            <w:hideMark/>
          </w:tcPr>
          <w:p w14:paraId="771FB3C7" w14:textId="695ABE15"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4B049F">
              <w:rPr>
                <w:sz w:val="16"/>
                <w:szCs w:val="16"/>
              </w:rPr>
              <w:t>Guttman et al., 2004, Canada</w:t>
            </w:r>
          </w:p>
        </w:tc>
        <w:tc>
          <w:tcPr>
            <w:tcW w:w="1525" w:type="dxa"/>
            <w:tcBorders>
              <w:top w:val="nil"/>
              <w:left w:val="nil"/>
              <w:bottom w:val="nil"/>
              <w:right w:val="nil"/>
            </w:tcBorders>
          </w:tcPr>
          <w:p w14:paraId="0D930130" w14:textId="7E24D2F5"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ED Re-attendance</w:t>
            </w:r>
          </w:p>
        </w:tc>
        <w:tc>
          <w:tcPr>
            <w:tcW w:w="2688" w:type="dxa"/>
            <w:tcBorders>
              <w:top w:val="nil"/>
              <w:left w:val="nil"/>
              <w:bottom w:val="nil"/>
              <w:right w:val="nil"/>
            </w:tcBorders>
            <w:shd w:val="clear" w:color="auto" w:fill="auto"/>
            <w:hideMark/>
          </w:tcPr>
          <w:p w14:paraId="4FB11CA5" w14:textId="4898160E"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To evaluate the impact of an ED–based nurse discharge plan coordinator on unscheduled return visits within 14 days of discharge, satisfaction with discharge recommendations, adherence with discharge instructions, and perception of well-being of elder patients discharged from the ED</w:t>
            </w:r>
          </w:p>
        </w:tc>
        <w:tc>
          <w:tcPr>
            <w:tcW w:w="3031" w:type="dxa"/>
            <w:tcBorders>
              <w:top w:val="nil"/>
              <w:left w:val="nil"/>
              <w:bottom w:val="nil"/>
              <w:right w:val="nil"/>
            </w:tcBorders>
            <w:shd w:val="clear" w:color="auto" w:fill="auto"/>
            <w:hideMark/>
          </w:tcPr>
          <w:p w14:paraId="34D26A1B" w14:textId="77777777" w:rsidR="004B049F" w:rsidRPr="00971B49"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971B49">
              <w:rPr>
                <w:rFonts w:ascii="Calibri" w:eastAsia="Times New Roman" w:hAnsi="Calibri" w:cs="Calibri"/>
                <w:b/>
                <w:bCs/>
                <w:color w:val="000000"/>
                <w:kern w:val="0"/>
                <w:sz w:val="16"/>
                <w:szCs w:val="16"/>
                <w:lang w:eastAsia="en-AU"/>
                <w14:ligatures w14:val="none"/>
              </w:rPr>
              <w:t>General assessment and multi-faceted care coordination to reduce avoidable hospital admissions and/or LOS and/or improve ED flow</w:t>
            </w:r>
          </w:p>
          <w:p w14:paraId="58A4D249" w14:textId="22A7850C"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Nurse discharge planner provided education, coordinated appointments, telephone follow up</w:t>
            </w:r>
          </w:p>
        </w:tc>
        <w:tc>
          <w:tcPr>
            <w:tcW w:w="1128" w:type="dxa"/>
            <w:tcBorders>
              <w:top w:val="nil"/>
              <w:left w:val="nil"/>
              <w:bottom w:val="nil"/>
              <w:right w:val="nil"/>
            </w:tcBorders>
            <w:shd w:val="clear" w:color="auto" w:fill="auto"/>
            <w:hideMark/>
          </w:tcPr>
          <w:p w14:paraId="46242D62"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w:t>
            </w:r>
          </w:p>
        </w:tc>
        <w:tc>
          <w:tcPr>
            <w:tcW w:w="1389" w:type="dxa"/>
            <w:tcBorders>
              <w:top w:val="nil"/>
              <w:left w:val="nil"/>
              <w:bottom w:val="nil"/>
              <w:right w:val="nil"/>
            </w:tcBorders>
            <w:shd w:val="clear" w:color="auto" w:fill="auto"/>
            <w:hideMark/>
          </w:tcPr>
          <w:p w14:paraId="74EDF3E5"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819</w:t>
            </w:r>
          </w:p>
        </w:tc>
        <w:tc>
          <w:tcPr>
            <w:tcW w:w="1119" w:type="dxa"/>
            <w:tcBorders>
              <w:top w:val="nil"/>
              <w:left w:val="nil"/>
              <w:bottom w:val="nil"/>
              <w:right w:val="nil"/>
            </w:tcBorders>
            <w:shd w:val="clear" w:color="auto" w:fill="auto"/>
            <w:hideMark/>
          </w:tcPr>
          <w:p w14:paraId="67B29C96"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905</w:t>
            </w:r>
          </w:p>
        </w:tc>
        <w:tc>
          <w:tcPr>
            <w:tcW w:w="1135" w:type="dxa"/>
            <w:tcBorders>
              <w:top w:val="nil"/>
              <w:left w:val="nil"/>
              <w:bottom w:val="nil"/>
              <w:right w:val="nil"/>
            </w:tcBorders>
            <w:shd w:val="clear" w:color="auto" w:fill="auto"/>
            <w:hideMark/>
          </w:tcPr>
          <w:p w14:paraId="4A2E2532" w14:textId="77777777"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Pre-post</w:t>
            </w:r>
          </w:p>
        </w:tc>
        <w:tc>
          <w:tcPr>
            <w:tcW w:w="1128" w:type="dxa"/>
            <w:tcBorders>
              <w:top w:val="nil"/>
              <w:left w:val="nil"/>
              <w:bottom w:val="nil"/>
              <w:right w:val="nil"/>
            </w:tcBorders>
            <w:shd w:val="clear" w:color="auto" w:fill="auto"/>
            <w:hideMark/>
          </w:tcPr>
          <w:p w14:paraId="50E7049D" w14:textId="49A8EEE0" w:rsid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A07F99">
              <w:rPr>
                <w:rFonts w:ascii="Calibri" w:eastAsia="Times New Roman" w:hAnsi="Calibri" w:cs="Calibri"/>
                <w:kern w:val="0"/>
                <w:sz w:val="16"/>
                <w:szCs w:val="16"/>
                <w:lang w:eastAsia="en-AU"/>
                <w14:ligatures w14:val="none"/>
              </w:rPr>
              <w:t>System performance</w:t>
            </w:r>
          </w:p>
          <w:p w14:paraId="3B2DB276" w14:textId="4D73072C" w:rsid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P</w:t>
            </w:r>
            <w:r w:rsidRPr="007F1A6A">
              <w:rPr>
                <w:rFonts w:ascii="Calibri" w:eastAsia="Times New Roman" w:hAnsi="Calibri" w:cs="Calibri"/>
                <w:color w:val="000000"/>
                <w:kern w:val="0"/>
                <w:sz w:val="16"/>
                <w:szCs w:val="16"/>
                <w:lang w:eastAsia="en-AU"/>
                <w14:ligatures w14:val="none"/>
              </w:rPr>
              <w:t>atient outcomes</w:t>
            </w:r>
          </w:p>
          <w:p w14:paraId="6755CEEC" w14:textId="632431CE"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kern w:val="0"/>
                <w:sz w:val="16"/>
                <w:szCs w:val="16"/>
                <w:lang w:eastAsia="en-AU"/>
                <w14:ligatures w14:val="none"/>
              </w:rPr>
              <w:t>Patient experience</w:t>
            </w:r>
          </w:p>
        </w:tc>
      </w:tr>
      <w:tr w:rsidR="004B049F" w:rsidRPr="00E821F3" w14:paraId="414DBB8F" w14:textId="77777777" w:rsidTr="00143566">
        <w:trPr>
          <w:cantSplit/>
          <w:trHeight w:val="567"/>
        </w:trPr>
        <w:tc>
          <w:tcPr>
            <w:tcW w:w="1313" w:type="dxa"/>
            <w:tcBorders>
              <w:top w:val="nil"/>
              <w:left w:val="nil"/>
              <w:bottom w:val="nil"/>
              <w:right w:val="nil"/>
            </w:tcBorders>
            <w:shd w:val="clear" w:color="auto" w:fill="auto"/>
            <w:noWrap/>
            <w:hideMark/>
          </w:tcPr>
          <w:p w14:paraId="520EC905" w14:textId="4B52DB7A"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4B049F">
              <w:rPr>
                <w:sz w:val="16"/>
                <w:szCs w:val="16"/>
              </w:rPr>
              <w:lastRenderedPageBreak/>
              <w:t>Hammer et al., 2016, USA</w:t>
            </w:r>
          </w:p>
        </w:tc>
        <w:tc>
          <w:tcPr>
            <w:tcW w:w="1525" w:type="dxa"/>
            <w:tcBorders>
              <w:top w:val="nil"/>
              <w:left w:val="nil"/>
              <w:bottom w:val="nil"/>
              <w:right w:val="nil"/>
            </w:tcBorders>
          </w:tcPr>
          <w:p w14:paraId="3EB0EA42" w14:textId="65BDFDAF"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Trauma</w:t>
            </w:r>
          </w:p>
        </w:tc>
        <w:tc>
          <w:tcPr>
            <w:tcW w:w="2688" w:type="dxa"/>
            <w:tcBorders>
              <w:top w:val="nil"/>
              <w:left w:val="nil"/>
              <w:bottom w:val="nil"/>
              <w:right w:val="nil"/>
            </w:tcBorders>
            <w:shd w:val="clear" w:color="auto" w:fill="auto"/>
            <w:hideMark/>
          </w:tcPr>
          <w:p w14:paraId="457F45AA" w14:textId="614C143A"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 xml:space="preserve">To assess the effect of a change in triage criteria for injured geriatric patients </w:t>
            </w:r>
          </w:p>
        </w:tc>
        <w:tc>
          <w:tcPr>
            <w:tcW w:w="3031" w:type="dxa"/>
            <w:tcBorders>
              <w:top w:val="nil"/>
              <w:left w:val="nil"/>
              <w:bottom w:val="nil"/>
              <w:right w:val="nil"/>
            </w:tcBorders>
            <w:shd w:val="clear" w:color="auto" w:fill="auto"/>
            <w:hideMark/>
          </w:tcPr>
          <w:p w14:paraId="036282B7" w14:textId="77777777" w:rsidR="004B049F" w:rsidRPr="00F66ECF"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F66ECF">
              <w:rPr>
                <w:rFonts w:eastAsia="Times New Roman" w:cstheme="minorHAnsi"/>
                <w:b/>
                <w:bCs/>
                <w:color w:val="000000"/>
                <w:kern w:val="0"/>
                <w:sz w:val="16"/>
                <w:szCs w:val="16"/>
                <w:lang w:eastAsia="en-AU"/>
                <w14:ligatures w14:val="none"/>
              </w:rPr>
              <w:t>Geriatric trauma protocol</w:t>
            </w:r>
          </w:p>
          <w:p w14:paraId="3EA06C8A" w14:textId="1520AE33"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 xml:space="preserve">All injured patients over 70 mandated highest level trauma activation comprising attending trauma surgeon, ED physician, surgery and emergency medicine residents, respiratory technologist, </w:t>
            </w:r>
            <w:r>
              <w:rPr>
                <w:rFonts w:ascii="Calibri" w:eastAsia="Times New Roman" w:hAnsi="Calibri" w:cs="Calibri"/>
                <w:color w:val="000000"/>
                <w:kern w:val="0"/>
                <w:sz w:val="16"/>
                <w:szCs w:val="16"/>
                <w:lang w:eastAsia="en-AU"/>
                <w14:ligatures w14:val="none"/>
              </w:rPr>
              <w:t>three</w:t>
            </w:r>
            <w:r w:rsidRPr="007F1A6A">
              <w:rPr>
                <w:rFonts w:ascii="Calibri" w:eastAsia="Times New Roman" w:hAnsi="Calibri" w:cs="Calibri"/>
                <w:color w:val="000000"/>
                <w:kern w:val="0"/>
                <w:sz w:val="16"/>
                <w:szCs w:val="16"/>
                <w:lang w:eastAsia="en-AU"/>
                <w14:ligatures w14:val="none"/>
              </w:rPr>
              <w:t xml:space="preserve"> ED nurses, a clinical specialty pharmacist, and representatives from social and chaplain services</w:t>
            </w:r>
          </w:p>
        </w:tc>
        <w:tc>
          <w:tcPr>
            <w:tcW w:w="1128" w:type="dxa"/>
            <w:tcBorders>
              <w:top w:val="nil"/>
              <w:left w:val="nil"/>
              <w:bottom w:val="nil"/>
              <w:right w:val="nil"/>
            </w:tcBorders>
            <w:shd w:val="clear" w:color="auto" w:fill="auto"/>
            <w:hideMark/>
          </w:tcPr>
          <w:p w14:paraId="2B70C58C"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w:t>
            </w:r>
          </w:p>
        </w:tc>
        <w:tc>
          <w:tcPr>
            <w:tcW w:w="1389" w:type="dxa"/>
            <w:tcBorders>
              <w:top w:val="nil"/>
              <w:left w:val="nil"/>
              <w:bottom w:val="nil"/>
              <w:right w:val="nil"/>
            </w:tcBorders>
            <w:shd w:val="clear" w:color="auto" w:fill="auto"/>
            <w:hideMark/>
          </w:tcPr>
          <w:p w14:paraId="2057566A"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998</w:t>
            </w:r>
          </w:p>
        </w:tc>
        <w:tc>
          <w:tcPr>
            <w:tcW w:w="1119" w:type="dxa"/>
            <w:tcBorders>
              <w:top w:val="nil"/>
              <w:left w:val="nil"/>
              <w:bottom w:val="nil"/>
              <w:right w:val="nil"/>
            </w:tcBorders>
            <w:shd w:val="clear" w:color="auto" w:fill="auto"/>
            <w:hideMark/>
          </w:tcPr>
          <w:p w14:paraId="519AF015"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1271</w:t>
            </w:r>
          </w:p>
        </w:tc>
        <w:tc>
          <w:tcPr>
            <w:tcW w:w="1135" w:type="dxa"/>
            <w:tcBorders>
              <w:top w:val="nil"/>
              <w:left w:val="nil"/>
              <w:bottom w:val="nil"/>
              <w:right w:val="nil"/>
            </w:tcBorders>
            <w:shd w:val="clear" w:color="auto" w:fill="auto"/>
            <w:hideMark/>
          </w:tcPr>
          <w:p w14:paraId="3FF92BB9" w14:textId="77777777"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Pre-post</w:t>
            </w:r>
          </w:p>
        </w:tc>
        <w:tc>
          <w:tcPr>
            <w:tcW w:w="1128" w:type="dxa"/>
            <w:tcBorders>
              <w:top w:val="nil"/>
              <w:left w:val="nil"/>
              <w:bottom w:val="nil"/>
              <w:right w:val="nil"/>
            </w:tcBorders>
            <w:shd w:val="clear" w:color="auto" w:fill="auto"/>
            <w:hideMark/>
          </w:tcPr>
          <w:p w14:paraId="550F26BB" w14:textId="4CE3F716"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A07F99">
              <w:rPr>
                <w:rFonts w:ascii="Calibri" w:eastAsia="Times New Roman" w:hAnsi="Calibri" w:cs="Calibri"/>
                <w:kern w:val="0"/>
                <w:sz w:val="16"/>
                <w:szCs w:val="16"/>
                <w:lang w:eastAsia="en-AU"/>
                <w14:ligatures w14:val="none"/>
              </w:rPr>
              <w:t>System performance Patient outcomes</w:t>
            </w:r>
          </w:p>
        </w:tc>
      </w:tr>
      <w:tr w:rsidR="004B049F" w:rsidRPr="00E821F3" w14:paraId="45EA7C54" w14:textId="77777777" w:rsidTr="00143566">
        <w:trPr>
          <w:cantSplit/>
          <w:trHeight w:val="567"/>
        </w:trPr>
        <w:tc>
          <w:tcPr>
            <w:tcW w:w="1313" w:type="dxa"/>
            <w:tcBorders>
              <w:top w:val="nil"/>
              <w:left w:val="nil"/>
              <w:bottom w:val="nil"/>
              <w:right w:val="nil"/>
            </w:tcBorders>
            <w:shd w:val="clear" w:color="auto" w:fill="auto"/>
            <w:noWrap/>
            <w:hideMark/>
          </w:tcPr>
          <w:p w14:paraId="5E213ECE" w14:textId="49B25D7D"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4B049F">
              <w:rPr>
                <w:sz w:val="16"/>
                <w:szCs w:val="16"/>
              </w:rPr>
              <w:t>Heeren et al., 2019 Netherlands</w:t>
            </w:r>
          </w:p>
        </w:tc>
        <w:tc>
          <w:tcPr>
            <w:tcW w:w="1525" w:type="dxa"/>
            <w:tcBorders>
              <w:top w:val="nil"/>
              <w:left w:val="nil"/>
              <w:bottom w:val="nil"/>
              <w:right w:val="nil"/>
            </w:tcBorders>
          </w:tcPr>
          <w:p w14:paraId="0EE00B9B" w14:textId="44BA0601"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ED Re-attendance</w:t>
            </w:r>
          </w:p>
        </w:tc>
        <w:tc>
          <w:tcPr>
            <w:tcW w:w="2688" w:type="dxa"/>
            <w:tcBorders>
              <w:top w:val="nil"/>
              <w:left w:val="nil"/>
              <w:bottom w:val="nil"/>
              <w:right w:val="nil"/>
            </w:tcBorders>
            <w:shd w:val="clear" w:color="auto" w:fill="auto"/>
            <w:hideMark/>
          </w:tcPr>
          <w:p w14:paraId="2D7FF5C7" w14:textId="5B20A829"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 xml:space="preserve">To evaluate the Unplanned Re-admission prevention by Geriatric Emergency Network for Transitional care’ care model </w:t>
            </w:r>
          </w:p>
        </w:tc>
        <w:tc>
          <w:tcPr>
            <w:tcW w:w="3031" w:type="dxa"/>
            <w:tcBorders>
              <w:top w:val="nil"/>
              <w:left w:val="nil"/>
              <w:bottom w:val="nil"/>
              <w:right w:val="nil"/>
            </w:tcBorders>
            <w:shd w:val="clear" w:color="auto" w:fill="auto"/>
            <w:hideMark/>
          </w:tcPr>
          <w:p w14:paraId="74B67A35" w14:textId="77777777" w:rsidR="004B049F" w:rsidRPr="00971B49"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971B49">
              <w:rPr>
                <w:rFonts w:ascii="Calibri" w:eastAsia="Times New Roman" w:hAnsi="Calibri" w:cs="Calibri"/>
                <w:b/>
                <w:bCs/>
                <w:color w:val="000000"/>
                <w:kern w:val="0"/>
                <w:sz w:val="16"/>
                <w:szCs w:val="16"/>
                <w:lang w:eastAsia="en-AU"/>
                <w14:ligatures w14:val="none"/>
              </w:rPr>
              <w:t>General assessment and multi-faceted care coordination to reduce avoidable hospital admissions and/or LOS and/or improve ED flow</w:t>
            </w:r>
          </w:p>
          <w:p w14:paraId="2104A33E" w14:textId="488931AA"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 xml:space="preserve">Patients at risk identified through screening, those stratified as high risk or identified as needing it, offered </w:t>
            </w:r>
            <w:r>
              <w:rPr>
                <w:rFonts w:ascii="Calibri" w:eastAsia="Times New Roman" w:hAnsi="Calibri" w:cs="Calibri"/>
                <w:color w:val="000000"/>
                <w:kern w:val="0"/>
                <w:sz w:val="16"/>
                <w:szCs w:val="16"/>
                <w:lang w:eastAsia="en-AU"/>
                <w14:ligatures w14:val="none"/>
              </w:rPr>
              <w:t>CGA</w:t>
            </w:r>
            <w:r w:rsidRPr="007F1A6A">
              <w:rPr>
                <w:rFonts w:ascii="Calibri" w:eastAsia="Times New Roman" w:hAnsi="Calibri" w:cs="Calibri"/>
                <w:color w:val="000000"/>
                <w:kern w:val="0"/>
                <w:sz w:val="16"/>
                <w:szCs w:val="16"/>
                <w:lang w:eastAsia="en-AU"/>
                <w14:ligatures w14:val="none"/>
              </w:rPr>
              <w:t xml:space="preserve"> to develop a coordinated and integrated plan for treatment and long-term geriatric follow-up, community case management</w:t>
            </w:r>
          </w:p>
        </w:tc>
        <w:tc>
          <w:tcPr>
            <w:tcW w:w="1128" w:type="dxa"/>
            <w:tcBorders>
              <w:top w:val="nil"/>
              <w:left w:val="nil"/>
              <w:bottom w:val="nil"/>
              <w:right w:val="nil"/>
            </w:tcBorders>
            <w:shd w:val="clear" w:color="auto" w:fill="auto"/>
            <w:hideMark/>
          </w:tcPr>
          <w:p w14:paraId="49F75418"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w:t>
            </w:r>
          </w:p>
        </w:tc>
        <w:tc>
          <w:tcPr>
            <w:tcW w:w="1389" w:type="dxa"/>
            <w:tcBorders>
              <w:top w:val="nil"/>
              <w:left w:val="nil"/>
              <w:bottom w:val="nil"/>
              <w:right w:val="nil"/>
            </w:tcBorders>
            <w:shd w:val="clear" w:color="auto" w:fill="auto"/>
            <w:hideMark/>
          </w:tcPr>
          <w:p w14:paraId="3061FD01"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886</w:t>
            </w:r>
          </w:p>
        </w:tc>
        <w:tc>
          <w:tcPr>
            <w:tcW w:w="1119" w:type="dxa"/>
            <w:tcBorders>
              <w:top w:val="nil"/>
              <w:left w:val="nil"/>
              <w:bottom w:val="nil"/>
              <w:right w:val="nil"/>
            </w:tcBorders>
            <w:shd w:val="clear" w:color="auto" w:fill="auto"/>
            <w:hideMark/>
          </w:tcPr>
          <w:p w14:paraId="3A33D280"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794</w:t>
            </w:r>
          </w:p>
        </w:tc>
        <w:tc>
          <w:tcPr>
            <w:tcW w:w="1135" w:type="dxa"/>
            <w:tcBorders>
              <w:top w:val="nil"/>
              <w:left w:val="nil"/>
              <w:bottom w:val="nil"/>
              <w:right w:val="nil"/>
            </w:tcBorders>
            <w:shd w:val="clear" w:color="auto" w:fill="auto"/>
            <w:hideMark/>
          </w:tcPr>
          <w:p w14:paraId="711F48BF" w14:textId="0FB71996"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Quasi-experimental</w:t>
            </w:r>
          </w:p>
        </w:tc>
        <w:tc>
          <w:tcPr>
            <w:tcW w:w="1128" w:type="dxa"/>
            <w:tcBorders>
              <w:top w:val="nil"/>
              <w:left w:val="nil"/>
              <w:bottom w:val="nil"/>
              <w:right w:val="nil"/>
            </w:tcBorders>
            <w:shd w:val="clear" w:color="auto" w:fill="auto"/>
            <w:hideMark/>
          </w:tcPr>
          <w:p w14:paraId="5836B5D4" w14:textId="18AE598D"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A07F99">
              <w:rPr>
                <w:rFonts w:ascii="Calibri" w:eastAsia="Times New Roman" w:hAnsi="Calibri" w:cs="Calibri"/>
                <w:kern w:val="0"/>
                <w:sz w:val="16"/>
                <w:szCs w:val="16"/>
                <w:lang w:eastAsia="en-AU"/>
                <w14:ligatures w14:val="none"/>
              </w:rPr>
              <w:t>System performance Patient outcomes</w:t>
            </w:r>
          </w:p>
        </w:tc>
      </w:tr>
      <w:tr w:rsidR="004B049F" w:rsidRPr="00E821F3" w14:paraId="2E30A212" w14:textId="77777777" w:rsidTr="00143566">
        <w:trPr>
          <w:cantSplit/>
          <w:trHeight w:val="567"/>
        </w:trPr>
        <w:tc>
          <w:tcPr>
            <w:tcW w:w="1313" w:type="dxa"/>
            <w:tcBorders>
              <w:top w:val="nil"/>
              <w:left w:val="nil"/>
              <w:bottom w:val="nil"/>
              <w:right w:val="nil"/>
            </w:tcBorders>
            <w:shd w:val="clear" w:color="000000" w:fill="FFFFFF"/>
            <w:noWrap/>
            <w:hideMark/>
          </w:tcPr>
          <w:p w14:paraId="2646B2AA" w14:textId="140872EF"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4B049F">
              <w:rPr>
                <w:sz w:val="16"/>
                <w:szCs w:val="16"/>
              </w:rPr>
              <w:t>Hogan et al., 2016, USA</w:t>
            </w:r>
          </w:p>
        </w:tc>
        <w:tc>
          <w:tcPr>
            <w:tcW w:w="1525" w:type="dxa"/>
            <w:tcBorders>
              <w:top w:val="nil"/>
              <w:left w:val="nil"/>
              <w:bottom w:val="nil"/>
              <w:right w:val="nil"/>
            </w:tcBorders>
            <w:shd w:val="clear" w:color="000000" w:fill="FFFFFF"/>
          </w:tcPr>
          <w:p w14:paraId="6C46212A" w14:textId="2F852FA1"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Pain</w:t>
            </w:r>
          </w:p>
        </w:tc>
        <w:tc>
          <w:tcPr>
            <w:tcW w:w="2688" w:type="dxa"/>
            <w:tcBorders>
              <w:top w:val="nil"/>
              <w:left w:val="nil"/>
              <w:bottom w:val="nil"/>
              <w:right w:val="nil"/>
            </w:tcBorders>
            <w:shd w:val="clear" w:color="000000" w:fill="FFFFFF"/>
            <w:hideMark/>
          </w:tcPr>
          <w:p w14:paraId="2FA4E96F" w14:textId="33547C1F"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 xml:space="preserve">To assess the effectiveness of an education and quality improvement program for management of pain in older adults in the ED. </w:t>
            </w:r>
          </w:p>
        </w:tc>
        <w:tc>
          <w:tcPr>
            <w:tcW w:w="3031" w:type="dxa"/>
            <w:tcBorders>
              <w:top w:val="nil"/>
              <w:left w:val="nil"/>
              <w:bottom w:val="nil"/>
              <w:right w:val="nil"/>
            </w:tcBorders>
            <w:shd w:val="clear" w:color="000000" w:fill="FFFFFF"/>
            <w:hideMark/>
          </w:tcPr>
          <w:p w14:paraId="0A0415BE" w14:textId="59C2DA89" w:rsidR="004B049F" w:rsidRPr="00C92D39"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C92D39">
              <w:rPr>
                <w:rFonts w:eastAsia="Times New Roman" w:cstheme="minorHAnsi"/>
                <w:b/>
                <w:bCs/>
                <w:color w:val="000000"/>
                <w:kern w:val="0"/>
                <w:sz w:val="16"/>
                <w:szCs w:val="16"/>
                <w:lang w:eastAsia="en-AU"/>
                <w14:ligatures w14:val="none"/>
              </w:rPr>
              <w:t>Assessment and management of pain</w:t>
            </w:r>
          </w:p>
          <w:p w14:paraId="649C261C" w14:textId="37D5394D"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Linked education, EMR tools, and quality improvement techniques, emphasizing how ED staff performance would be measured and expected performance targets.</w:t>
            </w:r>
          </w:p>
        </w:tc>
        <w:tc>
          <w:tcPr>
            <w:tcW w:w="1128" w:type="dxa"/>
            <w:tcBorders>
              <w:top w:val="nil"/>
              <w:left w:val="nil"/>
              <w:bottom w:val="nil"/>
              <w:right w:val="nil"/>
            </w:tcBorders>
            <w:shd w:val="clear" w:color="000000" w:fill="FFFFFF"/>
            <w:hideMark/>
          </w:tcPr>
          <w:p w14:paraId="556EDCE5"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w:t>
            </w:r>
          </w:p>
        </w:tc>
        <w:tc>
          <w:tcPr>
            <w:tcW w:w="1389" w:type="dxa"/>
            <w:tcBorders>
              <w:top w:val="nil"/>
              <w:left w:val="nil"/>
              <w:bottom w:val="nil"/>
              <w:right w:val="nil"/>
            </w:tcBorders>
            <w:shd w:val="clear" w:color="000000" w:fill="FFFFFF"/>
            <w:hideMark/>
          </w:tcPr>
          <w:p w14:paraId="191D21BF"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343</w:t>
            </w:r>
          </w:p>
        </w:tc>
        <w:tc>
          <w:tcPr>
            <w:tcW w:w="1119" w:type="dxa"/>
            <w:tcBorders>
              <w:top w:val="nil"/>
              <w:left w:val="nil"/>
              <w:bottom w:val="nil"/>
              <w:right w:val="nil"/>
            </w:tcBorders>
            <w:shd w:val="clear" w:color="000000" w:fill="FFFFFF"/>
            <w:hideMark/>
          </w:tcPr>
          <w:p w14:paraId="0DA46D16"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499</w:t>
            </w:r>
          </w:p>
        </w:tc>
        <w:tc>
          <w:tcPr>
            <w:tcW w:w="1135" w:type="dxa"/>
            <w:tcBorders>
              <w:top w:val="nil"/>
              <w:left w:val="nil"/>
              <w:bottom w:val="nil"/>
              <w:right w:val="nil"/>
            </w:tcBorders>
            <w:shd w:val="clear" w:color="000000" w:fill="FFFFFF"/>
            <w:hideMark/>
          </w:tcPr>
          <w:p w14:paraId="77F9B084" w14:textId="2AFB5D51"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Pre-post</w:t>
            </w:r>
          </w:p>
        </w:tc>
        <w:tc>
          <w:tcPr>
            <w:tcW w:w="1128" w:type="dxa"/>
            <w:tcBorders>
              <w:top w:val="nil"/>
              <w:left w:val="nil"/>
              <w:bottom w:val="nil"/>
              <w:right w:val="nil"/>
            </w:tcBorders>
            <w:shd w:val="clear" w:color="000000" w:fill="FFFFFF"/>
            <w:hideMark/>
          </w:tcPr>
          <w:p w14:paraId="40F5BBC1" w14:textId="7D4B9522"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A07F99">
              <w:rPr>
                <w:rFonts w:ascii="Calibri" w:eastAsia="Times New Roman" w:hAnsi="Calibri" w:cs="Calibri"/>
                <w:kern w:val="0"/>
                <w:sz w:val="16"/>
                <w:szCs w:val="16"/>
                <w:lang w:eastAsia="en-AU"/>
                <w14:ligatures w14:val="none"/>
              </w:rPr>
              <w:t>System performance Patient outcomes</w:t>
            </w:r>
          </w:p>
        </w:tc>
      </w:tr>
      <w:tr w:rsidR="004B049F" w:rsidRPr="00E821F3" w14:paraId="50B5815E" w14:textId="77777777" w:rsidTr="00143566">
        <w:trPr>
          <w:cantSplit/>
          <w:trHeight w:val="567"/>
        </w:trPr>
        <w:tc>
          <w:tcPr>
            <w:tcW w:w="1313" w:type="dxa"/>
            <w:tcBorders>
              <w:top w:val="nil"/>
              <w:left w:val="nil"/>
              <w:bottom w:val="nil"/>
              <w:right w:val="nil"/>
            </w:tcBorders>
            <w:shd w:val="clear" w:color="000000" w:fill="FFFFFF"/>
            <w:noWrap/>
            <w:hideMark/>
          </w:tcPr>
          <w:p w14:paraId="1AC666E8" w14:textId="35F05C91"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proofErr w:type="spellStart"/>
            <w:r w:rsidRPr="004B049F">
              <w:rPr>
                <w:sz w:val="16"/>
                <w:szCs w:val="16"/>
              </w:rPr>
              <w:t>Huded</w:t>
            </w:r>
            <w:proofErr w:type="spellEnd"/>
            <w:r w:rsidRPr="004B049F">
              <w:rPr>
                <w:sz w:val="16"/>
                <w:szCs w:val="16"/>
              </w:rPr>
              <w:t xml:space="preserve"> et al., 2022, USA</w:t>
            </w:r>
          </w:p>
        </w:tc>
        <w:tc>
          <w:tcPr>
            <w:tcW w:w="1525" w:type="dxa"/>
            <w:tcBorders>
              <w:top w:val="nil"/>
              <w:left w:val="nil"/>
              <w:bottom w:val="nil"/>
              <w:right w:val="nil"/>
            </w:tcBorders>
            <w:shd w:val="clear" w:color="000000" w:fill="FFFFFF"/>
          </w:tcPr>
          <w:p w14:paraId="07D66369" w14:textId="77777777"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p>
        </w:tc>
        <w:tc>
          <w:tcPr>
            <w:tcW w:w="2688" w:type="dxa"/>
            <w:tcBorders>
              <w:top w:val="nil"/>
              <w:left w:val="nil"/>
              <w:bottom w:val="nil"/>
              <w:right w:val="nil"/>
            </w:tcBorders>
            <w:shd w:val="clear" w:color="000000" w:fill="FFFFFF"/>
            <w:hideMark/>
          </w:tcPr>
          <w:p w14:paraId="207C7145" w14:textId="3D6286B3"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To describe the outcomes of</w:t>
            </w:r>
            <w:r>
              <w:rPr>
                <w:rFonts w:ascii="Calibri" w:eastAsia="Times New Roman" w:hAnsi="Calibri" w:cs="Calibri"/>
                <w:color w:val="000000"/>
                <w:kern w:val="0"/>
                <w:sz w:val="16"/>
                <w:szCs w:val="16"/>
                <w:lang w:eastAsia="en-AU"/>
                <w14:ligatures w14:val="none"/>
              </w:rPr>
              <w:t xml:space="preserve"> </w:t>
            </w:r>
            <w:r w:rsidRPr="00134F8A">
              <w:rPr>
                <w:rFonts w:ascii="Calibri" w:eastAsia="Times New Roman" w:hAnsi="Calibri" w:cs="Calibri"/>
                <w:color w:val="000000"/>
                <w:kern w:val="0"/>
                <w:sz w:val="16"/>
                <w:szCs w:val="16"/>
                <w:lang w:eastAsia="en-AU"/>
                <w14:ligatures w14:val="none"/>
              </w:rPr>
              <w:t>GERI-VET</w:t>
            </w:r>
            <w:r w:rsidRPr="007F1A6A">
              <w:rPr>
                <w:rFonts w:ascii="Calibri" w:eastAsia="Times New Roman" w:hAnsi="Calibri" w:cs="Calibri"/>
                <w:color w:val="000000"/>
                <w:kern w:val="0"/>
                <w:sz w:val="16"/>
                <w:szCs w:val="16"/>
                <w:lang w:eastAsia="en-AU"/>
                <w14:ligatures w14:val="none"/>
              </w:rPr>
              <w:t>, the first comprehensive Veterans Affairs Geriatric ED program</w:t>
            </w:r>
          </w:p>
        </w:tc>
        <w:tc>
          <w:tcPr>
            <w:tcW w:w="3031" w:type="dxa"/>
            <w:tcBorders>
              <w:top w:val="nil"/>
              <w:left w:val="nil"/>
              <w:bottom w:val="nil"/>
              <w:right w:val="nil"/>
            </w:tcBorders>
            <w:shd w:val="clear" w:color="000000" w:fill="FFFFFF"/>
            <w:hideMark/>
          </w:tcPr>
          <w:p w14:paraId="08928322" w14:textId="77BD745C" w:rsidR="004B049F" w:rsidRPr="00C94F4C"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C94F4C">
              <w:rPr>
                <w:rFonts w:ascii="Calibri" w:eastAsia="Times New Roman" w:hAnsi="Calibri" w:cs="Calibri"/>
                <w:b/>
                <w:bCs/>
                <w:color w:val="000000"/>
                <w:kern w:val="0"/>
                <w:sz w:val="16"/>
                <w:szCs w:val="16"/>
                <w:lang w:eastAsia="en-AU"/>
                <w14:ligatures w14:val="none"/>
              </w:rPr>
              <w:t>General assessment and multi-faceted care coordination to better address patient needs</w:t>
            </w:r>
          </w:p>
          <w:p w14:paraId="611234EA" w14:textId="75966DC6"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GERI</w:t>
            </w:r>
            <w:r w:rsidR="00E276DE">
              <w:rPr>
                <w:rFonts w:ascii="Calibri" w:eastAsia="Times New Roman" w:hAnsi="Calibri" w:cs="Calibri"/>
                <w:color w:val="000000"/>
                <w:kern w:val="0"/>
                <w:sz w:val="16"/>
                <w:szCs w:val="16"/>
                <w:lang w:eastAsia="en-AU"/>
                <w14:ligatures w14:val="none"/>
              </w:rPr>
              <w:t>-</w:t>
            </w:r>
            <w:r w:rsidRPr="007F1A6A">
              <w:rPr>
                <w:rFonts w:ascii="Calibri" w:eastAsia="Times New Roman" w:hAnsi="Calibri" w:cs="Calibri"/>
                <w:color w:val="000000"/>
                <w:kern w:val="0"/>
                <w:sz w:val="16"/>
                <w:szCs w:val="16"/>
                <w:lang w:eastAsia="en-AU"/>
                <w14:ligatures w14:val="none"/>
              </w:rPr>
              <w:t>VET was designed to identify at-risk older Veterans in the ED, screen for geriatric syndromes, facilitate referrals to aging-friendly resources within and beyond the ED, and assist in care transitions. ED staff performing GERI-VET assessments received education and training as part of the program, equipping them to provide aging-centric care.</w:t>
            </w:r>
          </w:p>
        </w:tc>
        <w:tc>
          <w:tcPr>
            <w:tcW w:w="1128" w:type="dxa"/>
            <w:tcBorders>
              <w:top w:val="nil"/>
              <w:left w:val="nil"/>
              <w:bottom w:val="nil"/>
              <w:right w:val="nil"/>
            </w:tcBorders>
            <w:shd w:val="clear" w:color="000000" w:fill="FFFFFF"/>
            <w:hideMark/>
          </w:tcPr>
          <w:p w14:paraId="1284CE7A"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w:t>
            </w:r>
          </w:p>
        </w:tc>
        <w:tc>
          <w:tcPr>
            <w:tcW w:w="1389" w:type="dxa"/>
            <w:tcBorders>
              <w:top w:val="nil"/>
              <w:left w:val="nil"/>
              <w:bottom w:val="nil"/>
              <w:right w:val="nil"/>
            </w:tcBorders>
            <w:shd w:val="clear" w:color="000000" w:fill="FFFFFF"/>
            <w:hideMark/>
          </w:tcPr>
          <w:p w14:paraId="0BF1CD27"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725</w:t>
            </w:r>
          </w:p>
        </w:tc>
        <w:tc>
          <w:tcPr>
            <w:tcW w:w="1119" w:type="dxa"/>
            <w:tcBorders>
              <w:top w:val="nil"/>
              <w:left w:val="nil"/>
              <w:bottom w:val="nil"/>
              <w:right w:val="nil"/>
            </w:tcBorders>
            <w:shd w:val="clear" w:color="000000" w:fill="FFFFFF"/>
            <w:hideMark/>
          </w:tcPr>
          <w:p w14:paraId="565818CC"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725</w:t>
            </w:r>
          </w:p>
        </w:tc>
        <w:tc>
          <w:tcPr>
            <w:tcW w:w="1135" w:type="dxa"/>
            <w:tcBorders>
              <w:top w:val="nil"/>
              <w:left w:val="nil"/>
              <w:bottom w:val="nil"/>
              <w:right w:val="nil"/>
            </w:tcBorders>
            <w:shd w:val="clear" w:color="000000" w:fill="FFFFFF"/>
            <w:hideMark/>
          </w:tcPr>
          <w:p w14:paraId="0CBC3CD4" w14:textId="12B8D876" w:rsidR="004B049F" w:rsidRPr="007F1A6A" w:rsidRDefault="003B674A"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Quasi-experimental</w:t>
            </w:r>
          </w:p>
        </w:tc>
        <w:tc>
          <w:tcPr>
            <w:tcW w:w="1128" w:type="dxa"/>
            <w:tcBorders>
              <w:top w:val="nil"/>
              <w:left w:val="nil"/>
              <w:bottom w:val="nil"/>
              <w:right w:val="nil"/>
            </w:tcBorders>
            <w:shd w:val="clear" w:color="000000" w:fill="FFFFFF"/>
            <w:hideMark/>
          </w:tcPr>
          <w:p w14:paraId="2C764804" w14:textId="78199447"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A07F99">
              <w:rPr>
                <w:rFonts w:ascii="Calibri" w:eastAsia="Times New Roman" w:hAnsi="Calibri" w:cs="Calibri"/>
                <w:kern w:val="0"/>
                <w:sz w:val="16"/>
                <w:szCs w:val="16"/>
                <w:lang w:eastAsia="en-AU"/>
                <w14:ligatures w14:val="none"/>
              </w:rPr>
              <w:t>System performance Patient outcomes</w:t>
            </w:r>
          </w:p>
        </w:tc>
      </w:tr>
      <w:tr w:rsidR="004B049F" w:rsidRPr="00E821F3" w14:paraId="2FA9E179" w14:textId="77777777" w:rsidTr="00143566">
        <w:trPr>
          <w:cantSplit/>
          <w:trHeight w:val="567"/>
        </w:trPr>
        <w:tc>
          <w:tcPr>
            <w:tcW w:w="1313" w:type="dxa"/>
            <w:tcBorders>
              <w:top w:val="nil"/>
              <w:left w:val="nil"/>
              <w:bottom w:val="nil"/>
              <w:right w:val="nil"/>
            </w:tcBorders>
            <w:shd w:val="clear" w:color="000000" w:fill="FFFFFF"/>
            <w:noWrap/>
            <w:hideMark/>
          </w:tcPr>
          <w:p w14:paraId="5E30CAAA" w14:textId="074D1C29"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proofErr w:type="spellStart"/>
            <w:r w:rsidRPr="004B049F">
              <w:rPr>
                <w:sz w:val="16"/>
                <w:szCs w:val="16"/>
              </w:rPr>
              <w:lastRenderedPageBreak/>
              <w:t>Hullick</w:t>
            </w:r>
            <w:proofErr w:type="spellEnd"/>
            <w:r w:rsidRPr="004B049F">
              <w:rPr>
                <w:sz w:val="16"/>
                <w:szCs w:val="16"/>
              </w:rPr>
              <w:t xml:space="preserve"> et al., 2018, Australia</w:t>
            </w:r>
          </w:p>
        </w:tc>
        <w:tc>
          <w:tcPr>
            <w:tcW w:w="1525" w:type="dxa"/>
            <w:tcBorders>
              <w:top w:val="nil"/>
              <w:left w:val="nil"/>
              <w:bottom w:val="nil"/>
              <w:right w:val="nil"/>
            </w:tcBorders>
            <w:shd w:val="clear" w:color="000000" w:fill="FFFFFF"/>
          </w:tcPr>
          <w:p w14:paraId="5343B828" w14:textId="2380F01B"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Delirium</w:t>
            </w:r>
          </w:p>
        </w:tc>
        <w:tc>
          <w:tcPr>
            <w:tcW w:w="2688" w:type="dxa"/>
            <w:tcBorders>
              <w:top w:val="nil"/>
              <w:left w:val="nil"/>
              <w:bottom w:val="nil"/>
              <w:right w:val="nil"/>
            </w:tcBorders>
            <w:shd w:val="clear" w:color="000000" w:fill="FFFFFF"/>
            <w:hideMark/>
          </w:tcPr>
          <w:p w14:paraId="58B875E8" w14:textId="03B543AF"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 xml:space="preserve">This study aimed to determine whether an assistant workforce in the ED could effectively conduct screening to inform assessment and care planning for </w:t>
            </w:r>
            <w:r w:rsidR="00260D46">
              <w:rPr>
                <w:rFonts w:ascii="Calibri" w:eastAsia="Times New Roman" w:hAnsi="Calibri" w:cs="Calibri"/>
                <w:color w:val="000000"/>
                <w:kern w:val="0"/>
                <w:sz w:val="16"/>
                <w:szCs w:val="16"/>
                <w:lang w:eastAsia="en-AU"/>
                <w14:ligatures w14:val="none"/>
              </w:rPr>
              <w:t>older adults</w:t>
            </w:r>
            <w:r w:rsidRPr="007F1A6A">
              <w:rPr>
                <w:rFonts w:ascii="Calibri" w:eastAsia="Times New Roman" w:hAnsi="Calibri" w:cs="Calibri"/>
                <w:color w:val="000000"/>
                <w:kern w:val="0"/>
                <w:sz w:val="16"/>
                <w:szCs w:val="16"/>
                <w:lang w:eastAsia="en-AU"/>
                <w14:ligatures w14:val="none"/>
              </w:rPr>
              <w:t xml:space="preserve"> as well as enhance supportive care activities for prevention of delirium.</w:t>
            </w:r>
          </w:p>
        </w:tc>
        <w:tc>
          <w:tcPr>
            <w:tcW w:w="3031" w:type="dxa"/>
            <w:tcBorders>
              <w:top w:val="nil"/>
              <w:left w:val="nil"/>
              <w:bottom w:val="nil"/>
              <w:right w:val="nil"/>
            </w:tcBorders>
            <w:shd w:val="clear" w:color="000000" w:fill="FFFFFF"/>
            <w:hideMark/>
          </w:tcPr>
          <w:p w14:paraId="3FDE22E5" w14:textId="77777777" w:rsidR="004B049F" w:rsidRPr="00C94F4C"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C94F4C">
              <w:rPr>
                <w:rFonts w:ascii="Calibri" w:eastAsia="Times New Roman" w:hAnsi="Calibri" w:cs="Calibri"/>
                <w:b/>
                <w:bCs/>
                <w:color w:val="000000"/>
                <w:kern w:val="0"/>
                <w:sz w:val="16"/>
                <w:szCs w:val="16"/>
                <w:lang w:eastAsia="en-AU"/>
                <w14:ligatures w14:val="none"/>
              </w:rPr>
              <w:t>General assessment and multi-faceted care coordination to better address patient needs</w:t>
            </w:r>
          </w:p>
          <w:p w14:paraId="37902E42" w14:textId="68C8A0A2"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Four full time equivalent OPTAs working 8 h shifts between 8 am to 8 pm in the ED, 7 days a week for 12 months. OPTAs focused on screening and the supportive care of people over the age of 75 years who were not experiencing life threatening situations.</w:t>
            </w:r>
          </w:p>
        </w:tc>
        <w:tc>
          <w:tcPr>
            <w:tcW w:w="1128" w:type="dxa"/>
            <w:tcBorders>
              <w:top w:val="nil"/>
              <w:left w:val="nil"/>
              <w:bottom w:val="nil"/>
              <w:right w:val="nil"/>
            </w:tcBorders>
            <w:shd w:val="clear" w:color="000000" w:fill="FFFFFF"/>
            <w:hideMark/>
          </w:tcPr>
          <w:p w14:paraId="314B5FD0"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w:t>
            </w:r>
          </w:p>
        </w:tc>
        <w:tc>
          <w:tcPr>
            <w:tcW w:w="1389" w:type="dxa"/>
            <w:tcBorders>
              <w:top w:val="nil"/>
              <w:left w:val="nil"/>
              <w:bottom w:val="nil"/>
              <w:right w:val="nil"/>
            </w:tcBorders>
            <w:shd w:val="clear" w:color="000000" w:fill="FFFFFF"/>
            <w:hideMark/>
          </w:tcPr>
          <w:p w14:paraId="33A76D21" w14:textId="6BFB7E45"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3</w:t>
            </w:r>
            <w:r>
              <w:rPr>
                <w:rFonts w:ascii="Calibri" w:eastAsia="Times New Roman" w:hAnsi="Calibri" w:cs="Calibri"/>
                <w:color w:val="000000"/>
                <w:kern w:val="0"/>
                <w:sz w:val="16"/>
                <w:szCs w:val="16"/>
                <w:lang w:eastAsia="en-AU"/>
                <w14:ligatures w14:val="none"/>
              </w:rPr>
              <w:t>,</w:t>
            </w:r>
            <w:r w:rsidRPr="007F1A6A">
              <w:rPr>
                <w:rFonts w:ascii="Calibri" w:eastAsia="Times New Roman" w:hAnsi="Calibri" w:cs="Calibri"/>
                <w:color w:val="000000"/>
                <w:kern w:val="0"/>
                <w:sz w:val="16"/>
                <w:szCs w:val="16"/>
                <w:lang w:eastAsia="en-AU"/>
                <w14:ligatures w14:val="none"/>
              </w:rPr>
              <w:t>542</w:t>
            </w:r>
          </w:p>
        </w:tc>
        <w:tc>
          <w:tcPr>
            <w:tcW w:w="1119" w:type="dxa"/>
            <w:tcBorders>
              <w:top w:val="nil"/>
              <w:left w:val="nil"/>
              <w:bottom w:val="nil"/>
              <w:right w:val="nil"/>
            </w:tcBorders>
            <w:shd w:val="clear" w:color="000000" w:fill="FFFFFF"/>
            <w:hideMark/>
          </w:tcPr>
          <w:p w14:paraId="3912582A" w14:textId="7C6FE6F0"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8</w:t>
            </w:r>
            <w:r>
              <w:rPr>
                <w:rFonts w:ascii="Calibri" w:eastAsia="Times New Roman" w:hAnsi="Calibri" w:cs="Calibri"/>
                <w:color w:val="000000"/>
                <w:kern w:val="0"/>
                <w:sz w:val="16"/>
                <w:szCs w:val="16"/>
                <w:lang w:eastAsia="en-AU"/>
                <w14:ligatures w14:val="none"/>
              </w:rPr>
              <w:t>,</w:t>
            </w:r>
            <w:r w:rsidRPr="007F1A6A">
              <w:rPr>
                <w:rFonts w:ascii="Calibri" w:eastAsia="Times New Roman" w:hAnsi="Calibri" w:cs="Calibri"/>
                <w:color w:val="000000"/>
                <w:kern w:val="0"/>
                <w:sz w:val="16"/>
                <w:szCs w:val="16"/>
                <w:lang w:eastAsia="en-AU"/>
                <w14:ligatures w14:val="none"/>
              </w:rPr>
              <w:t>455</w:t>
            </w:r>
          </w:p>
        </w:tc>
        <w:tc>
          <w:tcPr>
            <w:tcW w:w="1135" w:type="dxa"/>
            <w:tcBorders>
              <w:top w:val="nil"/>
              <w:left w:val="nil"/>
              <w:bottom w:val="nil"/>
              <w:right w:val="nil"/>
            </w:tcBorders>
            <w:shd w:val="clear" w:color="000000" w:fill="FFFFFF"/>
            <w:hideMark/>
          </w:tcPr>
          <w:p w14:paraId="0FCD208C" w14:textId="688987CF"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Pre-post</w:t>
            </w:r>
          </w:p>
        </w:tc>
        <w:tc>
          <w:tcPr>
            <w:tcW w:w="1128" w:type="dxa"/>
            <w:tcBorders>
              <w:top w:val="nil"/>
              <w:left w:val="nil"/>
              <w:bottom w:val="nil"/>
              <w:right w:val="nil"/>
            </w:tcBorders>
            <w:shd w:val="clear" w:color="000000" w:fill="FFFFFF"/>
            <w:hideMark/>
          </w:tcPr>
          <w:p w14:paraId="4B6653CE" w14:textId="144028F4"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A07F99">
              <w:rPr>
                <w:rFonts w:ascii="Calibri" w:eastAsia="Times New Roman" w:hAnsi="Calibri" w:cs="Calibri"/>
                <w:kern w:val="0"/>
                <w:sz w:val="16"/>
                <w:szCs w:val="16"/>
                <w:lang w:eastAsia="en-AU"/>
                <w14:ligatures w14:val="none"/>
              </w:rPr>
              <w:t>System performance Patient outcomes</w:t>
            </w:r>
            <w:r w:rsidRPr="007F1A6A">
              <w:rPr>
                <w:rFonts w:ascii="Calibri" w:eastAsia="Times New Roman" w:hAnsi="Calibri" w:cs="Calibri"/>
                <w:color w:val="000000"/>
                <w:kern w:val="0"/>
                <w:sz w:val="16"/>
                <w:szCs w:val="16"/>
                <w:lang w:eastAsia="en-AU"/>
                <w14:ligatures w14:val="none"/>
              </w:rPr>
              <w:t xml:space="preserve"> </w:t>
            </w:r>
            <w:r>
              <w:rPr>
                <w:rFonts w:ascii="Calibri" w:eastAsia="Times New Roman" w:hAnsi="Calibri" w:cs="Calibri"/>
                <w:color w:val="000000"/>
                <w:kern w:val="0"/>
                <w:sz w:val="16"/>
                <w:szCs w:val="16"/>
                <w:lang w:eastAsia="en-AU"/>
                <w14:ligatures w14:val="none"/>
              </w:rPr>
              <w:t>P</w:t>
            </w:r>
            <w:r w:rsidRPr="007F1A6A">
              <w:rPr>
                <w:rFonts w:ascii="Calibri" w:eastAsia="Times New Roman" w:hAnsi="Calibri" w:cs="Calibri"/>
                <w:color w:val="000000"/>
                <w:kern w:val="0"/>
                <w:sz w:val="16"/>
                <w:szCs w:val="16"/>
                <w:lang w:eastAsia="en-AU"/>
                <w14:ligatures w14:val="none"/>
              </w:rPr>
              <w:t xml:space="preserve">atient experience </w:t>
            </w:r>
            <w:r>
              <w:rPr>
                <w:rFonts w:ascii="Calibri" w:eastAsia="Times New Roman" w:hAnsi="Calibri" w:cs="Calibri"/>
                <w:color w:val="000000"/>
                <w:kern w:val="0"/>
                <w:sz w:val="16"/>
                <w:szCs w:val="16"/>
                <w:lang w:eastAsia="en-AU"/>
                <w14:ligatures w14:val="none"/>
              </w:rPr>
              <w:t>S</w:t>
            </w:r>
            <w:r w:rsidRPr="007F1A6A">
              <w:rPr>
                <w:rFonts w:ascii="Calibri" w:eastAsia="Times New Roman" w:hAnsi="Calibri" w:cs="Calibri"/>
                <w:color w:val="000000"/>
                <w:kern w:val="0"/>
                <w:sz w:val="16"/>
                <w:szCs w:val="16"/>
                <w:lang w:eastAsia="en-AU"/>
                <w14:ligatures w14:val="none"/>
              </w:rPr>
              <w:t>taff experience</w:t>
            </w:r>
          </w:p>
        </w:tc>
      </w:tr>
      <w:tr w:rsidR="004B049F" w:rsidRPr="00E821F3" w14:paraId="40BC5209" w14:textId="77777777" w:rsidTr="00143566">
        <w:trPr>
          <w:cantSplit/>
          <w:trHeight w:val="567"/>
        </w:trPr>
        <w:tc>
          <w:tcPr>
            <w:tcW w:w="1313" w:type="dxa"/>
            <w:tcBorders>
              <w:top w:val="nil"/>
              <w:left w:val="nil"/>
              <w:bottom w:val="nil"/>
              <w:right w:val="nil"/>
            </w:tcBorders>
            <w:shd w:val="clear" w:color="000000" w:fill="FFFFFF"/>
            <w:noWrap/>
            <w:hideMark/>
          </w:tcPr>
          <w:p w14:paraId="233BBE6B" w14:textId="4854B80A"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4B049F">
              <w:rPr>
                <w:sz w:val="16"/>
                <w:szCs w:val="16"/>
              </w:rPr>
              <w:t>Keene et al., 2022, USA</w:t>
            </w:r>
          </w:p>
        </w:tc>
        <w:tc>
          <w:tcPr>
            <w:tcW w:w="1525" w:type="dxa"/>
            <w:tcBorders>
              <w:top w:val="nil"/>
              <w:left w:val="nil"/>
              <w:bottom w:val="nil"/>
              <w:right w:val="nil"/>
            </w:tcBorders>
            <w:shd w:val="clear" w:color="000000" w:fill="FFFFFF"/>
          </w:tcPr>
          <w:p w14:paraId="18533DBC" w14:textId="248813A0"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Avoidable admissions</w:t>
            </w:r>
          </w:p>
        </w:tc>
        <w:tc>
          <w:tcPr>
            <w:tcW w:w="2688" w:type="dxa"/>
            <w:tcBorders>
              <w:top w:val="nil"/>
              <w:left w:val="nil"/>
              <w:bottom w:val="nil"/>
              <w:right w:val="nil"/>
            </w:tcBorders>
            <w:shd w:val="clear" w:color="000000" w:fill="FFFFFF"/>
            <w:hideMark/>
          </w:tcPr>
          <w:p w14:paraId="41FC46D8" w14:textId="1523C542"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To determine if assessment and intervention by a GEMA team would decrease the admission rate and reduce the hospital LOS for admitted geriatric patients.</w:t>
            </w:r>
          </w:p>
        </w:tc>
        <w:tc>
          <w:tcPr>
            <w:tcW w:w="3031" w:type="dxa"/>
            <w:tcBorders>
              <w:top w:val="nil"/>
              <w:left w:val="nil"/>
              <w:bottom w:val="nil"/>
              <w:right w:val="nil"/>
            </w:tcBorders>
            <w:shd w:val="clear" w:color="000000" w:fill="FFFFFF"/>
            <w:hideMark/>
          </w:tcPr>
          <w:p w14:paraId="65EAF0E8" w14:textId="0128DAB6" w:rsidR="004B049F" w:rsidRPr="006D3B7D"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6D3B7D">
              <w:rPr>
                <w:rFonts w:ascii="Calibri" w:eastAsia="Times New Roman" w:hAnsi="Calibri" w:cs="Calibri"/>
                <w:b/>
                <w:bCs/>
                <w:color w:val="000000"/>
                <w:kern w:val="0"/>
                <w:sz w:val="16"/>
                <w:szCs w:val="16"/>
                <w:lang w:eastAsia="en-AU"/>
                <w14:ligatures w14:val="none"/>
              </w:rPr>
              <w:t>General assessment and multi-faceted care coordination to reduce avoidable hospital admissions and/or LOS and/or improve ED flow</w:t>
            </w:r>
          </w:p>
          <w:p w14:paraId="0636B6CC" w14:textId="6F7490FB"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The GEMA team consisted of a Geriatric Emergency Medicine-trained Advance Practice Provider (either a nurse practitioner or a physician assistant) and a Geriatric Care Manager, plus a pharmacy technician and occupational therapist, as appropriate. As well as the GEMA team, additional policies and procedures were enacted</w:t>
            </w:r>
            <w:r>
              <w:rPr>
                <w:rFonts w:ascii="Calibri" w:eastAsia="Times New Roman" w:hAnsi="Calibri" w:cs="Calibri"/>
                <w:color w:val="000000"/>
                <w:kern w:val="0"/>
                <w:sz w:val="16"/>
                <w:szCs w:val="16"/>
                <w:lang w:eastAsia="en-AU"/>
                <w14:ligatures w14:val="none"/>
              </w:rPr>
              <w:t>,</w:t>
            </w:r>
            <w:r w:rsidRPr="007F1A6A">
              <w:rPr>
                <w:rFonts w:ascii="Calibri" w:eastAsia="Times New Roman" w:hAnsi="Calibri" w:cs="Calibri"/>
                <w:color w:val="000000"/>
                <w:kern w:val="0"/>
                <w:sz w:val="16"/>
                <w:szCs w:val="16"/>
                <w:lang w:eastAsia="en-AU"/>
                <w14:ligatures w14:val="none"/>
              </w:rPr>
              <w:t xml:space="preserve"> including standardi</w:t>
            </w:r>
            <w:r>
              <w:rPr>
                <w:rFonts w:ascii="Calibri" w:eastAsia="Times New Roman" w:hAnsi="Calibri" w:cs="Calibri"/>
                <w:color w:val="000000"/>
                <w:kern w:val="0"/>
                <w:sz w:val="16"/>
                <w:szCs w:val="16"/>
                <w:lang w:eastAsia="en-AU"/>
                <w14:ligatures w14:val="none"/>
              </w:rPr>
              <w:t>s</w:t>
            </w:r>
            <w:r w:rsidRPr="007F1A6A">
              <w:rPr>
                <w:rFonts w:ascii="Calibri" w:eastAsia="Times New Roman" w:hAnsi="Calibri" w:cs="Calibri"/>
                <w:color w:val="000000"/>
                <w:kern w:val="0"/>
                <w:sz w:val="16"/>
                <w:szCs w:val="16"/>
                <w:lang w:eastAsia="en-AU"/>
                <w14:ligatures w14:val="none"/>
              </w:rPr>
              <w:t xml:space="preserve">ation of discharge paperwork for geriatric patients and additional geriatric </w:t>
            </w:r>
            <w:r>
              <w:rPr>
                <w:rFonts w:ascii="Calibri" w:eastAsia="Times New Roman" w:hAnsi="Calibri" w:cs="Calibri"/>
                <w:color w:val="000000"/>
                <w:kern w:val="0"/>
                <w:sz w:val="16"/>
                <w:szCs w:val="16"/>
                <w:lang w:eastAsia="en-AU"/>
                <w14:ligatures w14:val="none"/>
              </w:rPr>
              <w:t xml:space="preserve">continuing medical education </w:t>
            </w:r>
            <w:r w:rsidRPr="007F1A6A">
              <w:rPr>
                <w:rFonts w:ascii="Calibri" w:eastAsia="Times New Roman" w:hAnsi="Calibri" w:cs="Calibri"/>
                <w:color w:val="000000"/>
                <w:kern w:val="0"/>
                <w:sz w:val="16"/>
                <w:szCs w:val="16"/>
                <w:lang w:eastAsia="en-AU"/>
                <w14:ligatures w14:val="none"/>
              </w:rPr>
              <w:t>requirement</w:t>
            </w:r>
            <w:r>
              <w:rPr>
                <w:rFonts w:ascii="Calibri" w:eastAsia="Times New Roman" w:hAnsi="Calibri" w:cs="Calibri"/>
                <w:color w:val="000000"/>
                <w:kern w:val="0"/>
                <w:sz w:val="16"/>
                <w:szCs w:val="16"/>
                <w:lang w:eastAsia="en-AU"/>
                <w14:ligatures w14:val="none"/>
              </w:rPr>
              <w:t>s</w:t>
            </w:r>
            <w:r w:rsidRPr="007F1A6A">
              <w:rPr>
                <w:rFonts w:ascii="Calibri" w:eastAsia="Times New Roman" w:hAnsi="Calibri" w:cs="Calibri"/>
                <w:color w:val="000000"/>
                <w:kern w:val="0"/>
                <w:sz w:val="16"/>
                <w:szCs w:val="16"/>
                <w:lang w:eastAsia="en-AU"/>
                <w14:ligatures w14:val="none"/>
              </w:rPr>
              <w:t xml:space="preserve"> for attending physicians and nurses</w:t>
            </w:r>
          </w:p>
        </w:tc>
        <w:tc>
          <w:tcPr>
            <w:tcW w:w="1128" w:type="dxa"/>
            <w:tcBorders>
              <w:top w:val="nil"/>
              <w:left w:val="nil"/>
              <w:bottom w:val="nil"/>
              <w:right w:val="nil"/>
            </w:tcBorders>
            <w:shd w:val="clear" w:color="000000" w:fill="FFFFFF"/>
            <w:hideMark/>
          </w:tcPr>
          <w:p w14:paraId="7C0F59EB"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w:t>
            </w:r>
          </w:p>
        </w:tc>
        <w:tc>
          <w:tcPr>
            <w:tcW w:w="1389" w:type="dxa"/>
            <w:tcBorders>
              <w:top w:val="nil"/>
              <w:left w:val="nil"/>
              <w:bottom w:val="nil"/>
              <w:right w:val="nil"/>
            </w:tcBorders>
            <w:shd w:val="clear" w:color="000000" w:fill="FFFFFF"/>
            <w:hideMark/>
          </w:tcPr>
          <w:p w14:paraId="73F973D8"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815</w:t>
            </w:r>
          </w:p>
        </w:tc>
        <w:tc>
          <w:tcPr>
            <w:tcW w:w="1119" w:type="dxa"/>
            <w:tcBorders>
              <w:top w:val="nil"/>
              <w:left w:val="nil"/>
              <w:bottom w:val="nil"/>
              <w:right w:val="nil"/>
            </w:tcBorders>
            <w:shd w:val="clear" w:color="000000" w:fill="FFFFFF"/>
            <w:hideMark/>
          </w:tcPr>
          <w:p w14:paraId="43DE1FD4"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10,875</w:t>
            </w:r>
          </w:p>
        </w:tc>
        <w:tc>
          <w:tcPr>
            <w:tcW w:w="1135" w:type="dxa"/>
            <w:tcBorders>
              <w:top w:val="nil"/>
              <w:left w:val="nil"/>
              <w:bottom w:val="nil"/>
              <w:right w:val="nil"/>
            </w:tcBorders>
            <w:shd w:val="clear" w:color="000000" w:fill="FFFFFF"/>
            <w:hideMark/>
          </w:tcPr>
          <w:p w14:paraId="3B77D352" w14:textId="00B20A07"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Case-control</w:t>
            </w:r>
          </w:p>
        </w:tc>
        <w:tc>
          <w:tcPr>
            <w:tcW w:w="1128" w:type="dxa"/>
            <w:tcBorders>
              <w:top w:val="nil"/>
              <w:left w:val="nil"/>
              <w:bottom w:val="nil"/>
              <w:right w:val="nil"/>
            </w:tcBorders>
            <w:shd w:val="clear" w:color="000000" w:fill="FFFFFF"/>
            <w:hideMark/>
          </w:tcPr>
          <w:p w14:paraId="7EF2B951" w14:textId="6AA5D7B4"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A07F99">
              <w:rPr>
                <w:rFonts w:ascii="Calibri" w:eastAsia="Times New Roman" w:hAnsi="Calibri" w:cs="Calibri"/>
                <w:kern w:val="0"/>
                <w:sz w:val="16"/>
                <w:szCs w:val="16"/>
                <w:lang w:eastAsia="en-AU"/>
                <w14:ligatures w14:val="none"/>
              </w:rPr>
              <w:t>System performance Patient outcomes</w:t>
            </w:r>
          </w:p>
        </w:tc>
      </w:tr>
      <w:tr w:rsidR="004B049F" w:rsidRPr="00E821F3" w14:paraId="1972832E" w14:textId="77777777" w:rsidTr="00143566">
        <w:trPr>
          <w:cantSplit/>
          <w:trHeight w:val="567"/>
        </w:trPr>
        <w:tc>
          <w:tcPr>
            <w:tcW w:w="1313" w:type="dxa"/>
            <w:tcBorders>
              <w:top w:val="nil"/>
              <w:left w:val="nil"/>
              <w:bottom w:val="nil"/>
              <w:right w:val="nil"/>
            </w:tcBorders>
            <w:shd w:val="clear" w:color="000000" w:fill="FFFFFF"/>
            <w:noWrap/>
            <w:hideMark/>
          </w:tcPr>
          <w:p w14:paraId="13A3F59E" w14:textId="2FB99730"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4B049F">
              <w:rPr>
                <w:sz w:val="16"/>
                <w:szCs w:val="16"/>
              </w:rPr>
              <w:t>Keyes et al., 2014, USA</w:t>
            </w:r>
          </w:p>
        </w:tc>
        <w:tc>
          <w:tcPr>
            <w:tcW w:w="1525" w:type="dxa"/>
            <w:tcBorders>
              <w:top w:val="nil"/>
              <w:left w:val="nil"/>
              <w:bottom w:val="nil"/>
              <w:right w:val="nil"/>
            </w:tcBorders>
            <w:shd w:val="clear" w:color="000000" w:fill="FFFFFF"/>
          </w:tcPr>
          <w:p w14:paraId="746DEE31" w14:textId="1365B679"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Avoidable admissions</w:t>
            </w:r>
          </w:p>
        </w:tc>
        <w:tc>
          <w:tcPr>
            <w:tcW w:w="2688" w:type="dxa"/>
            <w:tcBorders>
              <w:top w:val="nil"/>
              <w:left w:val="nil"/>
              <w:bottom w:val="nil"/>
              <w:right w:val="nil"/>
            </w:tcBorders>
            <w:shd w:val="clear" w:color="000000" w:fill="FFFFFF"/>
            <w:hideMark/>
          </w:tcPr>
          <w:p w14:paraId="23D696CB" w14:textId="37AC9F74"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To determine whether a new senior ED, caring for patients 65 years and older through case management with specific attention to medication use, activities of daily living, depression, delirium, and alcohol abuse, will result in decreased recidivism, defined as a longer time to return to the ED</w:t>
            </w:r>
          </w:p>
        </w:tc>
        <w:tc>
          <w:tcPr>
            <w:tcW w:w="3031" w:type="dxa"/>
            <w:tcBorders>
              <w:top w:val="nil"/>
              <w:left w:val="nil"/>
              <w:bottom w:val="nil"/>
              <w:right w:val="nil"/>
            </w:tcBorders>
            <w:shd w:val="clear" w:color="000000" w:fill="FFFFFF"/>
            <w:hideMark/>
          </w:tcPr>
          <w:p w14:paraId="1439A126" w14:textId="01E7F23F" w:rsidR="004B049F" w:rsidRPr="006D3B7D"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6D3B7D">
              <w:rPr>
                <w:rFonts w:ascii="Calibri" w:eastAsia="Times New Roman" w:hAnsi="Calibri" w:cs="Calibri"/>
                <w:b/>
                <w:bCs/>
                <w:color w:val="000000"/>
                <w:kern w:val="0"/>
                <w:sz w:val="16"/>
                <w:szCs w:val="16"/>
                <w:lang w:eastAsia="en-AU"/>
                <w14:ligatures w14:val="none"/>
              </w:rPr>
              <w:t>General assessment and multi-faceted care coordination to reduce avoidable hospital admissions and/or LOS and/or improve ED flow</w:t>
            </w:r>
          </w:p>
          <w:p w14:paraId="7A63B8DE" w14:textId="1CA1D492"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 xml:space="preserve">Opening of a new </w:t>
            </w:r>
            <w:r w:rsidR="00F052FD">
              <w:rPr>
                <w:rFonts w:ascii="Calibri" w:eastAsia="Times New Roman" w:hAnsi="Calibri" w:cs="Calibri"/>
                <w:color w:val="000000"/>
                <w:kern w:val="0"/>
                <w:sz w:val="16"/>
                <w:szCs w:val="16"/>
                <w:lang w:eastAsia="en-AU"/>
                <w14:ligatures w14:val="none"/>
              </w:rPr>
              <w:t>olde</w:t>
            </w:r>
            <w:r w:rsidRPr="007F1A6A">
              <w:rPr>
                <w:rFonts w:ascii="Calibri" w:eastAsia="Times New Roman" w:hAnsi="Calibri" w:cs="Calibri"/>
                <w:color w:val="000000"/>
                <w:kern w:val="0"/>
                <w:sz w:val="16"/>
                <w:szCs w:val="16"/>
                <w:lang w:eastAsia="en-AU"/>
                <w14:ligatures w14:val="none"/>
              </w:rPr>
              <w:t>r</w:t>
            </w:r>
            <w:r w:rsidR="00F052FD">
              <w:rPr>
                <w:rFonts w:ascii="Calibri" w:eastAsia="Times New Roman" w:hAnsi="Calibri" w:cs="Calibri"/>
                <w:color w:val="000000"/>
                <w:kern w:val="0"/>
                <w:sz w:val="16"/>
                <w:szCs w:val="16"/>
                <w:lang w:eastAsia="en-AU"/>
                <w14:ligatures w14:val="none"/>
              </w:rPr>
              <w:t xml:space="preserve"> person</w:t>
            </w:r>
            <w:r w:rsidRPr="007F1A6A">
              <w:rPr>
                <w:rFonts w:ascii="Calibri" w:eastAsia="Times New Roman" w:hAnsi="Calibri" w:cs="Calibri"/>
                <w:color w:val="000000"/>
                <w:kern w:val="0"/>
                <w:sz w:val="16"/>
                <w:szCs w:val="16"/>
                <w:lang w:eastAsia="en-AU"/>
                <w14:ligatures w14:val="none"/>
              </w:rPr>
              <w:t xml:space="preserve"> ED in a large community hospital. Changes to the senior ED included staff training, facility redesign, and new processes. Nurses working in the senior ED received a geriatric emergency nursing education course, and physicians completed a web-based curriculum. In the senior ED, physical conditions were modified to include non-skid, non</w:t>
            </w:r>
            <w:r>
              <w:rPr>
                <w:rFonts w:ascii="Calibri" w:eastAsia="Times New Roman" w:hAnsi="Calibri" w:cs="Calibri"/>
                <w:color w:val="000000"/>
                <w:kern w:val="0"/>
                <w:sz w:val="16"/>
                <w:szCs w:val="16"/>
                <w:lang w:eastAsia="en-AU"/>
                <w14:ligatures w14:val="none"/>
              </w:rPr>
              <w:t>-</w:t>
            </w:r>
            <w:r w:rsidRPr="007F1A6A">
              <w:rPr>
                <w:rFonts w:ascii="Calibri" w:eastAsia="Times New Roman" w:hAnsi="Calibri" w:cs="Calibri"/>
                <w:color w:val="000000"/>
                <w:kern w:val="0"/>
                <w:sz w:val="16"/>
                <w:szCs w:val="16"/>
                <w:lang w:eastAsia="en-AU"/>
                <w14:ligatures w14:val="none"/>
              </w:rPr>
              <w:t>glare floors, side rails, pressure-reducing mattresses, softer lighting, and larger clocks and televisions.</w:t>
            </w:r>
          </w:p>
        </w:tc>
        <w:tc>
          <w:tcPr>
            <w:tcW w:w="1128" w:type="dxa"/>
            <w:tcBorders>
              <w:top w:val="nil"/>
              <w:left w:val="nil"/>
              <w:bottom w:val="nil"/>
              <w:right w:val="nil"/>
            </w:tcBorders>
            <w:shd w:val="clear" w:color="000000" w:fill="FFFFFF"/>
            <w:hideMark/>
          </w:tcPr>
          <w:p w14:paraId="5EB815A8"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w:t>
            </w:r>
          </w:p>
        </w:tc>
        <w:tc>
          <w:tcPr>
            <w:tcW w:w="1389" w:type="dxa"/>
            <w:tcBorders>
              <w:top w:val="nil"/>
              <w:left w:val="nil"/>
              <w:bottom w:val="nil"/>
              <w:right w:val="nil"/>
            </w:tcBorders>
            <w:shd w:val="clear" w:color="000000" w:fill="FFFFFF"/>
            <w:hideMark/>
          </w:tcPr>
          <w:p w14:paraId="5723B55B" w14:textId="7E5D43F1"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3</w:t>
            </w:r>
            <w:r>
              <w:rPr>
                <w:rFonts w:ascii="Calibri" w:eastAsia="Times New Roman" w:hAnsi="Calibri" w:cs="Calibri"/>
                <w:color w:val="000000"/>
                <w:kern w:val="0"/>
                <w:sz w:val="16"/>
                <w:szCs w:val="16"/>
                <w:lang w:eastAsia="en-AU"/>
                <w14:ligatures w14:val="none"/>
              </w:rPr>
              <w:t>,</w:t>
            </w:r>
            <w:r w:rsidRPr="007F1A6A">
              <w:rPr>
                <w:rFonts w:ascii="Calibri" w:eastAsia="Times New Roman" w:hAnsi="Calibri" w:cs="Calibri"/>
                <w:color w:val="000000"/>
                <w:kern w:val="0"/>
                <w:sz w:val="16"/>
                <w:szCs w:val="16"/>
                <w:lang w:eastAsia="en-AU"/>
                <w14:ligatures w14:val="none"/>
              </w:rPr>
              <w:t>748</w:t>
            </w:r>
          </w:p>
        </w:tc>
        <w:tc>
          <w:tcPr>
            <w:tcW w:w="1119" w:type="dxa"/>
            <w:tcBorders>
              <w:top w:val="nil"/>
              <w:left w:val="nil"/>
              <w:bottom w:val="nil"/>
              <w:right w:val="nil"/>
            </w:tcBorders>
            <w:shd w:val="clear" w:color="000000" w:fill="FFFFFF"/>
            <w:hideMark/>
          </w:tcPr>
          <w:p w14:paraId="0FF15068" w14:textId="6B7834AB"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3850</w:t>
            </w:r>
          </w:p>
        </w:tc>
        <w:tc>
          <w:tcPr>
            <w:tcW w:w="1135" w:type="dxa"/>
            <w:tcBorders>
              <w:top w:val="nil"/>
              <w:left w:val="nil"/>
              <w:bottom w:val="nil"/>
              <w:right w:val="nil"/>
            </w:tcBorders>
            <w:shd w:val="clear" w:color="000000" w:fill="FFFFFF"/>
            <w:hideMark/>
          </w:tcPr>
          <w:p w14:paraId="37A67249" w14:textId="5897EFED"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Pre-post</w:t>
            </w:r>
          </w:p>
        </w:tc>
        <w:tc>
          <w:tcPr>
            <w:tcW w:w="1128" w:type="dxa"/>
            <w:tcBorders>
              <w:top w:val="nil"/>
              <w:left w:val="nil"/>
              <w:bottom w:val="nil"/>
              <w:right w:val="nil"/>
            </w:tcBorders>
            <w:shd w:val="clear" w:color="000000" w:fill="FFFFFF"/>
            <w:hideMark/>
          </w:tcPr>
          <w:p w14:paraId="077B1F75" w14:textId="221CAB04"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A07F99">
              <w:rPr>
                <w:rFonts w:ascii="Calibri" w:eastAsia="Times New Roman" w:hAnsi="Calibri" w:cs="Calibri"/>
                <w:kern w:val="0"/>
                <w:sz w:val="16"/>
                <w:szCs w:val="16"/>
                <w:lang w:eastAsia="en-AU"/>
                <w14:ligatures w14:val="none"/>
              </w:rPr>
              <w:t>System performance Patient outcomes</w:t>
            </w:r>
          </w:p>
        </w:tc>
      </w:tr>
      <w:tr w:rsidR="004B049F" w:rsidRPr="00E821F3" w14:paraId="28CB5C1D" w14:textId="77777777" w:rsidTr="00143566">
        <w:trPr>
          <w:cantSplit/>
          <w:trHeight w:val="567"/>
        </w:trPr>
        <w:tc>
          <w:tcPr>
            <w:tcW w:w="1313" w:type="dxa"/>
            <w:tcBorders>
              <w:top w:val="nil"/>
              <w:left w:val="nil"/>
              <w:bottom w:val="nil"/>
              <w:right w:val="nil"/>
            </w:tcBorders>
            <w:shd w:val="clear" w:color="000000" w:fill="FFFFFF"/>
            <w:noWrap/>
            <w:hideMark/>
          </w:tcPr>
          <w:p w14:paraId="591F2D9D" w14:textId="120E79A4"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4B049F">
              <w:rPr>
                <w:sz w:val="16"/>
                <w:szCs w:val="16"/>
              </w:rPr>
              <w:lastRenderedPageBreak/>
              <w:t>Keyes et al., 2019, USA</w:t>
            </w:r>
          </w:p>
        </w:tc>
        <w:tc>
          <w:tcPr>
            <w:tcW w:w="1525" w:type="dxa"/>
            <w:tcBorders>
              <w:top w:val="nil"/>
              <w:left w:val="nil"/>
              <w:bottom w:val="nil"/>
              <w:right w:val="nil"/>
            </w:tcBorders>
            <w:shd w:val="clear" w:color="000000" w:fill="FFFFFF"/>
          </w:tcPr>
          <w:p w14:paraId="6468D7BD" w14:textId="4015EF2A"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Head trauma and anticoagulant medication</w:t>
            </w:r>
          </w:p>
        </w:tc>
        <w:tc>
          <w:tcPr>
            <w:tcW w:w="2688" w:type="dxa"/>
            <w:tcBorders>
              <w:top w:val="nil"/>
              <w:left w:val="nil"/>
              <w:bottom w:val="nil"/>
              <w:right w:val="nil"/>
            </w:tcBorders>
            <w:shd w:val="clear" w:color="000000" w:fill="FFFFFF"/>
            <w:hideMark/>
          </w:tcPr>
          <w:p w14:paraId="6E3059DB" w14:textId="15A7E0D4"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To determine effectiveness of the “</w:t>
            </w:r>
            <w:proofErr w:type="spellStart"/>
            <w:r w:rsidRPr="007F1A6A">
              <w:rPr>
                <w:rFonts w:ascii="Calibri" w:eastAsia="Times New Roman" w:hAnsi="Calibri" w:cs="Calibri"/>
                <w:color w:val="000000"/>
                <w:kern w:val="0"/>
                <w:sz w:val="16"/>
                <w:szCs w:val="16"/>
                <w:lang w:eastAsia="en-AU"/>
                <w14:ligatures w14:val="none"/>
              </w:rPr>
              <w:t>Headstrike</w:t>
            </w:r>
            <w:proofErr w:type="spellEnd"/>
            <w:r w:rsidRPr="007F1A6A">
              <w:rPr>
                <w:rFonts w:ascii="Calibri" w:eastAsia="Times New Roman" w:hAnsi="Calibri" w:cs="Calibri"/>
                <w:color w:val="000000"/>
                <w:kern w:val="0"/>
                <w:sz w:val="16"/>
                <w:szCs w:val="16"/>
                <w:lang w:eastAsia="en-AU"/>
                <w14:ligatures w14:val="none"/>
              </w:rPr>
              <w:t xml:space="preserve">” protocol in providing patients with timely treatment and disposition, while maintaining positive outcomes. </w:t>
            </w:r>
          </w:p>
        </w:tc>
        <w:tc>
          <w:tcPr>
            <w:tcW w:w="3031" w:type="dxa"/>
            <w:tcBorders>
              <w:top w:val="nil"/>
              <w:left w:val="nil"/>
              <w:bottom w:val="nil"/>
              <w:right w:val="nil"/>
            </w:tcBorders>
            <w:shd w:val="clear" w:color="000000" w:fill="FFFFFF"/>
            <w:hideMark/>
          </w:tcPr>
          <w:p w14:paraId="5A88E406" w14:textId="50A0B330" w:rsidR="004B049F" w:rsidRPr="007913F9"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7913F9">
              <w:rPr>
                <w:rFonts w:eastAsia="Times New Roman" w:cstheme="minorHAnsi"/>
                <w:b/>
                <w:bCs/>
                <w:color w:val="000000"/>
                <w:kern w:val="0"/>
                <w:sz w:val="16"/>
                <w:szCs w:val="16"/>
                <w:lang w:eastAsia="en-AU"/>
                <w14:ligatures w14:val="none"/>
              </w:rPr>
              <w:t>Management of anticoagulated older adult with head injury</w:t>
            </w:r>
          </w:p>
          <w:p w14:paraId="4FF41347" w14:textId="23D26C13"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Protocol for anticoagulated older adults suffering ground-level falls. The response team for the “</w:t>
            </w:r>
            <w:proofErr w:type="spellStart"/>
            <w:r w:rsidRPr="007F1A6A">
              <w:rPr>
                <w:rFonts w:ascii="Calibri" w:eastAsia="Times New Roman" w:hAnsi="Calibri" w:cs="Calibri"/>
                <w:color w:val="000000"/>
                <w:kern w:val="0"/>
                <w:sz w:val="16"/>
                <w:szCs w:val="16"/>
                <w:lang w:eastAsia="en-AU"/>
                <w14:ligatures w14:val="none"/>
              </w:rPr>
              <w:t>Headstrike</w:t>
            </w:r>
            <w:proofErr w:type="spellEnd"/>
            <w:r w:rsidRPr="007F1A6A">
              <w:rPr>
                <w:rFonts w:ascii="Calibri" w:eastAsia="Times New Roman" w:hAnsi="Calibri" w:cs="Calibri"/>
                <w:color w:val="000000"/>
                <w:kern w:val="0"/>
                <w:sz w:val="16"/>
                <w:szCs w:val="16"/>
                <w:lang w:eastAsia="en-AU"/>
                <w14:ligatures w14:val="none"/>
              </w:rPr>
              <w:t>” tier would consist of all the staff for full level II trauma activations, except for the trauma surgical team. This would allow expeditious, high-quality care, while simultaneously using trauma service line resources more efficiently. If the patient met the higher trauma activation criteria based on other physiologic or anatomic criteria, there would be an immediate activation upgrade, with the trauma surgical team required to be present within 15 minutes.</w:t>
            </w:r>
          </w:p>
        </w:tc>
        <w:tc>
          <w:tcPr>
            <w:tcW w:w="1128" w:type="dxa"/>
            <w:tcBorders>
              <w:top w:val="nil"/>
              <w:left w:val="nil"/>
              <w:bottom w:val="nil"/>
              <w:right w:val="nil"/>
            </w:tcBorders>
            <w:shd w:val="clear" w:color="000000" w:fill="FFFFFF"/>
            <w:hideMark/>
          </w:tcPr>
          <w:p w14:paraId="61947A36"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w:t>
            </w:r>
          </w:p>
        </w:tc>
        <w:tc>
          <w:tcPr>
            <w:tcW w:w="1389" w:type="dxa"/>
            <w:tcBorders>
              <w:top w:val="nil"/>
              <w:left w:val="nil"/>
              <w:bottom w:val="nil"/>
              <w:right w:val="nil"/>
            </w:tcBorders>
            <w:shd w:val="clear" w:color="000000" w:fill="FFFFFF"/>
            <w:hideMark/>
          </w:tcPr>
          <w:p w14:paraId="18214748"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515</w:t>
            </w:r>
          </w:p>
        </w:tc>
        <w:tc>
          <w:tcPr>
            <w:tcW w:w="1119" w:type="dxa"/>
            <w:tcBorders>
              <w:top w:val="nil"/>
              <w:left w:val="nil"/>
              <w:bottom w:val="nil"/>
              <w:right w:val="nil"/>
            </w:tcBorders>
            <w:shd w:val="clear" w:color="000000" w:fill="FFFFFF"/>
            <w:hideMark/>
          </w:tcPr>
          <w:p w14:paraId="4FB84A94" w14:textId="538D129E"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w:t>
            </w:r>
          </w:p>
        </w:tc>
        <w:tc>
          <w:tcPr>
            <w:tcW w:w="1135" w:type="dxa"/>
            <w:tcBorders>
              <w:top w:val="nil"/>
              <w:left w:val="nil"/>
              <w:bottom w:val="nil"/>
              <w:right w:val="nil"/>
            </w:tcBorders>
            <w:shd w:val="clear" w:color="000000" w:fill="FFFFFF"/>
            <w:hideMark/>
          </w:tcPr>
          <w:p w14:paraId="6C11FD29" w14:textId="5EC1FECE"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Cohort</w:t>
            </w:r>
          </w:p>
        </w:tc>
        <w:tc>
          <w:tcPr>
            <w:tcW w:w="1128" w:type="dxa"/>
            <w:tcBorders>
              <w:top w:val="nil"/>
              <w:left w:val="nil"/>
              <w:bottom w:val="nil"/>
              <w:right w:val="nil"/>
            </w:tcBorders>
            <w:shd w:val="clear" w:color="000000" w:fill="FFFFFF"/>
            <w:hideMark/>
          </w:tcPr>
          <w:p w14:paraId="0929EF3B" w14:textId="0F465DD0"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A07F99">
              <w:rPr>
                <w:rFonts w:ascii="Calibri" w:eastAsia="Times New Roman" w:hAnsi="Calibri" w:cs="Calibri"/>
                <w:kern w:val="0"/>
                <w:sz w:val="16"/>
                <w:szCs w:val="16"/>
                <w:lang w:eastAsia="en-AU"/>
                <w14:ligatures w14:val="none"/>
              </w:rPr>
              <w:t>System performance Patient outcomes</w:t>
            </w:r>
          </w:p>
        </w:tc>
      </w:tr>
      <w:tr w:rsidR="004B049F" w:rsidRPr="00E821F3" w14:paraId="46B8A241" w14:textId="77777777" w:rsidTr="00143566">
        <w:trPr>
          <w:cantSplit/>
          <w:trHeight w:val="567"/>
        </w:trPr>
        <w:tc>
          <w:tcPr>
            <w:tcW w:w="1313" w:type="dxa"/>
            <w:tcBorders>
              <w:top w:val="nil"/>
              <w:left w:val="nil"/>
              <w:bottom w:val="nil"/>
              <w:right w:val="nil"/>
            </w:tcBorders>
            <w:shd w:val="clear" w:color="000000" w:fill="FFFFFF"/>
            <w:noWrap/>
            <w:hideMark/>
          </w:tcPr>
          <w:p w14:paraId="1C99886C" w14:textId="22D8C224"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4B049F">
              <w:rPr>
                <w:sz w:val="16"/>
                <w:szCs w:val="16"/>
              </w:rPr>
              <w:t>Lee et al., 2001, Canada</w:t>
            </w:r>
          </w:p>
        </w:tc>
        <w:tc>
          <w:tcPr>
            <w:tcW w:w="1525" w:type="dxa"/>
            <w:tcBorders>
              <w:top w:val="nil"/>
              <w:left w:val="nil"/>
              <w:bottom w:val="nil"/>
              <w:right w:val="nil"/>
            </w:tcBorders>
            <w:shd w:val="clear" w:color="000000" w:fill="FFFFFF"/>
          </w:tcPr>
          <w:p w14:paraId="257F55E1" w14:textId="2484E25F"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 </w:t>
            </w:r>
          </w:p>
        </w:tc>
        <w:tc>
          <w:tcPr>
            <w:tcW w:w="2688" w:type="dxa"/>
            <w:tcBorders>
              <w:top w:val="nil"/>
              <w:left w:val="nil"/>
              <w:bottom w:val="nil"/>
              <w:right w:val="nil"/>
            </w:tcBorders>
            <w:shd w:val="clear" w:color="000000" w:fill="FFFFFF"/>
            <w:hideMark/>
          </w:tcPr>
          <w:p w14:paraId="0767944A" w14:textId="6C3AC408"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To describe a rehabilitation consultation service and present results of an evaluative study of 80 patients who received comprehensive functional assessments in the ED</w:t>
            </w:r>
          </w:p>
        </w:tc>
        <w:tc>
          <w:tcPr>
            <w:tcW w:w="3031" w:type="dxa"/>
            <w:tcBorders>
              <w:top w:val="nil"/>
              <w:left w:val="nil"/>
              <w:bottom w:val="nil"/>
              <w:right w:val="nil"/>
            </w:tcBorders>
            <w:shd w:val="clear" w:color="000000" w:fill="FFFFFF"/>
            <w:hideMark/>
          </w:tcPr>
          <w:p w14:paraId="71266093" w14:textId="6853CFA0" w:rsidR="004B049F" w:rsidRPr="00456CE5"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456CE5">
              <w:rPr>
                <w:rFonts w:ascii="Calibri" w:eastAsia="Times New Roman" w:hAnsi="Calibri" w:cs="Calibri"/>
                <w:b/>
                <w:bCs/>
                <w:color w:val="000000"/>
                <w:kern w:val="0"/>
                <w:sz w:val="16"/>
                <w:szCs w:val="16"/>
                <w:lang w:eastAsia="en-AU"/>
                <w14:ligatures w14:val="none"/>
              </w:rPr>
              <w:t>General assessment and multi-faceted care coordination to better address patient needs</w:t>
            </w:r>
          </w:p>
          <w:p w14:paraId="2BB08811" w14:textId="274A86E9"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Occupational and physical therapist-led rehabilitation consultation service for the ED.  A functional safety checklist guided emergency staff in identifying patients in need of comprehensive functional assessment based on transfers, ambulation, activities of daily living</w:t>
            </w:r>
            <w:r w:rsidRPr="007F1A6A">
              <w:rPr>
                <w:rFonts w:ascii="Calibri" w:eastAsia="Times New Roman" w:hAnsi="Calibri" w:cs="Calibri"/>
                <w:color w:val="000000"/>
                <w:kern w:val="0"/>
                <w:sz w:val="16"/>
                <w:szCs w:val="16"/>
                <w:lang w:eastAsia="en-AU"/>
                <w14:ligatures w14:val="none"/>
              </w:rPr>
              <w:br/>
              <w:t xml:space="preserve">tasks and cognition. A comprehensive assessment was conducted by </w:t>
            </w:r>
            <w:r>
              <w:rPr>
                <w:rFonts w:ascii="Calibri" w:eastAsia="Times New Roman" w:hAnsi="Calibri" w:cs="Calibri"/>
                <w:color w:val="000000"/>
                <w:kern w:val="0"/>
                <w:sz w:val="16"/>
                <w:szCs w:val="16"/>
                <w:lang w:eastAsia="en-AU"/>
                <w14:ligatures w14:val="none"/>
              </w:rPr>
              <w:t>O</w:t>
            </w:r>
            <w:r w:rsidRPr="007F1A6A">
              <w:rPr>
                <w:rFonts w:ascii="Calibri" w:eastAsia="Times New Roman" w:hAnsi="Calibri" w:cs="Calibri"/>
                <w:color w:val="000000"/>
                <w:kern w:val="0"/>
                <w:sz w:val="16"/>
                <w:szCs w:val="16"/>
                <w:lang w:eastAsia="en-AU"/>
                <w14:ligatures w14:val="none"/>
              </w:rPr>
              <w:t xml:space="preserve">ccupational </w:t>
            </w:r>
            <w:r>
              <w:rPr>
                <w:rFonts w:ascii="Calibri" w:eastAsia="Times New Roman" w:hAnsi="Calibri" w:cs="Calibri"/>
                <w:color w:val="000000"/>
                <w:kern w:val="0"/>
                <w:sz w:val="16"/>
                <w:szCs w:val="16"/>
                <w:lang w:eastAsia="en-AU"/>
                <w14:ligatures w14:val="none"/>
              </w:rPr>
              <w:t>T</w:t>
            </w:r>
            <w:r w:rsidRPr="007F1A6A">
              <w:rPr>
                <w:rFonts w:ascii="Calibri" w:eastAsia="Times New Roman" w:hAnsi="Calibri" w:cs="Calibri"/>
                <w:color w:val="000000"/>
                <w:kern w:val="0"/>
                <w:sz w:val="16"/>
                <w:szCs w:val="16"/>
                <w:lang w:eastAsia="en-AU"/>
                <w14:ligatures w14:val="none"/>
              </w:rPr>
              <w:t>herap</w:t>
            </w:r>
            <w:r>
              <w:rPr>
                <w:rFonts w:ascii="Calibri" w:eastAsia="Times New Roman" w:hAnsi="Calibri" w:cs="Calibri"/>
                <w:color w:val="000000"/>
                <w:kern w:val="0"/>
                <w:sz w:val="16"/>
                <w:szCs w:val="16"/>
                <w:lang w:eastAsia="en-AU"/>
                <w14:ligatures w14:val="none"/>
              </w:rPr>
              <w:t>ist</w:t>
            </w:r>
            <w:r w:rsidRPr="007F1A6A">
              <w:rPr>
                <w:rFonts w:ascii="Calibri" w:eastAsia="Times New Roman" w:hAnsi="Calibri" w:cs="Calibri"/>
                <w:color w:val="000000"/>
                <w:kern w:val="0"/>
                <w:sz w:val="16"/>
                <w:szCs w:val="16"/>
                <w:lang w:eastAsia="en-AU"/>
                <w14:ligatures w14:val="none"/>
              </w:rPr>
              <w:t xml:space="preserve"> or P</w:t>
            </w:r>
            <w:r>
              <w:rPr>
                <w:rFonts w:ascii="Calibri" w:eastAsia="Times New Roman" w:hAnsi="Calibri" w:cs="Calibri"/>
                <w:color w:val="000000"/>
                <w:kern w:val="0"/>
                <w:sz w:val="16"/>
                <w:szCs w:val="16"/>
                <w:lang w:eastAsia="en-AU"/>
                <w14:ligatures w14:val="none"/>
              </w:rPr>
              <w:t xml:space="preserve">hysical </w:t>
            </w:r>
            <w:r w:rsidRPr="007F1A6A">
              <w:rPr>
                <w:rFonts w:ascii="Calibri" w:eastAsia="Times New Roman" w:hAnsi="Calibri" w:cs="Calibri"/>
                <w:color w:val="000000"/>
                <w:kern w:val="0"/>
                <w:sz w:val="16"/>
                <w:szCs w:val="16"/>
                <w:lang w:eastAsia="en-AU"/>
                <w14:ligatures w14:val="none"/>
              </w:rPr>
              <w:t>T</w:t>
            </w:r>
            <w:r>
              <w:rPr>
                <w:rFonts w:ascii="Calibri" w:eastAsia="Times New Roman" w:hAnsi="Calibri" w:cs="Calibri"/>
                <w:color w:val="000000"/>
                <w:kern w:val="0"/>
                <w:sz w:val="16"/>
                <w:szCs w:val="16"/>
                <w:lang w:eastAsia="en-AU"/>
                <w14:ligatures w14:val="none"/>
              </w:rPr>
              <w:t>herapist</w:t>
            </w:r>
            <w:r w:rsidRPr="007F1A6A">
              <w:rPr>
                <w:rFonts w:ascii="Calibri" w:eastAsia="Times New Roman" w:hAnsi="Calibri" w:cs="Calibri"/>
                <w:color w:val="000000"/>
                <w:kern w:val="0"/>
                <w:sz w:val="16"/>
                <w:szCs w:val="16"/>
                <w:lang w:eastAsia="en-AU"/>
                <w14:ligatures w14:val="none"/>
              </w:rPr>
              <w:t>. Decisions regarding appropriate discharge plans and destinations were made in consultation with emergency staff, and arrangements made for necessary community resources for patients discharged home.</w:t>
            </w:r>
          </w:p>
        </w:tc>
        <w:tc>
          <w:tcPr>
            <w:tcW w:w="1128" w:type="dxa"/>
            <w:tcBorders>
              <w:top w:val="nil"/>
              <w:left w:val="nil"/>
              <w:bottom w:val="nil"/>
              <w:right w:val="nil"/>
            </w:tcBorders>
            <w:shd w:val="clear" w:color="000000" w:fill="FFFFFF"/>
            <w:hideMark/>
          </w:tcPr>
          <w:p w14:paraId="2E60BBF5"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w:t>
            </w:r>
          </w:p>
        </w:tc>
        <w:tc>
          <w:tcPr>
            <w:tcW w:w="1389" w:type="dxa"/>
            <w:tcBorders>
              <w:top w:val="nil"/>
              <w:left w:val="nil"/>
              <w:bottom w:val="nil"/>
              <w:right w:val="nil"/>
            </w:tcBorders>
            <w:shd w:val="clear" w:color="000000" w:fill="FFFFFF"/>
            <w:hideMark/>
          </w:tcPr>
          <w:p w14:paraId="5017804B"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80</w:t>
            </w:r>
          </w:p>
        </w:tc>
        <w:tc>
          <w:tcPr>
            <w:tcW w:w="1119" w:type="dxa"/>
            <w:tcBorders>
              <w:top w:val="nil"/>
              <w:left w:val="nil"/>
              <w:bottom w:val="nil"/>
              <w:right w:val="nil"/>
            </w:tcBorders>
            <w:shd w:val="clear" w:color="000000" w:fill="FFFFFF"/>
            <w:hideMark/>
          </w:tcPr>
          <w:p w14:paraId="30A1925E" w14:textId="336B9851"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 </w:t>
            </w:r>
            <w:r>
              <w:rPr>
                <w:rFonts w:ascii="Calibri" w:eastAsia="Times New Roman" w:hAnsi="Calibri" w:cs="Calibri"/>
                <w:color w:val="000000"/>
                <w:kern w:val="0"/>
                <w:sz w:val="16"/>
                <w:szCs w:val="16"/>
                <w:lang w:eastAsia="en-AU"/>
                <w14:ligatures w14:val="none"/>
              </w:rPr>
              <w:t>-</w:t>
            </w:r>
          </w:p>
        </w:tc>
        <w:tc>
          <w:tcPr>
            <w:tcW w:w="1135" w:type="dxa"/>
            <w:tcBorders>
              <w:top w:val="nil"/>
              <w:left w:val="nil"/>
              <w:bottom w:val="nil"/>
              <w:right w:val="nil"/>
            </w:tcBorders>
            <w:shd w:val="clear" w:color="000000" w:fill="FFFFFF"/>
            <w:hideMark/>
          </w:tcPr>
          <w:p w14:paraId="4178E0D0" w14:textId="19CA1207"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Cohort</w:t>
            </w:r>
          </w:p>
        </w:tc>
        <w:tc>
          <w:tcPr>
            <w:tcW w:w="1128" w:type="dxa"/>
            <w:tcBorders>
              <w:top w:val="nil"/>
              <w:left w:val="nil"/>
              <w:bottom w:val="nil"/>
              <w:right w:val="nil"/>
            </w:tcBorders>
            <w:shd w:val="clear" w:color="000000" w:fill="FFFFFF"/>
            <w:hideMark/>
          </w:tcPr>
          <w:p w14:paraId="55555C09" w14:textId="48C8BBA0"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A07F99">
              <w:rPr>
                <w:rFonts w:ascii="Calibri" w:eastAsia="Times New Roman" w:hAnsi="Calibri" w:cs="Calibri"/>
                <w:kern w:val="0"/>
                <w:sz w:val="16"/>
                <w:szCs w:val="16"/>
                <w:lang w:eastAsia="en-AU"/>
                <w14:ligatures w14:val="none"/>
              </w:rPr>
              <w:t>Patient outcomes</w:t>
            </w:r>
          </w:p>
        </w:tc>
      </w:tr>
      <w:tr w:rsidR="004B049F" w:rsidRPr="00E821F3" w14:paraId="50D6FE7C" w14:textId="77777777" w:rsidTr="00143566">
        <w:trPr>
          <w:cantSplit/>
          <w:trHeight w:val="567"/>
        </w:trPr>
        <w:tc>
          <w:tcPr>
            <w:tcW w:w="1313" w:type="dxa"/>
            <w:tcBorders>
              <w:top w:val="nil"/>
              <w:left w:val="nil"/>
              <w:bottom w:val="nil"/>
              <w:right w:val="nil"/>
            </w:tcBorders>
            <w:shd w:val="clear" w:color="000000" w:fill="FFFFFF"/>
            <w:noWrap/>
            <w:hideMark/>
          </w:tcPr>
          <w:p w14:paraId="3435816A" w14:textId="4438C608"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4B049F">
              <w:rPr>
                <w:sz w:val="16"/>
                <w:szCs w:val="16"/>
              </w:rPr>
              <w:t>Lesser et al., 2018, USA</w:t>
            </w:r>
          </w:p>
        </w:tc>
        <w:tc>
          <w:tcPr>
            <w:tcW w:w="1525" w:type="dxa"/>
            <w:tcBorders>
              <w:top w:val="nil"/>
              <w:left w:val="nil"/>
              <w:bottom w:val="nil"/>
              <w:right w:val="nil"/>
            </w:tcBorders>
            <w:shd w:val="clear" w:color="000000" w:fill="FFFFFF"/>
          </w:tcPr>
          <w:p w14:paraId="201E91E5" w14:textId="18ED0E43"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Functional decline post ED visit</w:t>
            </w:r>
          </w:p>
        </w:tc>
        <w:tc>
          <w:tcPr>
            <w:tcW w:w="2688" w:type="dxa"/>
            <w:tcBorders>
              <w:top w:val="nil"/>
              <w:left w:val="nil"/>
              <w:bottom w:val="nil"/>
              <w:right w:val="nil"/>
            </w:tcBorders>
            <w:shd w:val="clear" w:color="000000" w:fill="FFFFFF"/>
            <w:hideMark/>
          </w:tcPr>
          <w:p w14:paraId="72AF5FA9" w14:textId="5E027A66"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To determine whether providing PT services in the ED improves outcomes for older adults who fall</w:t>
            </w:r>
          </w:p>
        </w:tc>
        <w:tc>
          <w:tcPr>
            <w:tcW w:w="3031" w:type="dxa"/>
            <w:tcBorders>
              <w:top w:val="nil"/>
              <w:left w:val="nil"/>
              <w:bottom w:val="nil"/>
              <w:right w:val="nil"/>
            </w:tcBorders>
            <w:shd w:val="clear" w:color="000000" w:fill="FFFFFF"/>
            <w:hideMark/>
          </w:tcPr>
          <w:p w14:paraId="6D7E6606" w14:textId="251CF056" w:rsidR="004B049F" w:rsidRPr="005840C7"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5840C7">
              <w:rPr>
                <w:rFonts w:ascii="Calibri" w:eastAsia="Times New Roman" w:hAnsi="Calibri" w:cs="Calibri"/>
                <w:b/>
                <w:bCs/>
                <w:kern w:val="0"/>
                <w:sz w:val="16"/>
                <w:szCs w:val="16"/>
                <w:lang w:eastAsia="en-AU"/>
                <w14:ligatures w14:val="none"/>
              </w:rPr>
              <w:t>General assessment and multi-faceted care coordination to attenuate functional decline</w:t>
            </w:r>
          </w:p>
          <w:p w14:paraId="4CF5CE0E" w14:textId="40E35D48"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 xml:space="preserve">PT services in ED </w:t>
            </w:r>
          </w:p>
        </w:tc>
        <w:tc>
          <w:tcPr>
            <w:tcW w:w="1128" w:type="dxa"/>
            <w:tcBorders>
              <w:top w:val="nil"/>
              <w:left w:val="nil"/>
              <w:bottom w:val="nil"/>
              <w:right w:val="nil"/>
            </w:tcBorders>
            <w:shd w:val="clear" w:color="000000" w:fill="FFFFFF"/>
            <w:hideMark/>
          </w:tcPr>
          <w:p w14:paraId="0CEECC13"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Unclear</w:t>
            </w:r>
          </w:p>
        </w:tc>
        <w:tc>
          <w:tcPr>
            <w:tcW w:w="1389" w:type="dxa"/>
            <w:tcBorders>
              <w:top w:val="nil"/>
              <w:left w:val="nil"/>
              <w:bottom w:val="nil"/>
              <w:right w:val="nil"/>
            </w:tcBorders>
            <w:shd w:val="clear" w:color="000000" w:fill="FFFFFF"/>
            <w:hideMark/>
          </w:tcPr>
          <w:p w14:paraId="4017B857"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17,975</w:t>
            </w:r>
          </w:p>
        </w:tc>
        <w:tc>
          <w:tcPr>
            <w:tcW w:w="1119" w:type="dxa"/>
            <w:tcBorders>
              <w:top w:val="nil"/>
              <w:left w:val="nil"/>
              <w:bottom w:val="nil"/>
              <w:right w:val="nil"/>
            </w:tcBorders>
            <w:shd w:val="clear" w:color="000000" w:fill="FFFFFF"/>
            <w:hideMark/>
          </w:tcPr>
          <w:p w14:paraId="6907A75D"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179,950</w:t>
            </w:r>
          </w:p>
        </w:tc>
        <w:tc>
          <w:tcPr>
            <w:tcW w:w="1135" w:type="dxa"/>
            <w:tcBorders>
              <w:top w:val="nil"/>
              <w:left w:val="nil"/>
              <w:bottom w:val="nil"/>
              <w:right w:val="nil"/>
            </w:tcBorders>
            <w:shd w:val="clear" w:color="000000" w:fill="FFFFFF"/>
            <w:hideMark/>
          </w:tcPr>
          <w:p w14:paraId="65AC78BE" w14:textId="5A1929F9"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Cohort</w:t>
            </w:r>
          </w:p>
        </w:tc>
        <w:tc>
          <w:tcPr>
            <w:tcW w:w="1128" w:type="dxa"/>
            <w:tcBorders>
              <w:top w:val="nil"/>
              <w:left w:val="nil"/>
              <w:bottom w:val="nil"/>
              <w:right w:val="nil"/>
            </w:tcBorders>
            <w:shd w:val="clear" w:color="000000" w:fill="FFFFFF"/>
            <w:hideMark/>
          </w:tcPr>
          <w:p w14:paraId="24A108B0" w14:textId="3564562A"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A07F99">
              <w:rPr>
                <w:rFonts w:ascii="Calibri" w:eastAsia="Times New Roman" w:hAnsi="Calibri" w:cs="Calibri"/>
                <w:kern w:val="0"/>
                <w:sz w:val="16"/>
                <w:szCs w:val="16"/>
                <w:lang w:eastAsia="en-AU"/>
                <w14:ligatures w14:val="none"/>
              </w:rPr>
              <w:t>System performance Patient outcomes</w:t>
            </w:r>
          </w:p>
        </w:tc>
      </w:tr>
      <w:tr w:rsidR="004B049F" w:rsidRPr="00E821F3" w14:paraId="7037E8F8" w14:textId="77777777" w:rsidTr="00143566">
        <w:trPr>
          <w:cantSplit/>
          <w:trHeight w:val="567"/>
        </w:trPr>
        <w:tc>
          <w:tcPr>
            <w:tcW w:w="1313" w:type="dxa"/>
            <w:tcBorders>
              <w:top w:val="nil"/>
              <w:left w:val="nil"/>
              <w:bottom w:val="nil"/>
              <w:right w:val="nil"/>
            </w:tcBorders>
            <w:shd w:val="clear" w:color="000000" w:fill="FFFFFF"/>
            <w:noWrap/>
            <w:hideMark/>
          </w:tcPr>
          <w:p w14:paraId="62EDBDE0" w14:textId="3823D633"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4B049F">
              <w:rPr>
                <w:sz w:val="16"/>
                <w:szCs w:val="16"/>
              </w:rPr>
              <w:lastRenderedPageBreak/>
              <w:t>Liberman et al., 2018, USA</w:t>
            </w:r>
          </w:p>
        </w:tc>
        <w:tc>
          <w:tcPr>
            <w:tcW w:w="1525" w:type="dxa"/>
            <w:tcBorders>
              <w:top w:val="nil"/>
              <w:left w:val="nil"/>
              <w:bottom w:val="nil"/>
              <w:right w:val="nil"/>
            </w:tcBorders>
            <w:shd w:val="clear" w:color="000000" w:fill="FFFFFF"/>
          </w:tcPr>
          <w:p w14:paraId="267F7488" w14:textId="5948D936"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Unmet need/palliative care</w:t>
            </w:r>
          </w:p>
        </w:tc>
        <w:tc>
          <w:tcPr>
            <w:tcW w:w="2688" w:type="dxa"/>
            <w:tcBorders>
              <w:top w:val="nil"/>
              <w:left w:val="nil"/>
              <w:bottom w:val="nil"/>
              <w:right w:val="nil"/>
            </w:tcBorders>
            <w:shd w:val="clear" w:color="000000" w:fill="FFFFFF"/>
            <w:hideMark/>
          </w:tcPr>
          <w:p w14:paraId="1661CCFD" w14:textId="5334AA8B"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 xml:space="preserve">To investigate the effectiveness of our </w:t>
            </w:r>
            <w:r>
              <w:rPr>
                <w:rFonts w:ascii="Calibri" w:eastAsia="Times New Roman" w:hAnsi="Calibri" w:cs="Calibri"/>
                <w:color w:val="000000"/>
                <w:kern w:val="0"/>
                <w:sz w:val="16"/>
                <w:szCs w:val="16"/>
                <w:lang w:eastAsia="en-AU"/>
                <w14:ligatures w14:val="none"/>
              </w:rPr>
              <w:t>Advanced Illness</w:t>
            </w:r>
            <w:r w:rsidRPr="007F1A6A">
              <w:rPr>
                <w:rFonts w:ascii="Calibri" w:eastAsia="Times New Roman" w:hAnsi="Calibri" w:cs="Calibri"/>
                <w:color w:val="000000"/>
                <w:kern w:val="0"/>
                <w:sz w:val="16"/>
                <w:szCs w:val="16"/>
                <w:lang w:eastAsia="en-AU"/>
                <w14:ligatures w14:val="none"/>
              </w:rPr>
              <w:t xml:space="preserve"> Management program in the ED on the 1). % of patients identified with </w:t>
            </w:r>
            <w:r>
              <w:rPr>
                <w:rFonts w:ascii="Calibri" w:eastAsia="Times New Roman" w:hAnsi="Calibri" w:cs="Calibri"/>
                <w:color w:val="000000"/>
                <w:kern w:val="0"/>
                <w:sz w:val="16"/>
                <w:szCs w:val="16"/>
                <w:lang w:eastAsia="en-AU"/>
                <w14:ligatures w14:val="none"/>
              </w:rPr>
              <w:t>advanced illness</w:t>
            </w:r>
            <w:r w:rsidRPr="007F1A6A">
              <w:rPr>
                <w:rFonts w:ascii="Calibri" w:eastAsia="Times New Roman" w:hAnsi="Calibri" w:cs="Calibri"/>
                <w:color w:val="000000"/>
                <w:kern w:val="0"/>
                <w:sz w:val="16"/>
                <w:szCs w:val="16"/>
                <w:lang w:eastAsia="en-AU"/>
                <w14:ligatures w14:val="none"/>
              </w:rPr>
              <w:t xml:space="preserve">; 2) % of patients who had GOC conversations; and 3) % of patients who were referred to home hospice </w:t>
            </w:r>
          </w:p>
        </w:tc>
        <w:tc>
          <w:tcPr>
            <w:tcW w:w="3031" w:type="dxa"/>
            <w:tcBorders>
              <w:top w:val="nil"/>
              <w:left w:val="nil"/>
              <w:bottom w:val="nil"/>
              <w:right w:val="nil"/>
            </w:tcBorders>
            <w:shd w:val="clear" w:color="000000" w:fill="FFFFFF"/>
            <w:hideMark/>
          </w:tcPr>
          <w:p w14:paraId="57D76820" w14:textId="7DC288BC" w:rsidR="004B049F" w:rsidRPr="007C38DE"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7C38DE">
              <w:rPr>
                <w:rFonts w:ascii="Calibri" w:eastAsia="Times New Roman" w:hAnsi="Calibri" w:cs="Calibri"/>
                <w:b/>
                <w:bCs/>
                <w:kern w:val="0"/>
                <w:sz w:val="16"/>
                <w:szCs w:val="16"/>
                <w:lang w:eastAsia="en-AU"/>
                <w14:ligatures w14:val="none"/>
              </w:rPr>
              <w:t>Palliative or supportive care</w:t>
            </w:r>
          </w:p>
          <w:p w14:paraId="4101B45E" w14:textId="3C565A6A"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 xml:space="preserve">Screen ED patients for </w:t>
            </w:r>
            <w:r>
              <w:rPr>
                <w:rFonts w:ascii="Calibri" w:eastAsia="Times New Roman" w:hAnsi="Calibri" w:cs="Calibri"/>
                <w:color w:val="000000"/>
                <w:kern w:val="0"/>
                <w:sz w:val="16"/>
                <w:szCs w:val="16"/>
                <w:lang w:eastAsia="en-AU"/>
                <w14:ligatures w14:val="none"/>
              </w:rPr>
              <w:t>advanced illness</w:t>
            </w:r>
            <w:r w:rsidRPr="007F1A6A">
              <w:rPr>
                <w:rFonts w:ascii="Calibri" w:eastAsia="Times New Roman" w:hAnsi="Calibri" w:cs="Calibri"/>
                <w:color w:val="000000"/>
                <w:kern w:val="0"/>
                <w:sz w:val="16"/>
                <w:szCs w:val="16"/>
                <w:lang w:eastAsia="en-AU"/>
                <w14:ligatures w14:val="none"/>
              </w:rPr>
              <w:t xml:space="preserve">, provide ED health care providers with training to have </w:t>
            </w:r>
            <w:r w:rsidRPr="006B3BF6">
              <w:rPr>
                <w:rFonts w:ascii="Calibri" w:eastAsia="Times New Roman" w:hAnsi="Calibri" w:cs="Calibri"/>
                <w:color w:val="000000"/>
                <w:kern w:val="0"/>
                <w:sz w:val="16"/>
                <w:szCs w:val="16"/>
                <w:lang w:eastAsia="en-AU"/>
                <w14:ligatures w14:val="none"/>
              </w:rPr>
              <w:t>goals-of-care</w:t>
            </w:r>
            <w:r w:rsidRPr="007F1A6A">
              <w:rPr>
                <w:rFonts w:ascii="Calibri" w:eastAsia="Times New Roman" w:hAnsi="Calibri" w:cs="Calibri"/>
                <w:color w:val="000000"/>
                <w:kern w:val="0"/>
                <w:sz w:val="16"/>
                <w:szCs w:val="16"/>
                <w:lang w:eastAsia="en-AU"/>
                <w14:ligatures w14:val="none"/>
              </w:rPr>
              <w:t xml:space="preserve"> discussions, conduct ED-led </w:t>
            </w:r>
            <w:r w:rsidRPr="006B3BF6">
              <w:rPr>
                <w:rFonts w:ascii="Calibri" w:eastAsia="Times New Roman" w:hAnsi="Calibri" w:cs="Calibri"/>
                <w:color w:val="000000"/>
                <w:kern w:val="0"/>
                <w:sz w:val="16"/>
                <w:szCs w:val="16"/>
                <w:lang w:eastAsia="en-AU"/>
                <w14:ligatures w14:val="none"/>
              </w:rPr>
              <w:t>goals-of-care</w:t>
            </w:r>
            <w:r w:rsidRPr="007F1A6A">
              <w:rPr>
                <w:rFonts w:ascii="Calibri" w:eastAsia="Times New Roman" w:hAnsi="Calibri" w:cs="Calibri"/>
                <w:color w:val="000000"/>
                <w:kern w:val="0"/>
                <w:sz w:val="16"/>
                <w:szCs w:val="16"/>
                <w:lang w:eastAsia="en-AU"/>
                <w14:ligatures w14:val="none"/>
              </w:rPr>
              <w:t xml:space="preserve"> promptly, and develop a safe discharge to hospice for appropriate patients. An interdisciplinary team consisting of nurses, emergency and palliative care physicians, social workers, case management, quality, and administration was formed and met bi-weekly during the study period</w:t>
            </w:r>
          </w:p>
        </w:tc>
        <w:tc>
          <w:tcPr>
            <w:tcW w:w="1128" w:type="dxa"/>
            <w:tcBorders>
              <w:top w:val="nil"/>
              <w:left w:val="nil"/>
              <w:bottom w:val="nil"/>
              <w:right w:val="nil"/>
            </w:tcBorders>
            <w:shd w:val="clear" w:color="000000" w:fill="FFFFFF"/>
            <w:hideMark/>
          </w:tcPr>
          <w:p w14:paraId="7971454C"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w:t>
            </w:r>
          </w:p>
        </w:tc>
        <w:tc>
          <w:tcPr>
            <w:tcW w:w="1389" w:type="dxa"/>
            <w:tcBorders>
              <w:top w:val="nil"/>
              <w:left w:val="nil"/>
              <w:bottom w:val="nil"/>
              <w:right w:val="nil"/>
            </w:tcBorders>
            <w:shd w:val="clear" w:color="000000" w:fill="FFFFFF"/>
            <w:hideMark/>
          </w:tcPr>
          <w:p w14:paraId="097C7BEF"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61</w:t>
            </w:r>
          </w:p>
        </w:tc>
        <w:tc>
          <w:tcPr>
            <w:tcW w:w="1119" w:type="dxa"/>
            <w:tcBorders>
              <w:top w:val="nil"/>
              <w:left w:val="nil"/>
              <w:bottom w:val="nil"/>
              <w:right w:val="nil"/>
            </w:tcBorders>
            <w:shd w:val="clear" w:color="000000" w:fill="FFFFFF"/>
            <w:hideMark/>
          </w:tcPr>
          <w:p w14:paraId="07AB351A"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21</w:t>
            </w:r>
          </w:p>
        </w:tc>
        <w:tc>
          <w:tcPr>
            <w:tcW w:w="1135" w:type="dxa"/>
            <w:tcBorders>
              <w:top w:val="nil"/>
              <w:left w:val="nil"/>
              <w:bottom w:val="nil"/>
              <w:right w:val="nil"/>
            </w:tcBorders>
            <w:shd w:val="clear" w:color="000000" w:fill="FFFFFF"/>
            <w:hideMark/>
          </w:tcPr>
          <w:p w14:paraId="4E20DF8A" w14:textId="3570B74F"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Pre-post</w:t>
            </w:r>
          </w:p>
        </w:tc>
        <w:tc>
          <w:tcPr>
            <w:tcW w:w="1128" w:type="dxa"/>
            <w:tcBorders>
              <w:top w:val="nil"/>
              <w:left w:val="nil"/>
              <w:bottom w:val="nil"/>
              <w:right w:val="nil"/>
            </w:tcBorders>
            <w:shd w:val="clear" w:color="000000" w:fill="FFFFFF"/>
            <w:hideMark/>
          </w:tcPr>
          <w:p w14:paraId="1BDA5173" w14:textId="20658776" w:rsid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System performance</w:t>
            </w:r>
          </w:p>
          <w:p w14:paraId="5E2C9AB5" w14:textId="3D2A53B6"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P</w:t>
            </w:r>
            <w:r w:rsidRPr="007F1A6A">
              <w:rPr>
                <w:rFonts w:ascii="Calibri" w:eastAsia="Times New Roman" w:hAnsi="Calibri" w:cs="Calibri"/>
                <w:color w:val="000000"/>
                <w:kern w:val="0"/>
                <w:sz w:val="16"/>
                <w:szCs w:val="16"/>
                <w:lang w:eastAsia="en-AU"/>
                <w14:ligatures w14:val="none"/>
              </w:rPr>
              <w:t xml:space="preserve">atient outcomes </w:t>
            </w:r>
            <w:r>
              <w:rPr>
                <w:rFonts w:ascii="Calibri" w:eastAsia="Times New Roman" w:hAnsi="Calibri" w:cs="Calibri"/>
                <w:color w:val="000000"/>
                <w:kern w:val="0"/>
                <w:sz w:val="16"/>
                <w:szCs w:val="16"/>
                <w:lang w:eastAsia="en-AU"/>
                <w14:ligatures w14:val="none"/>
              </w:rPr>
              <w:t>P</w:t>
            </w:r>
            <w:r w:rsidRPr="007F1A6A">
              <w:rPr>
                <w:rFonts w:ascii="Calibri" w:eastAsia="Times New Roman" w:hAnsi="Calibri" w:cs="Calibri"/>
                <w:color w:val="000000"/>
                <w:kern w:val="0"/>
                <w:sz w:val="16"/>
                <w:szCs w:val="16"/>
                <w:lang w:eastAsia="en-AU"/>
                <w14:ligatures w14:val="none"/>
              </w:rPr>
              <w:t xml:space="preserve">atient experience </w:t>
            </w:r>
          </w:p>
        </w:tc>
      </w:tr>
      <w:tr w:rsidR="004B049F" w:rsidRPr="00E821F3" w14:paraId="3ECECEA2" w14:textId="77777777" w:rsidTr="00143566">
        <w:trPr>
          <w:cantSplit/>
          <w:trHeight w:val="567"/>
        </w:trPr>
        <w:tc>
          <w:tcPr>
            <w:tcW w:w="1313" w:type="dxa"/>
            <w:tcBorders>
              <w:top w:val="nil"/>
              <w:left w:val="nil"/>
              <w:bottom w:val="nil"/>
              <w:right w:val="nil"/>
            </w:tcBorders>
            <w:shd w:val="clear" w:color="auto" w:fill="auto"/>
            <w:noWrap/>
            <w:hideMark/>
          </w:tcPr>
          <w:p w14:paraId="2BF15C6B" w14:textId="2EBAFB53"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4B049F">
              <w:rPr>
                <w:sz w:val="16"/>
                <w:szCs w:val="16"/>
              </w:rPr>
              <w:t>Liberman et al., 2020, USA</w:t>
            </w:r>
          </w:p>
        </w:tc>
        <w:tc>
          <w:tcPr>
            <w:tcW w:w="1525" w:type="dxa"/>
            <w:tcBorders>
              <w:top w:val="nil"/>
              <w:left w:val="nil"/>
              <w:bottom w:val="nil"/>
              <w:right w:val="nil"/>
            </w:tcBorders>
          </w:tcPr>
          <w:p w14:paraId="0D80D294" w14:textId="5AC1C149"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To improve care of older adults in the ED</w:t>
            </w:r>
          </w:p>
        </w:tc>
        <w:tc>
          <w:tcPr>
            <w:tcW w:w="2688" w:type="dxa"/>
            <w:tcBorders>
              <w:top w:val="nil"/>
              <w:left w:val="nil"/>
              <w:bottom w:val="nil"/>
              <w:right w:val="nil"/>
            </w:tcBorders>
            <w:shd w:val="clear" w:color="auto" w:fill="auto"/>
            <w:hideMark/>
          </w:tcPr>
          <w:p w14:paraId="122F7E59" w14:textId="7E0128A2"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To determine whether identifying older adults that could be safely sent home with connection to community resources decreased 30-day revisit and hospitali</w:t>
            </w:r>
            <w:r>
              <w:rPr>
                <w:rFonts w:ascii="Calibri" w:eastAsia="Times New Roman" w:hAnsi="Calibri" w:cs="Calibri"/>
                <w:color w:val="000000"/>
                <w:kern w:val="0"/>
                <w:sz w:val="16"/>
                <w:szCs w:val="16"/>
                <w:lang w:eastAsia="en-AU"/>
                <w14:ligatures w14:val="none"/>
              </w:rPr>
              <w:t>s</w:t>
            </w:r>
            <w:r w:rsidRPr="007F1A6A">
              <w:rPr>
                <w:rFonts w:ascii="Calibri" w:eastAsia="Times New Roman" w:hAnsi="Calibri" w:cs="Calibri"/>
                <w:color w:val="000000"/>
                <w:kern w:val="0"/>
                <w:sz w:val="16"/>
                <w:szCs w:val="16"/>
                <w:lang w:eastAsia="en-AU"/>
                <w14:ligatures w14:val="none"/>
              </w:rPr>
              <w:t>ation rates and achieved high patient and family satisfaction</w:t>
            </w:r>
          </w:p>
        </w:tc>
        <w:tc>
          <w:tcPr>
            <w:tcW w:w="3031" w:type="dxa"/>
            <w:tcBorders>
              <w:top w:val="nil"/>
              <w:left w:val="nil"/>
              <w:bottom w:val="nil"/>
              <w:right w:val="nil"/>
            </w:tcBorders>
            <w:shd w:val="clear" w:color="auto" w:fill="auto"/>
            <w:hideMark/>
          </w:tcPr>
          <w:p w14:paraId="404146FE" w14:textId="77777777" w:rsidR="004B049F" w:rsidRPr="007C38DE"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7C38DE">
              <w:rPr>
                <w:rFonts w:ascii="Calibri" w:eastAsia="Times New Roman" w:hAnsi="Calibri" w:cs="Calibri"/>
                <w:b/>
                <w:bCs/>
                <w:kern w:val="0"/>
                <w:sz w:val="16"/>
                <w:szCs w:val="16"/>
                <w:lang w:eastAsia="en-AU"/>
                <w14:ligatures w14:val="none"/>
              </w:rPr>
              <w:t>Palliative or supportive care</w:t>
            </w:r>
          </w:p>
          <w:p w14:paraId="430EC5C4" w14:textId="28A07286"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Implementation of a Geriatrics and Palliative Medicine ED team comprised of a Geriatric and Palliative Medicine physician, an Emergency physician, a Social Worker speciali</w:t>
            </w:r>
            <w:r>
              <w:rPr>
                <w:rFonts w:ascii="Calibri" w:eastAsia="Times New Roman" w:hAnsi="Calibri" w:cs="Calibri"/>
                <w:color w:val="000000"/>
                <w:kern w:val="0"/>
                <w:sz w:val="16"/>
                <w:szCs w:val="16"/>
                <w:lang w:eastAsia="en-AU"/>
                <w14:ligatures w14:val="none"/>
              </w:rPr>
              <w:t>s</w:t>
            </w:r>
            <w:r w:rsidRPr="007F1A6A">
              <w:rPr>
                <w:rFonts w:ascii="Calibri" w:eastAsia="Times New Roman" w:hAnsi="Calibri" w:cs="Calibri"/>
                <w:color w:val="000000"/>
                <w:kern w:val="0"/>
                <w:sz w:val="16"/>
                <w:szCs w:val="16"/>
                <w:lang w:eastAsia="en-AU"/>
                <w14:ligatures w14:val="none"/>
              </w:rPr>
              <w:t>ed in Geriatrics and Palliative Medicine, nursing leadership, and administrative and research support.</w:t>
            </w:r>
          </w:p>
        </w:tc>
        <w:tc>
          <w:tcPr>
            <w:tcW w:w="1128" w:type="dxa"/>
            <w:tcBorders>
              <w:top w:val="nil"/>
              <w:left w:val="nil"/>
              <w:bottom w:val="nil"/>
              <w:right w:val="nil"/>
            </w:tcBorders>
            <w:shd w:val="clear" w:color="auto" w:fill="auto"/>
            <w:hideMark/>
          </w:tcPr>
          <w:p w14:paraId="28C5DB34"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w:t>
            </w:r>
          </w:p>
        </w:tc>
        <w:tc>
          <w:tcPr>
            <w:tcW w:w="1389" w:type="dxa"/>
            <w:tcBorders>
              <w:top w:val="nil"/>
              <w:left w:val="nil"/>
              <w:bottom w:val="nil"/>
              <w:right w:val="nil"/>
            </w:tcBorders>
            <w:shd w:val="clear" w:color="auto" w:fill="auto"/>
            <w:hideMark/>
          </w:tcPr>
          <w:p w14:paraId="49771C0D"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283</w:t>
            </w:r>
          </w:p>
        </w:tc>
        <w:tc>
          <w:tcPr>
            <w:tcW w:w="1119" w:type="dxa"/>
            <w:tcBorders>
              <w:top w:val="nil"/>
              <w:left w:val="nil"/>
              <w:bottom w:val="nil"/>
              <w:right w:val="nil"/>
            </w:tcBorders>
            <w:shd w:val="clear" w:color="auto" w:fill="auto"/>
            <w:hideMark/>
          </w:tcPr>
          <w:p w14:paraId="797C0778"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283</w:t>
            </w:r>
          </w:p>
        </w:tc>
        <w:tc>
          <w:tcPr>
            <w:tcW w:w="1135" w:type="dxa"/>
            <w:tcBorders>
              <w:top w:val="nil"/>
              <w:left w:val="nil"/>
              <w:bottom w:val="nil"/>
              <w:right w:val="nil"/>
            </w:tcBorders>
            <w:shd w:val="clear" w:color="auto" w:fill="auto"/>
            <w:hideMark/>
          </w:tcPr>
          <w:p w14:paraId="26378440" w14:textId="511972B8"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Pre-post</w:t>
            </w:r>
          </w:p>
        </w:tc>
        <w:tc>
          <w:tcPr>
            <w:tcW w:w="1128" w:type="dxa"/>
            <w:tcBorders>
              <w:top w:val="nil"/>
              <w:left w:val="nil"/>
              <w:bottom w:val="nil"/>
              <w:right w:val="nil"/>
            </w:tcBorders>
            <w:shd w:val="clear" w:color="auto" w:fill="auto"/>
            <w:hideMark/>
          </w:tcPr>
          <w:p w14:paraId="35343D6F" w14:textId="4330CFE4" w:rsid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P</w:t>
            </w:r>
            <w:r w:rsidRPr="007F1A6A">
              <w:rPr>
                <w:rFonts w:ascii="Calibri" w:eastAsia="Times New Roman" w:hAnsi="Calibri" w:cs="Calibri"/>
                <w:color w:val="000000"/>
                <w:kern w:val="0"/>
                <w:sz w:val="16"/>
                <w:szCs w:val="16"/>
                <w:lang w:eastAsia="en-AU"/>
                <w14:ligatures w14:val="none"/>
              </w:rPr>
              <w:t>atient outcomes</w:t>
            </w:r>
          </w:p>
          <w:p w14:paraId="302597AD" w14:textId="61AAC9FE" w:rsid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P</w:t>
            </w:r>
            <w:r w:rsidRPr="007F1A6A">
              <w:rPr>
                <w:rFonts w:ascii="Calibri" w:eastAsia="Times New Roman" w:hAnsi="Calibri" w:cs="Calibri"/>
                <w:color w:val="000000"/>
                <w:kern w:val="0"/>
                <w:sz w:val="16"/>
                <w:szCs w:val="16"/>
                <w:lang w:eastAsia="en-AU"/>
                <w14:ligatures w14:val="none"/>
              </w:rPr>
              <w:t>atient experience</w:t>
            </w:r>
          </w:p>
          <w:p w14:paraId="3AD95641" w14:textId="2285FA01"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p>
        </w:tc>
      </w:tr>
      <w:tr w:rsidR="004B049F" w:rsidRPr="00E821F3" w14:paraId="3D1160C8" w14:textId="77777777" w:rsidTr="00143566">
        <w:trPr>
          <w:cantSplit/>
          <w:trHeight w:val="567"/>
        </w:trPr>
        <w:tc>
          <w:tcPr>
            <w:tcW w:w="1313" w:type="dxa"/>
            <w:tcBorders>
              <w:top w:val="nil"/>
              <w:left w:val="nil"/>
              <w:bottom w:val="nil"/>
              <w:right w:val="nil"/>
            </w:tcBorders>
            <w:shd w:val="clear" w:color="auto" w:fill="auto"/>
            <w:noWrap/>
            <w:hideMark/>
          </w:tcPr>
          <w:p w14:paraId="11581B57" w14:textId="30D8ADAD"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4B049F">
              <w:rPr>
                <w:sz w:val="16"/>
                <w:szCs w:val="16"/>
              </w:rPr>
              <w:t>Liu et al., 2019, Taiwan</w:t>
            </w:r>
          </w:p>
        </w:tc>
        <w:tc>
          <w:tcPr>
            <w:tcW w:w="1525" w:type="dxa"/>
            <w:tcBorders>
              <w:top w:val="nil"/>
              <w:left w:val="nil"/>
              <w:bottom w:val="nil"/>
              <w:right w:val="nil"/>
            </w:tcBorders>
          </w:tcPr>
          <w:p w14:paraId="70AC25E0" w14:textId="5620F119"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PIMs/polypharmacy</w:t>
            </w:r>
          </w:p>
        </w:tc>
        <w:tc>
          <w:tcPr>
            <w:tcW w:w="2688" w:type="dxa"/>
            <w:tcBorders>
              <w:top w:val="nil"/>
              <w:left w:val="nil"/>
              <w:bottom w:val="nil"/>
              <w:right w:val="nil"/>
            </w:tcBorders>
            <w:shd w:val="clear" w:color="auto" w:fill="auto"/>
            <w:hideMark/>
          </w:tcPr>
          <w:p w14:paraId="1811CB15" w14:textId="038DC430"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To determine effect of medication reconciliation on polypharmacy for older adults in ED</w:t>
            </w:r>
          </w:p>
        </w:tc>
        <w:tc>
          <w:tcPr>
            <w:tcW w:w="3031" w:type="dxa"/>
            <w:tcBorders>
              <w:top w:val="nil"/>
              <w:left w:val="nil"/>
              <w:bottom w:val="nil"/>
              <w:right w:val="nil"/>
            </w:tcBorders>
            <w:shd w:val="clear" w:color="auto" w:fill="auto"/>
            <w:hideMark/>
          </w:tcPr>
          <w:p w14:paraId="55BA212C" w14:textId="60976DC6" w:rsidR="004B049F" w:rsidRPr="00231E9F"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231E9F">
              <w:rPr>
                <w:rFonts w:ascii="Calibri" w:eastAsia="Times New Roman" w:hAnsi="Calibri" w:cs="Calibri"/>
                <w:b/>
                <w:bCs/>
                <w:color w:val="000000"/>
                <w:kern w:val="0"/>
                <w:sz w:val="16"/>
                <w:szCs w:val="16"/>
                <w:lang w:eastAsia="en-AU"/>
                <w14:ligatures w14:val="none"/>
              </w:rPr>
              <w:t>Medication management</w:t>
            </w:r>
          </w:p>
          <w:p w14:paraId="7DA8AE6E" w14:textId="2215920A" w:rsidR="004B049F" w:rsidRPr="007F1A6A" w:rsidRDefault="00BF0286"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C</w:t>
            </w:r>
            <w:r w:rsidRPr="00BF0286">
              <w:rPr>
                <w:rFonts w:ascii="Calibri" w:eastAsia="Times New Roman" w:hAnsi="Calibri" w:cs="Calibri"/>
                <w:color w:val="000000"/>
                <w:kern w:val="0"/>
                <w:sz w:val="16"/>
                <w:szCs w:val="16"/>
                <w:lang w:eastAsia="en-AU"/>
                <w14:ligatures w14:val="none"/>
              </w:rPr>
              <w:t>omputer-based and pharmacist-assisted medication review initiated in the ED</w:t>
            </w:r>
          </w:p>
        </w:tc>
        <w:tc>
          <w:tcPr>
            <w:tcW w:w="1128" w:type="dxa"/>
            <w:tcBorders>
              <w:top w:val="nil"/>
              <w:left w:val="nil"/>
              <w:bottom w:val="nil"/>
              <w:right w:val="nil"/>
            </w:tcBorders>
            <w:shd w:val="clear" w:color="auto" w:fill="auto"/>
            <w:hideMark/>
          </w:tcPr>
          <w:p w14:paraId="4B38AEF1"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w:t>
            </w:r>
          </w:p>
        </w:tc>
        <w:tc>
          <w:tcPr>
            <w:tcW w:w="1389" w:type="dxa"/>
            <w:tcBorders>
              <w:top w:val="nil"/>
              <w:left w:val="nil"/>
              <w:bottom w:val="nil"/>
              <w:right w:val="nil"/>
            </w:tcBorders>
            <w:shd w:val="clear" w:color="auto" w:fill="auto"/>
            <w:hideMark/>
          </w:tcPr>
          <w:p w14:paraId="589C2C7D"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668</w:t>
            </w:r>
          </w:p>
        </w:tc>
        <w:tc>
          <w:tcPr>
            <w:tcW w:w="1119" w:type="dxa"/>
            <w:tcBorders>
              <w:top w:val="nil"/>
              <w:left w:val="nil"/>
              <w:bottom w:val="nil"/>
              <w:right w:val="nil"/>
            </w:tcBorders>
            <w:shd w:val="clear" w:color="auto" w:fill="auto"/>
            <w:hideMark/>
          </w:tcPr>
          <w:p w14:paraId="7A63A88C"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243</w:t>
            </w:r>
          </w:p>
        </w:tc>
        <w:tc>
          <w:tcPr>
            <w:tcW w:w="1135" w:type="dxa"/>
            <w:tcBorders>
              <w:top w:val="nil"/>
              <w:left w:val="nil"/>
              <w:bottom w:val="nil"/>
              <w:right w:val="nil"/>
            </w:tcBorders>
            <w:shd w:val="clear" w:color="auto" w:fill="auto"/>
            <w:hideMark/>
          </w:tcPr>
          <w:p w14:paraId="5C460DB3" w14:textId="77777777"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Pre-post</w:t>
            </w:r>
          </w:p>
        </w:tc>
        <w:tc>
          <w:tcPr>
            <w:tcW w:w="1128" w:type="dxa"/>
            <w:tcBorders>
              <w:top w:val="nil"/>
              <w:left w:val="nil"/>
              <w:bottom w:val="nil"/>
              <w:right w:val="nil"/>
            </w:tcBorders>
            <w:shd w:val="clear" w:color="auto" w:fill="auto"/>
            <w:hideMark/>
          </w:tcPr>
          <w:p w14:paraId="0CBF6E55" w14:textId="26F87199" w:rsid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S</w:t>
            </w:r>
            <w:r w:rsidRPr="007F1A6A">
              <w:rPr>
                <w:rFonts w:ascii="Calibri" w:eastAsia="Times New Roman" w:hAnsi="Calibri" w:cs="Calibri"/>
                <w:color w:val="000000"/>
                <w:kern w:val="0"/>
                <w:sz w:val="16"/>
                <w:szCs w:val="16"/>
                <w:lang w:eastAsia="en-AU"/>
                <w14:ligatures w14:val="none"/>
              </w:rPr>
              <w:t>ystem performance</w:t>
            </w:r>
          </w:p>
          <w:p w14:paraId="06887C33" w14:textId="1663C669"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P</w:t>
            </w:r>
            <w:r w:rsidRPr="007F1A6A">
              <w:rPr>
                <w:rFonts w:ascii="Calibri" w:eastAsia="Times New Roman" w:hAnsi="Calibri" w:cs="Calibri"/>
                <w:color w:val="000000"/>
                <w:kern w:val="0"/>
                <w:sz w:val="16"/>
                <w:szCs w:val="16"/>
                <w:lang w:eastAsia="en-AU"/>
                <w14:ligatures w14:val="none"/>
              </w:rPr>
              <w:t>atient outcomes</w:t>
            </w:r>
          </w:p>
        </w:tc>
      </w:tr>
      <w:tr w:rsidR="004B049F" w:rsidRPr="00E821F3" w14:paraId="734B2659" w14:textId="77777777" w:rsidTr="00143566">
        <w:trPr>
          <w:cantSplit/>
          <w:trHeight w:val="567"/>
        </w:trPr>
        <w:tc>
          <w:tcPr>
            <w:tcW w:w="1313" w:type="dxa"/>
            <w:tcBorders>
              <w:top w:val="nil"/>
              <w:left w:val="nil"/>
              <w:bottom w:val="nil"/>
              <w:right w:val="nil"/>
            </w:tcBorders>
            <w:shd w:val="clear" w:color="auto" w:fill="auto"/>
            <w:noWrap/>
            <w:hideMark/>
          </w:tcPr>
          <w:p w14:paraId="5EBAB198" w14:textId="1E3AB775"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4B049F">
              <w:rPr>
                <w:sz w:val="16"/>
                <w:szCs w:val="16"/>
              </w:rPr>
              <w:t>Liu et al., 2021, Sweden</w:t>
            </w:r>
          </w:p>
        </w:tc>
        <w:tc>
          <w:tcPr>
            <w:tcW w:w="1525" w:type="dxa"/>
            <w:tcBorders>
              <w:top w:val="nil"/>
              <w:left w:val="nil"/>
              <w:bottom w:val="nil"/>
              <w:right w:val="nil"/>
            </w:tcBorders>
          </w:tcPr>
          <w:p w14:paraId="4612C077" w14:textId="48CE3548"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Avoidable admissions</w:t>
            </w:r>
          </w:p>
        </w:tc>
        <w:tc>
          <w:tcPr>
            <w:tcW w:w="2688" w:type="dxa"/>
            <w:tcBorders>
              <w:top w:val="nil"/>
              <w:left w:val="nil"/>
              <w:bottom w:val="nil"/>
              <w:right w:val="nil"/>
            </w:tcBorders>
            <w:shd w:val="clear" w:color="auto" w:fill="auto"/>
            <w:hideMark/>
          </w:tcPr>
          <w:p w14:paraId="08A67EE8" w14:textId="38739B1F"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To investigate whether a dedicated interprofessional emergency team also can reduce the hospital admission rate without the resources required by the formal use of CGA</w:t>
            </w:r>
          </w:p>
        </w:tc>
        <w:tc>
          <w:tcPr>
            <w:tcW w:w="3031" w:type="dxa"/>
            <w:tcBorders>
              <w:top w:val="nil"/>
              <w:left w:val="nil"/>
              <w:bottom w:val="nil"/>
              <w:right w:val="nil"/>
            </w:tcBorders>
            <w:shd w:val="clear" w:color="auto" w:fill="auto"/>
            <w:hideMark/>
          </w:tcPr>
          <w:p w14:paraId="5554F80C" w14:textId="37BCBB21" w:rsidR="004B049F" w:rsidRPr="00893809"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893809">
              <w:rPr>
                <w:rFonts w:ascii="Calibri" w:eastAsia="Times New Roman" w:hAnsi="Calibri" w:cs="Calibri"/>
                <w:b/>
                <w:bCs/>
                <w:color w:val="000000"/>
                <w:kern w:val="0"/>
                <w:sz w:val="16"/>
                <w:szCs w:val="16"/>
                <w:lang w:eastAsia="en-AU"/>
                <w14:ligatures w14:val="none"/>
              </w:rPr>
              <w:t>General assessment and multi-faceted care coordination to reduce avoidable hospital admissions and/or LOS and/or improve ED flow</w:t>
            </w:r>
          </w:p>
          <w:p w14:paraId="765F2DA5" w14:textId="2A0F9D35"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O</w:t>
            </w:r>
            <w:r w:rsidRPr="007F1A6A">
              <w:rPr>
                <w:rFonts w:ascii="Calibri" w:eastAsia="Times New Roman" w:hAnsi="Calibri" w:cs="Calibri"/>
                <w:color w:val="000000"/>
                <w:kern w:val="0"/>
                <w:sz w:val="16"/>
                <w:szCs w:val="16"/>
                <w:lang w:eastAsia="en-AU"/>
                <w14:ligatures w14:val="none"/>
              </w:rPr>
              <w:t>ne interprofessional team non-geriatric specialists and an older-friendly area to improve the care for older patient</w:t>
            </w:r>
          </w:p>
        </w:tc>
        <w:tc>
          <w:tcPr>
            <w:tcW w:w="1128" w:type="dxa"/>
            <w:tcBorders>
              <w:top w:val="nil"/>
              <w:left w:val="nil"/>
              <w:bottom w:val="nil"/>
              <w:right w:val="nil"/>
            </w:tcBorders>
            <w:shd w:val="clear" w:color="auto" w:fill="auto"/>
            <w:hideMark/>
          </w:tcPr>
          <w:p w14:paraId="3C6708F4"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w:t>
            </w:r>
          </w:p>
        </w:tc>
        <w:tc>
          <w:tcPr>
            <w:tcW w:w="1389" w:type="dxa"/>
            <w:tcBorders>
              <w:top w:val="nil"/>
              <w:left w:val="nil"/>
              <w:bottom w:val="nil"/>
              <w:right w:val="nil"/>
            </w:tcBorders>
            <w:shd w:val="clear" w:color="auto" w:fill="auto"/>
            <w:hideMark/>
          </w:tcPr>
          <w:p w14:paraId="57CF55C6" w14:textId="5E356CE3"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634</w:t>
            </w:r>
          </w:p>
        </w:tc>
        <w:tc>
          <w:tcPr>
            <w:tcW w:w="1119" w:type="dxa"/>
            <w:tcBorders>
              <w:top w:val="nil"/>
              <w:left w:val="nil"/>
              <w:bottom w:val="nil"/>
              <w:right w:val="nil"/>
            </w:tcBorders>
            <w:shd w:val="clear" w:color="auto" w:fill="auto"/>
            <w:hideMark/>
          </w:tcPr>
          <w:p w14:paraId="481A84AA" w14:textId="46BA6052"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3,950</w:t>
            </w:r>
          </w:p>
        </w:tc>
        <w:tc>
          <w:tcPr>
            <w:tcW w:w="1135" w:type="dxa"/>
            <w:tcBorders>
              <w:top w:val="nil"/>
              <w:left w:val="nil"/>
              <w:bottom w:val="nil"/>
              <w:right w:val="nil"/>
            </w:tcBorders>
            <w:shd w:val="clear" w:color="auto" w:fill="auto"/>
            <w:hideMark/>
          </w:tcPr>
          <w:p w14:paraId="3C6051A3" w14:textId="77777777"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Pre-post</w:t>
            </w:r>
          </w:p>
        </w:tc>
        <w:tc>
          <w:tcPr>
            <w:tcW w:w="1128" w:type="dxa"/>
            <w:tcBorders>
              <w:top w:val="nil"/>
              <w:left w:val="nil"/>
              <w:bottom w:val="nil"/>
              <w:right w:val="nil"/>
            </w:tcBorders>
            <w:shd w:val="clear" w:color="auto" w:fill="auto"/>
            <w:hideMark/>
          </w:tcPr>
          <w:p w14:paraId="673AE411" w14:textId="77777777" w:rsid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S</w:t>
            </w:r>
            <w:r w:rsidRPr="007F1A6A">
              <w:rPr>
                <w:rFonts w:ascii="Calibri" w:eastAsia="Times New Roman" w:hAnsi="Calibri" w:cs="Calibri"/>
                <w:color w:val="000000"/>
                <w:kern w:val="0"/>
                <w:sz w:val="16"/>
                <w:szCs w:val="16"/>
                <w:lang w:eastAsia="en-AU"/>
                <w14:ligatures w14:val="none"/>
              </w:rPr>
              <w:t>ystem performance</w:t>
            </w:r>
          </w:p>
          <w:p w14:paraId="5628B8EC" w14:textId="594C5D4E"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P</w:t>
            </w:r>
            <w:r w:rsidRPr="007F1A6A">
              <w:rPr>
                <w:rFonts w:ascii="Calibri" w:eastAsia="Times New Roman" w:hAnsi="Calibri" w:cs="Calibri"/>
                <w:color w:val="000000"/>
                <w:kern w:val="0"/>
                <w:sz w:val="16"/>
                <w:szCs w:val="16"/>
                <w:lang w:eastAsia="en-AU"/>
                <w14:ligatures w14:val="none"/>
              </w:rPr>
              <w:t>atient outcomes</w:t>
            </w:r>
          </w:p>
        </w:tc>
      </w:tr>
      <w:tr w:rsidR="004B049F" w:rsidRPr="00E821F3" w14:paraId="7830C00E" w14:textId="77777777" w:rsidTr="00143566">
        <w:trPr>
          <w:cantSplit/>
          <w:trHeight w:val="567"/>
        </w:trPr>
        <w:tc>
          <w:tcPr>
            <w:tcW w:w="1313" w:type="dxa"/>
            <w:tcBorders>
              <w:top w:val="nil"/>
              <w:left w:val="nil"/>
              <w:bottom w:val="nil"/>
              <w:right w:val="nil"/>
            </w:tcBorders>
            <w:shd w:val="clear" w:color="auto" w:fill="auto"/>
            <w:noWrap/>
            <w:hideMark/>
          </w:tcPr>
          <w:p w14:paraId="250B24C3" w14:textId="1229F594"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4B049F">
              <w:rPr>
                <w:sz w:val="16"/>
                <w:szCs w:val="16"/>
              </w:rPr>
              <w:t>Mahony et al., 2008, USA</w:t>
            </w:r>
          </w:p>
        </w:tc>
        <w:tc>
          <w:tcPr>
            <w:tcW w:w="1525" w:type="dxa"/>
            <w:tcBorders>
              <w:top w:val="nil"/>
              <w:left w:val="nil"/>
              <w:bottom w:val="nil"/>
              <w:right w:val="nil"/>
            </w:tcBorders>
          </w:tcPr>
          <w:p w14:paraId="7081EAC4" w14:textId="29DEE5E5"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Unmet need/palliative care</w:t>
            </w:r>
          </w:p>
        </w:tc>
        <w:tc>
          <w:tcPr>
            <w:tcW w:w="2688" w:type="dxa"/>
            <w:tcBorders>
              <w:top w:val="nil"/>
              <w:left w:val="nil"/>
              <w:bottom w:val="nil"/>
              <w:right w:val="nil"/>
            </w:tcBorders>
            <w:shd w:val="clear" w:color="auto" w:fill="auto"/>
            <w:hideMark/>
          </w:tcPr>
          <w:p w14:paraId="5F9D5EDA" w14:textId="636E84F7"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 xml:space="preserve">To evaluate the impact of a project to identify chronically ill </w:t>
            </w:r>
            <w:r w:rsidR="00260D46">
              <w:rPr>
                <w:rFonts w:ascii="Calibri" w:eastAsia="Times New Roman" w:hAnsi="Calibri" w:cs="Calibri"/>
                <w:color w:val="000000"/>
                <w:kern w:val="0"/>
                <w:sz w:val="16"/>
                <w:szCs w:val="16"/>
                <w:lang w:eastAsia="en-AU"/>
                <w14:ligatures w14:val="none"/>
              </w:rPr>
              <w:t>older adults</w:t>
            </w:r>
            <w:r w:rsidRPr="007F1A6A">
              <w:rPr>
                <w:rFonts w:ascii="Calibri" w:eastAsia="Times New Roman" w:hAnsi="Calibri" w:cs="Calibri"/>
                <w:color w:val="000000"/>
                <w:kern w:val="0"/>
                <w:sz w:val="16"/>
                <w:szCs w:val="16"/>
                <w:lang w:eastAsia="en-AU"/>
                <w14:ligatures w14:val="none"/>
              </w:rPr>
              <w:t xml:space="preserve"> presenting to ED in need of palliative care, homecare, and hospice services and to increase linkage with these services</w:t>
            </w:r>
          </w:p>
        </w:tc>
        <w:tc>
          <w:tcPr>
            <w:tcW w:w="3031" w:type="dxa"/>
            <w:tcBorders>
              <w:top w:val="nil"/>
              <w:left w:val="nil"/>
              <w:bottom w:val="nil"/>
              <w:right w:val="nil"/>
            </w:tcBorders>
            <w:shd w:val="clear" w:color="auto" w:fill="auto"/>
            <w:hideMark/>
          </w:tcPr>
          <w:p w14:paraId="58C1DFFA" w14:textId="77777777" w:rsidR="004B049F" w:rsidRPr="007C38DE"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7C38DE">
              <w:rPr>
                <w:rFonts w:ascii="Calibri" w:eastAsia="Times New Roman" w:hAnsi="Calibri" w:cs="Calibri"/>
                <w:b/>
                <w:bCs/>
                <w:kern w:val="0"/>
                <w:sz w:val="16"/>
                <w:szCs w:val="16"/>
                <w:lang w:eastAsia="en-AU"/>
                <w14:ligatures w14:val="none"/>
              </w:rPr>
              <w:t>Palliative or supportive care</w:t>
            </w:r>
          </w:p>
          <w:p w14:paraId="334CBEAB" w14:textId="4D5D42FC"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Two</w:t>
            </w:r>
            <w:r w:rsidRPr="007F1A6A">
              <w:rPr>
                <w:rFonts w:ascii="Calibri" w:eastAsia="Times New Roman" w:hAnsi="Calibri" w:cs="Calibri"/>
                <w:color w:val="000000"/>
                <w:kern w:val="0"/>
                <w:sz w:val="16"/>
                <w:szCs w:val="16"/>
                <w:lang w:eastAsia="en-AU"/>
                <w14:ligatures w14:val="none"/>
              </w:rPr>
              <w:t xml:space="preserve"> pal</w:t>
            </w:r>
            <w:r>
              <w:rPr>
                <w:rFonts w:ascii="Calibri" w:eastAsia="Times New Roman" w:hAnsi="Calibri" w:cs="Calibri"/>
                <w:color w:val="000000"/>
                <w:kern w:val="0"/>
                <w:sz w:val="16"/>
                <w:szCs w:val="16"/>
                <w:lang w:eastAsia="en-AU"/>
                <w14:ligatures w14:val="none"/>
              </w:rPr>
              <w:t>liative</w:t>
            </w:r>
            <w:r w:rsidRPr="007F1A6A">
              <w:rPr>
                <w:rFonts w:ascii="Calibri" w:eastAsia="Times New Roman" w:hAnsi="Calibri" w:cs="Calibri"/>
                <w:color w:val="000000"/>
                <w:kern w:val="0"/>
                <w:sz w:val="16"/>
                <w:szCs w:val="16"/>
                <w:lang w:eastAsia="en-AU"/>
                <w14:ligatures w14:val="none"/>
              </w:rPr>
              <w:t xml:space="preserve"> care </w:t>
            </w:r>
            <w:r w:rsidRPr="00EC55AA">
              <w:rPr>
                <w:rFonts w:ascii="Calibri" w:eastAsia="Times New Roman" w:hAnsi="Calibri" w:cs="Calibri"/>
                <w:color w:val="000000"/>
                <w:kern w:val="0"/>
                <w:sz w:val="16"/>
                <w:szCs w:val="16"/>
                <w:lang w:eastAsia="en-AU"/>
                <w14:ligatures w14:val="none"/>
              </w:rPr>
              <w:t>nurse</w:t>
            </w:r>
            <w:r>
              <w:rPr>
                <w:rFonts w:ascii="Calibri" w:eastAsia="Times New Roman" w:hAnsi="Calibri" w:cs="Calibri"/>
                <w:color w:val="000000"/>
                <w:kern w:val="0"/>
                <w:sz w:val="16"/>
                <w:szCs w:val="16"/>
                <w:lang w:eastAsia="en-AU"/>
                <w14:ligatures w14:val="none"/>
              </w:rPr>
              <w:t xml:space="preserve"> </w:t>
            </w:r>
            <w:r w:rsidRPr="00EC55AA">
              <w:rPr>
                <w:rFonts w:ascii="Calibri" w:eastAsia="Times New Roman" w:hAnsi="Calibri" w:cs="Calibri"/>
                <w:color w:val="000000"/>
                <w:kern w:val="0"/>
                <w:sz w:val="16"/>
                <w:szCs w:val="16"/>
                <w:lang w:eastAsia="en-AU"/>
                <w14:ligatures w14:val="none"/>
              </w:rPr>
              <w:t>practitioners</w:t>
            </w:r>
            <w:r w:rsidRPr="007F1A6A">
              <w:rPr>
                <w:rFonts w:ascii="Calibri" w:eastAsia="Times New Roman" w:hAnsi="Calibri" w:cs="Calibri"/>
                <w:color w:val="000000"/>
                <w:kern w:val="0"/>
                <w:sz w:val="16"/>
                <w:szCs w:val="16"/>
                <w:lang w:eastAsia="en-AU"/>
                <w14:ligatures w14:val="none"/>
              </w:rPr>
              <w:t xml:space="preserve"> in ED Mon-Fri 1100-2100, identify patients for pal care, conduct clinical consultation and linked to homecare and hospice services. Also educates ED staff on indications for pal care referral and service access.</w:t>
            </w:r>
          </w:p>
        </w:tc>
        <w:tc>
          <w:tcPr>
            <w:tcW w:w="1128" w:type="dxa"/>
            <w:tcBorders>
              <w:top w:val="nil"/>
              <w:left w:val="nil"/>
              <w:bottom w:val="nil"/>
              <w:right w:val="nil"/>
            </w:tcBorders>
            <w:shd w:val="clear" w:color="auto" w:fill="auto"/>
            <w:hideMark/>
          </w:tcPr>
          <w:p w14:paraId="223B680F"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w:t>
            </w:r>
          </w:p>
        </w:tc>
        <w:tc>
          <w:tcPr>
            <w:tcW w:w="1389" w:type="dxa"/>
            <w:tcBorders>
              <w:top w:val="nil"/>
              <w:left w:val="nil"/>
              <w:bottom w:val="nil"/>
              <w:right w:val="nil"/>
            </w:tcBorders>
            <w:shd w:val="clear" w:color="auto" w:fill="auto"/>
            <w:hideMark/>
          </w:tcPr>
          <w:p w14:paraId="5C13DB4B"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291</w:t>
            </w:r>
          </w:p>
        </w:tc>
        <w:tc>
          <w:tcPr>
            <w:tcW w:w="1119" w:type="dxa"/>
            <w:tcBorders>
              <w:top w:val="nil"/>
              <w:left w:val="nil"/>
              <w:bottom w:val="nil"/>
              <w:right w:val="nil"/>
            </w:tcBorders>
            <w:shd w:val="clear" w:color="auto" w:fill="auto"/>
            <w:hideMark/>
          </w:tcPr>
          <w:p w14:paraId="00D0AFE8"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125</w:t>
            </w:r>
          </w:p>
        </w:tc>
        <w:tc>
          <w:tcPr>
            <w:tcW w:w="1135" w:type="dxa"/>
            <w:tcBorders>
              <w:top w:val="nil"/>
              <w:left w:val="nil"/>
              <w:bottom w:val="nil"/>
              <w:right w:val="nil"/>
            </w:tcBorders>
            <w:shd w:val="clear" w:color="auto" w:fill="auto"/>
            <w:hideMark/>
          </w:tcPr>
          <w:p w14:paraId="60F8FAB8" w14:textId="278FA428"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Descriptive</w:t>
            </w:r>
          </w:p>
        </w:tc>
        <w:tc>
          <w:tcPr>
            <w:tcW w:w="1128" w:type="dxa"/>
            <w:tcBorders>
              <w:top w:val="nil"/>
              <w:left w:val="nil"/>
              <w:bottom w:val="nil"/>
              <w:right w:val="nil"/>
            </w:tcBorders>
            <w:shd w:val="clear" w:color="auto" w:fill="auto"/>
            <w:hideMark/>
          </w:tcPr>
          <w:p w14:paraId="4AB761D3" w14:textId="5BFE70E3"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S</w:t>
            </w:r>
            <w:r w:rsidRPr="007F1A6A">
              <w:rPr>
                <w:rFonts w:ascii="Calibri" w:eastAsia="Times New Roman" w:hAnsi="Calibri" w:cs="Calibri"/>
                <w:color w:val="000000"/>
                <w:kern w:val="0"/>
                <w:sz w:val="16"/>
                <w:szCs w:val="16"/>
                <w:lang w:eastAsia="en-AU"/>
                <w14:ligatures w14:val="none"/>
              </w:rPr>
              <w:t xml:space="preserve">ystem performance </w:t>
            </w:r>
            <w:r>
              <w:rPr>
                <w:rFonts w:ascii="Calibri" w:eastAsia="Times New Roman" w:hAnsi="Calibri" w:cs="Calibri"/>
                <w:color w:val="000000"/>
                <w:kern w:val="0"/>
                <w:sz w:val="16"/>
                <w:szCs w:val="16"/>
                <w:lang w:eastAsia="en-AU"/>
                <w14:ligatures w14:val="none"/>
              </w:rPr>
              <w:t>P</w:t>
            </w:r>
            <w:r w:rsidRPr="007F1A6A">
              <w:rPr>
                <w:rFonts w:ascii="Calibri" w:eastAsia="Times New Roman" w:hAnsi="Calibri" w:cs="Calibri"/>
                <w:color w:val="000000"/>
                <w:kern w:val="0"/>
                <w:sz w:val="16"/>
                <w:szCs w:val="16"/>
                <w:lang w:eastAsia="en-AU"/>
                <w14:ligatures w14:val="none"/>
              </w:rPr>
              <w:t>atient experience</w:t>
            </w:r>
          </w:p>
        </w:tc>
      </w:tr>
      <w:tr w:rsidR="004B049F" w:rsidRPr="00E821F3" w14:paraId="78C018CF" w14:textId="77777777" w:rsidTr="00143566">
        <w:trPr>
          <w:cantSplit/>
          <w:trHeight w:val="567"/>
        </w:trPr>
        <w:tc>
          <w:tcPr>
            <w:tcW w:w="1313" w:type="dxa"/>
            <w:tcBorders>
              <w:top w:val="nil"/>
              <w:left w:val="nil"/>
              <w:bottom w:val="nil"/>
              <w:right w:val="nil"/>
            </w:tcBorders>
            <w:shd w:val="clear" w:color="auto" w:fill="auto"/>
            <w:noWrap/>
            <w:hideMark/>
          </w:tcPr>
          <w:p w14:paraId="0144C237" w14:textId="2FBA4B00"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4B049F">
              <w:rPr>
                <w:sz w:val="16"/>
                <w:szCs w:val="16"/>
              </w:rPr>
              <w:lastRenderedPageBreak/>
              <w:t>Marsden et al., 2022, Australia</w:t>
            </w:r>
          </w:p>
        </w:tc>
        <w:tc>
          <w:tcPr>
            <w:tcW w:w="1525" w:type="dxa"/>
            <w:tcBorders>
              <w:top w:val="nil"/>
              <w:left w:val="nil"/>
              <w:bottom w:val="nil"/>
              <w:right w:val="nil"/>
            </w:tcBorders>
          </w:tcPr>
          <w:p w14:paraId="58C2F392" w14:textId="67265AC1"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Avoidable admissions</w:t>
            </w:r>
          </w:p>
        </w:tc>
        <w:tc>
          <w:tcPr>
            <w:tcW w:w="2688" w:type="dxa"/>
            <w:tcBorders>
              <w:top w:val="nil"/>
              <w:left w:val="nil"/>
              <w:bottom w:val="nil"/>
              <w:right w:val="nil"/>
            </w:tcBorders>
            <w:shd w:val="clear" w:color="auto" w:fill="auto"/>
            <w:hideMark/>
          </w:tcPr>
          <w:p w14:paraId="0CD04387" w14:textId="40F02B89"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To evaluate the healthcare outcomes and costs associated with the implementation of the GEDI for adults aged 70 years and over at two hospital sites</w:t>
            </w:r>
          </w:p>
        </w:tc>
        <w:tc>
          <w:tcPr>
            <w:tcW w:w="3031" w:type="dxa"/>
            <w:tcBorders>
              <w:top w:val="nil"/>
              <w:left w:val="nil"/>
              <w:bottom w:val="nil"/>
              <w:right w:val="nil"/>
            </w:tcBorders>
            <w:shd w:val="clear" w:color="auto" w:fill="auto"/>
            <w:hideMark/>
          </w:tcPr>
          <w:p w14:paraId="587CF8A1" w14:textId="4D5B16F9" w:rsidR="004B049F" w:rsidRPr="00FB07C4"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FB07C4">
              <w:rPr>
                <w:rFonts w:ascii="Calibri" w:eastAsia="Times New Roman" w:hAnsi="Calibri" w:cs="Calibri"/>
                <w:b/>
                <w:bCs/>
                <w:color w:val="000000"/>
                <w:kern w:val="0"/>
                <w:sz w:val="16"/>
                <w:szCs w:val="16"/>
                <w:lang w:eastAsia="en-AU"/>
                <w14:ligatures w14:val="none"/>
              </w:rPr>
              <w:t>General assessment and multi-faceted care coordination to better address patient needs</w:t>
            </w:r>
          </w:p>
          <w:p w14:paraId="2CBB40F3" w14:textId="7E45D803"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 xml:space="preserve">Geriatric ED - nurse-led intervention to improve health outcomes for frail older adults in ED using </w:t>
            </w:r>
            <w:proofErr w:type="spellStart"/>
            <w:r w:rsidRPr="007F1A6A">
              <w:rPr>
                <w:rFonts w:ascii="Calibri" w:eastAsia="Times New Roman" w:hAnsi="Calibri" w:cs="Calibri"/>
                <w:color w:val="000000"/>
                <w:kern w:val="0"/>
                <w:sz w:val="16"/>
                <w:szCs w:val="16"/>
                <w:lang w:eastAsia="en-AU"/>
                <w14:ligatures w14:val="none"/>
              </w:rPr>
              <w:t>InterRAI</w:t>
            </w:r>
            <w:proofErr w:type="spellEnd"/>
            <w:r w:rsidRPr="007F1A6A">
              <w:rPr>
                <w:rFonts w:ascii="Calibri" w:eastAsia="Times New Roman" w:hAnsi="Calibri" w:cs="Calibri"/>
                <w:color w:val="000000"/>
                <w:kern w:val="0"/>
                <w:sz w:val="16"/>
                <w:szCs w:val="16"/>
                <w:lang w:eastAsia="en-AU"/>
                <w14:ligatures w14:val="none"/>
              </w:rPr>
              <w:t xml:space="preserve"> ED screener</w:t>
            </w:r>
          </w:p>
        </w:tc>
        <w:tc>
          <w:tcPr>
            <w:tcW w:w="1128" w:type="dxa"/>
            <w:tcBorders>
              <w:top w:val="nil"/>
              <w:left w:val="nil"/>
              <w:bottom w:val="nil"/>
              <w:right w:val="nil"/>
            </w:tcBorders>
            <w:shd w:val="clear" w:color="auto" w:fill="auto"/>
            <w:hideMark/>
          </w:tcPr>
          <w:p w14:paraId="26B778E1"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2</w:t>
            </w:r>
          </w:p>
        </w:tc>
        <w:tc>
          <w:tcPr>
            <w:tcW w:w="1389" w:type="dxa"/>
            <w:tcBorders>
              <w:top w:val="nil"/>
              <w:left w:val="nil"/>
              <w:bottom w:val="nil"/>
              <w:right w:val="nil"/>
            </w:tcBorders>
            <w:shd w:val="clear" w:color="auto" w:fill="auto"/>
            <w:hideMark/>
          </w:tcPr>
          <w:p w14:paraId="67A517F8" w14:textId="72D71DC6"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19,248</w:t>
            </w:r>
          </w:p>
        </w:tc>
        <w:tc>
          <w:tcPr>
            <w:tcW w:w="1119" w:type="dxa"/>
            <w:tcBorders>
              <w:top w:val="nil"/>
              <w:left w:val="nil"/>
              <w:bottom w:val="nil"/>
              <w:right w:val="nil"/>
            </w:tcBorders>
            <w:shd w:val="clear" w:color="auto" w:fill="auto"/>
            <w:hideMark/>
          </w:tcPr>
          <w:p w14:paraId="439562D4" w14:textId="79AC9383"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18,324</w:t>
            </w:r>
          </w:p>
        </w:tc>
        <w:tc>
          <w:tcPr>
            <w:tcW w:w="1135" w:type="dxa"/>
            <w:tcBorders>
              <w:top w:val="nil"/>
              <w:left w:val="nil"/>
              <w:bottom w:val="nil"/>
              <w:right w:val="nil"/>
            </w:tcBorders>
            <w:shd w:val="clear" w:color="auto" w:fill="auto"/>
            <w:hideMark/>
          </w:tcPr>
          <w:p w14:paraId="54FD41C5" w14:textId="77777777"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Pre-post</w:t>
            </w:r>
          </w:p>
        </w:tc>
        <w:tc>
          <w:tcPr>
            <w:tcW w:w="1128" w:type="dxa"/>
            <w:tcBorders>
              <w:top w:val="nil"/>
              <w:left w:val="nil"/>
              <w:bottom w:val="nil"/>
              <w:right w:val="nil"/>
            </w:tcBorders>
            <w:shd w:val="clear" w:color="auto" w:fill="auto"/>
            <w:hideMark/>
          </w:tcPr>
          <w:p w14:paraId="12D10BD8" w14:textId="185D2067"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A07F99">
              <w:rPr>
                <w:rFonts w:ascii="Calibri" w:eastAsia="Times New Roman" w:hAnsi="Calibri" w:cs="Calibri"/>
                <w:kern w:val="0"/>
                <w:sz w:val="16"/>
                <w:szCs w:val="16"/>
                <w:lang w:eastAsia="en-AU"/>
                <w14:ligatures w14:val="none"/>
              </w:rPr>
              <w:t>System performance Patient outcomes</w:t>
            </w:r>
          </w:p>
        </w:tc>
      </w:tr>
      <w:tr w:rsidR="00D36914" w:rsidRPr="007F1A6A" w14:paraId="1C3D8409" w14:textId="77777777" w:rsidTr="00080C96">
        <w:trPr>
          <w:cantSplit/>
          <w:trHeight w:val="567"/>
        </w:trPr>
        <w:tc>
          <w:tcPr>
            <w:tcW w:w="1313" w:type="dxa"/>
            <w:tcBorders>
              <w:top w:val="nil"/>
              <w:left w:val="nil"/>
              <w:bottom w:val="nil"/>
              <w:right w:val="nil"/>
            </w:tcBorders>
            <w:shd w:val="clear" w:color="000000" w:fill="FFFFFF"/>
            <w:noWrap/>
            <w:hideMark/>
          </w:tcPr>
          <w:p w14:paraId="4442ABDE" w14:textId="77777777" w:rsidR="00D36914" w:rsidRPr="004B049F" w:rsidRDefault="00D36914" w:rsidP="00080C96">
            <w:pPr>
              <w:spacing w:after="0" w:line="240" w:lineRule="auto"/>
              <w:rPr>
                <w:rFonts w:ascii="Calibri" w:eastAsia="Times New Roman" w:hAnsi="Calibri" w:cs="Calibri"/>
                <w:color w:val="000000"/>
                <w:kern w:val="0"/>
                <w:sz w:val="16"/>
                <w:szCs w:val="16"/>
                <w:lang w:eastAsia="en-AU"/>
                <w14:ligatures w14:val="none"/>
              </w:rPr>
            </w:pPr>
            <w:r>
              <w:rPr>
                <w:sz w:val="16"/>
                <w:szCs w:val="16"/>
              </w:rPr>
              <w:t>Matz</w:t>
            </w:r>
            <w:r w:rsidRPr="004B049F">
              <w:rPr>
                <w:sz w:val="16"/>
                <w:szCs w:val="16"/>
              </w:rPr>
              <w:t xml:space="preserve"> et al., 2021, Germany</w:t>
            </w:r>
          </w:p>
        </w:tc>
        <w:tc>
          <w:tcPr>
            <w:tcW w:w="1525" w:type="dxa"/>
            <w:tcBorders>
              <w:top w:val="nil"/>
              <w:left w:val="nil"/>
              <w:bottom w:val="nil"/>
              <w:right w:val="nil"/>
            </w:tcBorders>
            <w:shd w:val="clear" w:color="000000" w:fill="FFFFFF"/>
          </w:tcPr>
          <w:p w14:paraId="4CC84820" w14:textId="77777777" w:rsidR="00D36914" w:rsidRPr="007F1A6A" w:rsidRDefault="00D36914" w:rsidP="00080C96">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 </w:t>
            </w:r>
          </w:p>
        </w:tc>
        <w:tc>
          <w:tcPr>
            <w:tcW w:w="2688" w:type="dxa"/>
            <w:tcBorders>
              <w:top w:val="nil"/>
              <w:left w:val="nil"/>
              <w:bottom w:val="nil"/>
              <w:right w:val="nil"/>
            </w:tcBorders>
            <w:shd w:val="clear" w:color="000000" w:fill="FFFFFF"/>
            <w:hideMark/>
          </w:tcPr>
          <w:p w14:paraId="3A83E3B8" w14:textId="77777777" w:rsidR="00D36914" w:rsidRPr="007F1A6A" w:rsidRDefault="00D36914" w:rsidP="00080C96">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To compare telemedical assessment of geriatric patients in the ED with ED standard treatment with particular focus on PIMs</w:t>
            </w:r>
          </w:p>
        </w:tc>
        <w:tc>
          <w:tcPr>
            <w:tcW w:w="3031" w:type="dxa"/>
            <w:tcBorders>
              <w:top w:val="nil"/>
              <w:left w:val="nil"/>
              <w:bottom w:val="nil"/>
              <w:right w:val="nil"/>
            </w:tcBorders>
            <w:shd w:val="clear" w:color="000000" w:fill="FFFFFF"/>
            <w:hideMark/>
          </w:tcPr>
          <w:p w14:paraId="70C3D97D" w14:textId="77777777" w:rsidR="00D36914" w:rsidRPr="00231E9F" w:rsidRDefault="00D36914" w:rsidP="00080C96">
            <w:pPr>
              <w:spacing w:after="0" w:line="240" w:lineRule="auto"/>
              <w:rPr>
                <w:rFonts w:ascii="Calibri" w:eastAsia="Times New Roman" w:hAnsi="Calibri" w:cs="Calibri"/>
                <w:b/>
                <w:bCs/>
                <w:color w:val="000000"/>
                <w:kern w:val="0"/>
                <w:sz w:val="16"/>
                <w:szCs w:val="16"/>
                <w:lang w:eastAsia="en-AU"/>
                <w14:ligatures w14:val="none"/>
              </w:rPr>
            </w:pPr>
            <w:r w:rsidRPr="00231E9F">
              <w:rPr>
                <w:rFonts w:ascii="Calibri" w:eastAsia="Times New Roman" w:hAnsi="Calibri" w:cs="Calibri"/>
                <w:b/>
                <w:bCs/>
                <w:color w:val="000000"/>
                <w:kern w:val="0"/>
                <w:sz w:val="16"/>
                <w:szCs w:val="16"/>
                <w:lang w:eastAsia="en-AU"/>
                <w14:ligatures w14:val="none"/>
              </w:rPr>
              <w:t>Medication management</w:t>
            </w:r>
          </w:p>
          <w:p w14:paraId="247B93D6" w14:textId="77777777" w:rsidR="00D36914" w:rsidRPr="007F1A6A" w:rsidRDefault="00D36914" w:rsidP="00080C96">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An instant telemedical consultation was carried out by a geriatrician independently of the standard assessment by the ED medical staff</w:t>
            </w:r>
          </w:p>
        </w:tc>
        <w:tc>
          <w:tcPr>
            <w:tcW w:w="1128" w:type="dxa"/>
            <w:tcBorders>
              <w:top w:val="nil"/>
              <w:left w:val="nil"/>
              <w:bottom w:val="nil"/>
              <w:right w:val="nil"/>
            </w:tcBorders>
            <w:shd w:val="clear" w:color="000000" w:fill="FFFFFF"/>
            <w:hideMark/>
          </w:tcPr>
          <w:p w14:paraId="33E3434C" w14:textId="77777777" w:rsidR="00D36914" w:rsidRPr="007F1A6A" w:rsidRDefault="00D36914" w:rsidP="00080C96">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w:t>
            </w:r>
          </w:p>
        </w:tc>
        <w:tc>
          <w:tcPr>
            <w:tcW w:w="1389" w:type="dxa"/>
            <w:tcBorders>
              <w:top w:val="nil"/>
              <w:left w:val="nil"/>
              <w:bottom w:val="nil"/>
              <w:right w:val="nil"/>
            </w:tcBorders>
            <w:shd w:val="clear" w:color="000000" w:fill="FFFFFF"/>
            <w:hideMark/>
          </w:tcPr>
          <w:p w14:paraId="30998A2F" w14:textId="77777777" w:rsidR="00D36914" w:rsidRPr="007F1A6A" w:rsidRDefault="00D36914" w:rsidP="00080C96">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50</w:t>
            </w:r>
          </w:p>
        </w:tc>
        <w:tc>
          <w:tcPr>
            <w:tcW w:w="1119" w:type="dxa"/>
            <w:tcBorders>
              <w:top w:val="nil"/>
              <w:left w:val="nil"/>
              <w:bottom w:val="nil"/>
              <w:right w:val="nil"/>
            </w:tcBorders>
            <w:shd w:val="clear" w:color="000000" w:fill="FFFFFF"/>
            <w:hideMark/>
          </w:tcPr>
          <w:p w14:paraId="0D57032C" w14:textId="77777777" w:rsidR="00D36914" w:rsidRPr="007F1A6A" w:rsidRDefault="00D36914" w:rsidP="00080C96">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 </w:t>
            </w:r>
            <w:r>
              <w:rPr>
                <w:rFonts w:ascii="Calibri" w:eastAsia="Times New Roman" w:hAnsi="Calibri" w:cs="Calibri"/>
                <w:color w:val="000000"/>
                <w:kern w:val="0"/>
                <w:sz w:val="16"/>
                <w:szCs w:val="16"/>
                <w:lang w:eastAsia="en-AU"/>
                <w14:ligatures w14:val="none"/>
              </w:rPr>
              <w:t>-</w:t>
            </w:r>
          </w:p>
        </w:tc>
        <w:tc>
          <w:tcPr>
            <w:tcW w:w="1135" w:type="dxa"/>
            <w:tcBorders>
              <w:top w:val="nil"/>
              <w:left w:val="nil"/>
              <w:bottom w:val="nil"/>
              <w:right w:val="nil"/>
            </w:tcBorders>
            <w:shd w:val="clear" w:color="000000" w:fill="FFFFFF"/>
            <w:hideMark/>
          </w:tcPr>
          <w:p w14:paraId="5E215725" w14:textId="7D35FE8E" w:rsidR="00D36914" w:rsidRPr="007F1A6A" w:rsidRDefault="001040A5" w:rsidP="00080C96">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Cohort</w:t>
            </w:r>
          </w:p>
        </w:tc>
        <w:tc>
          <w:tcPr>
            <w:tcW w:w="1128" w:type="dxa"/>
            <w:tcBorders>
              <w:top w:val="nil"/>
              <w:left w:val="nil"/>
              <w:bottom w:val="nil"/>
              <w:right w:val="nil"/>
            </w:tcBorders>
            <w:shd w:val="clear" w:color="000000" w:fill="FFFFFF"/>
            <w:hideMark/>
          </w:tcPr>
          <w:p w14:paraId="40190E11" w14:textId="77777777" w:rsidR="00D36914" w:rsidRPr="007F1A6A" w:rsidRDefault="00D36914" w:rsidP="00080C96">
            <w:pPr>
              <w:spacing w:after="0" w:line="240" w:lineRule="auto"/>
              <w:rPr>
                <w:rFonts w:ascii="Calibri" w:eastAsia="Times New Roman" w:hAnsi="Calibri" w:cs="Calibri"/>
                <w:color w:val="000000"/>
                <w:kern w:val="0"/>
                <w:sz w:val="16"/>
                <w:szCs w:val="16"/>
                <w:lang w:eastAsia="en-AU"/>
                <w14:ligatures w14:val="none"/>
              </w:rPr>
            </w:pPr>
            <w:r w:rsidRPr="00A07F99">
              <w:rPr>
                <w:rFonts w:ascii="Calibri" w:eastAsia="Times New Roman" w:hAnsi="Calibri" w:cs="Calibri"/>
                <w:kern w:val="0"/>
                <w:sz w:val="16"/>
                <w:szCs w:val="16"/>
                <w:lang w:eastAsia="en-AU"/>
                <w14:ligatures w14:val="none"/>
              </w:rPr>
              <w:t>System performance Patient outcomes</w:t>
            </w:r>
          </w:p>
        </w:tc>
      </w:tr>
      <w:tr w:rsidR="004B049F" w:rsidRPr="00E821F3" w14:paraId="3F4C24EE" w14:textId="77777777" w:rsidTr="00143566">
        <w:trPr>
          <w:cantSplit/>
          <w:trHeight w:val="567"/>
        </w:trPr>
        <w:tc>
          <w:tcPr>
            <w:tcW w:w="1313" w:type="dxa"/>
            <w:tcBorders>
              <w:top w:val="nil"/>
              <w:left w:val="nil"/>
              <w:bottom w:val="nil"/>
              <w:right w:val="nil"/>
            </w:tcBorders>
            <w:shd w:val="clear" w:color="auto" w:fill="auto"/>
            <w:noWrap/>
          </w:tcPr>
          <w:p w14:paraId="41DB33BA" w14:textId="4F52BA89"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4B049F">
              <w:rPr>
                <w:sz w:val="16"/>
                <w:szCs w:val="16"/>
              </w:rPr>
              <w:t>McCusker et al., 2001, Canada</w:t>
            </w:r>
          </w:p>
        </w:tc>
        <w:tc>
          <w:tcPr>
            <w:tcW w:w="1525" w:type="dxa"/>
            <w:tcBorders>
              <w:top w:val="nil"/>
              <w:left w:val="nil"/>
              <w:bottom w:val="nil"/>
              <w:right w:val="nil"/>
            </w:tcBorders>
          </w:tcPr>
          <w:p w14:paraId="115C3E04" w14:textId="5131C0F4" w:rsidR="004B049F" w:rsidRPr="007F1A6A" w:rsidRDefault="004B049F" w:rsidP="004B049F">
            <w:pPr>
              <w:spacing w:after="0" w:line="240" w:lineRule="auto"/>
              <w:rPr>
                <w:rFonts w:ascii="Calibri" w:eastAsia="Times New Roman" w:hAnsi="Calibri" w:cs="Calibri"/>
                <w:kern w:val="0"/>
                <w:sz w:val="16"/>
                <w:szCs w:val="16"/>
                <w:lang w:eastAsia="en-AU"/>
                <w14:ligatures w14:val="none"/>
              </w:rPr>
            </w:pPr>
            <w:r w:rsidRPr="007F1A6A">
              <w:rPr>
                <w:rFonts w:ascii="Calibri" w:eastAsia="Times New Roman" w:hAnsi="Calibri" w:cs="Calibri"/>
                <w:kern w:val="0"/>
                <w:sz w:val="16"/>
                <w:szCs w:val="16"/>
                <w:lang w:eastAsia="en-AU"/>
                <w14:ligatures w14:val="none"/>
              </w:rPr>
              <w:t>Functional decline post ED visit</w:t>
            </w:r>
          </w:p>
        </w:tc>
        <w:tc>
          <w:tcPr>
            <w:tcW w:w="2688" w:type="dxa"/>
            <w:tcBorders>
              <w:top w:val="nil"/>
              <w:left w:val="nil"/>
              <w:bottom w:val="nil"/>
              <w:right w:val="nil"/>
            </w:tcBorders>
            <w:shd w:val="clear" w:color="auto" w:fill="auto"/>
          </w:tcPr>
          <w:p w14:paraId="1AC3D1F5" w14:textId="0C74EF9B"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kern w:val="0"/>
                <w:sz w:val="16"/>
                <w:szCs w:val="16"/>
                <w:lang w:eastAsia="en-AU"/>
                <w14:ligatures w14:val="none"/>
              </w:rPr>
              <w:t xml:space="preserve">To determine the effectiveness of a two-stage (screening and nursing assessment) intervention for </w:t>
            </w:r>
            <w:r w:rsidR="00260D46">
              <w:rPr>
                <w:rFonts w:ascii="Calibri" w:eastAsia="Times New Roman" w:hAnsi="Calibri" w:cs="Calibri"/>
                <w:kern w:val="0"/>
                <w:sz w:val="16"/>
                <w:szCs w:val="16"/>
                <w:lang w:eastAsia="en-AU"/>
                <w14:ligatures w14:val="none"/>
              </w:rPr>
              <w:t>older adults</w:t>
            </w:r>
            <w:r w:rsidRPr="007F1A6A">
              <w:rPr>
                <w:rFonts w:ascii="Calibri" w:eastAsia="Times New Roman" w:hAnsi="Calibri" w:cs="Calibri"/>
                <w:kern w:val="0"/>
                <w:sz w:val="16"/>
                <w:szCs w:val="16"/>
                <w:lang w:eastAsia="en-AU"/>
                <w14:ligatures w14:val="none"/>
              </w:rPr>
              <w:t xml:space="preserve"> in the ED who are at increased risk of functional decline and other adverse outcomes</w:t>
            </w:r>
          </w:p>
        </w:tc>
        <w:tc>
          <w:tcPr>
            <w:tcW w:w="3031" w:type="dxa"/>
            <w:tcBorders>
              <w:top w:val="nil"/>
              <w:left w:val="nil"/>
              <w:bottom w:val="nil"/>
              <w:right w:val="nil"/>
            </w:tcBorders>
            <w:shd w:val="clear" w:color="auto" w:fill="auto"/>
          </w:tcPr>
          <w:p w14:paraId="2AEFCED8" w14:textId="4CDEF13C" w:rsidR="004B049F" w:rsidRPr="002B5180" w:rsidRDefault="004B049F" w:rsidP="004B049F">
            <w:pPr>
              <w:spacing w:after="0" w:line="240" w:lineRule="auto"/>
              <w:rPr>
                <w:rFonts w:ascii="Calibri" w:eastAsia="Times New Roman" w:hAnsi="Calibri" w:cs="Calibri"/>
                <w:b/>
                <w:bCs/>
                <w:kern w:val="0"/>
                <w:sz w:val="16"/>
                <w:szCs w:val="16"/>
                <w:lang w:eastAsia="en-AU"/>
                <w14:ligatures w14:val="none"/>
              </w:rPr>
            </w:pPr>
            <w:r w:rsidRPr="002B5180">
              <w:rPr>
                <w:rFonts w:ascii="Calibri" w:eastAsia="Times New Roman" w:hAnsi="Calibri" w:cs="Calibri"/>
                <w:b/>
                <w:bCs/>
                <w:kern w:val="0"/>
                <w:sz w:val="16"/>
                <w:szCs w:val="16"/>
                <w:lang w:eastAsia="en-AU"/>
                <w14:ligatures w14:val="none"/>
              </w:rPr>
              <w:t>General assessment and multi-faceted care coordination to attenuate functional decline</w:t>
            </w:r>
          </w:p>
          <w:p w14:paraId="655A67D0" w14:textId="77E1C281" w:rsidR="004B049F" w:rsidRPr="007F1A6A" w:rsidRDefault="004B049F" w:rsidP="004B049F">
            <w:pPr>
              <w:spacing w:after="0" w:line="240" w:lineRule="auto"/>
              <w:rPr>
                <w:rFonts w:ascii="Calibri" w:eastAsia="Times New Roman" w:hAnsi="Calibri" w:cs="Calibri"/>
                <w:kern w:val="0"/>
                <w:sz w:val="16"/>
                <w:szCs w:val="16"/>
                <w:lang w:eastAsia="en-AU"/>
                <w14:ligatures w14:val="none"/>
              </w:rPr>
            </w:pPr>
            <w:r w:rsidRPr="007F1A6A">
              <w:rPr>
                <w:rFonts w:ascii="Calibri" w:eastAsia="Times New Roman" w:hAnsi="Calibri" w:cs="Calibri"/>
                <w:kern w:val="0"/>
                <w:sz w:val="16"/>
                <w:szCs w:val="16"/>
                <w:lang w:eastAsia="en-AU"/>
                <w14:ligatures w14:val="none"/>
              </w:rPr>
              <w:t>Brief, standardi</w:t>
            </w:r>
            <w:r>
              <w:rPr>
                <w:rFonts w:ascii="Calibri" w:eastAsia="Times New Roman" w:hAnsi="Calibri" w:cs="Calibri"/>
                <w:kern w:val="0"/>
                <w:sz w:val="16"/>
                <w:szCs w:val="16"/>
                <w:lang w:eastAsia="en-AU"/>
                <w14:ligatures w14:val="none"/>
              </w:rPr>
              <w:t>s</w:t>
            </w:r>
            <w:r w:rsidRPr="007F1A6A">
              <w:rPr>
                <w:rFonts w:ascii="Calibri" w:eastAsia="Times New Roman" w:hAnsi="Calibri" w:cs="Calibri"/>
                <w:kern w:val="0"/>
                <w:sz w:val="16"/>
                <w:szCs w:val="16"/>
                <w:lang w:eastAsia="en-AU"/>
                <w14:ligatures w14:val="none"/>
              </w:rPr>
              <w:t>ed geriatric nursing assessment, and referrals to primary physician, community health centre, geriatric outpatient clinic, and other community services</w:t>
            </w:r>
          </w:p>
        </w:tc>
        <w:tc>
          <w:tcPr>
            <w:tcW w:w="1128" w:type="dxa"/>
            <w:tcBorders>
              <w:top w:val="nil"/>
              <w:left w:val="nil"/>
              <w:bottom w:val="nil"/>
              <w:right w:val="nil"/>
            </w:tcBorders>
            <w:shd w:val="clear" w:color="auto" w:fill="auto"/>
          </w:tcPr>
          <w:p w14:paraId="584D7F29" w14:textId="73599978" w:rsidR="004B049F" w:rsidRPr="007F1A6A" w:rsidRDefault="004B049F" w:rsidP="004B049F">
            <w:pPr>
              <w:spacing w:after="0" w:line="240" w:lineRule="auto"/>
              <w:jc w:val="right"/>
              <w:rPr>
                <w:rFonts w:ascii="Calibri" w:eastAsia="Times New Roman" w:hAnsi="Calibri" w:cs="Calibri"/>
                <w:kern w:val="0"/>
                <w:sz w:val="16"/>
                <w:szCs w:val="16"/>
                <w:lang w:eastAsia="en-AU"/>
                <w14:ligatures w14:val="none"/>
              </w:rPr>
            </w:pPr>
            <w:r w:rsidRPr="007F1A6A">
              <w:rPr>
                <w:rFonts w:ascii="Calibri" w:eastAsia="Times New Roman" w:hAnsi="Calibri" w:cs="Calibri"/>
                <w:kern w:val="0"/>
                <w:sz w:val="16"/>
                <w:szCs w:val="16"/>
                <w:lang w:eastAsia="en-AU"/>
                <w14:ligatures w14:val="none"/>
              </w:rPr>
              <w:t>4</w:t>
            </w:r>
          </w:p>
        </w:tc>
        <w:tc>
          <w:tcPr>
            <w:tcW w:w="1389" w:type="dxa"/>
            <w:tcBorders>
              <w:top w:val="nil"/>
              <w:left w:val="nil"/>
              <w:bottom w:val="nil"/>
              <w:right w:val="nil"/>
            </w:tcBorders>
            <w:shd w:val="clear" w:color="auto" w:fill="auto"/>
          </w:tcPr>
          <w:p w14:paraId="3014379D" w14:textId="4F617872" w:rsidR="004B049F" w:rsidRPr="007F1A6A" w:rsidRDefault="004B049F" w:rsidP="004B049F">
            <w:pPr>
              <w:spacing w:after="0" w:line="240" w:lineRule="auto"/>
              <w:jc w:val="right"/>
              <w:rPr>
                <w:rFonts w:ascii="Calibri" w:eastAsia="Times New Roman" w:hAnsi="Calibri" w:cs="Calibri"/>
                <w:kern w:val="0"/>
                <w:sz w:val="16"/>
                <w:szCs w:val="16"/>
                <w:lang w:eastAsia="en-AU"/>
                <w14:ligatures w14:val="none"/>
              </w:rPr>
            </w:pPr>
            <w:r w:rsidRPr="007F1A6A">
              <w:rPr>
                <w:rFonts w:ascii="Calibri" w:eastAsia="Times New Roman" w:hAnsi="Calibri" w:cs="Calibri"/>
                <w:kern w:val="0"/>
                <w:sz w:val="16"/>
                <w:szCs w:val="16"/>
                <w:lang w:eastAsia="en-AU"/>
                <w14:ligatures w14:val="none"/>
              </w:rPr>
              <w:t>178</w:t>
            </w:r>
          </w:p>
        </w:tc>
        <w:tc>
          <w:tcPr>
            <w:tcW w:w="1119" w:type="dxa"/>
            <w:tcBorders>
              <w:top w:val="nil"/>
              <w:left w:val="nil"/>
              <w:bottom w:val="nil"/>
              <w:right w:val="nil"/>
            </w:tcBorders>
            <w:shd w:val="clear" w:color="auto" w:fill="auto"/>
          </w:tcPr>
          <w:p w14:paraId="12A65535" w14:textId="69567DF6" w:rsidR="004B049F" w:rsidRPr="007F1A6A" w:rsidRDefault="004B049F" w:rsidP="004B049F">
            <w:pPr>
              <w:spacing w:after="0" w:line="240" w:lineRule="auto"/>
              <w:jc w:val="right"/>
              <w:rPr>
                <w:rFonts w:ascii="Calibri" w:eastAsia="Times New Roman" w:hAnsi="Calibri" w:cs="Calibri"/>
                <w:kern w:val="0"/>
                <w:sz w:val="16"/>
                <w:szCs w:val="16"/>
                <w:lang w:eastAsia="en-AU"/>
                <w14:ligatures w14:val="none"/>
              </w:rPr>
            </w:pPr>
            <w:r w:rsidRPr="007F1A6A">
              <w:rPr>
                <w:rFonts w:ascii="Calibri" w:eastAsia="Times New Roman" w:hAnsi="Calibri" w:cs="Calibri"/>
                <w:kern w:val="0"/>
                <w:sz w:val="16"/>
                <w:szCs w:val="16"/>
                <w:lang w:eastAsia="en-AU"/>
                <w14:ligatures w14:val="none"/>
              </w:rPr>
              <w:t>210</w:t>
            </w:r>
          </w:p>
        </w:tc>
        <w:tc>
          <w:tcPr>
            <w:tcW w:w="1135" w:type="dxa"/>
            <w:tcBorders>
              <w:top w:val="nil"/>
              <w:left w:val="nil"/>
              <w:bottom w:val="nil"/>
              <w:right w:val="nil"/>
            </w:tcBorders>
            <w:shd w:val="clear" w:color="auto" w:fill="auto"/>
          </w:tcPr>
          <w:p w14:paraId="121F9D8F" w14:textId="362B2A53"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kern w:val="0"/>
                <w:sz w:val="16"/>
                <w:szCs w:val="16"/>
                <w:lang w:eastAsia="en-AU"/>
                <w14:ligatures w14:val="none"/>
              </w:rPr>
              <w:t>RCT</w:t>
            </w:r>
          </w:p>
        </w:tc>
        <w:tc>
          <w:tcPr>
            <w:tcW w:w="1128" w:type="dxa"/>
            <w:tcBorders>
              <w:top w:val="nil"/>
              <w:left w:val="nil"/>
              <w:bottom w:val="nil"/>
              <w:right w:val="nil"/>
            </w:tcBorders>
            <w:shd w:val="clear" w:color="auto" w:fill="auto"/>
          </w:tcPr>
          <w:p w14:paraId="61EC3F7A" w14:textId="31037178" w:rsidR="004B049F" w:rsidRPr="00A07F99" w:rsidRDefault="004B049F" w:rsidP="004B049F">
            <w:pPr>
              <w:spacing w:after="0" w:line="240" w:lineRule="auto"/>
              <w:rPr>
                <w:rFonts w:ascii="Calibri" w:eastAsia="Times New Roman" w:hAnsi="Calibri" w:cs="Calibri"/>
                <w:kern w:val="0"/>
                <w:sz w:val="16"/>
                <w:szCs w:val="16"/>
                <w:lang w:eastAsia="en-AU"/>
                <w14:ligatures w14:val="none"/>
              </w:rPr>
            </w:pPr>
            <w:r w:rsidRPr="00A07F99">
              <w:rPr>
                <w:rFonts w:ascii="Calibri" w:eastAsia="Times New Roman" w:hAnsi="Calibri" w:cs="Calibri"/>
                <w:kern w:val="0"/>
                <w:sz w:val="16"/>
                <w:szCs w:val="16"/>
                <w:lang w:eastAsia="en-AU"/>
                <w14:ligatures w14:val="none"/>
              </w:rPr>
              <w:t>System performance Patient outcomes</w:t>
            </w:r>
          </w:p>
        </w:tc>
      </w:tr>
      <w:tr w:rsidR="004B049F" w:rsidRPr="00E821F3" w14:paraId="38AC0876" w14:textId="77777777" w:rsidTr="00143566">
        <w:trPr>
          <w:cantSplit/>
          <w:trHeight w:val="567"/>
        </w:trPr>
        <w:tc>
          <w:tcPr>
            <w:tcW w:w="1313" w:type="dxa"/>
            <w:tcBorders>
              <w:top w:val="nil"/>
              <w:left w:val="nil"/>
              <w:bottom w:val="nil"/>
              <w:right w:val="nil"/>
            </w:tcBorders>
            <w:shd w:val="clear" w:color="auto" w:fill="auto"/>
            <w:noWrap/>
            <w:hideMark/>
          </w:tcPr>
          <w:p w14:paraId="7C84B801" w14:textId="0BC83B28"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4B049F">
              <w:rPr>
                <w:sz w:val="16"/>
                <w:szCs w:val="16"/>
              </w:rPr>
              <w:t>McCusker et al., 2003a, Canada</w:t>
            </w:r>
          </w:p>
        </w:tc>
        <w:tc>
          <w:tcPr>
            <w:tcW w:w="1525" w:type="dxa"/>
            <w:tcBorders>
              <w:top w:val="nil"/>
              <w:left w:val="nil"/>
              <w:bottom w:val="nil"/>
              <w:right w:val="nil"/>
            </w:tcBorders>
          </w:tcPr>
          <w:p w14:paraId="0CF42FDB" w14:textId="457492C7"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kern w:val="0"/>
                <w:sz w:val="16"/>
                <w:szCs w:val="16"/>
                <w:lang w:eastAsia="en-AU"/>
                <w14:ligatures w14:val="none"/>
              </w:rPr>
              <w:t>Functional decline post ED visit</w:t>
            </w:r>
          </w:p>
        </w:tc>
        <w:tc>
          <w:tcPr>
            <w:tcW w:w="2688" w:type="dxa"/>
            <w:tcBorders>
              <w:top w:val="nil"/>
              <w:left w:val="nil"/>
              <w:bottom w:val="nil"/>
              <w:right w:val="nil"/>
            </w:tcBorders>
            <w:shd w:val="clear" w:color="auto" w:fill="auto"/>
            <w:hideMark/>
          </w:tcPr>
          <w:p w14:paraId="68F06590" w14:textId="39D0EEE2"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kern w:val="0"/>
                <w:sz w:val="16"/>
                <w:szCs w:val="16"/>
                <w:lang w:eastAsia="en-AU"/>
                <w14:ligatures w14:val="none"/>
              </w:rPr>
              <w:t xml:space="preserve">To determine the cost of a two-stage (screening and nursing assessment) intervention for </w:t>
            </w:r>
            <w:r w:rsidR="00260D46">
              <w:rPr>
                <w:rFonts w:ascii="Calibri" w:eastAsia="Times New Roman" w:hAnsi="Calibri" w:cs="Calibri"/>
                <w:kern w:val="0"/>
                <w:sz w:val="16"/>
                <w:szCs w:val="16"/>
                <w:lang w:eastAsia="en-AU"/>
                <w14:ligatures w14:val="none"/>
              </w:rPr>
              <w:t>older adults</w:t>
            </w:r>
            <w:r w:rsidRPr="007F1A6A">
              <w:rPr>
                <w:rFonts w:ascii="Calibri" w:eastAsia="Times New Roman" w:hAnsi="Calibri" w:cs="Calibri"/>
                <w:kern w:val="0"/>
                <w:sz w:val="16"/>
                <w:szCs w:val="16"/>
                <w:lang w:eastAsia="en-AU"/>
                <w14:ligatures w14:val="none"/>
              </w:rPr>
              <w:t xml:space="preserve"> in the ED who are at increased risk of functional decline and other adverse outcomes</w:t>
            </w:r>
            <w:r w:rsidRPr="007F1A6A">
              <w:rPr>
                <w:rFonts w:ascii="Calibri" w:eastAsia="Times New Roman" w:hAnsi="Calibri" w:cs="Calibri"/>
                <w:color w:val="000000"/>
                <w:kern w:val="0"/>
                <w:sz w:val="16"/>
                <w:szCs w:val="16"/>
                <w:lang w:eastAsia="en-AU"/>
                <w14:ligatures w14:val="none"/>
              </w:rPr>
              <w:t xml:space="preserve"> </w:t>
            </w:r>
          </w:p>
        </w:tc>
        <w:tc>
          <w:tcPr>
            <w:tcW w:w="3031" w:type="dxa"/>
            <w:tcBorders>
              <w:top w:val="nil"/>
              <w:left w:val="nil"/>
              <w:bottom w:val="nil"/>
              <w:right w:val="nil"/>
            </w:tcBorders>
            <w:shd w:val="clear" w:color="auto" w:fill="auto"/>
            <w:hideMark/>
          </w:tcPr>
          <w:p w14:paraId="42A2EAE2" w14:textId="7F19C879" w:rsidR="004B049F" w:rsidRPr="00793CB5" w:rsidRDefault="004B049F" w:rsidP="004B049F">
            <w:pPr>
              <w:spacing w:after="0" w:line="240" w:lineRule="auto"/>
              <w:rPr>
                <w:rFonts w:ascii="Calibri" w:eastAsia="Times New Roman" w:hAnsi="Calibri" w:cs="Calibri"/>
                <w:b/>
                <w:bCs/>
                <w:kern w:val="0"/>
                <w:sz w:val="16"/>
                <w:szCs w:val="16"/>
                <w:lang w:eastAsia="en-AU"/>
                <w14:ligatures w14:val="none"/>
              </w:rPr>
            </w:pPr>
            <w:r w:rsidRPr="00793CB5">
              <w:rPr>
                <w:rFonts w:ascii="Calibri" w:eastAsia="Times New Roman" w:hAnsi="Calibri" w:cs="Calibri"/>
                <w:b/>
                <w:bCs/>
                <w:kern w:val="0"/>
                <w:sz w:val="16"/>
                <w:szCs w:val="16"/>
                <w:lang w:eastAsia="en-AU"/>
                <w14:ligatures w14:val="none"/>
              </w:rPr>
              <w:t>General assessment and multi-faceted care coordination to attenuate functional decline</w:t>
            </w:r>
          </w:p>
          <w:p w14:paraId="697521C6" w14:textId="19A3F962" w:rsidR="004B049F" w:rsidRPr="007F1A6A" w:rsidRDefault="004B049F" w:rsidP="004B049F">
            <w:pPr>
              <w:spacing w:after="0" w:line="240" w:lineRule="auto"/>
              <w:rPr>
                <w:rFonts w:ascii="Calibri" w:eastAsia="Times New Roman" w:hAnsi="Calibri" w:cs="Calibri"/>
                <w:kern w:val="0"/>
                <w:sz w:val="16"/>
                <w:szCs w:val="16"/>
                <w:lang w:eastAsia="en-AU"/>
                <w14:ligatures w14:val="none"/>
              </w:rPr>
            </w:pPr>
            <w:r w:rsidRPr="007F1A6A">
              <w:rPr>
                <w:rFonts w:ascii="Calibri" w:eastAsia="Times New Roman" w:hAnsi="Calibri" w:cs="Calibri"/>
                <w:kern w:val="0"/>
                <w:sz w:val="16"/>
                <w:szCs w:val="16"/>
                <w:lang w:eastAsia="en-AU"/>
                <w14:ligatures w14:val="none"/>
              </w:rPr>
              <w:t>Brief, standardi</w:t>
            </w:r>
            <w:r>
              <w:rPr>
                <w:rFonts w:ascii="Calibri" w:eastAsia="Times New Roman" w:hAnsi="Calibri" w:cs="Calibri"/>
                <w:kern w:val="0"/>
                <w:sz w:val="16"/>
                <w:szCs w:val="16"/>
                <w:lang w:eastAsia="en-AU"/>
                <w14:ligatures w14:val="none"/>
              </w:rPr>
              <w:t>s</w:t>
            </w:r>
            <w:r w:rsidRPr="007F1A6A">
              <w:rPr>
                <w:rFonts w:ascii="Calibri" w:eastAsia="Times New Roman" w:hAnsi="Calibri" w:cs="Calibri"/>
                <w:kern w:val="0"/>
                <w:sz w:val="16"/>
                <w:szCs w:val="16"/>
                <w:lang w:eastAsia="en-AU"/>
                <w14:ligatures w14:val="none"/>
              </w:rPr>
              <w:t>ed geriatric nursing assessment, and referrals to primary physician, community health centre, geriatric outpatient clinic, and other community services</w:t>
            </w:r>
          </w:p>
        </w:tc>
        <w:tc>
          <w:tcPr>
            <w:tcW w:w="1128" w:type="dxa"/>
            <w:tcBorders>
              <w:top w:val="nil"/>
              <w:left w:val="nil"/>
              <w:bottom w:val="nil"/>
              <w:right w:val="nil"/>
            </w:tcBorders>
            <w:shd w:val="clear" w:color="auto" w:fill="auto"/>
            <w:hideMark/>
          </w:tcPr>
          <w:p w14:paraId="4D9D8850" w14:textId="77777777" w:rsidR="004B049F" w:rsidRPr="007F1A6A" w:rsidRDefault="004B049F" w:rsidP="004B049F">
            <w:pPr>
              <w:spacing w:after="0" w:line="240" w:lineRule="auto"/>
              <w:jc w:val="right"/>
              <w:rPr>
                <w:rFonts w:ascii="Calibri" w:eastAsia="Times New Roman" w:hAnsi="Calibri" w:cs="Calibri"/>
                <w:kern w:val="0"/>
                <w:sz w:val="16"/>
                <w:szCs w:val="16"/>
                <w:lang w:eastAsia="en-AU"/>
                <w14:ligatures w14:val="none"/>
              </w:rPr>
            </w:pPr>
            <w:r w:rsidRPr="007F1A6A">
              <w:rPr>
                <w:rFonts w:ascii="Calibri" w:eastAsia="Times New Roman" w:hAnsi="Calibri" w:cs="Calibri"/>
                <w:kern w:val="0"/>
                <w:sz w:val="16"/>
                <w:szCs w:val="16"/>
                <w:lang w:eastAsia="en-AU"/>
                <w14:ligatures w14:val="none"/>
              </w:rPr>
              <w:t>4</w:t>
            </w:r>
          </w:p>
        </w:tc>
        <w:tc>
          <w:tcPr>
            <w:tcW w:w="1389" w:type="dxa"/>
            <w:tcBorders>
              <w:top w:val="nil"/>
              <w:left w:val="nil"/>
              <w:bottom w:val="nil"/>
              <w:right w:val="nil"/>
            </w:tcBorders>
            <w:shd w:val="clear" w:color="auto" w:fill="auto"/>
            <w:hideMark/>
          </w:tcPr>
          <w:p w14:paraId="2F8347AB" w14:textId="2E1A173A" w:rsidR="004B049F" w:rsidRPr="007F1A6A" w:rsidRDefault="004B049F" w:rsidP="004B049F">
            <w:pPr>
              <w:spacing w:after="0" w:line="240" w:lineRule="auto"/>
              <w:jc w:val="right"/>
              <w:rPr>
                <w:rFonts w:ascii="Calibri" w:eastAsia="Times New Roman" w:hAnsi="Calibri" w:cs="Calibri"/>
                <w:kern w:val="0"/>
                <w:sz w:val="16"/>
                <w:szCs w:val="16"/>
                <w:lang w:eastAsia="en-AU"/>
                <w14:ligatures w14:val="none"/>
              </w:rPr>
            </w:pPr>
            <w:r w:rsidRPr="007F1A6A">
              <w:rPr>
                <w:rFonts w:ascii="Calibri" w:eastAsia="Times New Roman" w:hAnsi="Calibri" w:cs="Calibri"/>
                <w:kern w:val="0"/>
                <w:sz w:val="16"/>
                <w:szCs w:val="16"/>
                <w:lang w:eastAsia="en-AU"/>
                <w14:ligatures w14:val="none"/>
              </w:rPr>
              <w:t>178</w:t>
            </w:r>
          </w:p>
        </w:tc>
        <w:tc>
          <w:tcPr>
            <w:tcW w:w="1119" w:type="dxa"/>
            <w:tcBorders>
              <w:top w:val="nil"/>
              <w:left w:val="nil"/>
              <w:bottom w:val="nil"/>
              <w:right w:val="nil"/>
            </w:tcBorders>
            <w:shd w:val="clear" w:color="auto" w:fill="auto"/>
            <w:hideMark/>
          </w:tcPr>
          <w:p w14:paraId="5A614675" w14:textId="414100F9" w:rsidR="004B049F" w:rsidRPr="007F1A6A" w:rsidRDefault="004B049F" w:rsidP="004B049F">
            <w:pPr>
              <w:spacing w:after="0" w:line="240" w:lineRule="auto"/>
              <w:jc w:val="right"/>
              <w:rPr>
                <w:rFonts w:ascii="Calibri" w:eastAsia="Times New Roman" w:hAnsi="Calibri" w:cs="Calibri"/>
                <w:kern w:val="0"/>
                <w:sz w:val="16"/>
                <w:szCs w:val="16"/>
                <w:lang w:eastAsia="en-AU"/>
                <w14:ligatures w14:val="none"/>
              </w:rPr>
            </w:pPr>
            <w:r w:rsidRPr="007F1A6A">
              <w:rPr>
                <w:rFonts w:ascii="Calibri" w:eastAsia="Times New Roman" w:hAnsi="Calibri" w:cs="Calibri"/>
                <w:kern w:val="0"/>
                <w:sz w:val="16"/>
                <w:szCs w:val="16"/>
                <w:lang w:eastAsia="en-AU"/>
                <w14:ligatures w14:val="none"/>
              </w:rPr>
              <w:t>210</w:t>
            </w:r>
          </w:p>
        </w:tc>
        <w:tc>
          <w:tcPr>
            <w:tcW w:w="1135" w:type="dxa"/>
            <w:tcBorders>
              <w:top w:val="nil"/>
              <w:left w:val="nil"/>
              <w:bottom w:val="nil"/>
              <w:right w:val="nil"/>
            </w:tcBorders>
            <w:shd w:val="clear" w:color="auto" w:fill="auto"/>
            <w:hideMark/>
          </w:tcPr>
          <w:p w14:paraId="60D8E073" w14:textId="77777777"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RCT</w:t>
            </w:r>
          </w:p>
        </w:tc>
        <w:tc>
          <w:tcPr>
            <w:tcW w:w="1128" w:type="dxa"/>
            <w:tcBorders>
              <w:top w:val="nil"/>
              <w:left w:val="nil"/>
              <w:bottom w:val="nil"/>
              <w:right w:val="nil"/>
            </w:tcBorders>
            <w:shd w:val="clear" w:color="auto" w:fill="auto"/>
            <w:hideMark/>
          </w:tcPr>
          <w:p w14:paraId="7B2795D5" w14:textId="6206AA50" w:rsidR="004B049F" w:rsidRPr="007F1A6A" w:rsidRDefault="004B049F" w:rsidP="004B049F">
            <w:pPr>
              <w:spacing w:after="0" w:line="240" w:lineRule="auto"/>
              <w:rPr>
                <w:rFonts w:ascii="Calibri" w:eastAsia="Times New Roman" w:hAnsi="Calibri" w:cs="Calibri"/>
                <w:kern w:val="0"/>
                <w:sz w:val="16"/>
                <w:szCs w:val="16"/>
                <w:lang w:eastAsia="en-AU"/>
                <w14:ligatures w14:val="none"/>
              </w:rPr>
            </w:pPr>
            <w:r w:rsidRPr="00A07F99">
              <w:rPr>
                <w:rFonts w:ascii="Calibri" w:eastAsia="Times New Roman" w:hAnsi="Calibri" w:cs="Calibri"/>
                <w:kern w:val="0"/>
                <w:sz w:val="16"/>
                <w:szCs w:val="16"/>
                <w:lang w:eastAsia="en-AU"/>
                <w14:ligatures w14:val="none"/>
              </w:rPr>
              <w:t>System performance Patient outcomes</w:t>
            </w:r>
          </w:p>
        </w:tc>
      </w:tr>
      <w:tr w:rsidR="004B049F" w:rsidRPr="00E821F3" w14:paraId="0406FC81" w14:textId="77777777" w:rsidTr="00143566">
        <w:trPr>
          <w:cantSplit/>
          <w:trHeight w:val="567"/>
        </w:trPr>
        <w:tc>
          <w:tcPr>
            <w:tcW w:w="1313" w:type="dxa"/>
            <w:tcBorders>
              <w:top w:val="nil"/>
              <w:left w:val="nil"/>
              <w:bottom w:val="nil"/>
              <w:right w:val="nil"/>
            </w:tcBorders>
            <w:shd w:val="clear" w:color="auto" w:fill="auto"/>
            <w:noWrap/>
            <w:hideMark/>
          </w:tcPr>
          <w:p w14:paraId="3ACD68EA" w14:textId="52DD7ACF"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4B049F">
              <w:rPr>
                <w:sz w:val="16"/>
                <w:szCs w:val="16"/>
              </w:rPr>
              <w:t>McCusker et al., 2003b, Canada</w:t>
            </w:r>
          </w:p>
        </w:tc>
        <w:tc>
          <w:tcPr>
            <w:tcW w:w="1525" w:type="dxa"/>
            <w:tcBorders>
              <w:top w:val="nil"/>
              <w:left w:val="nil"/>
              <w:bottom w:val="nil"/>
              <w:right w:val="nil"/>
            </w:tcBorders>
          </w:tcPr>
          <w:p w14:paraId="5795E5EA" w14:textId="242FAF04" w:rsidR="004B049F" w:rsidRPr="007F1A6A" w:rsidRDefault="004B049F" w:rsidP="004B049F">
            <w:pPr>
              <w:spacing w:after="0" w:line="240" w:lineRule="auto"/>
              <w:rPr>
                <w:rFonts w:ascii="Calibri" w:eastAsia="Times New Roman" w:hAnsi="Calibri" w:cs="Calibri"/>
                <w:kern w:val="0"/>
                <w:sz w:val="16"/>
                <w:szCs w:val="16"/>
                <w:lang w:eastAsia="en-AU"/>
                <w14:ligatures w14:val="none"/>
              </w:rPr>
            </w:pPr>
            <w:r w:rsidRPr="007F1A6A">
              <w:rPr>
                <w:rFonts w:ascii="Calibri" w:eastAsia="Times New Roman" w:hAnsi="Calibri" w:cs="Calibri"/>
                <w:kern w:val="0"/>
                <w:sz w:val="16"/>
                <w:szCs w:val="16"/>
                <w:lang w:eastAsia="en-AU"/>
                <w14:ligatures w14:val="none"/>
              </w:rPr>
              <w:t>Functional decline post ED visit</w:t>
            </w:r>
          </w:p>
        </w:tc>
        <w:tc>
          <w:tcPr>
            <w:tcW w:w="2688" w:type="dxa"/>
            <w:tcBorders>
              <w:top w:val="nil"/>
              <w:left w:val="nil"/>
              <w:bottom w:val="nil"/>
              <w:right w:val="nil"/>
            </w:tcBorders>
            <w:shd w:val="clear" w:color="auto" w:fill="auto"/>
            <w:hideMark/>
          </w:tcPr>
          <w:p w14:paraId="00C7A75D" w14:textId="16256CFD" w:rsidR="004B049F" w:rsidRPr="007F1A6A" w:rsidRDefault="004B049F" w:rsidP="004B049F">
            <w:pPr>
              <w:spacing w:after="0" w:line="240" w:lineRule="auto"/>
              <w:rPr>
                <w:rFonts w:ascii="Calibri" w:eastAsia="Times New Roman" w:hAnsi="Calibri" w:cs="Calibri"/>
                <w:kern w:val="0"/>
                <w:sz w:val="16"/>
                <w:szCs w:val="16"/>
                <w:lang w:eastAsia="en-AU"/>
                <w14:ligatures w14:val="none"/>
              </w:rPr>
            </w:pPr>
            <w:r>
              <w:rPr>
                <w:rFonts w:ascii="Calibri" w:eastAsia="Times New Roman" w:hAnsi="Calibri" w:cs="Calibri"/>
                <w:kern w:val="0"/>
                <w:sz w:val="16"/>
                <w:szCs w:val="16"/>
                <w:lang w:eastAsia="en-AU"/>
                <w14:ligatures w14:val="none"/>
              </w:rPr>
              <w:t xml:space="preserve">To </w:t>
            </w:r>
            <w:r w:rsidRPr="007F1A6A">
              <w:rPr>
                <w:rFonts w:ascii="Calibri" w:eastAsia="Times New Roman" w:hAnsi="Calibri" w:cs="Calibri"/>
                <w:color w:val="000000"/>
                <w:kern w:val="0"/>
                <w:sz w:val="16"/>
                <w:szCs w:val="16"/>
                <w:lang w:eastAsia="en-AU"/>
                <w14:ligatures w14:val="none"/>
              </w:rPr>
              <w:t>investigate the process of care during the ED visit and the following month, to understand better those care processes that were responsible for the cost–effectiveness of the nursing assessment and intervention in ED</w:t>
            </w:r>
          </w:p>
        </w:tc>
        <w:tc>
          <w:tcPr>
            <w:tcW w:w="3031" w:type="dxa"/>
            <w:tcBorders>
              <w:top w:val="nil"/>
              <w:left w:val="nil"/>
              <w:bottom w:val="nil"/>
              <w:right w:val="nil"/>
            </w:tcBorders>
            <w:shd w:val="clear" w:color="auto" w:fill="auto"/>
            <w:hideMark/>
          </w:tcPr>
          <w:p w14:paraId="19154227" w14:textId="77777777" w:rsidR="004B049F" w:rsidRPr="00793CB5" w:rsidRDefault="004B049F" w:rsidP="004B049F">
            <w:pPr>
              <w:spacing w:after="0" w:line="240" w:lineRule="auto"/>
              <w:rPr>
                <w:rFonts w:ascii="Calibri" w:eastAsia="Times New Roman" w:hAnsi="Calibri" w:cs="Calibri"/>
                <w:b/>
                <w:bCs/>
                <w:kern w:val="0"/>
                <w:sz w:val="16"/>
                <w:szCs w:val="16"/>
                <w:lang w:eastAsia="en-AU"/>
                <w14:ligatures w14:val="none"/>
              </w:rPr>
            </w:pPr>
            <w:r w:rsidRPr="00793CB5">
              <w:rPr>
                <w:rFonts w:ascii="Calibri" w:eastAsia="Times New Roman" w:hAnsi="Calibri" w:cs="Calibri"/>
                <w:b/>
                <w:bCs/>
                <w:kern w:val="0"/>
                <w:sz w:val="16"/>
                <w:szCs w:val="16"/>
                <w:lang w:eastAsia="en-AU"/>
                <w14:ligatures w14:val="none"/>
              </w:rPr>
              <w:t>General assessment and multi-faceted care coordination to attenuate functional decline</w:t>
            </w:r>
          </w:p>
          <w:p w14:paraId="066C4220" w14:textId="5D06C90A" w:rsidR="004B049F" w:rsidRPr="007F1A6A" w:rsidRDefault="004B049F" w:rsidP="004B049F">
            <w:pPr>
              <w:spacing w:after="0" w:line="240" w:lineRule="auto"/>
              <w:rPr>
                <w:rFonts w:ascii="Calibri" w:eastAsia="Times New Roman" w:hAnsi="Calibri" w:cs="Calibri"/>
                <w:kern w:val="0"/>
                <w:sz w:val="16"/>
                <w:szCs w:val="16"/>
                <w:lang w:eastAsia="en-AU"/>
                <w14:ligatures w14:val="none"/>
              </w:rPr>
            </w:pPr>
            <w:r w:rsidRPr="007F1A6A">
              <w:rPr>
                <w:rFonts w:ascii="Calibri" w:eastAsia="Times New Roman" w:hAnsi="Calibri" w:cs="Calibri"/>
                <w:kern w:val="0"/>
                <w:sz w:val="16"/>
                <w:szCs w:val="16"/>
                <w:lang w:eastAsia="en-AU"/>
                <w14:ligatures w14:val="none"/>
              </w:rPr>
              <w:t>Brief, standardi</w:t>
            </w:r>
            <w:r>
              <w:rPr>
                <w:rFonts w:ascii="Calibri" w:eastAsia="Times New Roman" w:hAnsi="Calibri" w:cs="Calibri"/>
                <w:kern w:val="0"/>
                <w:sz w:val="16"/>
                <w:szCs w:val="16"/>
                <w:lang w:eastAsia="en-AU"/>
                <w14:ligatures w14:val="none"/>
              </w:rPr>
              <w:t>s</w:t>
            </w:r>
            <w:r w:rsidRPr="007F1A6A">
              <w:rPr>
                <w:rFonts w:ascii="Calibri" w:eastAsia="Times New Roman" w:hAnsi="Calibri" w:cs="Calibri"/>
                <w:kern w:val="0"/>
                <w:sz w:val="16"/>
                <w:szCs w:val="16"/>
                <w:lang w:eastAsia="en-AU"/>
                <w14:ligatures w14:val="none"/>
              </w:rPr>
              <w:t>ed geriatric nursing assessment, and referrals to primary physician, community health centre, geriatric outpatient clinic, and other community services</w:t>
            </w:r>
          </w:p>
        </w:tc>
        <w:tc>
          <w:tcPr>
            <w:tcW w:w="1128" w:type="dxa"/>
            <w:tcBorders>
              <w:top w:val="nil"/>
              <w:left w:val="nil"/>
              <w:bottom w:val="nil"/>
              <w:right w:val="nil"/>
            </w:tcBorders>
            <w:shd w:val="clear" w:color="auto" w:fill="auto"/>
            <w:hideMark/>
          </w:tcPr>
          <w:p w14:paraId="023186F8" w14:textId="77777777" w:rsidR="004B049F" w:rsidRPr="007F1A6A" w:rsidRDefault="004B049F" w:rsidP="004B049F">
            <w:pPr>
              <w:spacing w:after="0" w:line="240" w:lineRule="auto"/>
              <w:jc w:val="right"/>
              <w:rPr>
                <w:rFonts w:ascii="Calibri" w:eastAsia="Times New Roman" w:hAnsi="Calibri" w:cs="Calibri"/>
                <w:kern w:val="0"/>
                <w:sz w:val="16"/>
                <w:szCs w:val="16"/>
                <w:lang w:eastAsia="en-AU"/>
                <w14:ligatures w14:val="none"/>
              </w:rPr>
            </w:pPr>
            <w:r w:rsidRPr="007F1A6A">
              <w:rPr>
                <w:rFonts w:ascii="Calibri" w:eastAsia="Times New Roman" w:hAnsi="Calibri" w:cs="Calibri"/>
                <w:kern w:val="0"/>
                <w:sz w:val="16"/>
                <w:szCs w:val="16"/>
                <w:lang w:eastAsia="en-AU"/>
                <w14:ligatures w14:val="none"/>
              </w:rPr>
              <w:t>4</w:t>
            </w:r>
          </w:p>
        </w:tc>
        <w:tc>
          <w:tcPr>
            <w:tcW w:w="1389" w:type="dxa"/>
            <w:tcBorders>
              <w:top w:val="nil"/>
              <w:left w:val="nil"/>
              <w:bottom w:val="nil"/>
              <w:right w:val="nil"/>
            </w:tcBorders>
            <w:shd w:val="clear" w:color="auto" w:fill="auto"/>
            <w:hideMark/>
          </w:tcPr>
          <w:p w14:paraId="41137FB0" w14:textId="77777777" w:rsidR="004B049F" w:rsidRPr="007F1A6A" w:rsidRDefault="004B049F" w:rsidP="004B049F">
            <w:pPr>
              <w:spacing w:after="0" w:line="240" w:lineRule="auto"/>
              <w:jc w:val="right"/>
              <w:rPr>
                <w:rFonts w:ascii="Calibri" w:eastAsia="Times New Roman" w:hAnsi="Calibri" w:cs="Calibri"/>
                <w:kern w:val="0"/>
                <w:sz w:val="16"/>
                <w:szCs w:val="16"/>
                <w:lang w:eastAsia="en-AU"/>
                <w14:ligatures w14:val="none"/>
              </w:rPr>
            </w:pPr>
            <w:r w:rsidRPr="007F1A6A">
              <w:rPr>
                <w:rFonts w:ascii="Calibri" w:eastAsia="Times New Roman" w:hAnsi="Calibri" w:cs="Calibri"/>
                <w:kern w:val="0"/>
                <w:sz w:val="16"/>
                <w:szCs w:val="16"/>
                <w:lang w:eastAsia="en-AU"/>
                <w14:ligatures w14:val="none"/>
              </w:rPr>
              <w:t>178</w:t>
            </w:r>
          </w:p>
        </w:tc>
        <w:tc>
          <w:tcPr>
            <w:tcW w:w="1119" w:type="dxa"/>
            <w:tcBorders>
              <w:top w:val="nil"/>
              <w:left w:val="nil"/>
              <w:bottom w:val="nil"/>
              <w:right w:val="nil"/>
            </w:tcBorders>
            <w:shd w:val="clear" w:color="auto" w:fill="auto"/>
            <w:hideMark/>
          </w:tcPr>
          <w:p w14:paraId="24166839" w14:textId="77777777" w:rsidR="004B049F" w:rsidRPr="007F1A6A" w:rsidRDefault="004B049F" w:rsidP="004B049F">
            <w:pPr>
              <w:spacing w:after="0" w:line="240" w:lineRule="auto"/>
              <w:jc w:val="right"/>
              <w:rPr>
                <w:rFonts w:ascii="Calibri" w:eastAsia="Times New Roman" w:hAnsi="Calibri" w:cs="Calibri"/>
                <w:kern w:val="0"/>
                <w:sz w:val="16"/>
                <w:szCs w:val="16"/>
                <w:lang w:eastAsia="en-AU"/>
                <w14:ligatures w14:val="none"/>
              </w:rPr>
            </w:pPr>
            <w:r w:rsidRPr="007F1A6A">
              <w:rPr>
                <w:rFonts w:ascii="Calibri" w:eastAsia="Times New Roman" w:hAnsi="Calibri" w:cs="Calibri"/>
                <w:kern w:val="0"/>
                <w:sz w:val="16"/>
                <w:szCs w:val="16"/>
                <w:lang w:eastAsia="en-AU"/>
                <w14:ligatures w14:val="none"/>
              </w:rPr>
              <w:t>210</w:t>
            </w:r>
          </w:p>
        </w:tc>
        <w:tc>
          <w:tcPr>
            <w:tcW w:w="1135" w:type="dxa"/>
            <w:tcBorders>
              <w:top w:val="nil"/>
              <w:left w:val="nil"/>
              <w:bottom w:val="nil"/>
              <w:right w:val="nil"/>
            </w:tcBorders>
            <w:shd w:val="clear" w:color="auto" w:fill="auto"/>
            <w:hideMark/>
          </w:tcPr>
          <w:p w14:paraId="0AA90D3B" w14:textId="77777777" w:rsidR="004B049F" w:rsidRPr="007F1A6A" w:rsidRDefault="004B049F" w:rsidP="004B049F">
            <w:pPr>
              <w:spacing w:after="0" w:line="240" w:lineRule="auto"/>
              <w:rPr>
                <w:rFonts w:ascii="Calibri" w:eastAsia="Times New Roman" w:hAnsi="Calibri" w:cs="Calibri"/>
                <w:kern w:val="0"/>
                <w:sz w:val="16"/>
                <w:szCs w:val="16"/>
                <w:lang w:eastAsia="en-AU"/>
                <w14:ligatures w14:val="none"/>
              </w:rPr>
            </w:pPr>
            <w:r w:rsidRPr="007F1A6A">
              <w:rPr>
                <w:rFonts w:ascii="Calibri" w:eastAsia="Times New Roman" w:hAnsi="Calibri" w:cs="Calibri"/>
                <w:kern w:val="0"/>
                <w:sz w:val="16"/>
                <w:szCs w:val="16"/>
                <w:lang w:eastAsia="en-AU"/>
                <w14:ligatures w14:val="none"/>
              </w:rPr>
              <w:t>RCT</w:t>
            </w:r>
          </w:p>
        </w:tc>
        <w:tc>
          <w:tcPr>
            <w:tcW w:w="1128" w:type="dxa"/>
            <w:tcBorders>
              <w:top w:val="nil"/>
              <w:left w:val="nil"/>
              <w:bottom w:val="nil"/>
              <w:right w:val="nil"/>
            </w:tcBorders>
            <w:shd w:val="clear" w:color="auto" w:fill="auto"/>
            <w:hideMark/>
          </w:tcPr>
          <w:p w14:paraId="126D3E98" w14:textId="5CA25CFC" w:rsidR="004B049F" w:rsidRPr="007F1A6A" w:rsidRDefault="004B049F" w:rsidP="004B049F">
            <w:pPr>
              <w:spacing w:after="0" w:line="240" w:lineRule="auto"/>
              <w:rPr>
                <w:rFonts w:ascii="Calibri" w:eastAsia="Times New Roman" w:hAnsi="Calibri" w:cs="Calibri"/>
                <w:kern w:val="0"/>
                <w:sz w:val="16"/>
                <w:szCs w:val="16"/>
                <w:lang w:eastAsia="en-AU"/>
                <w14:ligatures w14:val="none"/>
              </w:rPr>
            </w:pPr>
            <w:r>
              <w:rPr>
                <w:rFonts w:ascii="Calibri" w:eastAsia="Times New Roman" w:hAnsi="Calibri" w:cs="Calibri"/>
                <w:kern w:val="0"/>
                <w:sz w:val="16"/>
                <w:szCs w:val="16"/>
                <w:lang w:eastAsia="en-AU"/>
                <w14:ligatures w14:val="none"/>
              </w:rPr>
              <w:t>S</w:t>
            </w:r>
            <w:r w:rsidRPr="007F1A6A">
              <w:rPr>
                <w:rFonts w:ascii="Calibri" w:eastAsia="Times New Roman" w:hAnsi="Calibri" w:cs="Calibri"/>
                <w:kern w:val="0"/>
                <w:sz w:val="16"/>
                <w:szCs w:val="16"/>
                <w:lang w:eastAsia="en-AU"/>
                <w14:ligatures w14:val="none"/>
              </w:rPr>
              <w:t>ystem performance</w:t>
            </w:r>
          </w:p>
        </w:tc>
      </w:tr>
      <w:tr w:rsidR="004B049F" w:rsidRPr="00E821F3" w14:paraId="1F2ABD89" w14:textId="77777777" w:rsidTr="00143566">
        <w:trPr>
          <w:cantSplit/>
          <w:trHeight w:val="567"/>
        </w:trPr>
        <w:tc>
          <w:tcPr>
            <w:tcW w:w="1313" w:type="dxa"/>
            <w:tcBorders>
              <w:top w:val="nil"/>
              <w:left w:val="nil"/>
              <w:bottom w:val="nil"/>
              <w:right w:val="nil"/>
            </w:tcBorders>
            <w:shd w:val="clear" w:color="auto" w:fill="auto"/>
            <w:noWrap/>
            <w:hideMark/>
          </w:tcPr>
          <w:p w14:paraId="40CC394F" w14:textId="159663BD"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4B049F">
              <w:rPr>
                <w:sz w:val="16"/>
                <w:szCs w:val="16"/>
              </w:rPr>
              <w:t>McGrath et al., 2019, UK</w:t>
            </w:r>
          </w:p>
        </w:tc>
        <w:tc>
          <w:tcPr>
            <w:tcW w:w="1525" w:type="dxa"/>
            <w:tcBorders>
              <w:top w:val="nil"/>
              <w:left w:val="nil"/>
              <w:bottom w:val="nil"/>
              <w:right w:val="nil"/>
            </w:tcBorders>
          </w:tcPr>
          <w:p w14:paraId="4802314E" w14:textId="77777777"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p>
        </w:tc>
        <w:tc>
          <w:tcPr>
            <w:tcW w:w="2688" w:type="dxa"/>
            <w:tcBorders>
              <w:top w:val="nil"/>
              <w:left w:val="nil"/>
              <w:bottom w:val="nil"/>
              <w:right w:val="nil"/>
            </w:tcBorders>
            <w:shd w:val="clear" w:color="auto" w:fill="auto"/>
            <w:hideMark/>
          </w:tcPr>
          <w:p w14:paraId="4D089563" w14:textId="1E1D6A5E"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 xml:space="preserve">To describe the CGA ED intervention and assess whether it met its aims to increase % of </w:t>
            </w:r>
            <w:r w:rsidR="00260D46">
              <w:rPr>
                <w:rFonts w:ascii="Calibri" w:eastAsia="Times New Roman" w:hAnsi="Calibri" w:cs="Calibri"/>
                <w:color w:val="000000"/>
                <w:kern w:val="0"/>
                <w:sz w:val="16"/>
                <w:szCs w:val="16"/>
                <w:lang w:eastAsia="en-AU"/>
                <w14:ligatures w14:val="none"/>
              </w:rPr>
              <w:t>older adults</w:t>
            </w:r>
            <w:r w:rsidRPr="007F1A6A">
              <w:rPr>
                <w:rFonts w:ascii="Calibri" w:eastAsia="Times New Roman" w:hAnsi="Calibri" w:cs="Calibri"/>
                <w:color w:val="000000"/>
                <w:kern w:val="0"/>
                <w:sz w:val="16"/>
                <w:szCs w:val="16"/>
                <w:lang w:eastAsia="en-AU"/>
                <w14:ligatures w14:val="none"/>
              </w:rPr>
              <w:t xml:space="preserve"> assessed using CFS and decrease admissions</w:t>
            </w:r>
          </w:p>
        </w:tc>
        <w:tc>
          <w:tcPr>
            <w:tcW w:w="3031" w:type="dxa"/>
            <w:tcBorders>
              <w:top w:val="nil"/>
              <w:left w:val="nil"/>
              <w:bottom w:val="nil"/>
              <w:right w:val="nil"/>
            </w:tcBorders>
            <w:shd w:val="clear" w:color="auto" w:fill="auto"/>
            <w:hideMark/>
          </w:tcPr>
          <w:p w14:paraId="45A74577" w14:textId="3D20C278" w:rsidR="004B049F" w:rsidRPr="00B25A46"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B25A46">
              <w:rPr>
                <w:rFonts w:ascii="Calibri" w:eastAsia="Times New Roman" w:hAnsi="Calibri" w:cs="Calibri"/>
                <w:b/>
                <w:bCs/>
                <w:color w:val="000000"/>
                <w:kern w:val="0"/>
                <w:sz w:val="16"/>
                <w:szCs w:val="16"/>
                <w:lang w:eastAsia="en-AU"/>
                <w14:ligatures w14:val="none"/>
              </w:rPr>
              <w:t>General assessment and multi-faceted care coordination to better address patient needs</w:t>
            </w:r>
          </w:p>
          <w:p w14:paraId="5D57D932" w14:textId="6A6BD3BF"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CGA comprising CFS, ambulatory care frailty pathway, championing the CGA</w:t>
            </w:r>
          </w:p>
        </w:tc>
        <w:tc>
          <w:tcPr>
            <w:tcW w:w="1128" w:type="dxa"/>
            <w:tcBorders>
              <w:top w:val="nil"/>
              <w:left w:val="nil"/>
              <w:bottom w:val="nil"/>
              <w:right w:val="nil"/>
            </w:tcBorders>
            <w:shd w:val="clear" w:color="auto" w:fill="auto"/>
            <w:hideMark/>
          </w:tcPr>
          <w:p w14:paraId="0E343207"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w:t>
            </w:r>
          </w:p>
        </w:tc>
        <w:tc>
          <w:tcPr>
            <w:tcW w:w="1389" w:type="dxa"/>
            <w:tcBorders>
              <w:top w:val="nil"/>
              <w:left w:val="nil"/>
              <w:bottom w:val="nil"/>
              <w:right w:val="nil"/>
            </w:tcBorders>
            <w:shd w:val="clear" w:color="auto" w:fill="auto"/>
            <w:hideMark/>
          </w:tcPr>
          <w:p w14:paraId="036FE860"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319</w:t>
            </w:r>
          </w:p>
        </w:tc>
        <w:tc>
          <w:tcPr>
            <w:tcW w:w="1119" w:type="dxa"/>
            <w:tcBorders>
              <w:top w:val="nil"/>
              <w:left w:val="nil"/>
              <w:bottom w:val="nil"/>
              <w:right w:val="nil"/>
            </w:tcBorders>
            <w:shd w:val="clear" w:color="auto" w:fill="auto"/>
            <w:hideMark/>
          </w:tcPr>
          <w:p w14:paraId="77325655" w14:textId="3B908C85"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w:t>
            </w:r>
          </w:p>
        </w:tc>
        <w:tc>
          <w:tcPr>
            <w:tcW w:w="1135" w:type="dxa"/>
            <w:tcBorders>
              <w:top w:val="nil"/>
              <w:left w:val="nil"/>
              <w:bottom w:val="nil"/>
              <w:right w:val="nil"/>
            </w:tcBorders>
            <w:shd w:val="clear" w:color="auto" w:fill="auto"/>
            <w:hideMark/>
          </w:tcPr>
          <w:p w14:paraId="6126E234" w14:textId="34F3D8C3"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 xml:space="preserve">Time series </w:t>
            </w:r>
          </w:p>
        </w:tc>
        <w:tc>
          <w:tcPr>
            <w:tcW w:w="1128" w:type="dxa"/>
            <w:tcBorders>
              <w:top w:val="nil"/>
              <w:left w:val="nil"/>
              <w:bottom w:val="nil"/>
              <w:right w:val="nil"/>
            </w:tcBorders>
            <w:shd w:val="clear" w:color="auto" w:fill="auto"/>
            <w:hideMark/>
          </w:tcPr>
          <w:p w14:paraId="20ED52C3" w14:textId="1A71650D" w:rsid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S</w:t>
            </w:r>
            <w:r w:rsidRPr="007F1A6A">
              <w:rPr>
                <w:rFonts w:ascii="Calibri" w:eastAsia="Times New Roman" w:hAnsi="Calibri" w:cs="Calibri"/>
                <w:color w:val="000000"/>
                <w:kern w:val="0"/>
                <w:sz w:val="16"/>
                <w:szCs w:val="16"/>
                <w:lang w:eastAsia="en-AU"/>
                <w14:ligatures w14:val="none"/>
              </w:rPr>
              <w:t xml:space="preserve">ystem performance </w:t>
            </w:r>
          </w:p>
          <w:p w14:paraId="2CD549C0" w14:textId="7586A473" w:rsid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P</w:t>
            </w:r>
            <w:r w:rsidRPr="007F1A6A">
              <w:rPr>
                <w:rFonts w:ascii="Calibri" w:eastAsia="Times New Roman" w:hAnsi="Calibri" w:cs="Calibri"/>
                <w:color w:val="000000"/>
                <w:kern w:val="0"/>
                <w:sz w:val="16"/>
                <w:szCs w:val="16"/>
                <w:lang w:eastAsia="en-AU"/>
                <w14:ligatures w14:val="none"/>
              </w:rPr>
              <w:t>atient experience</w:t>
            </w:r>
          </w:p>
          <w:p w14:paraId="2BC0D150" w14:textId="7AB22DD3"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S</w:t>
            </w:r>
            <w:r w:rsidRPr="007F1A6A">
              <w:rPr>
                <w:rFonts w:ascii="Calibri" w:eastAsia="Times New Roman" w:hAnsi="Calibri" w:cs="Calibri"/>
                <w:color w:val="000000"/>
                <w:kern w:val="0"/>
                <w:sz w:val="16"/>
                <w:szCs w:val="16"/>
                <w:lang w:eastAsia="en-AU"/>
                <w14:ligatures w14:val="none"/>
              </w:rPr>
              <w:t>taff experience</w:t>
            </w:r>
          </w:p>
        </w:tc>
      </w:tr>
      <w:tr w:rsidR="004B049F" w:rsidRPr="00E821F3" w14:paraId="26521C38" w14:textId="77777777" w:rsidTr="00143566">
        <w:trPr>
          <w:cantSplit/>
          <w:trHeight w:val="567"/>
        </w:trPr>
        <w:tc>
          <w:tcPr>
            <w:tcW w:w="1313" w:type="dxa"/>
            <w:tcBorders>
              <w:top w:val="nil"/>
              <w:left w:val="nil"/>
              <w:bottom w:val="nil"/>
              <w:right w:val="nil"/>
            </w:tcBorders>
            <w:shd w:val="clear" w:color="auto" w:fill="auto"/>
            <w:noWrap/>
            <w:hideMark/>
          </w:tcPr>
          <w:p w14:paraId="45B5F195" w14:textId="69E7D847"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4B049F">
              <w:rPr>
                <w:sz w:val="16"/>
                <w:szCs w:val="16"/>
              </w:rPr>
              <w:lastRenderedPageBreak/>
              <w:t>Miller et al., 1996, USA</w:t>
            </w:r>
          </w:p>
        </w:tc>
        <w:tc>
          <w:tcPr>
            <w:tcW w:w="1525" w:type="dxa"/>
            <w:tcBorders>
              <w:top w:val="nil"/>
              <w:left w:val="nil"/>
              <w:bottom w:val="nil"/>
              <w:right w:val="nil"/>
            </w:tcBorders>
          </w:tcPr>
          <w:p w14:paraId="02FFB23B" w14:textId="19FE5BF5"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Functional decline post ED visit</w:t>
            </w:r>
          </w:p>
        </w:tc>
        <w:tc>
          <w:tcPr>
            <w:tcW w:w="2688" w:type="dxa"/>
            <w:tcBorders>
              <w:top w:val="nil"/>
              <w:left w:val="nil"/>
              <w:bottom w:val="nil"/>
              <w:right w:val="nil"/>
            </w:tcBorders>
            <w:shd w:val="clear" w:color="auto" w:fill="auto"/>
            <w:hideMark/>
          </w:tcPr>
          <w:p w14:paraId="0E1DE5E1" w14:textId="620FB3C6"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 xml:space="preserve">To evaluate the effects of a program of case-finding and liaison service for </w:t>
            </w:r>
            <w:r w:rsidR="00260D46">
              <w:rPr>
                <w:rFonts w:ascii="Calibri" w:eastAsia="Times New Roman" w:hAnsi="Calibri" w:cs="Calibri"/>
                <w:color w:val="000000"/>
                <w:kern w:val="0"/>
                <w:sz w:val="16"/>
                <w:szCs w:val="16"/>
                <w:lang w:eastAsia="en-AU"/>
                <w14:ligatures w14:val="none"/>
              </w:rPr>
              <w:t>older adults</w:t>
            </w:r>
          </w:p>
        </w:tc>
        <w:tc>
          <w:tcPr>
            <w:tcW w:w="3031" w:type="dxa"/>
            <w:tcBorders>
              <w:top w:val="nil"/>
              <w:left w:val="nil"/>
              <w:bottom w:val="nil"/>
              <w:right w:val="nil"/>
            </w:tcBorders>
            <w:shd w:val="clear" w:color="auto" w:fill="auto"/>
            <w:hideMark/>
          </w:tcPr>
          <w:p w14:paraId="025B0C59" w14:textId="77777777" w:rsidR="004B049F" w:rsidRPr="00793CB5" w:rsidRDefault="004B049F" w:rsidP="004B049F">
            <w:pPr>
              <w:spacing w:after="0" w:line="240" w:lineRule="auto"/>
              <w:rPr>
                <w:rFonts w:ascii="Calibri" w:eastAsia="Times New Roman" w:hAnsi="Calibri" w:cs="Calibri"/>
                <w:b/>
                <w:bCs/>
                <w:kern w:val="0"/>
                <w:sz w:val="16"/>
                <w:szCs w:val="16"/>
                <w:lang w:eastAsia="en-AU"/>
                <w14:ligatures w14:val="none"/>
              </w:rPr>
            </w:pPr>
            <w:r w:rsidRPr="00793CB5">
              <w:rPr>
                <w:rFonts w:ascii="Calibri" w:eastAsia="Times New Roman" w:hAnsi="Calibri" w:cs="Calibri"/>
                <w:b/>
                <w:bCs/>
                <w:kern w:val="0"/>
                <w:sz w:val="16"/>
                <w:szCs w:val="16"/>
                <w:lang w:eastAsia="en-AU"/>
                <w14:ligatures w14:val="none"/>
              </w:rPr>
              <w:t>General assessment and multi-faceted care coordination to attenuate functional decline</w:t>
            </w:r>
          </w:p>
          <w:p w14:paraId="2C08AD00" w14:textId="55EF65E3"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Geriatric assessment, immediate interventions</w:t>
            </w:r>
            <w:r>
              <w:rPr>
                <w:rFonts w:ascii="Calibri" w:eastAsia="Times New Roman" w:hAnsi="Calibri" w:cs="Calibri"/>
                <w:color w:val="000000"/>
                <w:kern w:val="0"/>
                <w:sz w:val="16"/>
                <w:szCs w:val="16"/>
                <w:lang w:eastAsia="en-AU"/>
                <w14:ligatures w14:val="none"/>
              </w:rPr>
              <w:t>,</w:t>
            </w:r>
            <w:r w:rsidRPr="007F1A6A">
              <w:rPr>
                <w:rFonts w:ascii="Calibri" w:eastAsia="Times New Roman" w:hAnsi="Calibri" w:cs="Calibri"/>
                <w:color w:val="000000"/>
                <w:kern w:val="0"/>
                <w:sz w:val="16"/>
                <w:szCs w:val="16"/>
                <w:lang w:eastAsia="en-AU"/>
                <w14:ligatures w14:val="none"/>
              </w:rPr>
              <w:t xml:space="preserve"> </w:t>
            </w:r>
            <w:r>
              <w:rPr>
                <w:rFonts w:ascii="Calibri" w:eastAsia="Times New Roman" w:hAnsi="Calibri" w:cs="Calibri"/>
                <w:color w:val="000000"/>
                <w:kern w:val="0"/>
                <w:sz w:val="16"/>
                <w:szCs w:val="16"/>
                <w:lang w:eastAsia="en-AU"/>
                <w14:ligatures w14:val="none"/>
              </w:rPr>
              <w:t>including</w:t>
            </w:r>
            <w:r w:rsidRPr="007F1A6A">
              <w:rPr>
                <w:rFonts w:ascii="Calibri" w:eastAsia="Times New Roman" w:hAnsi="Calibri" w:cs="Calibri"/>
                <w:color w:val="000000"/>
                <w:kern w:val="0"/>
                <w:sz w:val="16"/>
                <w:szCs w:val="16"/>
                <w:lang w:eastAsia="en-AU"/>
                <w14:ligatures w14:val="none"/>
              </w:rPr>
              <w:t xml:space="preserve"> further work up, recommendations to family for e.g. </w:t>
            </w:r>
            <w:r>
              <w:rPr>
                <w:rFonts w:ascii="Calibri" w:eastAsia="Times New Roman" w:hAnsi="Calibri" w:cs="Calibri"/>
                <w:color w:val="000000"/>
                <w:kern w:val="0"/>
                <w:sz w:val="16"/>
                <w:szCs w:val="16"/>
                <w:lang w:eastAsia="en-AU"/>
                <w14:ligatures w14:val="none"/>
              </w:rPr>
              <w:t>f</w:t>
            </w:r>
            <w:r w:rsidRPr="007F1A6A">
              <w:rPr>
                <w:rFonts w:ascii="Calibri" w:eastAsia="Times New Roman" w:hAnsi="Calibri" w:cs="Calibri"/>
                <w:color w:val="000000"/>
                <w:kern w:val="0"/>
                <w:sz w:val="16"/>
                <w:szCs w:val="16"/>
                <w:lang w:eastAsia="en-AU"/>
                <w14:ligatures w14:val="none"/>
              </w:rPr>
              <w:t>ollow-up with family physician, specialist, social and dental services, and appointments made</w:t>
            </w:r>
          </w:p>
        </w:tc>
        <w:tc>
          <w:tcPr>
            <w:tcW w:w="1128" w:type="dxa"/>
            <w:tcBorders>
              <w:top w:val="nil"/>
              <w:left w:val="nil"/>
              <w:bottom w:val="nil"/>
              <w:right w:val="nil"/>
            </w:tcBorders>
            <w:shd w:val="clear" w:color="auto" w:fill="auto"/>
            <w:hideMark/>
          </w:tcPr>
          <w:p w14:paraId="63E19EAE"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w:t>
            </w:r>
          </w:p>
        </w:tc>
        <w:tc>
          <w:tcPr>
            <w:tcW w:w="1389" w:type="dxa"/>
            <w:tcBorders>
              <w:top w:val="nil"/>
              <w:left w:val="nil"/>
              <w:bottom w:val="nil"/>
              <w:right w:val="nil"/>
            </w:tcBorders>
            <w:shd w:val="clear" w:color="auto" w:fill="auto"/>
            <w:hideMark/>
          </w:tcPr>
          <w:p w14:paraId="61917690"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385</w:t>
            </w:r>
          </w:p>
        </w:tc>
        <w:tc>
          <w:tcPr>
            <w:tcW w:w="1119" w:type="dxa"/>
            <w:tcBorders>
              <w:top w:val="nil"/>
              <w:left w:val="nil"/>
              <w:bottom w:val="nil"/>
              <w:right w:val="nil"/>
            </w:tcBorders>
            <w:shd w:val="clear" w:color="auto" w:fill="auto"/>
            <w:hideMark/>
          </w:tcPr>
          <w:p w14:paraId="247E6E19"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385</w:t>
            </w:r>
          </w:p>
        </w:tc>
        <w:tc>
          <w:tcPr>
            <w:tcW w:w="1135" w:type="dxa"/>
            <w:tcBorders>
              <w:top w:val="nil"/>
              <w:left w:val="nil"/>
              <w:bottom w:val="nil"/>
              <w:right w:val="nil"/>
            </w:tcBorders>
            <w:shd w:val="clear" w:color="auto" w:fill="auto"/>
            <w:hideMark/>
          </w:tcPr>
          <w:p w14:paraId="21526B42" w14:textId="5E4E182F"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Case-control</w:t>
            </w:r>
          </w:p>
        </w:tc>
        <w:tc>
          <w:tcPr>
            <w:tcW w:w="1128" w:type="dxa"/>
            <w:tcBorders>
              <w:top w:val="nil"/>
              <w:left w:val="nil"/>
              <w:bottom w:val="nil"/>
              <w:right w:val="nil"/>
            </w:tcBorders>
            <w:shd w:val="clear" w:color="auto" w:fill="auto"/>
            <w:hideMark/>
          </w:tcPr>
          <w:p w14:paraId="71E982F6" w14:textId="0E42FAE4"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A07F99">
              <w:rPr>
                <w:rFonts w:ascii="Calibri" w:eastAsia="Times New Roman" w:hAnsi="Calibri" w:cs="Calibri"/>
                <w:kern w:val="0"/>
                <w:sz w:val="16"/>
                <w:szCs w:val="16"/>
                <w:lang w:eastAsia="en-AU"/>
                <w14:ligatures w14:val="none"/>
              </w:rPr>
              <w:t>System performance Patient outcomes</w:t>
            </w:r>
          </w:p>
        </w:tc>
      </w:tr>
      <w:tr w:rsidR="004B049F" w:rsidRPr="00E821F3" w14:paraId="064ABDF3" w14:textId="77777777" w:rsidTr="00143566">
        <w:trPr>
          <w:cantSplit/>
          <w:trHeight w:val="567"/>
        </w:trPr>
        <w:tc>
          <w:tcPr>
            <w:tcW w:w="1313" w:type="dxa"/>
            <w:tcBorders>
              <w:top w:val="nil"/>
              <w:left w:val="nil"/>
              <w:bottom w:val="nil"/>
              <w:right w:val="nil"/>
            </w:tcBorders>
            <w:shd w:val="clear" w:color="auto" w:fill="auto"/>
            <w:noWrap/>
            <w:hideMark/>
          </w:tcPr>
          <w:p w14:paraId="371145C5" w14:textId="6B8AB931"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4B049F">
              <w:rPr>
                <w:sz w:val="16"/>
                <w:szCs w:val="16"/>
              </w:rPr>
              <w:t>Moss et al., 2019, USA</w:t>
            </w:r>
          </w:p>
        </w:tc>
        <w:tc>
          <w:tcPr>
            <w:tcW w:w="1525" w:type="dxa"/>
            <w:tcBorders>
              <w:top w:val="nil"/>
              <w:left w:val="nil"/>
              <w:bottom w:val="nil"/>
              <w:right w:val="nil"/>
            </w:tcBorders>
          </w:tcPr>
          <w:p w14:paraId="2A817C52" w14:textId="4E1A9700"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PIMs/polypharmacy</w:t>
            </w:r>
          </w:p>
        </w:tc>
        <w:tc>
          <w:tcPr>
            <w:tcW w:w="2688" w:type="dxa"/>
            <w:tcBorders>
              <w:top w:val="nil"/>
              <w:left w:val="nil"/>
              <w:bottom w:val="nil"/>
              <w:right w:val="nil"/>
            </w:tcBorders>
            <w:shd w:val="clear" w:color="auto" w:fill="auto"/>
            <w:hideMark/>
          </w:tcPr>
          <w:p w14:paraId="384997EA" w14:textId="7776FAD4"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To evaluate the impact of an academic detailing intervention on (1) self-reported confidence in prescribing for older adults and (2) rates of PIMs prescribed to older adults by physician residents in a Veteran Affairs ED</w:t>
            </w:r>
          </w:p>
        </w:tc>
        <w:tc>
          <w:tcPr>
            <w:tcW w:w="3031" w:type="dxa"/>
            <w:tcBorders>
              <w:top w:val="nil"/>
              <w:left w:val="nil"/>
              <w:bottom w:val="nil"/>
              <w:right w:val="nil"/>
            </w:tcBorders>
            <w:shd w:val="clear" w:color="auto" w:fill="auto"/>
            <w:hideMark/>
          </w:tcPr>
          <w:p w14:paraId="1B33ECDE" w14:textId="77777777" w:rsidR="004B049F" w:rsidRPr="00231E9F"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231E9F">
              <w:rPr>
                <w:rFonts w:ascii="Calibri" w:eastAsia="Times New Roman" w:hAnsi="Calibri" w:cs="Calibri"/>
                <w:b/>
                <w:bCs/>
                <w:color w:val="000000"/>
                <w:kern w:val="0"/>
                <w:sz w:val="16"/>
                <w:szCs w:val="16"/>
                <w:lang w:eastAsia="en-AU"/>
                <w14:ligatures w14:val="none"/>
              </w:rPr>
              <w:t>Medication management</w:t>
            </w:r>
          </w:p>
          <w:p w14:paraId="7A55C3F8" w14:textId="6FC2D9A7"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An academic detailing intervention delivered as part of a quality improvement project by a physician–pharmacist pair</w:t>
            </w:r>
          </w:p>
        </w:tc>
        <w:tc>
          <w:tcPr>
            <w:tcW w:w="1128" w:type="dxa"/>
            <w:tcBorders>
              <w:top w:val="nil"/>
              <w:left w:val="nil"/>
              <w:bottom w:val="nil"/>
              <w:right w:val="nil"/>
            </w:tcBorders>
            <w:shd w:val="clear" w:color="auto" w:fill="auto"/>
            <w:hideMark/>
          </w:tcPr>
          <w:p w14:paraId="474C0ABD"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w:t>
            </w:r>
          </w:p>
        </w:tc>
        <w:tc>
          <w:tcPr>
            <w:tcW w:w="1389" w:type="dxa"/>
            <w:tcBorders>
              <w:top w:val="nil"/>
              <w:left w:val="nil"/>
              <w:bottom w:val="nil"/>
              <w:right w:val="nil"/>
            </w:tcBorders>
            <w:shd w:val="clear" w:color="auto" w:fill="auto"/>
            <w:hideMark/>
          </w:tcPr>
          <w:p w14:paraId="4B44C210"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63</w:t>
            </w:r>
          </w:p>
        </w:tc>
        <w:tc>
          <w:tcPr>
            <w:tcW w:w="1119" w:type="dxa"/>
            <w:tcBorders>
              <w:top w:val="nil"/>
              <w:left w:val="nil"/>
              <w:bottom w:val="nil"/>
              <w:right w:val="nil"/>
            </w:tcBorders>
            <w:shd w:val="clear" w:color="auto" w:fill="auto"/>
            <w:hideMark/>
          </w:tcPr>
          <w:p w14:paraId="27D5ABA4"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67</w:t>
            </w:r>
          </w:p>
        </w:tc>
        <w:tc>
          <w:tcPr>
            <w:tcW w:w="1135" w:type="dxa"/>
            <w:tcBorders>
              <w:top w:val="nil"/>
              <w:left w:val="nil"/>
              <w:bottom w:val="nil"/>
              <w:right w:val="nil"/>
            </w:tcBorders>
            <w:shd w:val="clear" w:color="auto" w:fill="auto"/>
            <w:hideMark/>
          </w:tcPr>
          <w:p w14:paraId="4B268586" w14:textId="6ED65C2B"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Quasi-experimental</w:t>
            </w:r>
          </w:p>
        </w:tc>
        <w:tc>
          <w:tcPr>
            <w:tcW w:w="1128" w:type="dxa"/>
            <w:tcBorders>
              <w:top w:val="nil"/>
              <w:left w:val="nil"/>
              <w:bottom w:val="nil"/>
              <w:right w:val="nil"/>
            </w:tcBorders>
            <w:shd w:val="clear" w:color="auto" w:fill="auto"/>
            <w:hideMark/>
          </w:tcPr>
          <w:p w14:paraId="1FDD4271" w14:textId="2F2EFBF7"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S</w:t>
            </w:r>
            <w:r w:rsidRPr="007F1A6A">
              <w:rPr>
                <w:rFonts w:ascii="Calibri" w:eastAsia="Times New Roman" w:hAnsi="Calibri" w:cs="Calibri"/>
                <w:color w:val="000000"/>
                <w:kern w:val="0"/>
                <w:sz w:val="16"/>
                <w:szCs w:val="16"/>
                <w:lang w:eastAsia="en-AU"/>
                <w14:ligatures w14:val="none"/>
              </w:rPr>
              <w:t xml:space="preserve">ystem performance </w:t>
            </w:r>
            <w:r>
              <w:rPr>
                <w:rFonts w:ascii="Calibri" w:eastAsia="Times New Roman" w:hAnsi="Calibri" w:cs="Calibri"/>
                <w:color w:val="000000"/>
                <w:kern w:val="0"/>
                <w:sz w:val="16"/>
                <w:szCs w:val="16"/>
                <w:lang w:eastAsia="en-AU"/>
                <w14:ligatures w14:val="none"/>
              </w:rPr>
              <w:t>S</w:t>
            </w:r>
            <w:r w:rsidRPr="007F1A6A">
              <w:rPr>
                <w:rFonts w:ascii="Calibri" w:eastAsia="Times New Roman" w:hAnsi="Calibri" w:cs="Calibri"/>
                <w:color w:val="000000"/>
                <w:kern w:val="0"/>
                <w:sz w:val="16"/>
                <w:szCs w:val="16"/>
                <w:lang w:eastAsia="en-AU"/>
                <w14:ligatures w14:val="none"/>
              </w:rPr>
              <w:t>taff experience</w:t>
            </w:r>
          </w:p>
        </w:tc>
      </w:tr>
      <w:tr w:rsidR="004B049F" w:rsidRPr="00E821F3" w14:paraId="4B7E60DF" w14:textId="77777777" w:rsidTr="00143566">
        <w:trPr>
          <w:cantSplit/>
          <w:trHeight w:val="567"/>
        </w:trPr>
        <w:tc>
          <w:tcPr>
            <w:tcW w:w="1313" w:type="dxa"/>
            <w:tcBorders>
              <w:top w:val="nil"/>
              <w:left w:val="nil"/>
              <w:bottom w:val="nil"/>
              <w:right w:val="nil"/>
            </w:tcBorders>
            <w:shd w:val="clear" w:color="auto" w:fill="auto"/>
            <w:noWrap/>
            <w:hideMark/>
          </w:tcPr>
          <w:p w14:paraId="7C65BF08" w14:textId="5304EA88"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4B049F">
              <w:rPr>
                <w:sz w:val="16"/>
                <w:szCs w:val="16"/>
              </w:rPr>
              <w:t>Newton-Brown et al., 2014, Australia</w:t>
            </w:r>
          </w:p>
        </w:tc>
        <w:tc>
          <w:tcPr>
            <w:tcW w:w="1525" w:type="dxa"/>
            <w:tcBorders>
              <w:top w:val="nil"/>
              <w:left w:val="nil"/>
              <w:bottom w:val="nil"/>
              <w:right w:val="nil"/>
            </w:tcBorders>
          </w:tcPr>
          <w:p w14:paraId="6F6A45F2" w14:textId="6D1FC266"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Pain</w:t>
            </w:r>
          </w:p>
        </w:tc>
        <w:tc>
          <w:tcPr>
            <w:tcW w:w="2688" w:type="dxa"/>
            <w:tcBorders>
              <w:top w:val="nil"/>
              <w:left w:val="nil"/>
              <w:bottom w:val="nil"/>
              <w:right w:val="nil"/>
            </w:tcBorders>
            <w:shd w:val="clear" w:color="auto" w:fill="auto"/>
            <w:hideMark/>
          </w:tcPr>
          <w:p w14:paraId="56247CBF" w14:textId="0BFC76E7"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To test the hypothesis that the implementation of educational and awareness strategies increases knowledge and implementation of evidence-based use of nerve blocks as a mode of analgesia for elderly patients with a fractured neck of femur in ED.</w:t>
            </w:r>
          </w:p>
        </w:tc>
        <w:tc>
          <w:tcPr>
            <w:tcW w:w="3031" w:type="dxa"/>
            <w:tcBorders>
              <w:top w:val="nil"/>
              <w:left w:val="nil"/>
              <w:bottom w:val="nil"/>
              <w:right w:val="nil"/>
            </w:tcBorders>
            <w:shd w:val="clear" w:color="auto" w:fill="auto"/>
            <w:hideMark/>
          </w:tcPr>
          <w:p w14:paraId="49796E5A" w14:textId="77777777" w:rsidR="004B049F" w:rsidRPr="00C92D39"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C92D39">
              <w:rPr>
                <w:rFonts w:eastAsia="Times New Roman" w:cstheme="minorHAnsi"/>
                <w:b/>
                <w:bCs/>
                <w:color w:val="000000"/>
                <w:kern w:val="0"/>
                <w:sz w:val="16"/>
                <w:szCs w:val="16"/>
                <w:lang w:eastAsia="en-AU"/>
                <w14:ligatures w14:val="none"/>
              </w:rPr>
              <w:t>Assessment and management of pain</w:t>
            </w:r>
          </w:p>
          <w:p w14:paraId="50D2805B" w14:textId="4812161A"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Education aligned with practice deficiencies identified by chart audit, delivered over 2-week period, specific care plan, 90-min teaching session on nerve blocks - use of ultrasound guidance, Ropivacaine, facia iliac approach, and implementation of a pack containing consumables and documentation requirements, prompts to consider nerve block for analgesia</w:t>
            </w:r>
          </w:p>
        </w:tc>
        <w:tc>
          <w:tcPr>
            <w:tcW w:w="1128" w:type="dxa"/>
            <w:tcBorders>
              <w:top w:val="nil"/>
              <w:left w:val="nil"/>
              <w:bottom w:val="nil"/>
              <w:right w:val="nil"/>
            </w:tcBorders>
            <w:shd w:val="clear" w:color="auto" w:fill="auto"/>
            <w:hideMark/>
          </w:tcPr>
          <w:p w14:paraId="3692FC26"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w:t>
            </w:r>
          </w:p>
        </w:tc>
        <w:tc>
          <w:tcPr>
            <w:tcW w:w="1389" w:type="dxa"/>
            <w:tcBorders>
              <w:top w:val="nil"/>
              <w:left w:val="nil"/>
              <w:bottom w:val="nil"/>
              <w:right w:val="nil"/>
            </w:tcBorders>
            <w:shd w:val="clear" w:color="auto" w:fill="auto"/>
            <w:hideMark/>
          </w:tcPr>
          <w:p w14:paraId="3FE01685"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66</w:t>
            </w:r>
          </w:p>
        </w:tc>
        <w:tc>
          <w:tcPr>
            <w:tcW w:w="1119" w:type="dxa"/>
            <w:tcBorders>
              <w:top w:val="nil"/>
              <w:left w:val="nil"/>
              <w:bottom w:val="nil"/>
              <w:right w:val="nil"/>
            </w:tcBorders>
            <w:shd w:val="clear" w:color="auto" w:fill="auto"/>
            <w:hideMark/>
          </w:tcPr>
          <w:p w14:paraId="12CCC88E"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70</w:t>
            </w:r>
          </w:p>
        </w:tc>
        <w:tc>
          <w:tcPr>
            <w:tcW w:w="1135" w:type="dxa"/>
            <w:tcBorders>
              <w:top w:val="nil"/>
              <w:left w:val="nil"/>
              <w:bottom w:val="nil"/>
              <w:right w:val="nil"/>
            </w:tcBorders>
            <w:shd w:val="clear" w:color="auto" w:fill="auto"/>
            <w:hideMark/>
          </w:tcPr>
          <w:p w14:paraId="5536BA10" w14:textId="77777777"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Pre-post</w:t>
            </w:r>
          </w:p>
        </w:tc>
        <w:tc>
          <w:tcPr>
            <w:tcW w:w="1128" w:type="dxa"/>
            <w:tcBorders>
              <w:top w:val="nil"/>
              <w:left w:val="nil"/>
              <w:bottom w:val="nil"/>
              <w:right w:val="nil"/>
            </w:tcBorders>
            <w:shd w:val="clear" w:color="auto" w:fill="auto"/>
            <w:hideMark/>
          </w:tcPr>
          <w:p w14:paraId="2F8CE6C8" w14:textId="5FF5D49A"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A07F99">
              <w:rPr>
                <w:rFonts w:ascii="Calibri" w:eastAsia="Times New Roman" w:hAnsi="Calibri" w:cs="Calibri"/>
                <w:kern w:val="0"/>
                <w:sz w:val="16"/>
                <w:szCs w:val="16"/>
                <w:lang w:eastAsia="en-AU"/>
                <w14:ligatures w14:val="none"/>
              </w:rPr>
              <w:t>System performance Patient outcomes</w:t>
            </w:r>
          </w:p>
        </w:tc>
      </w:tr>
      <w:tr w:rsidR="004B049F" w:rsidRPr="00E821F3" w14:paraId="04A7D41D" w14:textId="77777777" w:rsidTr="00143566">
        <w:trPr>
          <w:cantSplit/>
          <w:trHeight w:val="567"/>
        </w:trPr>
        <w:tc>
          <w:tcPr>
            <w:tcW w:w="1313" w:type="dxa"/>
            <w:tcBorders>
              <w:top w:val="nil"/>
              <w:left w:val="nil"/>
              <w:bottom w:val="nil"/>
              <w:right w:val="nil"/>
            </w:tcBorders>
            <w:shd w:val="clear" w:color="auto" w:fill="auto"/>
            <w:noWrap/>
            <w:hideMark/>
          </w:tcPr>
          <w:p w14:paraId="4A571929" w14:textId="49C2147B"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proofErr w:type="spellStart"/>
            <w:r w:rsidRPr="004B049F">
              <w:rPr>
                <w:sz w:val="16"/>
                <w:szCs w:val="16"/>
              </w:rPr>
              <w:t>Ngian</w:t>
            </w:r>
            <w:proofErr w:type="spellEnd"/>
            <w:r w:rsidRPr="004B049F">
              <w:rPr>
                <w:sz w:val="16"/>
                <w:szCs w:val="16"/>
              </w:rPr>
              <w:t xml:space="preserve"> et al., 2008, Australia</w:t>
            </w:r>
          </w:p>
        </w:tc>
        <w:tc>
          <w:tcPr>
            <w:tcW w:w="1525" w:type="dxa"/>
            <w:tcBorders>
              <w:top w:val="nil"/>
              <w:left w:val="nil"/>
              <w:bottom w:val="nil"/>
              <w:right w:val="nil"/>
            </w:tcBorders>
          </w:tcPr>
          <w:p w14:paraId="1F9A471E" w14:textId="77777777"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p>
        </w:tc>
        <w:tc>
          <w:tcPr>
            <w:tcW w:w="2688" w:type="dxa"/>
            <w:tcBorders>
              <w:top w:val="nil"/>
              <w:left w:val="nil"/>
              <w:bottom w:val="nil"/>
              <w:right w:val="nil"/>
            </w:tcBorders>
            <w:shd w:val="clear" w:color="auto" w:fill="auto"/>
            <w:hideMark/>
          </w:tcPr>
          <w:p w14:paraId="1832E719" w14:textId="25433D7A"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To review discordant cases of elderly patients deemed for discharge by ED but subsequently admitted following Aged Care Service Emergency Teams review</w:t>
            </w:r>
          </w:p>
        </w:tc>
        <w:tc>
          <w:tcPr>
            <w:tcW w:w="3031" w:type="dxa"/>
            <w:tcBorders>
              <w:top w:val="nil"/>
              <w:left w:val="nil"/>
              <w:bottom w:val="nil"/>
              <w:right w:val="nil"/>
            </w:tcBorders>
            <w:shd w:val="clear" w:color="auto" w:fill="auto"/>
            <w:hideMark/>
          </w:tcPr>
          <w:p w14:paraId="06EF6263" w14:textId="289E13DB" w:rsidR="004B049F" w:rsidRPr="001670F6"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1670F6">
              <w:rPr>
                <w:rFonts w:ascii="Calibri" w:eastAsia="Times New Roman" w:hAnsi="Calibri" w:cs="Calibri"/>
                <w:b/>
                <w:bCs/>
                <w:color w:val="000000"/>
                <w:kern w:val="0"/>
                <w:sz w:val="16"/>
                <w:szCs w:val="16"/>
                <w:lang w:eastAsia="en-AU"/>
                <w14:ligatures w14:val="none"/>
              </w:rPr>
              <w:t>General assessment and multi-faceted care coordination to better address patient needs</w:t>
            </w:r>
          </w:p>
          <w:p w14:paraId="73D86439" w14:textId="499F7F9C"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An on-call senior geriatrician supervising a Geriatric Medicine trainee based solely in ED. The operating hours are 10 am to 6 pm weekdays and 10 am</w:t>
            </w:r>
            <w:r>
              <w:rPr>
                <w:rFonts w:ascii="Calibri" w:eastAsia="Times New Roman" w:hAnsi="Calibri" w:cs="Calibri"/>
                <w:color w:val="000000"/>
                <w:kern w:val="0"/>
                <w:sz w:val="16"/>
                <w:szCs w:val="16"/>
                <w:lang w:eastAsia="en-AU"/>
                <w14:ligatures w14:val="none"/>
              </w:rPr>
              <w:t xml:space="preserve"> </w:t>
            </w:r>
            <w:r w:rsidRPr="007F1A6A">
              <w:rPr>
                <w:rFonts w:ascii="Calibri" w:eastAsia="Times New Roman" w:hAnsi="Calibri" w:cs="Calibri"/>
                <w:color w:val="000000"/>
                <w:kern w:val="0"/>
                <w:sz w:val="16"/>
                <w:szCs w:val="16"/>
                <w:lang w:eastAsia="en-AU"/>
                <w14:ligatures w14:val="none"/>
              </w:rPr>
              <w:t xml:space="preserve">to 4 </w:t>
            </w:r>
            <w:proofErr w:type="gramStart"/>
            <w:r w:rsidRPr="007F1A6A">
              <w:rPr>
                <w:rFonts w:ascii="Calibri" w:eastAsia="Times New Roman" w:hAnsi="Calibri" w:cs="Calibri"/>
                <w:color w:val="000000"/>
                <w:kern w:val="0"/>
                <w:sz w:val="16"/>
                <w:szCs w:val="16"/>
                <w:lang w:eastAsia="en-AU"/>
                <w14:ligatures w14:val="none"/>
              </w:rPr>
              <w:t>pm  weekends</w:t>
            </w:r>
            <w:proofErr w:type="gramEnd"/>
            <w:r w:rsidRPr="007F1A6A">
              <w:rPr>
                <w:rFonts w:ascii="Calibri" w:eastAsia="Times New Roman" w:hAnsi="Calibri" w:cs="Calibri"/>
                <w:color w:val="000000"/>
                <w:kern w:val="0"/>
                <w:sz w:val="16"/>
                <w:szCs w:val="16"/>
                <w:lang w:eastAsia="en-AU"/>
                <w14:ligatures w14:val="none"/>
              </w:rPr>
              <w:t xml:space="preserve">.  The service is supported by on-site nursing and allied health team comprising of a physiotherapist, occupational therapist, and social worker. Post-discharge follow-up facilities include falls, memory, and general outpatient clinics. </w:t>
            </w:r>
          </w:p>
        </w:tc>
        <w:tc>
          <w:tcPr>
            <w:tcW w:w="1128" w:type="dxa"/>
            <w:tcBorders>
              <w:top w:val="nil"/>
              <w:left w:val="nil"/>
              <w:bottom w:val="nil"/>
              <w:right w:val="nil"/>
            </w:tcBorders>
            <w:shd w:val="clear" w:color="auto" w:fill="auto"/>
            <w:hideMark/>
          </w:tcPr>
          <w:p w14:paraId="4F89DD1C"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w:t>
            </w:r>
          </w:p>
        </w:tc>
        <w:tc>
          <w:tcPr>
            <w:tcW w:w="1389" w:type="dxa"/>
            <w:tcBorders>
              <w:top w:val="nil"/>
              <w:left w:val="nil"/>
              <w:bottom w:val="nil"/>
              <w:right w:val="nil"/>
            </w:tcBorders>
            <w:shd w:val="clear" w:color="auto" w:fill="auto"/>
            <w:hideMark/>
          </w:tcPr>
          <w:p w14:paraId="76F4657E"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103</w:t>
            </w:r>
          </w:p>
        </w:tc>
        <w:tc>
          <w:tcPr>
            <w:tcW w:w="1119" w:type="dxa"/>
            <w:tcBorders>
              <w:top w:val="nil"/>
              <w:left w:val="nil"/>
              <w:bottom w:val="nil"/>
              <w:right w:val="nil"/>
            </w:tcBorders>
            <w:shd w:val="clear" w:color="auto" w:fill="auto"/>
            <w:hideMark/>
          </w:tcPr>
          <w:p w14:paraId="18E68950" w14:textId="093118C9"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w:t>
            </w:r>
          </w:p>
        </w:tc>
        <w:tc>
          <w:tcPr>
            <w:tcW w:w="1135" w:type="dxa"/>
            <w:tcBorders>
              <w:top w:val="nil"/>
              <w:left w:val="nil"/>
              <w:bottom w:val="nil"/>
              <w:right w:val="nil"/>
            </w:tcBorders>
            <w:shd w:val="clear" w:color="auto" w:fill="auto"/>
            <w:hideMark/>
          </w:tcPr>
          <w:p w14:paraId="5F2E8353" w14:textId="6BB4EA35"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Cross-sectional</w:t>
            </w:r>
          </w:p>
        </w:tc>
        <w:tc>
          <w:tcPr>
            <w:tcW w:w="1128" w:type="dxa"/>
            <w:tcBorders>
              <w:top w:val="nil"/>
              <w:left w:val="nil"/>
              <w:bottom w:val="nil"/>
              <w:right w:val="nil"/>
            </w:tcBorders>
            <w:shd w:val="clear" w:color="auto" w:fill="auto"/>
            <w:hideMark/>
          </w:tcPr>
          <w:p w14:paraId="1670E903" w14:textId="5096BF0A"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A07F99">
              <w:rPr>
                <w:rFonts w:ascii="Calibri" w:eastAsia="Times New Roman" w:hAnsi="Calibri" w:cs="Calibri"/>
                <w:kern w:val="0"/>
                <w:sz w:val="16"/>
                <w:szCs w:val="16"/>
                <w:lang w:eastAsia="en-AU"/>
                <w14:ligatures w14:val="none"/>
              </w:rPr>
              <w:t>System performance Patient outcomes</w:t>
            </w:r>
          </w:p>
        </w:tc>
      </w:tr>
      <w:tr w:rsidR="004B049F" w:rsidRPr="00E821F3" w14:paraId="05A8EEE2" w14:textId="77777777" w:rsidTr="00143566">
        <w:trPr>
          <w:cantSplit/>
          <w:trHeight w:val="567"/>
        </w:trPr>
        <w:tc>
          <w:tcPr>
            <w:tcW w:w="1313" w:type="dxa"/>
            <w:tcBorders>
              <w:top w:val="nil"/>
              <w:left w:val="nil"/>
              <w:bottom w:val="nil"/>
              <w:right w:val="nil"/>
            </w:tcBorders>
            <w:shd w:val="clear" w:color="auto" w:fill="auto"/>
            <w:noWrap/>
            <w:hideMark/>
          </w:tcPr>
          <w:p w14:paraId="3580FC9B" w14:textId="3AA3E7B6"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4B049F">
              <w:rPr>
                <w:sz w:val="16"/>
                <w:szCs w:val="16"/>
              </w:rPr>
              <w:lastRenderedPageBreak/>
              <w:t>O' Keeffe et al., 2020, Ireland</w:t>
            </w:r>
          </w:p>
        </w:tc>
        <w:tc>
          <w:tcPr>
            <w:tcW w:w="1525" w:type="dxa"/>
            <w:tcBorders>
              <w:top w:val="nil"/>
              <w:left w:val="nil"/>
              <w:bottom w:val="nil"/>
              <w:right w:val="nil"/>
            </w:tcBorders>
          </w:tcPr>
          <w:p w14:paraId="6D3E9C1D" w14:textId="7671B65E"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Falls</w:t>
            </w:r>
          </w:p>
        </w:tc>
        <w:tc>
          <w:tcPr>
            <w:tcW w:w="2688" w:type="dxa"/>
            <w:tcBorders>
              <w:top w:val="nil"/>
              <w:left w:val="nil"/>
              <w:bottom w:val="nil"/>
              <w:right w:val="nil"/>
            </w:tcBorders>
            <w:shd w:val="clear" w:color="auto" w:fill="auto"/>
            <w:hideMark/>
          </w:tcPr>
          <w:p w14:paraId="10FC348D" w14:textId="70D179D1"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 xml:space="preserve">To evaluate a Nurse Practitioner led ED falls pathway for </w:t>
            </w:r>
            <w:r w:rsidR="00260D46">
              <w:rPr>
                <w:rFonts w:ascii="Calibri" w:eastAsia="Times New Roman" w:hAnsi="Calibri" w:cs="Calibri"/>
                <w:color w:val="000000"/>
                <w:kern w:val="0"/>
                <w:sz w:val="16"/>
                <w:szCs w:val="16"/>
                <w:lang w:eastAsia="en-AU"/>
                <w14:ligatures w14:val="none"/>
              </w:rPr>
              <w:t>older adults</w:t>
            </w:r>
            <w:r w:rsidRPr="007F1A6A">
              <w:rPr>
                <w:rFonts w:ascii="Calibri" w:eastAsia="Times New Roman" w:hAnsi="Calibri" w:cs="Calibri"/>
                <w:color w:val="000000"/>
                <w:kern w:val="0"/>
                <w:sz w:val="16"/>
                <w:szCs w:val="16"/>
                <w:lang w:eastAsia="en-AU"/>
                <w14:ligatures w14:val="none"/>
              </w:rPr>
              <w:t xml:space="preserve"> </w:t>
            </w:r>
          </w:p>
        </w:tc>
        <w:tc>
          <w:tcPr>
            <w:tcW w:w="3031" w:type="dxa"/>
            <w:tcBorders>
              <w:top w:val="nil"/>
              <w:left w:val="nil"/>
              <w:bottom w:val="nil"/>
              <w:right w:val="nil"/>
            </w:tcBorders>
            <w:shd w:val="clear" w:color="auto" w:fill="auto"/>
            <w:hideMark/>
          </w:tcPr>
          <w:p w14:paraId="18A8E6B7" w14:textId="2C16A200" w:rsidR="004B049F" w:rsidRPr="007047A4"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7047A4">
              <w:rPr>
                <w:rFonts w:ascii="Calibri" w:eastAsia="Times New Roman" w:hAnsi="Calibri" w:cs="Calibri"/>
                <w:b/>
                <w:bCs/>
                <w:kern w:val="0"/>
                <w:sz w:val="16"/>
                <w:szCs w:val="16"/>
                <w:lang w:eastAsia="en-AU"/>
                <w14:ligatures w14:val="none"/>
              </w:rPr>
              <w:t>Management of falls risk</w:t>
            </w:r>
          </w:p>
          <w:p w14:paraId="3678BF25" w14:textId="43F13C73"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 xml:space="preserve">Investigate modifiable falls risk assessment comprising postural </w:t>
            </w:r>
            <w:r>
              <w:rPr>
                <w:rFonts w:ascii="Calibri" w:eastAsia="Times New Roman" w:hAnsi="Calibri" w:cs="Calibri"/>
                <w:color w:val="000000"/>
                <w:kern w:val="0"/>
                <w:sz w:val="16"/>
                <w:szCs w:val="16"/>
                <w:lang w:eastAsia="en-AU"/>
                <w14:ligatures w14:val="none"/>
              </w:rPr>
              <w:t>blood pressure</w:t>
            </w:r>
            <w:r w:rsidRPr="007F1A6A">
              <w:rPr>
                <w:rFonts w:ascii="Calibri" w:eastAsia="Times New Roman" w:hAnsi="Calibri" w:cs="Calibri"/>
                <w:color w:val="000000"/>
                <w:kern w:val="0"/>
                <w:sz w:val="16"/>
                <w:szCs w:val="16"/>
                <w:lang w:eastAsia="en-AU"/>
                <w14:ligatures w14:val="none"/>
              </w:rPr>
              <w:t xml:space="preserve">, 4AT, TUG, polypharmacy (&gt;5), stratify, medium/high risk also get ECG, urinalysis, and clinically indicated bloods; high risk reviewed by senior </w:t>
            </w:r>
            <w:r>
              <w:rPr>
                <w:rFonts w:ascii="Calibri" w:eastAsia="Times New Roman" w:hAnsi="Calibri" w:cs="Calibri"/>
                <w:color w:val="000000"/>
                <w:kern w:val="0"/>
                <w:sz w:val="16"/>
                <w:szCs w:val="16"/>
                <w:lang w:eastAsia="en-AU"/>
                <w14:ligatures w14:val="none"/>
              </w:rPr>
              <w:t>doctor</w:t>
            </w:r>
            <w:r w:rsidRPr="007F1A6A">
              <w:rPr>
                <w:rFonts w:ascii="Calibri" w:eastAsia="Times New Roman" w:hAnsi="Calibri" w:cs="Calibri"/>
                <w:color w:val="000000"/>
                <w:kern w:val="0"/>
                <w:sz w:val="16"/>
                <w:szCs w:val="16"/>
                <w:lang w:eastAsia="en-AU"/>
                <w14:ligatures w14:val="none"/>
              </w:rPr>
              <w:t xml:space="preserve"> or nurse, for discharged patients -streamlined referral for appropriate community follow-up </w:t>
            </w:r>
          </w:p>
        </w:tc>
        <w:tc>
          <w:tcPr>
            <w:tcW w:w="1128" w:type="dxa"/>
            <w:tcBorders>
              <w:top w:val="nil"/>
              <w:left w:val="nil"/>
              <w:bottom w:val="nil"/>
              <w:right w:val="nil"/>
            </w:tcBorders>
            <w:shd w:val="clear" w:color="auto" w:fill="auto"/>
            <w:hideMark/>
          </w:tcPr>
          <w:p w14:paraId="5149B194"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w:t>
            </w:r>
          </w:p>
        </w:tc>
        <w:tc>
          <w:tcPr>
            <w:tcW w:w="1389" w:type="dxa"/>
            <w:tcBorders>
              <w:top w:val="nil"/>
              <w:left w:val="nil"/>
              <w:bottom w:val="nil"/>
              <w:right w:val="nil"/>
            </w:tcBorders>
            <w:shd w:val="clear" w:color="auto" w:fill="auto"/>
            <w:hideMark/>
          </w:tcPr>
          <w:p w14:paraId="132E4B04"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77</w:t>
            </w:r>
          </w:p>
        </w:tc>
        <w:tc>
          <w:tcPr>
            <w:tcW w:w="1119" w:type="dxa"/>
            <w:tcBorders>
              <w:top w:val="nil"/>
              <w:left w:val="nil"/>
              <w:bottom w:val="nil"/>
              <w:right w:val="nil"/>
            </w:tcBorders>
            <w:shd w:val="clear" w:color="auto" w:fill="auto"/>
            <w:hideMark/>
          </w:tcPr>
          <w:p w14:paraId="7200A088"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59</w:t>
            </w:r>
          </w:p>
        </w:tc>
        <w:tc>
          <w:tcPr>
            <w:tcW w:w="1135" w:type="dxa"/>
            <w:tcBorders>
              <w:top w:val="nil"/>
              <w:left w:val="nil"/>
              <w:bottom w:val="nil"/>
              <w:right w:val="nil"/>
            </w:tcBorders>
            <w:shd w:val="clear" w:color="auto" w:fill="auto"/>
            <w:hideMark/>
          </w:tcPr>
          <w:p w14:paraId="1D1B7792" w14:textId="77777777"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Pre-post</w:t>
            </w:r>
          </w:p>
        </w:tc>
        <w:tc>
          <w:tcPr>
            <w:tcW w:w="1128" w:type="dxa"/>
            <w:tcBorders>
              <w:top w:val="nil"/>
              <w:left w:val="nil"/>
              <w:bottom w:val="nil"/>
              <w:right w:val="nil"/>
            </w:tcBorders>
            <w:shd w:val="clear" w:color="auto" w:fill="auto"/>
            <w:hideMark/>
          </w:tcPr>
          <w:p w14:paraId="41C6E0C0" w14:textId="5116A91D"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A07F99">
              <w:rPr>
                <w:rFonts w:ascii="Calibri" w:eastAsia="Times New Roman" w:hAnsi="Calibri" w:cs="Calibri"/>
                <w:kern w:val="0"/>
                <w:sz w:val="16"/>
                <w:szCs w:val="16"/>
                <w:lang w:eastAsia="en-AU"/>
                <w14:ligatures w14:val="none"/>
              </w:rPr>
              <w:t>System performance Patient outcomes</w:t>
            </w:r>
          </w:p>
        </w:tc>
      </w:tr>
      <w:tr w:rsidR="004B049F" w:rsidRPr="00E821F3" w14:paraId="14C4564C" w14:textId="77777777" w:rsidTr="00143566">
        <w:trPr>
          <w:cantSplit/>
          <w:trHeight w:val="567"/>
        </w:trPr>
        <w:tc>
          <w:tcPr>
            <w:tcW w:w="1313" w:type="dxa"/>
            <w:tcBorders>
              <w:top w:val="nil"/>
              <w:left w:val="nil"/>
              <w:bottom w:val="nil"/>
              <w:right w:val="nil"/>
            </w:tcBorders>
            <w:shd w:val="clear" w:color="000000" w:fill="FFFFFF"/>
            <w:noWrap/>
            <w:hideMark/>
          </w:tcPr>
          <w:p w14:paraId="3CE1125E" w14:textId="51CB33FD"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4B049F">
              <w:rPr>
                <w:sz w:val="16"/>
                <w:szCs w:val="16"/>
              </w:rPr>
              <w:t xml:space="preserve">O'Grady et al., </w:t>
            </w:r>
            <w:proofErr w:type="gramStart"/>
            <w:r w:rsidRPr="004B049F">
              <w:rPr>
                <w:sz w:val="16"/>
                <w:szCs w:val="16"/>
              </w:rPr>
              <w:t>1996 ,</w:t>
            </w:r>
            <w:proofErr w:type="gramEnd"/>
            <w:r w:rsidRPr="004B049F">
              <w:rPr>
                <w:sz w:val="16"/>
                <w:szCs w:val="16"/>
              </w:rPr>
              <w:t xml:space="preserve"> Australia</w:t>
            </w:r>
          </w:p>
        </w:tc>
        <w:tc>
          <w:tcPr>
            <w:tcW w:w="1525" w:type="dxa"/>
            <w:tcBorders>
              <w:top w:val="nil"/>
              <w:left w:val="nil"/>
              <w:bottom w:val="nil"/>
              <w:right w:val="nil"/>
            </w:tcBorders>
            <w:shd w:val="clear" w:color="000000" w:fill="FFFFFF"/>
          </w:tcPr>
          <w:p w14:paraId="28D3D4ED" w14:textId="036E22F9"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 </w:t>
            </w:r>
          </w:p>
        </w:tc>
        <w:tc>
          <w:tcPr>
            <w:tcW w:w="2688" w:type="dxa"/>
            <w:tcBorders>
              <w:top w:val="nil"/>
              <w:left w:val="nil"/>
              <w:bottom w:val="nil"/>
              <w:right w:val="nil"/>
            </w:tcBorders>
            <w:shd w:val="clear" w:color="000000" w:fill="FFFFFF"/>
            <w:hideMark/>
          </w:tcPr>
          <w:p w14:paraId="58235455" w14:textId="659F3C29"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To Evaluate the Quick Response Program for older adults in ED</w:t>
            </w:r>
          </w:p>
        </w:tc>
        <w:tc>
          <w:tcPr>
            <w:tcW w:w="3031" w:type="dxa"/>
            <w:tcBorders>
              <w:top w:val="nil"/>
              <w:left w:val="nil"/>
              <w:bottom w:val="nil"/>
              <w:right w:val="nil"/>
            </w:tcBorders>
            <w:shd w:val="clear" w:color="000000" w:fill="FFFFFF"/>
            <w:hideMark/>
          </w:tcPr>
          <w:p w14:paraId="2F0690F4" w14:textId="29F3B144" w:rsidR="004B049F" w:rsidRPr="00A72A54"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A72A54">
              <w:rPr>
                <w:rFonts w:ascii="Calibri" w:eastAsia="Times New Roman" w:hAnsi="Calibri" w:cs="Calibri"/>
                <w:b/>
                <w:bCs/>
                <w:kern w:val="0"/>
                <w:sz w:val="16"/>
                <w:szCs w:val="16"/>
                <w:lang w:eastAsia="en-AU"/>
                <w14:ligatures w14:val="none"/>
              </w:rPr>
              <w:t>General assessment and multi-faceted care coordination to better address patient needs</w:t>
            </w:r>
          </w:p>
          <w:p w14:paraId="5E671EB0" w14:textId="1C421AB0"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 xml:space="preserve">Community health nurse with gerontological training based in ED </w:t>
            </w:r>
            <w:r>
              <w:rPr>
                <w:rFonts w:ascii="Calibri" w:eastAsia="Times New Roman" w:hAnsi="Calibri" w:cs="Calibri"/>
                <w:color w:val="000000"/>
                <w:kern w:val="0"/>
                <w:sz w:val="16"/>
                <w:szCs w:val="16"/>
                <w:lang w:eastAsia="en-AU"/>
                <w14:ligatures w14:val="none"/>
              </w:rPr>
              <w:t xml:space="preserve">from </w:t>
            </w:r>
            <w:r w:rsidRPr="007F1A6A">
              <w:rPr>
                <w:rFonts w:ascii="Calibri" w:eastAsia="Times New Roman" w:hAnsi="Calibri" w:cs="Calibri"/>
                <w:color w:val="000000"/>
                <w:kern w:val="0"/>
                <w:sz w:val="16"/>
                <w:szCs w:val="16"/>
                <w:lang w:eastAsia="en-AU"/>
                <w14:ligatures w14:val="none"/>
              </w:rPr>
              <w:t>8</w:t>
            </w:r>
            <w:r>
              <w:rPr>
                <w:rFonts w:ascii="Calibri" w:eastAsia="Times New Roman" w:hAnsi="Calibri" w:cs="Calibri"/>
                <w:color w:val="000000"/>
                <w:kern w:val="0"/>
                <w:sz w:val="16"/>
                <w:szCs w:val="16"/>
                <w:lang w:eastAsia="en-AU"/>
                <w14:ligatures w14:val="none"/>
              </w:rPr>
              <w:t>:</w:t>
            </w:r>
            <w:r w:rsidRPr="007F1A6A">
              <w:rPr>
                <w:rFonts w:ascii="Calibri" w:eastAsia="Times New Roman" w:hAnsi="Calibri" w:cs="Calibri"/>
                <w:color w:val="000000"/>
                <w:kern w:val="0"/>
                <w:sz w:val="16"/>
                <w:szCs w:val="16"/>
                <w:lang w:eastAsia="en-AU"/>
                <w14:ligatures w14:val="none"/>
              </w:rPr>
              <w:t>30</w:t>
            </w:r>
            <w:r>
              <w:rPr>
                <w:rFonts w:ascii="Calibri" w:eastAsia="Times New Roman" w:hAnsi="Calibri" w:cs="Calibri"/>
                <w:color w:val="000000"/>
                <w:kern w:val="0"/>
                <w:sz w:val="16"/>
                <w:szCs w:val="16"/>
                <w:lang w:eastAsia="en-AU"/>
                <w14:ligatures w14:val="none"/>
              </w:rPr>
              <w:t xml:space="preserve"> am to 7 pm</w:t>
            </w:r>
            <w:r w:rsidRPr="007F1A6A">
              <w:rPr>
                <w:rFonts w:ascii="Calibri" w:eastAsia="Times New Roman" w:hAnsi="Calibri" w:cs="Calibri"/>
                <w:color w:val="000000"/>
                <w:kern w:val="0"/>
                <w:sz w:val="16"/>
                <w:szCs w:val="16"/>
                <w:lang w:eastAsia="en-AU"/>
                <w14:ligatures w14:val="none"/>
              </w:rPr>
              <w:t xml:space="preserve"> assessed identified patients, liaised with ED and </w:t>
            </w:r>
            <w:proofErr w:type="gramStart"/>
            <w:r w:rsidRPr="007F1A6A">
              <w:rPr>
                <w:rFonts w:ascii="Calibri" w:eastAsia="Times New Roman" w:hAnsi="Calibri" w:cs="Calibri"/>
                <w:color w:val="000000"/>
                <w:kern w:val="0"/>
                <w:sz w:val="16"/>
                <w:szCs w:val="16"/>
                <w:lang w:eastAsia="en-AU"/>
                <w14:ligatures w14:val="none"/>
              </w:rPr>
              <w:t>GPs</w:t>
            </w:r>
            <w:proofErr w:type="gramEnd"/>
            <w:r w:rsidRPr="007F1A6A">
              <w:rPr>
                <w:rFonts w:ascii="Calibri" w:eastAsia="Times New Roman" w:hAnsi="Calibri" w:cs="Calibri"/>
                <w:color w:val="000000"/>
                <w:kern w:val="0"/>
                <w:sz w:val="16"/>
                <w:szCs w:val="16"/>
                <w:lang w:eastAsia="en-AU"/>
                <w14:ligatures w14:val="none"/>
              </w:rPr>
              <w:t xml:space="preserve"> and developed care plans, referred to community services, advocated for best patient outcome</w:t>
            </w:r>
          </w:p>
        </w:tc>
        <w:tc>
          <w:tcPr>
            <w:tcW w:w="1128" w:type="dxa"/>
            <w:tcBorders>
              <w:top w:val="nil"/>
              <w:left w:val="nil"/>
              <w:bottom w:val="nil"/>
              <w:right w:val="nil"/>
            </w:tcBorders>
            <w:shd w:val="clear" w:color="000000" w:fill="FFFFFF"/>
            <w:hideMark/>
          </w:tcPr>
          <w:p w14:paraId="35112FAA"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w:t>
            </w:r>
          </w:p>
        </w:tc>
        <w:tc>
          <w:tcPr>
            <w:tcW w:w="1389" w:type="dxa"/>
            <w:tcBorders>
              <w:top w:val="nil"/>
              <w:left w:val="nil"/>
              <w:bottom w:val="nil"/>
              <w:right w:val="nil"/>
            </w:tcBorders>
            <w:shd w:val="clear" w:color="000000" w:fill="FFFFFF"/>
            <w:hideMark/>
          </w:tcPr>
          <w:p w14:paraId="6F5E4B8C" w14:textId="1D9C5133"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NR</w:t>
            </w:r>
            <w:r w:rsidRPr="007F1A6A">
              <w:rPr>
                <w:rFonts w:ascii="Calibri" w:eastAsia="Times New Roman" w:hAnsi="Calibri" w:cs="Calibri"/>
                <w:color w:val="000000"/>
                <w:kern w:val="0"/>
                <w:sz w:val="16"/>
                <w:szCs w:val="16"/>
                <w:lang w:eastAsia="en-AU"/>
                <w14:ligatures w14:val="none"/>
              </w:rPr>
              <w:t> </w:t>
            </w:r>
          </w:p>
        </w:tc>
        <w:tc>
          <w:tcPr>
            <w:tcW w:w="1119" w:type="dxa"/>
            <w:tcBorders>
              <w:top w:val="nil"/>
              <w:left w:val="nil"/>
              <w:bottom w:val="nil"/>
              <w:right w:val="nil"/>
            </w:tcBorders>
            <w:shd w:val="clear" w:color="000000" w:fill="FFFFFF"/>
            <w:hideMark/>
          </w:tcPr>
          <w:p w14:paraId="0F851BF2" w14:textId="0CCA4BE2"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 </w:t>
            </w:r>
            <w:r>
              <w:rPr>
                <w:rFonts w:ascii="Calibri" w:eastAsia="Times New Roman" w:hAnsi="Calibri" w:cs="Calibri"/>
                <w:color w:val="000000"/>
                <w:kern w:val="0"/>
                <w:sz w:val="16"/>
                <w:szCs w:val="16"/>
                <w:lang w:eastAsia="en-AU"/>
                <w14:ligatures w14:val="none"/>
              </w:rPr>
              <w:t>NR</w:t>
            </w:r>
          </w:p>
        </w:tc>
        <w:tc>
          <w:tcPr>
            <w:tcW w:w="1135" w:type="dxa"/>
            <w:tcBorders>
              <w:top w:val="nil"/>
              <w:left w:val="nil"/>
              <w:bottom w:val="nil"/>
              <w:right w:val="nil"/>
            </w:tcBorders>
            <w:shd w:val="clear" w:color="000000" w:fill="FFFFFF"/>
            <w:hideMark/>
          </w:tcPr>
          <w:p w14:paraId="008DBD8D" w14:textId="252A67AA"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Descriptive</w:t>
            </w:r>
          </w:p>
        </w:tc>
        <w:tc>
          <w:tcPr>
            <w:tcW w:w="1128" w:type="dxa"/>
            <w:tcBorders>
              <w:top w:val="nil"/>
              <w:left w:val="nil"/>
              <w:bottom w:val="nil"/>
              <w:right w:val="nil"/>
            </w:tcBorders>
            <w:shd w:val="clear" w:color="000000" w:fill="FFFFFF"/>
            <w:hideMark/>
          </w:tcPr>
          <w:p w14:paraId="58AD8B42" w14:textId="4315EE47"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A07F99">
              <w:rPr>
                <w:rFonts w:ascii="Calibri" w:eastAsia="Times New Roman" w:hAnsi="Calibri" w:cs="Calibri"/>
                <w:kern w:val="0"/>
                <w:sz w:val="16"/>
                <w:szCs w:val="16"/>
                <w:lang w:eastAsia="en-AU"/>
                <w14:ligatures w14:val="none"/>
              </w:rPr>
              <w:t>System performance Patient outcomes</w:t>
            </w:r>
            <w:r w:rsidRPr="007F1A6A">
              <w:rPr>
                <w:rFonts w:ascii="Calibri" w:eastAsia="Times New Roman" w:hAnsi="Calibri" w:cs="Calibri"/>
                <w:color w:val="000000"/>
                <w:kern w:val="0"/>
                <w:sz w:val="16"/>
                <w:szCs w:val="16"/>
                <w:lang w:eastAsia="en-AU"/>
                <w14:ligatures w14:val="none"/>
              </w:rPr>
              <w:t xml:space="preserve"> </w:t>
            </w:r>
            <w:r>
              <w:rPr>
                <w:rFonts w:ascii="Calibri" w:eastAsia="Times New Roman" w:hAnsi="Calibri" w:cs="Calibri"/>
                <w:color w:val="000000"/>
                <w:kern w:val="0"/>
                <w:sz w:val="16"/>
                <w:szCs w:val="16"/>
                <w:lang w:eastAsia="en-AU"/>
                <w14:ligatures w14:val="none"/>
              </w:rPr>
              <w:t>P</w:t>
            </w:r>
            <w:r w:rsidRPr="007F1A6A">
              <w:rPr>
                <w:rFonts w:ascii="Calibri" w:eastAsia="Times New Roman" w:hAnsi="Calibri" w:cs="Calibri"/>
                <w:color w:val="000000"/>
                <w:kern w:val="0"/>
                <w:sz w:val="16"/>
                <w:szCs w:val="16"/>
                <w:lang w:eastAsia="en-AU"/>
                <w14:ligatures w14:val="none"/>
              </w:rPr>
              <w:t xml:space="preserve">atient experience </w:t>
            </w:r>
            <w:r>
              <w:rPr>
                <w:rFonts w:ascii="Calibri" w:eastAsia="Times New Roman" w:hAnsi="Calibri" w:cs="Calibri"/>
                <w:color w:val="000000"/>
                <w:kern w:val="0"/>
                <w:sz w:val="16"/>
                <w:szCs w:val="16"/>
                <w:lang w:eastAsia="en-AU"/>
                <w14:ligatures w14:val="none"/>
              </w:rPr>
              <w:t>S</w:t>
            </w:r>
            <w:r w:rsidRPr="007F1A6A">
              <w:rPr>
                <w:rFonts w:ascii="Calibri" w:eastAsia="Times New Roman" w:hAnsi="Calibri" w:cs="Calibri"/>
                <w:color w:val="000000"/>
                <w:kern w:val="0"/>
                <w:sz w:val="16"/>
                <w:szCs w:val="16"/>
                <w:lang w:eastAsia="en-AU"/>
                <w14:ligatures w14:val="none"/>
              </w:rPr>
              <w:t xml:space="preserve">taff experience </w:t>
            </w:r>
          </w:p>
        </w:tc>
      </w:tr>
      <w:tr w:rsidR="004B049F" w:rsidRPr="00E821F3" w14:paraId="083F081E" w14:textId="77777777" w:rsidTr="00143566">
        <w:trPr>
          <w:cantSplit/>
          <w:trHeight w:val="567"/>
        </w:trPr>
        <w:tc>
          <w:tcPr>
            <w:tcW w:w="1313" w:type="dxa"/>
            <w:tcBorders>
              <w:top w:val="nil"/>
              <w:left w:val="nil"/>
              <w:bottom w:val="nil"/>
              <w:right w:val="nil"/>
            </w:tcBorders>
            <w:shd w:val="clear" w:color="auto" w:fill="auto"/>
            <w:noWrap/>
            <w:hideMark/>
          </w:tcPr>
          <w:p w14:paraId="717D8FB2" w14:textId="726E348E"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4B049F">
              <w:rPr>
                <w:sz w:val="16"/>
                <w:szCs w:val="16"/>
              </w:rPr>
              <w:t>Palonen et al., 2015, Finland</w:t>
            </w:r>
          </w:p>
        </w:tc>
        <w:tc>
          <w:tcPr>
            <w:tcW w:w="1525" w:type="dxa"/>
            <w:tcBorders>
              <w:top w:val="nil"/>
              <w:left w:val="nil"/>
              <w:bottom w:val="nil"/>
              <w:right w:val="nil"/>
            </w:tcBorders>
          </w:tcPr>
          <w:p w14:paraId="7F01F929" w14:textId="455B02C6"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Discharge education</w:t>
            </w:r>
          </w:p>
        </w:tc>
        <w:tc>
          <w:tcPr>
            <w:tcW w:w="2688" w:type="dxa"/>
            <w:tcBorders>
              <w:top w:val="nil"/>
              <w:left w:val="nil"/>
              <w:bottom w:val="nil"/>
              <w:right w:val="nil"/>
            </w:tcBorders>
            <w:shd w:val="clear" w:color="auto" w:fill="auto"/>
            <w:hideMark/>
          </w:tcPr>
          <w:p w14:paraId="586808E3" w14:textId="0C13FD8E"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 xml:space="preserve">To examine the association of discharge education with discharge readiness among </w:t>
            </w:r>
            <w:r w:rsidR="00260D46">
              <w:rPr>
                <w:rFonts w:ascii="Calibri" w:eastAsia="Times New Roman" w:hAnsi="Calibri" w:cs="Calibri"/>
                <w:color w:val="000000"/>
                <w:kern w:val="0"/>
                <w:sz w:val="16"/>
                <w:szCs w:val="16"/>
                <w:lang w:eastAsia="en-AU"/>
                <w14:ligatures w14:val="none"/>
              </w:rPr>
              <w:t>older adults</w:t>
            </w:r>
            <w:r w:rsidRPr="007F1A6A">
              <w:rPr>
                <w:rFonts w:ascii="Calibri" w:eastAsia="Times New Roman" w:hAnsi="Calibri" w:cs="Calibri"/>
                <w:color w:val="000000"/>
                <w:kern w:val="0"/>
                <w:sz w:val="16"/>
                <w:szCs w:val="16"/>
                <w:lang w:eastAsia="en-AU"/>
                <w14:ligatures w14:val="none"/>
              </w:rPr>
              <w:t xml:space="preserve"> and their family members in an emergency setting in Finland</w:t>
            </w:r>
          </w:p>
        </w:tc>
        <w:tc>
          <w:tcPr>
            <w:tcW w:w="3031" w:type="dxa"/>
            <w:tcBorders>
              <w:top w:val="nil"/>
              <w:left w:val="nil"/>
              <w:bottom w:val="nil"/>
              <w:right w:val="nil"/>
            </w:tcBorders>
            <w:shd w:val="clear" w:color="auto" w:fill="auto"/>
            <w:hideMark/>
          </w:tcPr>
          <w:p w14:paraId="54395380" w14:textId="36452945" w:rsidR="004B049F" w:rsidRPr="00B54030"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B54030">
              <w:rPr>
                <w:rFonts w:ascii="Calibri" w:eastAsia="Times New Roman" w:hAnsi="Calibri" w:cs="Calibri"/>
                <w:b/>
                <w:bCs/>
                <w:kern w:val="0"/>
                <w:sz w:val="16"/>
                <w:szCs w:val="16"/>
                <w:lang w:eastAsia="en-AU"/>
                <w14:ligatures w14:val="none"/>
              </w:rPr>
              <w:t>General assessment and multi-faceted care coordination to better address patient needs</w:t>
            </w:r>
          </w:p>
          <w:p w14:paraId="2A29DB49" w14:textId="2DB6ADE1"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Discharge education</w:t>
            </w:r>
          </w:p>
        </w:tc>
        <w:tc>
          <w:tcPr>
            <w:tcW w:w="1128" w:type="dxa"/>
            <w:tcBorders>
              <w:top w:val="nil"/>
              <w:left w:val="nil"/>
              <w:bottom w:val="nil"/>
              <w:right w:val="nil"/>
            </w:tcBorders>
            <w:shd w:val="clear" w:color="auto" w:fill="auto"/>
            <w:hideMark/>
          </w:tcPr>
          <w:p w14:paraId="22CE4BCC"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2</w:t>
            </w:r>
          </w:p>
        </w:tc>
        <w:tc>
          <w:tcPr>
            <w:tcW w:w="1389" w:type="dxa"/>
            <w:tcBorders>
              <w:top w:val="nil"/>
              <w:left w:val="nil"/>
              <w:bottom w:val="nil"/>
              <w:right w:val="nil"/>
            </w:tcBorders>
            <w:shd w:val="clear" w:color="auto" w:fill="auto"/>
            <w:hideMark/>
          </w:tcPr>
          <w:p w14:paraId="5F3EA780"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135 patients;</w:t>
            </w:r>
            <w:r w:rsidRPr="007F1A6A">
              <w:rPr>
                <w:rFonts w:ascii="Calibri" w:eastAsia="Times New Roman" w:hAnsi="Calibri" w:cs="Calibri"/>
                <w:color w:val="000000"/>
                <w:kern w:val="0"/>
                <w:sz w:val="16"/>
                <w:szCs w:val="16"/>
                <w:lang w:eastAsia="en-AU"/>
                <w14:ligatures w14:val="none"/>
              </w:rPr>
              <w:br/>
              <w:t>128 family members</w:t>
            </w:r>
          </w:p>
        </w:tc>
        <w:tc>
          <w:tcPr>
            <w:tcW w:w="1119" w:type="dxa"/>
            <w:tcBorders>
              <w:top w:val="nil"/>
              <w:left w:val="nil"/>
              <w:bottom w:val="nil"/>
              <w:right w:val="nil"/>
            </w:tcBorders>
            <w:shd w:val="clear" w:color="auto" w:fill="auto"/>
            <w:hideMark/>
          </w:tcPr>
          <w:p w14:paraId="01ACC3E7" w14:textId="3753E7AC"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w:t>
            </w:r>
          </w:p>
        </w:tc>
        <w:tc>
          <w:tcPr>
            <w:tcW w:w="1135" w:type="dxa"/>
            <w:tcBorders>
              <w:top w:val="nil"/>
              <w:left w:val="nil"/>
              <w:bottom w:val="nil"/>
              <w:right w:val="nil"/>
            </w:tcBorders>
            <w:shd w:val="clear" w:color="auto" w:fill="auto"/>
            <w:hideMark/>
          </w:tcPr>
          <w:p w14:paraId="5BE425B2" w14:textId="77777777"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Cross-sectional</w:t>
            </w:r>
          </w:p>
        </w:tc>
        <w:tc>
          <w:tcPr>
            <w:tcW w:w="1128" w:type="dxa"/>
            <w:tcBorders>
              <w:top w:val="nil"/>
              <w:left w:val="nil"/>
              <w:bottom w:val="nil"/>
              <w:right w:val="nil"/>
            </w:tcBorders>
            <w:shd w:val="clear" w:color="auto" w:fill="auto"/>
            <w:hideMark/>
          </w:tcPr>
          <w:p w14:paraId="5A870105" w14:textId="76504196"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A07F99">
              <w:rPr>
                <w:rFonts w:ascii="Calibri" w:eastAsia="Times New Roman" w:hAnsi="Calibri" w:cs="Calibri"/>
                <w:kern w:val="0"/>
                <w:sz w:val="16"/>
                <w:szCs w:val="16"/>
                <w:lang w:eastAsia="en-AU"/>
                <w14:ligatures w14:val="none"/>
              </w:rPr>
              <w:t>System performance Patient outcomes</w:t>
            </w:r>
          </w:p>
        </w:tc>
      </w:tr>
      <w:tr w:rsidR="004B049F" w:rsidRPr="00E821F3" w14:paraId="4D480A2D" w14:textId="77777777" w:rsidTr="00143566">
        <w:trPr>
          <w:cantSplit/>
          <w:trHeight w:val="567"/>
        </w:trPr>
        <w:tc>
          <w:tcPr>
            <w:tcW w:w="1313" w:type="dxa"/>
            <w:tcBorders>
              <w:top w:val="nil"/>
              <w:left w:val="nil"/>
              <w:bottom w:val="nil"/>
              <w:right w:val="nil"/>
            </w:tcBorders>
            <w:shd w:val="clear" w:color="auto" w:fill="auto"/>
            <w:noWrap/>
            <w:hideMark/>
          </w:tcPr>
          <w:p w14:paraId="75271E91" w14:textId="0C2B0C1E"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4B049F">
              <w:rPr>
                <w:sz w:val="16"/>
                <w:szCs w:val="16"/>
              </w:rPr>
              <w:t>Pelaez et al., 2021, USA</w:t>
            </w:r>
          </w:p>
        </w:tc>
        <w:tc>
          <w:tcPr>
            <w:tcW w:w="1525" w:type="dxa"/>
            <w:tcBorders>
              <w:top w:val="nil"/>
              <w:left w:val="nil"/>
              <w:bottom w:val="nil"/>
              <w:right w:val="nil"/>
            </w:tcBorders>
          </w:tcPr>
          <w:p w14:paraId="57C27703" w14:textId="4F864C35"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Head Trauma Patients on Anticoagulants</w:t>
            </w:r>
          </w:p>
        </w:tc>
        <w:tc>
          <w:tcPr>
            <w:tcW w:w="2688" w:type="dxa"/>
            <w:tcBorders>
              <w:top w:val="nil"/>
              <w:left w:val="nil"/>
              <w:bottom w:val="nil"/>
              <w:right w:val="nil"/>
            </w:tcBorders>
            <w:shd w:val="clear" w:color="auto" w:fill="auto"/>
            <w:hideMark/>
          </w:tcPr>
          <w:p w14:paraId="5D084C46" w14:textId="15EA476A"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To evaluate a hospital initiative to improve the trauma triage response for injured elderly patients taking anticoagulation or antiplatelet medications with suspected head injury.</w:t>
            </w:r>
          </w:p>
        </w:tc>
        <w:tc>
          <w:tcPr>
            <w:tcW w:w="3031" w:type="dxa"/>
            <w:tcBorders>
              <w:top w:val="nil"/>
              <w:left w:val="nil"/>
              <w:bottom w:val="nil"/>
              <w:right w:val="nil"/>
            </w:tcBorders>
            <w:shd w:val="clear" w:color="auto" w:fill="auto"/>
            <w:hideMark/>
          </w:tcPr>
          <w:p w14:paraId="0C6BCE9B" w14:textId="1EE1D5D8" w:rsidR="004B049F" w:rsidRPr="00784B97"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784B97">
              <w:rPr>
                <w:rFonts w:eastAsia="Times New Roman" w:cstheme="minorHAnsi"/>
                <w:b/>
                <w:bCs/>
                <w:color w:val="000000"/>
                <w:kern w:val="0"/>
                <w:sz w:val="16"/>
                <w:szCs w:val="16"/>
                <w:lang w:eastAsia="en-AU"/>
                <w14:ligatures w14:val="none"/>
              </w:rPr>
              <w:t>Management of anticoagulated older adult with head injury</w:t>
            </w:r>
          </w:p>
          <w:p w14:paraId="22630AA6" w14:textId="64E6FC59"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Revised trauma response criteria: patients taking anticoagulation or antiplatelet medications with evidence of head injury received a rapid ED response</w:t>
            </w:r>
          </w:p>
        </w:tc>
        <w:tc>
          <w:tcPr>
            <w:tcW w:w="1128" w:type="dxa"/>
            <w:tcBorders>
              <w:top w:val="nil"/>
              <w:left w:val="nil"/>
              <w:bottom w:val="nil"/>
              <w:right w:val="nil"/>
            </w:tcBorders>
            <w:shd w:val="clear" w:color="auto" w:fill="auto"/>
            <w:hideMark/>
          </w:tcPr>
          <w:p w14:paraId="4C9C4763"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w:t>
            </w:r>
          </w:p>
        </w:tc>
        <w:tc>
          <w:tcPr>
            <w:tcW w:w="1389" w:type="dxa"/>
            <w:tcBorders>
              <w:top w:val="nil"/>
              <w:left w:val="nil"/>
              <w:bottom w:val="nil"/>
              <w:right w:val="nil"/>
            </w:tcBorders>
            <w:shd w:val="clear" w:color="auto" w:fill="auto"/>
            <w:hideMark/>
          </w:tcPr>
          <w:p w14:paraId="226B8CF0"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142</w:t>
            </w:r>
          </w:p>
        </w:tc>
        <w:tc>
          <w:tcPr>
            <w:tcW w:w="1119" w:type="dxa"/>
            <w:tcBorders>
              <w:top w:val="nil"/>
              <w:left w:val="nil"/>
              <w:bottom w:val="nil"/>
              <w:right w:val="nil"/>
            </w:tcBorders>
            <w:shd w:val="clear" w:color="auto" w:fill="auto"/>
            <w:hideMark/>
          </w:tcPr>
          <w:p w14:paraId="130AA337"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91</w:t>
            </w:r>
          </w:p>
        </w:tc>
        <w:tc>
          <w:tcPr>
            <w:tcW w:w="1135" w:type="dxa"/>
            <w:tcBorders>
              <w:top w:val="nil"/>
              <w:left w:val="nil"/>
              <w:bottom w:val="nil"/>
              <w:right w:val="nil"/>
            </w:tcBorders>
            <w:shd w:val="clear" w:color="auto" w:fill="auto"/>
            <w:hideMark/>
          </w:tcPr>
          <w:p w14:paraId="1A242829" w14:textId="3AEB4F5A" w:rsidR="004B049F" w:rsidRPr="007F1A6A" w:rsidRDefault="001D4BC5"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Pre-post</w:t>
            </w:r>
          </w:p>
        </w:tc>
        <w:tc>
          <w:tcPr>
            <w:tcW w:w="1128" w:type="dxa"/>
            <w:tcBorders>
              <w:top w:val="nil"/>
              <w:left w:val="nil"/>
              <w:bottom w:val="nil"/>
              <w:right w:val="nil"/>
            </w:tcBorders>
            <w:shd w:val="clear" w:color="auto" w:fill="auto"/>
            <w:hideMark/>
          </w:tcPr>
          <w:p w14:paraId="782562B1" w14:textId="601A6CD3"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A07F99">
              <w:rPr>
                <w:rFonts w:ascii="Calibri" w:eastAsia="Times New Roman" w:hAnsi="Calibri" w:cs="Calibri"/>
                <w:kern w:val="0"/>
                <w:sz w:val="16"/>
                <w:szCs w:val="16"/>
                <w:lang w:eastAsia="en-AU"/>
                <w14:ligatures w14:val="none"/>
              </w:rPr>
              <w:t>System performance Patient outcomes</w:t>
            </w:r>
          </w:p>
        </w:tc>
      </w:tr>
      <w:tr w:rsidR="004B049F" w:rsidRPr="00E821F3" w14:paraId="15AE6AF7" w14:textId="77777777" w:rsidTr="00143566">
        <w:trPr>
          <w:cantSplit/>
          <w:trHeight w:val="567"/>
        </w:trPr>
        <w:tc>
          <w:tcPr>
            <w:tcW w:w="1313" w:type="dxa"/>
            <w:tcBorders>
              <w:top w:val="nil"/>
              <w:left w:val="nil"/>
              <w:bottom w:val="nil"/>
              <w:right w:val="nil"/>
            </w:tcBorders>
            <w:shd w:val="clear" w:color="FFFFFF" w:fill="FFFFFF"/>
            <w:noWrap/>
            <w:hideMark/>
          </w:tcPr>
          <w:p w14:paraId="5FBB2D26" w14:textId="49EA0DF7"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4B049F">
              <w:rPr>
                <w:sz w:val="16"/>
                <w:szCs w:val="16"/>
              </w:rPr>
              <w:t xml:space="preserve">Puig </w:t>
            </w:r>
            <w:proofErr w:type="spellStart"/>
            <w:r w:rsidRPr="004B049F">
              <w:rPr>
                <w:sz w:val="16"/>
                <w:szCs w:val="16"/>
              </w:rPr>
              <w:t>Campmany</w:t>
            </w:r>
            <w:proofErr w:type="spellEnd"/>
            <w:r w:rsidRPr="004B049F">
              <w:rPr>
                <w:sz w:val="16"/>
                <w:szCs w:val="16"/>
              </w:rPr>
              <w:t xml:space="preserve"> et al., 2019, Spain</w:t>
            </w:r>
          </w:p>
        </w:tc>
        <w:tc>
          <w:tcPr>
            <w:tcW w:w="1525" w:type="dxa"/>
            <w:tcBorders>
              <w:top w:val="nil"/>
              <w:left w:val="nil"/>
              <w:bottom w:val="nil"/>
              <w:right w:val="nil"/>
            </w:tcBorders>
            <w:shd w:val="clear" w:color="FFFFFF" w:fill="FFFFFF"/>
          </w:tcPr>
          <w:p w14:paraId="554236EA" w14:textId="6E2664C5"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Frailty</w:t>
            </w:r>
          </w:p>
        </w:tc>
        <w:tc>
          <w:tcPr>
            <w:tcW w:w="2688" w:type="dxa"/>
            <w:tcBorders>
              <w:top w:val="nil"/>
              <w:left w:val="nil"/>
              <w:bottom w:val="nil"/>
              <w:right w:val="nil"/>
            </w:tcBorders>
            <w:shd w:val="clear" w:color="FFFFFF" w:fill="FFFFFF"/>
            <w:hideMark/>
          </w:tcPr>
          <w:p w14:paraId="1FBEB397" w14:textId="72161C22"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To present how a Program of Care for Frailty in an ED impact on patient flows</w:t>
            </w:r>
          </w:p>
        </w:tc>
        <w:tc>
          <w:tcPr>
            <w:tcW w:w="3031" w:type="dxa"/>
            <w:tcBorders>
              <w:top w:val="nil"/>
              <w:left w:val="nil"/>
              <w:bottom w:val="nil"/>
              <w:right w:val="nil"/>
            </w:tcBorders>
            <w:shd w:val="clear" w:color="FFFFFF" w:fill="FFFFFF"/>
            <w:hideMark/>
          </w:tcPr>
          <w:p w14:paraId="58C87305" w14:textId="1CF15F9C" w:rsidR="004B049F" w:rsidRPr="00DD6FE6"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DD6FE6">
              <w:rPr>
                <w:rFonts w:ascii="Calibri" w:eastAsia="Times New Roman" w:hAnsi="Calibri" w:cs="Calibri"/>
                <w:b/>
                <w:bCs/>
                <w:kern w:val="0"/>
                <w:sz w:val="16"/>
                <w:szCs w:val="16"/>
                <w:lang w:eastAsia="en-AU"/>
                <w14:ligatures w14:val="none"/>
              </w:rPr>
              <w:t>General assessment and multi-faceted care coordination to attenuate functional decline</w:t>
            </w:r>
          </w:p>
          <w:p w14:paraId="71FC5B41" w14:textId="1FC4B7B6"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 xml:space="preserve">Program of Care for Frailty: (1) inclusion of </w:t>
            </w:r>
            <w:r>
              <w:rPr>
                <w:rFonts w:ascii="Calibri" w:eastAsia="Times New Roman" w:hAnsi="Calibri" w:cs="Calibri"/>
                <w:color w:val="000000"/>
                <w:kern w:val="0"/>
                <w:sz w:val="16"/>
                <w:szCs w:val="16"/>
                <w:lang w:eastAsia="en-AU"/>
                <w14:ligatures w14:val="none"/>
              </w:rPr>
              <w:t>CGA</w:t>
            </w:r>
            <w:r w:rsidRPr="007F1A6A">
              <w:rPr>
                <w:rFonts w:ascii="Calibri" w:eastAsia="Times New Roman" w:hAnsi="Calibri" w:cs="Calibri"/>
                <w:color w:val="000000"/>
                <w:kern w:val="0"/>
                <w:sz w:val="16"/>
                <w:szCs w:val="16"/>
                <w:lang w:eastAsia="en-AU"/>
                <w14:ligatures w14:val="none"/>
              </w:rPr>
              <w:t xml:space="preserve"> procedures by ED staff; (2) a joint project to strengthen the connections circuits with post-hospital care providers, allowing direct and early referral from the ED to post-acute care hospitals, home hospitalisation, nursing homes and others; (3) a new area that is structurally and functionally adapted to the frailer patients</w:t>
            </w:r>
          </w:p>
        </w:tc>
        <w:tc>
          <w:tcPr>
            <w:tcW w:w="1128" w:type="dxa"/>
            <w:tcBorders>
              <w:top w:val="nil"/>
              <w:left w:val="nil"/>
              <w:bottom w:val="nil"/>
              <w:right w:val="nil"/>
            </w:tcBorders>
            <w:shd w:val="clear" w:color="FFFFFF" w:fill="FFFFFF"/>
            <w:hideMark/>
          </w:tcPr>
          <w:p w14:paraId="7945BDAD"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w:t>
            </w:r>
          </w:p>
        </w:tc>
        <w:tc>
          <w:tcPr>
            <w:tcW w:w="1389" w:type="dxa"/>
            <w:tcBorders>
              <w:top w:val="nil"/>
              <w:left w:val="nil"/>
              <w:bottom w:val="nil"/>
              <w:right w:val="nil"/>
            </w:tcBorders>
            <w:shd w:val="clear" w:color="FFFFFF" w:fill="FFFFFF"/>
            <w:hideMark/>
          </w:tcPr>
          <w:p w14:paraId="038A99CD" w14:textId="38B7220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320EAB">
              <w:rPr>
                <w:rFonts w:ascii="Calibri" w:eastAsia="Times New Roman" w:hAnsi="Calibri" w:cs="Calibri"/>
                <w:color w:val="000000"/>
                <w:kern w:val="0"/>
                <w:sz w:val="16"/>
                <w:szCs w:val="16"/>
                <w:lang w:eastAsia="en-AU"/>
                <w14:ligatures w14:val="none"/>
              </w:rPr>
              <w:t>295,260</w:t>
            </w:r>
            <w:r w:rsidRPr="007F1A6A">
              <w:rPr>
                <w:rFonts w:ascii="Calibri" w:eastAsia="Times New Roman" w:hAnsi="Calibri" w:cs="Calibri"/>
                <w:color w:val="000000"/>
                <w:kern w:val="0"/>
                <w:sz w:val="16"/>
                <w:szCs w:val="16"/>
                <w:lang w:eastAsia="en-AU"/>
                <w14:ligatures w14:val="none"/>
              </w:rPr>
              <w:t> </w:t>
            </w:r>
          </w:p>
        </w:tc>
        <w:tc>
          <w:tcPr>
            <w:tcW w:w="1119" w:type="dxa"/>
            <w:tcBorders>
              <w:top w:val="nil"/>
              <w:left w:val="nil"/>
              <w:bottom w:val="nil"/>
              <w:right w:val="nil"/>
            </w:tcBorders>
            <w:shd w:val="clear" w:color="FFFFFF" w:fill="FFFFFF"/>
            <w:hideMark/>
          </w:tcPr>
          <w:p w14:paraId="773AFC00" w14:textId="561F489A"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 </w:t>
            </w:r>
            <w:r>
              <w:rPr>
                <w:rFonts w:ascii="Calibri" w:eastAsia="Times New Roman" w:hAnsi="Calibri" w:cs="Calibri"/>
                <w:color w:val="000000"/>
                <w:kern w:val="0"/>
                <w:sz w:val="16"/>
                <w:szCs w:val="16"/>
                <w:lang w:eastAsia="en-AU"/>
                <w14:ligatures w14:val="none"/>
              </w:rPr>
              <w:t>-</w:t>
            </w:r>
          </w:p>
        </w:tc>
        <w:tc>
          <w:tcPr>
            <w:tcW w:w="1135" w:type="dxa"/>
            <w:tcBorders>
              <w:top w:val="nil"/>
              <w:left w:val="nil"/>
              <w:bottom w:val="nil"/>
              <w:right w:val="nil"/>
            </w:tcBorders>
            <w:shd w:val="clear" w:color="FFFFFF" w:fill="FFFFFF"/>
            <w:hideMark/>
          </w:tcPr>
          <w:p w14:paraId="2CE2847C" w14:textId="05A4E048"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 </w:t>
            </w:r>
            <w:r>
              <w:rPr>
                <w:rFonts w:ascii="Calibri" w:eastAsia="Times New Roman" w:hAnsi="Calibri" w:cs="Calibri"/>
                <w:color w:val="000000"/>
                <w:kern w:val="0"/>
                <w:sz w:val="16"/>
                <w:szCs w:val="16"/>
                <w:lang w:eastAsia="en-AU"/>
                <w14:ligatures w14:val="none"/>
              </w:rPr>
              <w:t>Descriptive</w:t>
            </w:r>
          </w:p>
        </w:tc>
        <w:tc>
          <w:tcPr>
            <w:tcW w:w="1128" w:type="dxa"/>
            <w:tcBorders>
              <w:top w:val="nil"/>
              <w:left w:val="nil"/>
              <w:bottom w:val="nil"/>
              <w:right w:val="nil"/>
            </w:tcBorders>
            <w:shd w:val="clear" w:color="FFFFFF" w:fill="FFFFFF"/>
            <w:hideMark/>
          </w:tcPr>
          <w:p w14:paraId="090165E3" w14:textId="1BBB7489"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A07F99">
              <w:rPr>
                <w:rFonts w:ascii="Calibri" w:eastAsia="Times New Roman" w:hAnsi="Calibri" w:cs="Calibri"/>
                <w:kern w:val="0"/>
                <w:sz w:val="16"/>
                <w:szCs w:val="16"/>
                <w:lang w:eastAsia="en-AU"/>
                <w14:ligatures w14:val="none"/>
              </w:rPr>
              <w:t>System performance Patient outcomes</w:t>
            </w:r>
          </w:p>
        </w:tc>
      </w:tr>
      <w:tr w:rsidR="004B049F" w:rsidRPr="00E821F3" w14:paraId="07513BAC" w14:textId="77777777" w:rsidTr="00143566">
        <w:trPr>
          <w:cantSplit/>
          <w:trHeight w:val="567"/>
        </w:trPr>
        <w:tc>
          <w:tcPr>
            <w:tcW w:w="1313" w:type="dxa"/>
            <w:tcBorders>
              <w:top w:val="nil"/>
              <w:left w:val="nil"/>
              <w:bottom w:val="nil"/>
              <w:right w:val="nil"/>
            </w:tcBorders>
            <w:shd w:val="clear" w:color="auto" w:fill="auto"/>
            <w:noWrap/>
            <w:hideMark/>
          </w:tcPr>
          <w:p w14:paraId="5F4A53BB" w14:textId="6BD84049"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4B049F">
              <w:rPr>
                <w:sz w:val="16"/>
                <w:szCs w:val="16"/>
              </w:rPr>
              <w:lastRenderedPageBreak/>
              <w:t>Rittenhouse et al., 2015, USA</w:t>
            </w:r>
          </w:p>
        </w:tc>
        <w:tc>
          <w:tcPr>
            <w:tcW w:w="1525" w:type="dxa"/>
            <w:tcBorders>
              <w:top w:val="nil"/>
              <w:left w:val="nil"/>
              <w:bottom w:val="nil"/>
              <w:right w:val="nil"/>
            </w:tcBorders>
          </w:tcPr>
          <w:p w14:paraId="5AB69BAC" w14:textId="51F4B966"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Head Trauma Patients on Anticoagulants</w:t>
            </w:r>
          </w:p>
        </w:tc>
        <w:tc>
          <w:tcPr>
            <w:tcW w:w="2688" w:type="dxa"/>
            <w:tcBorders>
              <w:top w:val="nil"/>
              <w:left w:val="nil"/>
              <w:bottom w:val="nil"/>
              <w:right w:val="nil"/>
            </w:tcBorders>
            <w:shd w:val="clear" w:color="auto" w:fill="auto"/>
            <w:hideMark/>
          </w:tcPr>
          <w:p w14:paraId="284105C9" w14:textId="0516E75D"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To determine if a novel ED protocol prioritises workup and improves outcome</w:t>
            </w:r>
          </w:p>
        </w:tc>
        <w:tc>
          <w:tcPr>
            <w:tcW w:w="3031" w:type="dxa"/>
            <w:tcBorders>
              <w:top w:val="nil"/>
              <w:left w:val="nil"/>
              <w:bottom w:val="nil"/>
              <w:right w:val="nil"/>
            </w:tcBorders>
            <w:shd w:val="clear" w:color="auto" w:fill="auto"/>
            <w:hideMark/>
          </w:tcPr>
          <w:p w14:paraId="1F75C4BA" w14:textId="0408CE8B" w:rsidR="004B049F" w:rsidRPr="00784B97"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784B97">
              <w:rPr>
                <w:rFonts w:eastAsia="Times New Roman" w:cstheme="minorHAnsi"/>
                <w:b/>
                <w:bCs/>
                <w:color w:val="000000"/>
                <w:kern w:val="0"/>
                <w:sz w:val="16"/>
                <w:szCs w:val="16"/>
                <w:lang w:eastAsia="en-AU"/>
                <w14:ligatures w14:val="none"/>
              </w:rPr>
              <w:t>Management of anticoagulated older adult with head injury</w:t>
            </w:r>
          </w:p>
          <w:p w14:paraId="6187A96A" w14:textId="370D9765"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ACT Alert Response protocol - initiates three procedures in the ED: workup by an ED response team within 15 minutes, international normalised ratio test within 20 minutes, and STAT priority head CT scan within 30 minutes</w:t>
            </w:r>
          </w:p>
        </w:tc>
        <w:tc>
          <w:tcPr>
            <w:tcW w:w="1128" w:type="dxa"/>
            <w:tcBorders>
              <w:top w:val="nil"/>
              <w:left w:val="nil"/>
              <w:bottom w:val="nil"/>
              <w:right w:val="nil"/>
            </w:tcBorders>
            <w:shd w:val="clear" w:color="auto" w:fill="auto"/>
            <w:hideMark/>
          </w:tcPr>
          <w:p w14:paraId="2C7B2698"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w:t>
            </w:r>
          </w:p>
        </w:tc>
        <w:tc>
          <w:tcPr>
            <w:tcW w:w="1389" w:type="dxa"/>
            <w:tcBorders>
              <w:top w:val="nil"/>
              <w:left w:val="nil"/>
              <w:bottom w:val="nil"/>
              <w:right w:val="nil"/>
            </w:tcBorders>
            <w:shd w:val="clear" w:color="auto" w:fill="auto"/>
            <w:hideMark/>
          </w:tcPr>
          <w:p w14:paraId="0B845BF4"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415</w:t>
            </w:r>
          </w:p>
        </w:tc>
        <w:tc>
          <w:tcPr>
            <w:tcW w:w="1119" w:type="dxa"/>
            <w:tcBorders>
              <w:top w:val="nil"/>
              <w:left w:val="nil"/>
              <w:bottom w:val="nil"/>
              <w:right w:val="nil"/>
            </w:tcBorders>
            <w:shd w:val="clear" w:color="auto" w:fill="auto"/>
            <w:hideMark/>
          </w:tcPr>
          <w:p w14:paraId="6FC86519"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337</w:t>
            </w:r>
          </w:p>
        </w:tc>
        <w:tc>
          <w:tcPr>
            <w:tcW w:w="1135" w:type="dxa"/>
            <w:tcBorders>
              <w:top w:val="nil"/>
              <w:left w:val="nil"/>
              <w:bottom w:val="nil"/>
              <w:right w:val="nil"/>
            </w:tcBorders>
            <w:shd w:val="clear" w:color="auto" w:fill="auto"/>
            <w:hideMark/>
          </w:tcPr>
          <w:p w14:paraId="75DB5887" w14:textId="0232D81D"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Quasi-experimental</w:t>
            </w:r>
          </w:p>
        </w:tc>
        <w:tc>
          <w:tcPr>
            <w:tcW w:w="1128" w:type="dxa"/>
            <w:tcBorders>
              <w:top w:val="nil"/>
              <w:left w:val="nil"/>
              <w:bottom w:val="nil"/>
              <w:right w:val="nil"/>
            </w:tcBorders>
            <w:shd w:val="clear" w:color="auto" w:fill="auto"/>
            <w:hideMark/>
          </w:tcPr>
          <w:p w14:paraId="7AE03B56" w14:textId="0D1DFE07"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A07F99">
              <w:rPr>
                <w:rFonts w:ascii="Calibri" w:eastAsia="Times New Roman" w:hAnsi="Calibri" w:cs="Calibri"/>
                <w:kern w:val="0"/>
                <w:sz w:val="16"/>
                <w:szCs w:val="16"/>
                <w:lang w:eastAsia="en-AU"/>
                <w14:ligatures w14:val="none"/>
              </w:rPr>
              <w:t>System performance Patient outcomes</w:t>
            </w:r>
          </w:p>
        </w:tc>
      </w:tr>
      <w:tr w:rsidR="004B049F" w:rsidRPr="00E821F3" w14:paraId="33510DF5" w14:textId="77777777" w:rsidTr="00143566">
        <w:trPr>
          <w:cantSplit/>
          <w:trHeight w:val="567"/>
        </w:trPr>
        <w:tc>
          <w:tcPr>
            <w:tcW w:w="1313" w:type="dxa"/>
            <w:tcBorders>
              <w:top w:val="nil"/>
              <w:left w:val="nil"/>
              <w:bottom w:val="nil"/>
              <w:right w:val="nil"/>
            </w:tcBorders>
            <w:shd w:val="clear" w:color="FFFFFF" w:fill="FFFFFF"/>
            <w:noWrap/>
            <w:hideMark/>
          </w:tcPr>
          <w:p w14:paraId="63695F7F" w14:textId="10C20635"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proofErr w:type="spellStart"/>
            <w:r w:rsidRPr="004B049F">
              <w:rPr>
                <w:sz w:val="16"/>
                <w:szCs w:val="16"/>
              </w:rPr>
              <w:t>Scarpazza</w:t>
            </w:r>
            <w:proofErr w:type="spellEnd"/>
            <w:r w:rsidRPr="004B049F">
              <w:rPr>
                <w:sz w:val="16"/>
                <w:szCs w:val="16"/>
              </w:rPr>
              <w:t xml:space="preserve"> et al., 2008, Italy</w:t>
            </w:r>
          </w:p>
        </w:tc>
        <w:tc>
          <w:tcPr>
            <w:tcW w:w="1525" w:type="dxa"/>
            <w:tcBorders>
              <w:top w:val="nil"/>
              <w:left w:val="nil"/>
              <w:bottom w:val="nil"/>
              <w:right w:val="nil"/>
            </w:tcBorders>
            <w:shd w:val="clear" w:color="FFFFFF" w:fill="FFFFFF"/>
          </w:tcPr>
          <w:p w14:paraId="13017CAC" w14:textId="53A3EE30"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 Acute respiratory failure</w:t>
            </w:r>
          </w:p>
        </w:tc>
        <w:tc>
          <w:tcPr>
            <w:tcW w:w="2688" w:type="dxa"/>
            <w:tcBorders>
              <w:top w:val="nil"/>
              <w:left w:val="nil"/>
              <w:bottom w:val="nil"/>
              <w:right w:val="nil"/>
            </w:tcBorders>
            <w:shd w:val="clear" w:color="FFFFFF" w:fill="FFFFFF"/>
            <w:hideMark/>
          </w:tcPr>
          <w:p w14:paraId="6C141098" w14:textId="55D622CA"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To assess the outcome of non-invasive mechanical ventilation in a group of elderly patients with acute hypercapnic acute respiratory failure who had a do-not-intubate status</w:t>
            </w:r>
          </w:p>
        </w:tc>
        <w:tc>
          <w:tcPr>
            <w:tcW w:w="3031" w:type="dxa"/>
            <w:tcBorders>
              <w:top w:val="nil"/>
              <w:left w:val="nil"/>
              <w:bottom w:val="nil"/>
              <w:right w:val="nil"/>
            </w:tcBorders>
            <w:shd w:val="clear" w:color="FFFFFF" w:fill="FFFFFF"/>
            <w:hideMark/>
          </w:tcPr>
          <w:p w14:paraId="58CD751A" w14:textId="06FD54AD" w:rsidR="004B049F" w:rsidRPr="00B432B7"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B432B7">
              <w:rPr>
                <w:rFonts w:ascii="Calibri" w:eastAsia="Times New Roman" w:hAnsi="Calibri" w:cs="Calibri"/>
                <w:b/>
                <w:bCs/>
                <w:color w:val="000000"/>
                <w:kern w:val="0"/>
                <w:sz w:val="16"/>
                <w:szCs w:val="16"/>
                <w:lang w:eastAsia="en-AU"/>
                <w14:ligatures w14:val="none"/>
              </w:rPr>
              <w:t>Non-invasive mechanical ventilation</w:t>
            </w:r>
          </w:p>
        </w:tc>
        <w:tc>
          <w:tcPr>
            <w:tcW w:w="1128" w:type="dxa"/>
            <w:tcBorders>
              <w:top w:val="nil"/>
              <w:left w:val="nil"/>
              <w:bottom w:val="nil"/>
              <w:right w:val="nil"/>
            </w:tcBorders>
            <w:shd w:val="clear" w:color="FFFFFF" w:fill="FFFFFF"/>
            <w:hideMark/>
          </w:tcPr>
          <w:p w14:paraId="5D125736"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w:t>
            </w:r>
          </w:p>
        </w:tc>
        <w:tc>
          <w:tcPr>
            <w:tcW w:w="1389" w:type="dxa"/>
            <w:tcBorders>
              <w:top w:val="nil"/>
              <w:left w:val="nil"/>
              <w:bottom w:val="nil"/>
              <w:right w:val="nil"/>
            </w:tcBorders>
            <w:shd w:val="clear" w:color="FFFFFF" w:fill="FFFFFF"/>
            <w:hideMark/>
          </w:tcPr>
          <w:p w14:paraId="23A89A9F"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62</w:t>
            </w:r>
          </w:p>
        </w:tc>
        <w:tc>
          <w:tcPr>
            <w:tcW w:w="1119" w:type="dxa"/>
            <w:tcBorders>
              <w:top w:val="nil"/>
              <w:left w:val="nil"/>
              <w:bottom w:val="nil"/>
              <w:right w:val="nil"/>
            </w:tcBorders>
            <w:shd w:val="clear" w:color="FFFFFF" w:fill="FFFFFF"/>
            <w:hideMark/>
          </w:tcPr>
          <w:p w14:paraId="16407DBC" w14:textId="00EF49BE"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 </w:t>
            </w:r>
            <w:r>
              <w:rPr>
                <w:rFonts w:ascii="Calibri" w:eastAsia="Times New Roman" w:hAnsi="Calibri" w:cs="Calibri"/>
                <w:color w:val="000000"/>
                <w:kern w:val="0"/>
                <w:sz w:val="16"/>
                <w:szCs w:val="16"/>
                <w:lang w:eastAsia="en-AU"/>
                <w14:ligatures w14:val="none"/>
              </w:rPr>
              <w:t>-</w:t>
            </w:r>
          </w:p>
        </w:tc>
        <w:tc>
          <w:tcPr>
            <w:tcW w:w="1135" w:type="dxa"/>
            <w:tcBorders>
              <w:top w:val="nil"/>
              <w:left w:val="nil"/>
              <w:bottom w:val="nil"/>
              <w:right w:val="nil"/>
            </w:tcBorders>
            <w:shd w:val="clear" w:color="FFFFFF" w:fill="FFFFFF"/>
            <w:hideMark/>
          </w:tcPr>
          <w:p w14:paraId="43246313" w14:textId="7E08A881"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 </w:t>
            </w:r>
            <w:r>
              <w:rPr>
                <w:rFonts w:ascii="Calibri" w:eastAsia="Times New Roman" w:hAnsi="Calibri" w:cs="Calibri"/>
                <w:color w:val="000000"/>
                <w:kern w:val="0"/>
                <w:sz w:val="16"/>
                <w:szCs w:val="16"/>
                <w:lang w:eastAsia="en-AU"/>
                <w14:ligatures w14:val="none"/>
              </w:rPr>
              <w:t>Cohort</w:t>
            </w:r>
          </w:p>
        </w:tc>
        <w:tc>
          <w:tcPr>
            <w:tcW w:w="1128" w:type="dxa"/>
            <w:tcBorders>
              <w:top w:val="nil"/>
              <w:left w:val="nil"/>
              <w:bottom w:val="nil"/>
              <w:right w:val="nil"/>
            </w:tcBorders>
            <w:shd w:val="clear" w:color="FFFFFF" w:fill="FFFFFF"/>
            <w:hideMark/>
          </w:tcPr>
          <w:p w14:paraId="283AC01C" w14:textId="70E8C890" w:rsid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A07F99">
              <w:rPr>
                <w:rFonts w:ascii="Calibri" w:eastAsia="Times New Roman" w:hAnsi="Calibri" w:cs="Calibri"/>
                <w:kern w:val="0"/>
                <w:sz w:val="16"/>
                <w:szCs w:val="16"/>
                <w:lang w:eastAsia="en-AU"/>
                <w14:ligatures w14:val="none"/>
              </w:rPr>
              <w:t>System performance</w:t>
            </w:r>
          </w:p>
          <w:p w14:paraId="65F99835" w14:textId="25AE3BD9"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Patient outcomes</w:t>
            </w:r>
          </w:p>
        </w:tc>
      </w:tr>
      <w:tr w:rsidR="004B049F" w:rsidRPr="00E821F3" w14:paraId="6F6C0B54" w14:textId="77777777" w:rsidTr="00143566">
        <w:trPr>
          <w:cantSplit/>
          <w:trHeight w:val="567"/>
        </w:trPr>
        <w:tc>
          <w:tcPr>
            <w:tcW w:w="1313" w:type="dxa"/>
            <w:tcBorders>
              <w:top w:val="nil"/>
              <w:left w:val="nil"/>
              <w:bottom w:val="nil"/>
              <w:right w:val="nil"/>
            </w:tcBorders>
            <w:shd w:val="clear" w:color="auto" w:fill="auto"/>
            <w:noWrap/>
            <w:hideMark/>
          </w:tcPr>
          <w:p w14:paraId="47914EA3" w14:textId="629FC349"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4B049F">
              <w:rPr>
                <w:sz w:val="16"/>
                <w:szCs w:val="16"/>
              </w:rPr>
              <w:t>Shaw et al., 2003, UK</w:t>
            </w:r>
          </w:p>
        </w:tc>
        <w:tc>
          <w:tcPr>
            <w:tcW w:w="1525" w:type="dxa"/>
            <w:tcBorders>
              <w:top w:val="nil"/>
              <w:left w:val="nil"/>
              <w:bottom w:val="nil"/>
              <w:right w:val="nil"/>
            </w:tcBorders>
          </w:tcPr>
          <w:p w14:paraId="08D4E836" w14:textId="50F576BE"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Cognitive impairment and dementia</w:t>
            </w:r>
          </w:p>
        </w:tc>
        <w:tc>
          <w:tcPr>
            <w:tcW w:w="2688" w:type="dxa"/>
            <w:tcBorders>
              <w:top w:val="nil"/>
              <w:left w:val="nil"/>
              <w:bottom w:val="nil"/>
              <w:right w:val="nil"/>
            </w:tcBorders>
            <w:shd w:val="clear" w:color="auto" w:fill="auto"/>
            <w:hideMark/>
          </w:tcPr>
          <w:p w14:paraId="2C2E7879" w14:textId="027767BD"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 xml:space="preserve">To determine the effectiveness of multifactorial intervention after a fall in </w:t>
            </w:r>
            <w:r w:rsidR="00260D46">
              <w:rPr>
                <w:rFonts w:ascii="Calibri" w:eastAsia="Times New Roman" w:hAnsi="Calibri" w:cs="Calibri"/>
                <w:color w:val="000000"/>
                <w:kern w:val="0"/>
                <w:sz w:val="16"/>
                <w:szCs w:val="16"/>
                <w:lang w:eastAsia="en-AU"/>
                <w14:ligatures w14:val="none"/>
              </w:rPr>
              <w:t>older adults</w:t>
            </w:r>
            <w:r w:rsidRPr="007F1A6A">
              <w:rPr>
                <w:rFonts w:ascii="Calibri" w:eastAsia="Times New Roman" w:hAnsi="Calibri" w:cs="Calibri"/>
                <w:color w:val="000000"/>
                <w:kern w:val="0"/>
                <w:sz w:val="16"/>
                <w:szCs w:val="16"/>
                <w:lang w:eastAsia="en-AU"/>
                <w14:ligatures w14:val="none"/>
              </w:rPr>
              <w:t xml:space="preserve"> with cognitive impairment and dementia attending the accident and emergency department</w:t>
            </w:r>
          </w:p>
        </w:tc>
        <w:tc>
          <w:tcPr>
            <w:tcW w:w="3031" w:type="dxa"/>
            <w:tcBorders>
              <w:top w:val="nil"/>
              <w:left w:val="nil"/>
              <w:bottom w:val="nil"/>
              <w:right w:val="nil"/>
            </w:tcBorders>
            <w:shd w:val="clear" w:color="auto" w:fill="auto"/>
            <w:hideMark/>
          </w:tcPr>
          <w:p w14:paraId="2F75A6C4" w14:textId="4F8B67B9" w:rsidR="004B049F" w:rsidRPr="004D35B0"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4D35B0">
              <w:rPr>
                <w:rFonts w:ascii="Calibri" w:eastAsia="Times New Roman" w:hAnsi="Calibri" w:cs="Calibri"/>
                <w:b/>
                <w:bCs/>
                <w:kern w:val="0"/>
                <w:sz w:val="16"/>
                <w:szCs w:val="16"/>
                <w:lang w:eastAsia="en-AU"/>
                <w14:ligatures w14:val="none"/>
              </w:rPr>
              <w:t>Management of falls risk</w:t>
            </w:r>
          </w:p>
          <w:p w14:paraId="0DD079CD" w14:textId="02E1E75E"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A multifactorial assessment and intervention protocol, which comprised assessment, risk factor identification, and interventions, n four areas of care (medical, cardiovascular, physiotherapy, and occupational therapy)</w:t>
            </w:r>
          </w:p>
        </w:tc>
        <w:tc>
          <w:tcPr>
            <w:tcW w:w="1128" w:type="dxa"/>
            <w:tcBorders>
              <w:top w:val="nil"/>
              <w:left w:val="nil"/>
              <w:bottom w:val="nil"/>
              <w:right w:val="nil"/>
            </w:tcBorders>
            <w:shd w:val="clear" w:color="auto" w:fill="auto"/>
            <w:hideMark/>
          </w:tcPr>
          <w:p w14:paraId="11DD57A9"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2</w:t>
            </w:r>
          </w:p>
        </w:tc>
        <w:tc>
          <w:tcPr>
            <w:tcW w:w="1389" w:type="dxa"/>
            <w:tcBorders>
              <w:top w:val="nil"/>
              <w:left w:val="nil"/>
              <w:bottom w:val="nil"/>
              <w:right w:val="nil"/>
            </w:tcBorders>
            <w:shd w:val="clear" w:color="auto" w:fill="auto"/>
            <w:hideMark/>
          </w:tcPr>
          <w:p w14:paraId="7378ABFC"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150</w:t>
            </w:r>
          </w:p>
        </w:tc>
        <w:tc>
          <w:tcPr>
            <w:tcW w:w="1119" w:type="dxa"/>
            <w:tcBorders>
              <w:top w:val="nil"/>
              <w:left w:val="nil"/>
              <w:bottom w:val="nil"/>
              <w:right w:val="nil"/>
            </w:tcBorders>
            <w:shd w:val="clear" w:color="auto" w:fill="auto"/>
            <w:hideMark/>
          </w:tcPr>
          <w:p w14:paraId="776AC839"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158</w:t>
            </w:r>
          </w:p>
        </w:tc>
        <w:tc>
          <w:tcPr>
            <w:tcW w:w="1135" w:type="dxa"/>
            <w:tcBorders>
              <w:top w:val="nil"/>
              <w:left w:val="nil"/>
              <w:bottom w:val="nil"/>
              <w:right w:val="nil"/>
            </w:tcBorders>
            <w:shd w:val="clear" w:color="auto" w:fill="auto"/>
            <w:hideMark/>
          </w:tcPr>
          <w:p w14:paraId="56901F47" w14:textId="77777777"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RCT</w:t>
            </w:r>
          </w:p>
        </w:tc>
        <w:tc>
          <w:tcPr>
            <w:tcW w:w="1128" w:type="dxa"/>
            <w:tcBorders>
              <w:top w:val="nil"/>
              <w:left w:val="nil"/>
              <w:bottom w:val="nil"/>
              <w:right w:val="nil"/>
            </w:tcBorders>
            <w:shd w:val="clear" w:color="auto" w:fill="auto"/>
            <w:hideMark/>
          </w:tcPr>
          <w:p w14:paraId="720CC846" w14:textId="4C608607"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A07F99">
              <w:rPr>
                <w:rFonts w:ascii="Calibri" w:eastAsia="Times New Roman" w:hAnsi="Calibri" w:cs="Calibri"/>
                <w:kern w:val="0"/>
                <w:sz w:val="16"/>
                <w:szCs w:val="16"/>
                <w:lang w:eastAsia="en-AU"/>
                <w14:ligatures w14:val="none"/>
              </w:rPr>
              <w:t>System performance Patient outcomes</w:t>
            </w:r>
          </w:p>
        </w:tc>
      </w:tr>
      <w:tr w:rsidR="004B049F" w:rsidRPr="00E821F3" w14:paraId="6229EB7F" w14:textId="77777777" w:rsidTr="00143566">
        <w:trPr>
          <w:cantSplit/>
          <w:trHeight w:val="567"/>
        </w:trPr>
        <w:tc>
          <w:tcPr>
            <w:tcW w:w="1313" w:type="dxa"/>
            <w:tcBorders>
              <w:top w:val="nil"/>
              <w:left w:val="nil"/>
              <w:bottom w:val="nil"/>
              <w:right w:val="nil"/>
            </w:tcBorders>
            <w:shd w:val="clear" w:color="FFFFFF" w:fill="FFFFFF"/>
            <w:noWrap/>
            <w:hideMark/>
          </w:tcPr>
          <w:p w14:paraId="538921C5" w14:textId="5C5B3E7C"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4B049F">
              <w:rPr>
                <w:sz w:val="16"/>
                <w:szCs w:val="16"/>
              </w:rPr>
              <w:t>Silvester et al., 2014, UK</w:t>
            </w:r>
          </w:p>
        </w:tc>
        <w:tc>
          <w:tcPr>
            <w:tcW w:w="1525" w:type="dxa"/>
            <w:tcBorders>
              <w:top w:val="nil"/>
              <w:left w:val="nil"/>
              <w:bottom w:val="nil"/>
              <w:right w:val="nil"/>
            </w:tcBorders>
            <w:shd w:val="clear" w:color="FFFFFF" w:fill="FFFFFF"/>
          </w:tcPr>
          <w:p w14:paraId="0CC543D9" w14:textId="73D93C53"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 </w:t>
            </w:r>
          </w:p>
        </w:tc>
        <w:tc>
          <w:tcPr>
            <w:tcW w:w="2688" w:type="dxa"/>
            <w:tcBorders>
              <w:top w:val="nil"/>
              <w:left w:val="nil"/>
              <w:bottom w:val="nil"/>
              <w:right w:val="nil"/>
            </w:tcBorders>
            <w:shd w:val="clear" w:color="FFFFFF" w:fill="FFFFFF"/>
            <w:hideMark/>
          </w:tcPr>
          <w:p w14:paraId="36C27208" w14:textId="17C8C89F"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To identify and address delays in ensuring timely care, without additional resources</w:t>
            </w:r>
          </w:p>
        </w:tc>
        <w:tc>
          <w:tcPr>
            <w:tcW w:w="3031" w:type="dxa"/>
            <w:tcBorders>
              <w:top w:val="nil"/>
              <w:left w:val="nil"/>
              <w:bottom w:val="nil"/>
              <w:right w:val="nil"/>
            </w:tcBorders>
            <w:shd w:val="clear" w:color="FFFFFF" w:fill="FFFFFF"/>
            <w:hideMark/>
          </w:tcPr>
          <w:p w14:paraId="78CEE668" w14:textId="346A2CFA" w:rsidR="00E45D6B" w:rsidRPr="00E45D6B" w:rsidRDefault="00E45D6B" w:rsidP="004B049F">
            <w:pPr>
              <w:spacing w:after="0" w:line="240" w:lineRule="auto"/>
              <w:rPr>
                <w:rFonts w:ascii="Calibri" w:eastAsia="Times New Roman" w:hAnsi="Calibri" w:cs="Calibri"/>
                <w:b/>
                <w:bCs/>
                <w:color w:val="000000"/>
                <w:kern w:val="0"/>
                <w:sz w:val="16"/>
                <w:szCs w:val="16"/>
                <w:lang w:eastAsia="en-AU"/>
                <w14:ligatures w14:val="none"/>
              </w:rPr>
            </w:pPr>
            <w:r w:rsidRPr="00E45D6B">
              <w:rPr>
                <w:rFonts w:ascii="Calibri" w:eastAsia="Times New Roman" w:hAnsi="Calibri" w:cs="Calibri"/>
                <w:b/>
                <w:bCs/>
                <w:kern w:val="0"/>
                <w:sz w:val="16"/>
                <w:szCs w:val="16"/>
                <w:lang w:eastAsia="en-AU"/>
                <w14:ligatures w14:val="none"/>
              </w:rPr>
              <w:t>General assessment and multi-faceted care coordination to reduce avoidable hospital admissions and/or LOS and/or improve ED flow</w:t>
            </w:r>
          </w:p>
          <w:p w14:paraId="5C9D6F53" w14:textId="733CA690"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Diagnostic patient flow analysis followed by a series of Plan Do Study Act cycles to test and implement changes by a multidisciplinary team using time series run charts</w:t>
            </w:r>
          </w:p>
        </w:tc>
        <w:tc>
          <w:tcPr>
            <w:tcW w:w="1128" w:type="dxa"/>
            <w:tcBorders>
              <w:top w:val="nil"/>
              <w:left w:val="nil"/>
              <w:bottom w:val="nil"/>
              <w:right w:val="nil"/>
            </w:tcBorders>
            <w:shd w:val="clear" w:color="FFFFFF" w:fill="FFFFFF"/>
            <w:hideMark/>
          </w:tcPr>
          <w:p w14:paraId="1EC4BBDD"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w:t>
            </w:r>
          </w:p>
        </w:tc>
        <w:tc>
          <w:tcPr>
            <w:tcW w:w="1389" w:type="dxa"/>
            <w:tcBorders>
              <w:top w:val="nil"/>
              <w:left w:val="nil"/>
              <w:bottom w:val="nil"/>
              <w:right w:val="nil"/>
            </w:tcBorders>
            <w:shd w:val="clear" w:color="FFFFFF" w:fill="FFFFFF"/>
            <w:hideMark/>
          </w:tcPr>
          <w:p w14:paraId="7C67D8A9" w14:textId="60889E96"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5D42B2">
              <w:rPr>
                <w:rFonts w:ascii="Calibri" w:eastAsia="Times New Roman" w:hAnsi="Calibri" w:cs="Calibri"/>
                <w:color w:val="000000"/>
                <w:kern w:val="0"/>
                <w:sz w:val="16"/>
                <w:szCs w:val="16"/>
                <w:lang w:eastAsia="en-AU"/>
                <w14:ligatures w14:val="none"/>
              </w:rPr>
              <w:t>16,953</w:t>
            </w:r>
            <w:r w:rsidRPr="007F1A6A">
              <w:rPr>
                <w:rFonts w:ascii="Calibri" w:eastAsia="Times New Roman" w:hAnsi="Calibri" w:cs="Calibri"/>
                <w:color w:val="000000"/>
                <w:kern w:val="0"/>
                <w:sz w:val="16"/>
                <w:szCs w:val="16"/>
                <w:lang w:eastAsia="en-AU"/>
                <w14:ligatures w14:val="none"/>
              </w:rPr>
              <w:t> </w:t>
            </w:r>
          </w:p>
        </w:tc>
        <w:tc>
          <w:tcPr>
            <w:tcW w:w="1119" w:type="dxa"/>
            <w:tcBorders>
              <w:top w:val="nil"/>
              <w:left w:val="nil"/>
              <w:bottom w:val="nil"/>
              <w:right w:val="nil"/>
            </w:tcBorders>
            <w:shd w:val="clear" w:color="FFFFFF" w:fill="FFFFFF"/>
            <w:hideMark/>
          </w:tcPr>
          <w:p w14:paraId="36EFC142" w14:textId="7438C68B"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 </w:t>
            </w:r>
            <w:r>
              <w:rPr>
                <w:rFonts w:ascii="Calibri" w:eastAsia="Times New Roman" w:hAnsi="Calibri" w:cs="Calibri"/>
                <w:color w:val="000000"/>
                <w:kern w:val="0"/>
                <w:sz w:val="16"/>
                <w:szCs w:val="16"/>
                <w:lang w:eastAsia="en-AU"/>
                <w14:ligatures w14:val="none"/>
              </w:rPr>
              <w:t>-</w:t>
            </w:r>
          </w:p>
        </w:tc>
        <w:tc>
          <w:tcPr>
            <w:tcW w:w="1135" w:type="dxa"/>
            <w:tcBorders>
              <w:top w:val="nil"/>
              <w:left w:val="nil"/>
              <w:bottom w:val="nil"/>
              <w:right w:val="nil"/>
            </w:tcBorders>
            <w:shd w:val="clear" w:color="FFFFFF" w:fill="FFFFFF"/>
            <w:hideMark/>
          </w:tcPr>
          <w:p w14:paraId="26D5D02D" w14:textId="57025422"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 Time series</w:t>
            </w:r>
          </w:p>
        </w:tc>
        <w:tc>
          <w:tcPr>
            <w:tcW w:w="1128" w:type="dxa"/>
            <w:tcBorders>
              <w:top w:val="nil"/>
              <w:left w:val="nil"/>
              <w:bottom w:val="nil"/>
              <w:right w:val="nil"/>
            </w:tcBorders>
            <w:shd w:val="clear" w:color="FFFFFF" w:fill="FFFFFF"/>
            <w:hideMark/>
          </w:tcPr>
          <w:p w14:paraId="73A027F6" w14:textId="7554A632"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A07F99">
              <w:rPr>
                <w:rFonts w:ascii="Calibri" w:eastAsia="Times New Roman" w:hAnsi="Calibri" w:cs="Calibri"/>
                <w:kern w:val="0"/>
                <w:sz w:val="16"/>
                <w:szCs w:val="16"/>
                <w:lang w:eastAsia="en-AU"/>
                <w14:ligatures w14:val="none"/>
              </w:rPr>
              <w:t>System performance Patient outcomes</w:t>
            </w:r>
          </w:p>
        </w:tc>
      </w:tr>
      <w:tr w:rsidR="004B049F" w:rsidRPr="00E821F3" w14:paraId="49EE945C" w14:textId="77777777" w:rsidTr="00143566">
        <w:trPr>
          <w:cantSplit/>
          <w:trHeight w:val="567"/>
        </w:trPr>
        <w:tc>
          <w:tcPr>
            <w:tcW w:w="1313" w:type="dxa"/>
            <w:tcBorders>
              <w:top w:val="nil"/>
              <w:left w:val="nil"/>
              <w:bottom w:val="nil"/>
              <w:right w:val="nil"/>
            </w:tcBorders>
            <w:shd w:val="clear" w:color="auto" w:fill="auto"/>
            <w:hideMark/>
          </w:tcPr>
          <w:p w14:paraId="7D3C4CF6" w14:textId="46794A8B"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4B049F">
              <w:rPr>
                <w:sz w:val="16"/>
                <w:szCs w:val="16"/>
              </w:rPr>
              <w:t>Southerland et al., 2018, UK</w:t>
            </w:r>
          </w:p>
        </w:tc>
        <w:tc>
          <w:tcPr>
            <w:tcW w:w="1525" w:type="dxa"/>
            <w:tcBorders>
              <w:top w:val="nil"/>
              <w:left w:val="nil"/>
              <w:bottom w:val="nil"/>
              <w:right w:val="nil"/>
            </w:tcBorders>
          </w:tcPr>
          <w:p w14:paraId="4038C4F9" w14:textId="77777777"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p>
        </w:tc>
        <w:tc>
          <w:tcPr>
            <w:tcW w:w="2688" w:type="dxa"/>
            <w:tcBorders>
              <w:top w:val="nil"/>
              <w:left w:val="nil"/>
              <w:bottom w:val="nil"/>
              <w:right w:val="nil"/>
            </w:tcBorders>
            <w:shd w:val="clear" w:color="auto" w:fill="auto"/>
            <w:hideMark/>
          </w:tcPr>
          <w:p w14:paraId="6EA451D1" w14:textId="792FF78D"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To investigate the effects of offering multidisciplinary assessments for ED patients in an ED observation unit</w:t>
            </w:r>
          </w:p>
        </w:tc>
        <w:tc>
          <w:tcPr>
            <w:tcW w:w="3031" w:type="dxa"/>
            <w:tcBorders>
              <w:top w:val="nil"/>
              <w:left w:val="nil"/>
              <w:bottom w:val="nil"/>
              <w:right w:val="nil"/>
            </w:tcBorders>
            <w:shd w:val="clear" w:color="auto" w:fill="auto"/>
            <w:hideMark/>
          </w:tcPr>
          <w:p w14:paraId="27DA8B1E" w14:textId="0617CC21" w:rsidR="004B049F" w:rsidRPr="008E1C0F"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8E1C0F">
              <w:rPr>
                <w:rFonts w:ascii="Calibri" w:eastAsia="Times New Roman" w:hAnsi="Calibri" w:cs="Calibri"/>
                <w:b/>
                <w:bCs/>
                <w:kern w:val="0"/>
                <w:sz w:val="16"/>
                <w:szCs w:val="16"/>
                <w:lang w:eastAsia="en-AU"/>
                <w14:ligatures w14:val="none"/>
              </w:rPr>
              <w:t>General assessment and multi-faceted care coordination to better address patient needs</w:t>
            </w:r>
          </w:p>
          <w:p w14:paraId="30E3B0AB" w14:textId="55C2A902"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 xml:space="preserve">Evaluation by a geriatric hospital consultation team, physical therapist, case manager, and/or pharmacist </w:t>
            </w:r>
          </w:p>
        </w:tc>
        <w:tc>
          <w:tcPr>
            <w:tcW w:w="1128" w:type="dxa"/>
            <w:tcBorders>
              <w:top w:val="nil"/>
              <w:left w:val="nil"/>
              <w:bottom w:val="nil"/>
              <w:right w:val="nil"/>
            </w:tcBorders>
            <w:shd w:val="clear" w:color="auto" w:fill="auto"/>
            <w:hideMark/>
          </w:tcPr>
          <w:p w14:paraId="29FD5FC6"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w:t>
            </w:r>
          </w:p>
        </w:tc>
        <w:tc>
          <w:tcPr>
            <w:tcW w:w="1389" w:type="dxa"/>
            <w:tcBorders>
              <w:top w:val="nil"/>
              <w:left w:val="nil"/>
              <w:bottom w:val="nil"/>
              <w:right w:val="nil"/>
            </w:tcBorders>
            <w:shd w:val="clear" w:color="auto" w:fill="auto"/>
            <w:hideMark/>
          </w:tcPr>
          <w:p w14:paraId="784FE5A0"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89</w:t>
            </w:r>
          </w:p>
        </w:tc>
        <w:tc>
          <w:tcPr>
            <w:tcW w:w="1119" w:type="dxa"/>
            <w:tcBorders>
              <w:top w:val="nil"/>
              <w:left w:val="nil"/>
              <w:bottom w:val="nil"/>
              <w:right w:val="nil"/>
            </w:tcBorders>
            <w:shd w:val="clear" w:color="auto" w:fill="auto"/>
            <w:hideMark/>
          </w:tcPr>
          <w:p w14:paraId="2C291BE5"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132</w:t>
            </w:r>
          </w:p>
        </w:tc>
        <w:tc>
          <w:tcPr>
            <w:tcW w:w="1135" w:type="dxa"/>
            <w:tcBorders>
              <w:top w:val="nil"/>
              <w:left w:val="nil"/>
              <w:bottom w:val="nil"/>
              <w:right w:val="nil"/>
            </w:tcBorders>
            <w:shd w:val="clear" w:color="auto" w:fill="auto"/>
            <w:hideMark/>
          </w:tcPr>
          <w:p w14:paraId="401FE1E7" w14:textId="61BDEC08"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Quasi-experimental</w:t>
            </w:r>
          </w:p>
        </w:tc>
        <w:tc>
          <w:tcPr>
            <w:tcW w:w="1128" w:type="dxa"/>
            <w:tcBorders>
              <w:top w:val="nil"/>
              <w:left w:val="nil"/>
              <w:bottom w:val="nil"/>
              <w:right w:val="nil"/>
            </w:tcBorders>
            <w:shd w:val="clear" w:color="auto" w:fill="auto"/>
            <w:hideMark/>
          </w:tcPr>
          <w:p w14:paraId="222A4039" w14:textId="7C2D5F57"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A07F99">
              <w:rPr>
                <w:rFonts w:ascii="Calibri" w:eastAsia="Times New Roman" w:hAnsi="Calibri" w:cs="Calibri"/>
                <w:kern w:val="0"/>
                <w:sz w:val="16"/>
                <w:szCs w:val="16"/>
                <w:lang w:eastAsia="en-AU"/>
                <w14:ligatures w14:val="none"/>
              </w:rPr>
              <w:t>System performance Patient outcomes</w:t>
            </w:r>
          </w:p>
        </w:tc>
      </w:tr>
      <w:tr w:rsidR="004B049F" w:rsidRPr="00E821F3" w14:paraId="698572CD" w14:textId="77777777" w:rsidTr="00143566">
        <w:trPr>
          <w:cantSplit/>
          <w:trHeight w:val="567"/>
        </w:trPr>
        <w:tc>
          <w:tcPr>
            <w:tcW w:w="1313" w:type="dxa"/>
            <w:tcBorders>
              <w:top w:val="nil"/>
              <w:left w:val="nil"/>
              <w:bottom w:val="nil"/>
              <w:right w:val="nil"/>
            </w:tcBorders>
            <w:shd w:val="clear" w:color="auto" w:fill="auto"/>
            <w:noWrap/>
            <w:hideMark/>
          </w:tcPr>
          <w:p w14:paraId="60BE7C77" w14:textId="0FA7A6A8"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4B049F">
              <w:rPr>
                <w:sz w:val="16"/>
                <w:szCs w:val="16"/>
              </w:rPr>
              <w:t>Stevens et al., 2017, USA</w:t>
            </w:r>
          </w:p>
        </w:tc>
        <w:tc>
          <w:tcPr>
            <w:tcW w:w="1525" w:type="dxa"/>
            <w:tcBorders>
              <w:top w:val="nil"/>
              <w:left w:val="nil"/>
              <w:bottom w:val="nil"/>
              <w:right w:val="nil"/>
            </w:tcBorders>
          </w:tcPr>
          <w:p w14:paraId="57816CAB" w14:textId="6FEC2C2B"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PIMs/polypharmacy</w:t>
            </w:r>
          </w:p>
        </w:tc>
        <w:tc>
          <w:tcPr>
            <w:tcW w:w="2688" w:type="dxa"/>
            <w:tcBorders>
              <w:top w:val="nil"/>
              <w:left w:val="nil"/>
              <w:bottom w:val="nil"/>
              <w:right w:val="nil"/>
            </w:tcBorders>
            <w:shd w:val="clear" w:color="auto" w:fill="auto"/>
            <w:hideMark/>
          </w:tcPr>
          <w:p w14:paraId="1F64268A" w14:textId="2194760C"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 xml:space="preserve">To evaluate the effectiveness and sustainability of </w:t>
            </w:r>
            <w:proofErr w:type="spellStart"/>
            <w:r w:rsidRPr="007F1A6A">
              <w:rPr>
                <w:rFonts w:ascii="Calibri" w:eastAsia="Times New Roman" w:hAnsi="Calibri" w:cs="Calibri"/>
                <w:color w:val="000000"/>
                <w:kern w:val="0"/>
                <w:sz w:val="16"/>
                <w:szCs w:val="16"/>
                <w:lang w:eastAsia="en-AU"/>
                <w14:ligatures w14:val="none"/>
              </w:rPr>
              <w:t>EQUiPPED</w:t>
            </w:r>
            <w:proofErr w:type="spellEnd"/>
            <w:r w:rsidRPr="007F1A6A">
              <w:rPr>
                <w:rFonts w:ascii="Calibri" w:eastAsia="Times New Roman" w:hAnsi="Calibri" w:cs="Calibri"/>
                <w:color w:val="000000"/>
                <w:kern w:val="0"/>
                <w:sz w:val="16"/>
                <w:szCs w:val="16"/>
                <w:lang w:eastAsia="en-AU"/>
                <w14:ligatures w14:val="none"/>
              </w:rPr>
              <w:t xml:space="preserve"> to reduce the use of PIMs prescribed to older Veterans at the time of ED discharge</w:t>
            </w:r>
          </w:p>
        </w:tc>
        <w:tc>
          <w:tcPr>
            <w:tcW w:w="3031" w:type="dxa"/>
            <w:tcBorders>
              <w:top w:val="nil"/>
              <w:left w:val="nil"/>
              <w:bottom w:val="nil"/>
              <w:right w:val="nil"/>
            </w:tcBorders>
            <w:shd w:val="clear" w:color="auto" w:fill="auto"/>
            <w:hideMark/>
          </w:tcPr>
          <w:p w14:paraId="3A7877B4" w14:textId="77777777" w:rsidR="004B049F" w:rsidRPr="00231E9F"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231E9F">
              <w:rPr>
                <w:rFonts w:ascii="Calibri" w:eastAsia="Times New Roman" w:hAnsi="Calibri" w:cs="Calibri"/>
                <w:b/>
                <w:bCs/>
                <w:color w:val="000000"/>
                <w:kern w:val="0"/>
                <w:sz w:val="16"/>
                <w:szCs w:val="16"/>
                <w:lang w:eastAsia="en-AU"/>
                <w14:ligatures w14:val="none"/>
              </w:rPr>
              <w:t>Medication management</w:t>
            </w:r>
          </w:p>
          <w:p w14:paraId="6027414A" w14:textId="756F295A"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proofErr w:type="spellStart"/>
            <w:r w:rsidRPr="007F1A6A">
              <w:rPr>
                <w:rFonts w:ascii="Calibri" w:eastAsia="Times New Roman" w:hAnsi="Calibri" w:cs="Calibri"/>
                <w:color w:val="000000"/>
                <w:kern w:val="0"/>
                <w:sz w:val="16"/>
                <w:szCs w:val="16"/>
                <w:lang w:eastAsia="en-AU"/>
                <w14:ligatures w14:val="none"/>
              </w:rPr>
              <w:t>EQUiPPED</w:t>
            </w:r>
            <w:proofErr w:type="spellEnd"/>
            <w:r>
              <w:rPr>
                <w:rFonts w:ascii="Calibri" w:eastAsia="Times New Roman" w:hAnsi="Calibri" w:cs="Calibri"/>
                <w:color w:val="000000"/>
                <w:kern w:val="0"/>
                <w:sz w:val="16"/>
                <w:szCs w:val="16"/>
                <w:lang w:eastAsia="en-AU"/>
                <w14:ligatures w14:val="none"/>
              </w:rPr>
              <w:t xml:space="preserve"> – </w:t>
            </w:r>
            <w:r w:rsidRPr="007F1A6A">
              <w:rPr>
                <w:rFonts w:ascii="Calibri" w:eastAsia="Times New Roman" w:hAnsi="Calibri" w:cs="Calibri"/>
                <w:color w:val="000000"/>
                <w:kern w:val="0"/>
                <w:sz w:val="16"/>
                <w:szCs w:val="16"/>
                <w:lang w:eastAsia="en-AU"/>
                <w14:ligatures w14:val="none"/>
              </w:rPr>
              <w:t>combining education, electronic health record based clinical decision support tools, and individual provider audit and feedback with peer benchmarking</w:t>
            </w:r>
          </w:p>
        </w:tc>
        <w:tc>
          <w:tcPr>
            <w:tcW w:w="1128" w:type="dxa"/>
            <w:tcBorders>
              <w:top w:val="nil"/>
              <w:left w:val="nil"/>
              <w:bottom w:val="nil"/>
              <w:right w:val="nil"/>
            </w:tcBorders>
            <w:shd w:val="clear" w:color="auto" w:fill="auto"/>
            <w:hideMark/>
          </w:tcPr>
          <w:p w14:paraId="5D00A6D2"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4</w:t>
            </w:r>
          </w:p>
        </w:tc>
        <w:tc>
          <w:tcPr>
            <w:tcW w:w="1389" w:type="dxa"/>
            <w:tcBorders>
              <w:top w:val="nil"/>
              <w:left w:val="nil"/>
              <w:bottom w:val="nil"/>
              <w:right w:val="nil"/>
            </w:tcBorders>
            <w:shd w:val="clear" w:color="auto" w:fill="auto"/>
            <w:hideMark/>
          </w:tcPr>
          <w:p w14:paraId="7D0CB88D" w14:textId="6D67405B"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NR</w:t>
            </w:r>
          </w:p>
        </w:tc>
        <w:tc>
          <w:tcPr>
            <w:tcW w:w="1119" w:type="dxa"/>
            <w:tcBorders>
              <w:top w:val="nil"/>
              <w:left w:val="nil"/>
              <w:bottom w:val="nil"/>
              <w:right w:val="nil"/>
            </w:tcBorders>
            <w:shd w:val="clear" w:color="auto" w:fill="auto"/>
            <w:hideMark/>
          </w:tcPr>
          <w:p w14:paraId="6C10F97F" w14:textId="019478A8"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NR</w:t>
            </w:r>
          </w:p>
        </w:tc>
        <w:tc>
          <w:tcPr>
            <w:tcW w:w="1135" w:type="dxa"/>
            <w:tcBorders>
              <w:top w:val="nil"/>
              <w:left w:val="nil"/>
              <w:bottom w:val="nil"/>
              <w:right w:val="nil"/>
            </w:tcBorders>
            <w:shd w:val="clear" w:color="auto" w:fill="auto"/>
            <w:hideMark/>
          </w:tcPr>
          <w:p w14:paraId="62407C23" w14:textId="4A99D2CC" w:rsidR="004B049F" w:rsidRPr="007F1A6A" w:rsidRDefault="00227E6B"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Pre-post</w:t>
            </w:r>
          </w:p>
        </w:tc>
        <w:tc>
          <w:tcPr>
            <w:tcW w:w="1128" w:type="dxa"/>
            <w:tcBorders>
              <w:top w:val="nil"/>
              <w:left w:val="nil"/>
              <w:bottom w:val="nil"/>
              <w:right w:val="nil"/>
            </w:tcBorders>
            <w:shd w:val="clear" w:color="auto" w:fill="auto"/>
            <w:hideMark/>
          </w:tcPr>
          <w:p w14:paraId="5EE7466B" w14:textId="4E5837FE"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A07F99">
              <w:rPr>
                <w:rFonts w:ascii="Calibri" w:eastAsia="Times New Roman" w:hAnsi="Calibri" w:cs="Calibri"/>
                <w:kern w:val="0"/>
                <w:sz w:val="16"/>
                <w:szCs w:val="16"/>
                <w:lang w:eastAsia="en-AU"/>
                <w14:ligatures w14:val="none"/>
              </w:rPr>
              <w:t>System performance Patient outcomes</w:t>
            </w:r>
          </w:p>
        </w:tc>
      </w:tr>
      <w:tr w:rsidR="004B049F" w:rsidRPr="00E821F3" w14:paraId="613873F7" w14:textId="77777777" w:rsidTr="00143566">
        <w:trPr>
          <w:cantSplit/>
          <w:trHeight w:val="567"/>
        </w:trPr>
        <w:tc>
          <w:tcPr>
            <w:tcW w:w="1313" w:type="dxa"/>
            <w:tcBorders>
              <w:top w:val="nil"/>
              <w:left w:val="nil"/>
              <w:bottom w:val="nil"/>
              <w:right w:val="nil"/>
            </w:tcBorders>
            <w:shd w:val="clear" w:color="FFFFFF" w:fill="FFFFFF"/>
            <w:noWrap/>
            <w:hideMark/>
          </w:tcPr>
          <w:p w14:paraId="76346752" w14:textId="1976E4BC"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4B049F">
              <w:rPr>
                <w:sz w:val="16"/>
                <w:szCs w:val="16"/>
              </w:rPr>
              <w:lastRenderedPageBreak/>
              <w:t>Tousignant-Laflamme et al., 2015, Canada</w:t>
            </w:r>
          </w:p>
        </w:tc>
        <w:tc>
          <w:tcPr>
            <w:tcW w:w="1525" w:type="dxa"/>
            <w:tcBorders>
              <w:top w:val="nil"/>
              <w:left w:val="nil"/>
              <w:bottom w:val="nil"/>
              <w:right w:val="nil"/>
            </w:tcBorders>
            <w:shd w:val="clear" w:color="FFFFFF" w:fill="FFFFFF"/>
          </w:tcPr>
          <w:p w14:paraId="7ED5F3D9" w14:textId="52675CBD"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IS</w:t>
            </w:r>
          </w:p>
        </w:tc>
        <w:tc>
          <w:tcPr>
            <w:tcW w:w="2688" w:type="dxa"/>
            <w:tcBorders>
              <w:top w:val="nil"/>
              <w:left w:val="nil"/>
              <w:bottom w:val="nil"/>
              <w:right w:val="nil"/>
            </w:tcBorders>
            <w:shd w:val="clear" w:color="FFFFFF" w:fill="FFFFFF"/>
            <w:hideMark/>
          </w:tcPr>
          <w:p w14:paraId="0840B5E0" w14:textId="32A1A8D0"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 xml:space="preserve">To assess the feasibility and explore the potential clinical value of adding PT services to the ED, in collaboration with nursing staff, to prevent immobilisation syndrome </w:t>
            </w:r>
          </w:p>
        </w:tc>
        <w:tc>
          <w:tcPr>
            <w:tcW w:w="3031" w:type="dxa"/>
            <w:tcBorders>
              <w:top w:val="nil"/>
              <w:left w:val="nil"/>
              <w:bottom w:val="nil"/>
              <w:right w:val="nil"/>
            </w:tcBorders>
            <w:shd w:val="clear" w:color="FFFFFF" w:fill="FFFFFF"/>
            <w:hideMark/>
          </w:tcPr>
          <w:p w14:paraId="2B7EE88F" w14:textId="3EAC91BD" w:rsidR="004B049F" w:rsidRPr="00DD6FE6"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DD6FE6">
              <w:rPr>
                <w:rFonts w:ascii="Calibri" w:eastAsia="Times New Roman" w:hAnsi="Calibri" w:cs="Calibri"/>
                <w:b/>
                <w:bCs/>
                <w:kern w:val="0"/>
                <w:sz w:val="16"/>
                <w:szCs w:val="16"/>
                <w:lang w:eastAsia="en-AU"/>
                <w14:ligatures w14:val="none"/>
              </w:rPr>
              <w:t>General assessment and multi-faceted care coordination to attenuate functional decline</w:t>
            </w:r>
          </w:p>
          <w:p w14:paraId="358E02A1" w14:textId="56B2FC1E"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PT</w:t>
            </w:r>
            <w:r w:rsidRPr="007F1A6A">
              <w:rPr>
                <w:rFonts w:ascii="Calibri" w:eastAsia="Times New Roman" w:hAnsi="Calibri" w:cs="Calibri"/>
                <w:color w:val="000000"/>
                <w:kern w:val="0"/>
                <w:sz w:val="16"/>
                <w:szCs w:val="16"/>
                <w:lang w:eastAsia="en-AU"/>
                <w14:ligatures w14:val="none"/>
              </w:rPr>
              <w:t xml:space="preserve"> services in the ED</w:t>
            </w:r>
          </w:p>
        </w:tc>
        <w:tc>
          <w:tcPr>
            <w:tcW w:w="1128" w:type="dxa"/>
            <w:tcBorders>
              <w:top w:val="nil"/>
              <w:left w:val="nil"/>
              <w:bottom w:val="nil"/>
              <w:right w:val="nil"/>
            </w:tcBorders>
            <w:shd w:val="clear" w:color="FFFFFF" w:fill="FFFFFF"/>
            <w:hideMark/>
          </w:tcPr>
          <w:p w14:paraId="2407B36E"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w:t>
            </w:r>
          </w:p>
        </w:tc>
        <w:tc>
          <w:tcPr>
            <w:tcW w:w="1389" w:type="dxa"/>
            <w:tcBorders>
              <w:top w:val="nil"/>
              <w:left w:val="nil"/>
              <w:bottom w:val="nil"/>
              <w:right w:val="nil"/>
            </w:tcBorders>
            <w:shd w:val="clear" w:color="FFFFFF" w:fill="FFFFFF"/>
            <w:hideMark/>
          </w:tcPr>
          <w:p w14:paraId="567B4DBD"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9</w:t>
            </w:r>
          </w:p>
        </w:tc>
        <w:tc>
          <w:tcPr>
            <w:tcW w:w="1119" w:type="dxa"/>
            <w:tcBorders>
              <w:top w:val="nil"/>
              <w:left w:val="nil"/>
              <w:bottom w:val="nil"/>
              <w:right w:val="nil"/>
            </w:tcBorders>
            <w:shd w:val="clear" w:color="FFFFFF" w:fill="FFFFFF"/>
            <w:hideMark/>
          </w:tcPr>
          <w:p w14:paraId="53623023"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11</w:t>
            </w:r>
          </w:p>
        </w:tc>
        <w:tc>
          <w:tcPr>
            <w:tcW w:w="1135" w:type="dxa"/>
            <w:tcBorders>
              <w:top w:val="nil"/>
              <w:left w:val="nil"/>
              <w:bottom w:val="nil"/>
              <w:right w:val="nil"/>
            </w:tcBorders>
            <w:shd w:val="clear" w:color="FFFFFF" w:fill="FFFFFF"/>
            <w:hideMark/>
          </w:tcPr>
          <w:p w14:paraId="78DD9ECE" w14:textId="014F7FCD"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Descriptive</w:t>
            </w:r>
            <w:r w:rsidRPr="007F1A6A">
              <w:rPr>
                <w:rFonts w:ascii="Calibri" w:eastAsia="Times New Roman" w:hAnsi="Calibri" w:cs="Calibri"/>
                <w:color w:val="000000"/>
                <w:kern w:val="0"/>
                <w:sz w:val="16"/>
                <w:szCs w:val="16"/>
                <w:lang w:eastAsia="en-AU"/>
                <w14:ligatures w14:val="none"/>
              </w:rPr>
              <w:t> </w:t>
            </w:r>
            <w:r>
              <w:rPr>
                <w:rFonts w:ascii="Calibri" w:eastAsia="Times New Roman" w:hAnsi="Calibri" w:cs="Calibri"/>
                <w:color w:val="000000"/>
                <w:kern w:val="0"/>
                <w:sz w:val="16"/>
                <w:szCs w:val="16"/>
                <w:lang w:eastAsia="en-AU"/>
                <w14:ligatures w14:val="none"/>
              </w:rPr>
              <w:t xml:space="preserve"> </w:t>
            </w:r>
          </w:p>
        </w:tc>
        <w:tc>
          <w:tcPr>
            <w:tcW w:w="1128" w:type="dxa"/>
            <w:tcBorders>
              <w:top w:val="nil"/>
              <w:left w:val="nil"/>
              <w:bottom w:val="nil"/>
              <w:right w:val="nil"/>
            </w:tcBorders>
            <w:shd w:val="clear" w:color="FFFFFF" w:fill="FFFFFF"/>
            <w:hideMark/>
          </w:tcPr>
          <w:p w14:paraId="69223AD9" w14:textId="7E796A77"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P</w:t>
            </w:r>
            <w:r w:rsidRPr="007F1A6A">
              <w:rPr>
                <w:rFonts w:ascii="Calibri" w:eastAsia="Times New Roman" w:hAnsi="Calibri" w:cs="Calibri"/>
                <w:color w:val="000000"/>
                <w:kern w:val="0"/>
                <w:sz w:val="16"/>
                <w:szCs w:val="16"/>
                <w:lang w:eastAsia="en-AU"/>
                <w14:ligatures w14:val="none"/>
              </w:rPr>
              <w:t>atient outcomes</w:t>
            </w:r>
          </w:p>
        </w:tc>
      </w:tr>
      <w:tr w:rsidR="004B049F" w:rsidRPr="00E821F3" w14:paraId="66B011A7" w14:textId="77777777" w:rsidTr="00143566">
        <w:trPr>
          <w:cantSplit/>
          <w:trHeight w:val="567"/>
        </w:trPr>
        <w:tc>
          <w:tcPr>
            <w:tcW w:w="1313" w:type="dxa"/>
            <w:tcBorders>
              <w:top w:val="nil"/>
              <w:left w:val="nil"/>
              <w:bottom w:val="nil"/>
              <w:right w:val="nil"/>
            </w:tcBorders>
            <w:shd w:val="clear" w:color="auto" w:fill="auto"/>
            <w:noWrap/>
            <w:hideMark/>
          </w:tcPr>
          <w:p w14:paraId="4DC5C277" w14:textId="6A44ACA0"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4B049F">
              <w:rPr>
                <w:sz w:val="16"/>
                <w:szCs w:val="16"/>
              </w:rPr>
              <w:t xml:space="preserve">Travers et al., </w:t>
            </w:r>
            <w:proofErr w:type="gramStart"/>
            <w:r w:rsidRPr="004B049F">
              <w:rPr>
                <w:sz w:val="16"/>
                <w:szCs w:val="16"/>
              </w:rPr>
              <w:t>2021 ,</w:t>
            </w:r>
            <w:proofErr w:type="gramEnd"/>
            <w:r w:rsidRPr="004B049F">
              <w:rPr>
                <w:sz w:val="16"/>
                <w:szCs w:val="16"/>
              </w:rPr>
              <w:t xml:space="preserve"> USA</w:t>
            </w:r>
          </w:p>
        </w:tc>
        <w:tc>
          <w:tcPr>
            <w:tcW w:w="1525" w:type="dxa"/>
            <w:tcBorders>
              <w:top w:val="nil"/>
              <w:left w:val="nil"/>
              <w:bottom w:val="nil"/>
              <w:right w:val="nil"/>
            </w:tcBorders>
          </w:tcPr>
          <w:p w14:paraId="6EE419B8" w14:textId="625DA6E2"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Head trauma and anticoagulant medication</w:t>
            </w:r>
          </w:p>
        </w:tc>
        <w:tc>
          <w:tcPr>
            <w:tcW w:w="2688" w:type="dxa"/>
            <w:tcBorders>
              <w:top w:val="nil"/>
              <w:left w:val="nil"/>
              <w:bottom w:val="nil"/>
              <w:right w:val="nil"/>
            </w:tcBorders>
            <w:shd w:val="clear" w:color="auto" w:fill="auto"/>
            <w:hideMark/>
          </w:tcPr>
          <w:p w14:paraId="532F97E1" w14:textId="0615016B"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To assess the impact of the novel level III trauma protocol on resource utilisation and patient outcome</w:t>
            </w:r>
          </w:p>
        </w:tc>
        <w:tc>
          <w:tcPr>
            <w:tcW w:w="3031" w:type="dxa"/>
            <w:tcBorders>
              <w:top w:val="nil"/>
              <w:left w:val="nil"/>
              <w:bottom w:val="nil"/>
              <w:right w:val="nil"/>
            </w:tcBorders>
            <w:shd w:val="clear" w:color="auto" w:fill="auto"/>
            <w:hideMark/>
          </w:tcPr>
          <w:p w14:paraId="4485DE7E" w14:textId="77777777" w:rsidR="004B049F" w:rsidRPr="00784B97"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784B97">
              <w:rPr>
                <w:rFonts w:eastAsia="Times New Roman" w:cstheme="minorHAnsi"/>
                <w:b/>
                <w:bCs/>
                <w:color w:val="000000"/>
                <w:kern w:val="0"/>
                <w:sz w:val="16"/>
                <w:szCs w:val="16"/>
                <w:lang w:eastAsia="en-AU"/>
                <w14:ligatures w14:val="none"/>
              </w:rPr>
              <w:t>Management of anticoagulated older adult with head injury</w:t>
            </w:r>
          </w:p>
          <w:p w14:paraId="63E2835B" w14:textId="59D1C7CB"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The level III trauma protocol specified that all patients aged ≥ 65 years old who were taking any anticoagulants or antiplatelet agents and presenting to the ED after a fall with head injury would be immediately evaluated by a physician</w:t>
            </w:r>
          </w:p>
        </w:tc>
        <w:tc>
          <w:tcPr>
            <w:tcW w:w="1128" w:type="dxa"/>
            <w:tcBorders>
              <w:top w:val="nil"/>
              <w:left w:val="nil"/>
              <w:bottom w:val="nil"/>
              <w:right w:val="nil"/>
            </w:tcBorders>
            <w:shd w:val="clear" w:color="auto" w:fill="auto"/>
            <w:hideMark/>
          </w:tcPr>
          <w:p w14:paraId="03D61420"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w:t>
            </w:r>
          </w:p>
        </w:tc>
        <w:tc>
          <w:tcPr>
            <w:tcW w:w="1389" w:type="dxa"/>
            <w:tcBorders>
              <w:top w:val="nil"/>
              <w:left w:val="nil"/>
              <w:bottom w:val="nil"/>
              <w:right w:val="nil"/>
            </w:tcBorders>
            <w:shd w:val="clear" w:color="auto" w:fill="auto"/>
            <w:hideMark/>
          </w:tcPr>
          <w:p w14:paraId="46CECFD7"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12</w:t>
            </w:r>
          </w:p>
        </w:tc>
        <w:tc>
          <w:tcPr>
            <w:tcW w:w="1119" w:type="dxa"/>
            <w:tcBorders>
              <w:top w:val="nil"/>
              <w:left w:val="nil"/>
              <w:bottom w:val="nil"/>
              <w:right w:val="nil"/>
            </w:tcBorders>
            <w:shd w:val="clear" w:color="auto" w:fill="auto"/>
            <w:hideMark/>
          </w:tcPr>
          <w:p w14:paraId="07083823"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56</w:t>
            </w:r>
          </w:p>
        </w:tc>
        <w:tc>
          <w:tcPr>
            <w:tcW w:w="1135" w:type="dxa"/>
            <w:tcBorders>
              <w:top w:val="nil"/>
              <w:left w:val="nil"/>
              <w:bottom w:val="nil"/>
              <w:right w:val="nil"/>
            </w:tcBorders>
            <w:shd w:val="clear" w:color="auto" w:fill="auto"/>
            <w:hideMark/>
          </w:tcPr>
          <w:p w14:paraId="615E3FB3" w14:textId="54478576"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Quasi-experimental</w:t>
            </w:r>
          </w:p>
        </w:tc>
        <w:tc>
          <w:tcPr>
            <w:tcW w:w="1128" w:type="dxa"/>
            <w:tcBorders>
              <w:top w:val="nil"/>
              <w:left w:val="nil"/>
              <w:bottom w:val="nil"/>
              <w:right w:val="nil"/>
            </w:tcBorders>
            <w:shd w:val="clear" w:color="auto" w:fill="auto"/>
            <w:hideMark/>
          </w:tcPr>
          <w:p w14:paraId="77BE9D93" w14:textId="780E2A99"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A07F99">
              <w:rPr>
                <w:rFonts w:ascii="Calibri" w:eastAsia="Times New Roman" w:hAnsi="Calibri" w:cs="Calibri"/>
                <w:kern w:val="0"/>
                <w:sz w:val="16"/>
                <w:szCs w:val="16"/>
                <w:lang w:eastAsia="en-AU"/>
                <w14:ligatures w14:val="none"/>
              </w:rPr>
              <w:t>System performance Patient outcomes</w:t>
            </w:r>
          </w:p>
        </w:tc>
      </w:tr>
      <w:tr w:rsidR="004B049F" w:rsidRPr="00E821F3" w14:paraId="1D1C6BCA" w14:textId="77777777" w:rsidTr="00143566">
        <w:trPr>
          <w:cantSplit/>
          <w:trHeight w:val="567"/>
        </w:trPr>
        <w:tc>
          <w:tcPr>
            <w:tcW w:w="1313" w:type="dxa"/>
            <w:tcBorders>
              <w:top w:val="nil"/>
              <w:left w:val="nil"/>
              <w:bottom w:val="nil"/>
              <w:right w:val="nil"/>
            </w:tcBorders>
            <w:shd w:val="clear" w:color="auto" w:fill="auto"/>
            <w:noWrap/>
            <w:hideMark/>
          </w:tcPr>
          <w:p w14:paraId="0BA21A40" w14:textId="6A1D8A20"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4B049F">
              <w:rPr>
                <w:sz w:val="16"/>
                <w:szCs w:val="16"/>
              </w:rPr>
              <w:t xml:space="preserve">van der </w:t>
            </w:r>
            <w:proofErr w:type="spellStart"/>
            <w:r w:rsidRPr="004B049F">
              <w:rPr>
                <w:sz w:val="16"/>
                <w:szCs w:val="16"/>
              </w:rPr>
              <w:t>Zwaard</w:t>
            </w:r>
            <w:proofErr w:type="spellEnd"/>
            <w:r w:rsidRPr="004B049F">
              <w:rPr>
                <w:sz w:val="16"/>
                <w:szCs w:val="16"/>
              </w:rPr>
              <w:t xml:space="preserve"> et al., 2020, The Netherlands</w:t>
            </w:r>
          </w:p>
        </w:tc>
        <w:tc>
          <w:tcPr>
            <w:tcW w:w="1525" w:type="dxa"/>
            <w:tcBorders>
              <w:top w:val="nil"/>
              <w:left w:val="nil"/>
              <w:bottom w:val="nil"/>
              <w:right w:val="nil"/>
            </w:tcBorders>
          </w:tcPr>
          <w:p w14:paraId="2DCA6E18" w14:textId="3DD81F57"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Hip fracture</w:t>
            </w:r>
          </w:p>
        </w:tc>
        <w:tc>
          <w:tcPr>
            <w:tcW w:w="2688" w:type="dxa"/>
            <w:tcBorders>
              <w:top w:val="nil"/>
              <w:left w:val="nil"/>
              <w:bottom w:val="nil"/>
              <w:right w:val="nil"/>
            </w:tcBorders>
            <w:shd w:val="clear" w:color="auto" w:fill="auto"/>
            <w:hideMark/>
          </w:tcPr>
          <w:p w14:paraId="74CA735B" w14:textId="3BE9349B"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 xml:space="preserve">To compare the number of </w:t>
            </w:r>
            <w:r w:rsidR="00260D46">
              <w:rPr>
                <w:rFonts w:ascii="Calibri" w:eastAsia="Times New Roman" w:hAnsi="Calibri" w:cs="Calibri"/>
                <w:color w:val="000000"/>
                <w:kern w:val="0"/>
                <w:sz w:val="16"/>
                <w:szCs w:val="16"/>
                <w:lang w:eastAsia="en-AU"/>
                <w14:ligatures w14:val="none"/>
              </w:rPr>
              <w:t>older adults</w:t>
            </w:r>
            <w:r w:rsidRPr="007F1A6A">
              <w:rPr>
                <w:rFonts w:ascii="Calibri" w:eastAsia="Times New Roman" w:hAnsi="Calibri" w:cs="Calibri"/>
                <w:color w:val="000000"/>
                <w:kern w:val="0"/>
                <w:sz w:val="16"/>
                <w:szCs w:val="16"/>
                <w:lang w:eastAsia="en-AU"/>
                <w14:ligatures w14:val="none"/>
              </w:rPr>
              <w:t xml:space="preserve"> with hip fractures who opted for non-surgical management after the addition of pre-operative CGA with shared decision making by a geriatrician to usual care</w:t>
            </w:r>
          </w:p>
        </w:tc>
        <w:tc>
          <w:tcPr>
            <w:tcW w:w="3031" w:type="dxa"/>
            <w:tcBorders>
              <w:top w:val="nil"/>
              <w:left w:val="nil"/>
              <w:bottom w:val="nil"/>
              <w:right w:val="nil"/>
            </w:tcBorders>
            <w:shd w:val="clear" w:color="auto" w:fill="auto"/>
            <w:hideMark/>
          </w:tcPr>
          <w:p w14:paraId="46C0A61A" w14:textId="67B1020B" w:rsidR="004B049F" w:rsidRPr="00FF13A5"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FF13A5">
              <w:rPr>
                <w:rFonts w:eastAsia="Times New Roman" w:cstheme="minorHAnsi"/>
                <w:b/>
                <w:bCs/>
                <w:color w:val="000000"/>
                <w:kern w:val="0"/>
                <w:sz w:val="16"/>
                <w:szCs w:val="16"/>
                <w:lang w:eastAsia="en-AU"/>
                <w14:ligatures w14:val="none"/>
              </w:rPr>
              <w:t>Assessment and management of hip fracture</w:t>
            </w:r>
          </w:p>
          <w:p w14:paraId="15B8519D" w14:textId="2893BCD9"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Pre-operative CGA: geriatrician saw the patient pre-operatively and determined psychological, social, and functional status of the patient in addition to the medical status. Subsequently, a treatment plan and plan for follow-up were tailored for patients during pre-operative CGA using shared decision making involving the geriatrician, the patient, and/or their representatives, or family.</w:t>
            </w:r>
          </w:p>
        </w:tc>
        <w:tc>
          <w:tcPr>
            <w:tcW w:w="1128" w:type="dxa"/>
            <w:tcBorders>
              <w:top w:val="nil"/>
              <w:left w:val="nil"/>
              <w:bottom w:val="nil"/>
              <w:right w:val="nil"/>
            </w:tcBorders>
            <w:shd w:val="clear" w:color="auto" w:fill="auto"/>
            <w:hideMark/>
          </w:tcPr>
          <w:p w14:paraId="5B1FA8B5"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w:t>
            </w:r>
          </w:p>
        </w:tc>
        <w:tc>
          <w:tcPr>
            <w:tcW w:w="1389" w:type="dxa"/>
            <w:tcBorders>
              <w:top w:val="nil"/>
              <w:left w:val="nil"/>
              <w:bottom w:val="nil"/>
              <w:right w:val="nil"/>
            </w:tcBorders>
            <w:shd w:val="clear" w:color="auto" w:fill="auto"/>
            <w:hideMark/>
          </w:tcPr>
          <w:p w14:paraId="68981C31"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224</w:t>
            </w:r>
          </w:p>
        </w:tc>
        <w:tc>
          <w:tcPr>
            <w:tcW w:w="1119" w:type="dxa"/>
            <w:tcBorders>
              <w:top w:val="nil"/>
              <w:left w:val="nil"/>
              <w:bottom w:val="nil"/>
              <w:right w:val="nil"/>
            </w:tcBorders>
            <w:shd w:val="clear" w:color="auto" w:fill="auto"/>
            <w:hideMark/>
          </w:tcPr>
          <w:p w14:paraId="2E7E67FB"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206</w:t>
            </w:r>
          </w:p>
        </w:tc>
        <w:tc>
          <w:tcPr>
            <w:tcW w:w="1135" w:type="dxa"/>
            <w:tcBorders>
              <w:top w:val="nil"/>
              <w:left w:val="nil"/>
              <w:bottom w:val="nil"/>
              <w:right w:val="nil"/>
            </w:tcBorders>
            <w:shd w:val="clear" w:color="auto" w:fill="auto"/>
            <w:hideMark/>
          </w:tcPr>
          <w:p w14:paraId="4267DC67" w14:textId="32FE3876"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Quasi-experimental</w:t>
            </w:r>
          </w:p>
        </w:tc>
        <w:tc>
          <w:tcPr>
            <w:tcW w:w="1128" w:type="dxa"/>
            <w:tcBorders>
              <w:top w:val="nil"/>
              <w:left w:val="nil"/>
              <w:bottom w:val="nil"/>
              <w:right w:val="nil"/>
            </w:tcBorders>
            <w:shd w:val="clear" w:color="auto" w:fill="auto"/>
            <w:hideMark/>
          </w:tcPr>
          <w:p w14:paraId="257F3B8E" w14:textId="576AC7AA"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P</w:t>
            </w:r>
            <w:r w:rsidRPr="007F1A6A">
              <w:rPr>
                <w:rFonts w:ascii="Calibri" w:eastAsia="Times New Roman" w:hAnsi="Calibri" w:cs="Calibri"/>
                <w:color w:val="000000"/>
                <w:kern w:val="0"/>
                <w:sz w:val="16"/>
                <w:szCs w:val="16"/>
                <w:lang w:eastAsia="en-AU"/>
                <w14:ligatures w14:val="none"/>
              </w:rPr>
              <w:t>atient outcomes</w:t>
            </w:r>
          </w:p>
        </w:tc>
      </w:tr>
      <w:tr w:rsidR="004B049F" w:rsidRPr="00E821F3" w14:paraId="7FAA2BB9" w14:textId="77777777" w:rsidTr="00143566">
        <w:trPr>
          <w:cantSplit/>
          <w:trHeight w:val="567"/>
        </w:trPr>
        <w:tc>
          <w:tcPr>
            <w:tcW w:w="1313" w:type="dxa"/>
            <w:tcBorders>
              <w:top w:val="nil"/>
              <w:left w:val="nil"/>
              <w:bottom w:val="nil"/>
              <w:right w:val="nil"/>
            </w:tcBorders>
            <w:shd w:val="clear" w:color="000000" w:fill="FFFFFF"/>
            <w:noWrap/>
            <w:hideMark/>
          </w:tcPr>
          <w:p w14:paraId="3F4D6265" w14:textId="27F0312F"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4B049F">
              <w:rPr>
                <w:sz w:val="16"/>
                <w:szCs w:val="16"/>
              </w:rPr>
              <w:t>Vaughan et al., 2021, USA</w:t>
            </w:r>
          </w:p>
        </w:tc>
        <w:tc>
          <w:tcPr>
            <w:tcW w:w="1525" w:type="dxa"/>
            <w:tcBorders>
              <w:top w:val="nil"/>
              <w:left w:val="nil"/>
              <w:bottom w:val="nil"/>
              <w:right w:val="nil"/>
            </w:tcBorders>
            <w:shd w:val="clear" w:color="000000" w:fill="FFFFFF"/>
          </w:tcPr>
          <w:p w14:paraId="2CB80A8B" w14:textId="27373462"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PIMs/polypharmacy</w:t>
            </w:r>
          </w:p>
        </w:tc>
        <w:tc>
          <w:tcPr>
            <w:tcW w:w="2688" w:type="dxa"/>
            <w:tcBorders>
              <w:top w:val="nil"/>
              <w:left w:val="nil"/>
              <w:bottom w:val="nil"/>
              <w:right w:val="nil"/>
            </w:tcBorders>
            <w:shd w:val="clear" w:color="000000" w:fill="FFFFFF"/>
            <w:hideMark/>
          </w:tcPr>
          <w:p w14:paraId="0DEF7B2B" w14:textId="4722800B"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To describe adaptation of EQUIPPED from VA to non-VA academic health centres and early prescribing outcomes</w:t>
            </w:r>
          </w:p>
        </w:tc>
        <w:tc>
          <w:tcPr>
            <w:tcW w:w="3031" w:type="dxa"/>
            <w:tcBorders>
              <w:top w:val="nil"/>
              <w:left w:val="nil"/>
              <w:bottom w:val="nil"/>
              <w:right w:val="nil"/>
            </w:tcBorders>
            <w:shd w:val="clear" w:color="000000" w:fill="FFFFFF"/>
            <w:hideMark/>
          </w:tcPr>
          <w:p w14:paraId="3B3BD1EF" w14:textId="77777777" w:rsidR="004B049F" w:rsidRPr="00231E9F"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231E9F">
              <w:rPr>
                <w:rFonts w:ascii="Calibri" w:eastAsia="Times New Roman" w:hAnsi="Calibri" w:cs="Calibri"/>
                <w:b/>
                <w:bCs/>
                <w:color w:val="000000"/>
                <w:kern w:val="0"/>
                <w:sz w:val="16"/>
                <w:szCs w:val="16"/>
                <w:lang w:eastAsia="en-AU"/>
                <w14:ligatures w14:val="none"/>
              </w:rPr>
              <w:t>Medication management</w:t>
            </w:r>
          </w:p>
          <w:p w14:paraId="3754E22F" w14:textId="2A949A0D"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 xml:space="preserve">EQUIPPED: </w:t>
            </w:r>
            <w:r w:rsidR="00424B56" w:rsidRPr="00424B56">
              <w:rPr>
                <w:rFonts w:ascii="Calibri" w:eastAsia="Times New Roman" w:hAnsi="Calibri" w:cs="Calibri"/>
                <w:color w:val="000000"/>
                <w:kern w:val="0"/>
                <w:sz w:val="16"/>
                <w:szCs w:val="16"/>
                <w:lang w:eastAsia="en-AU"/>
                <w14:ligatures w14:val="none"/>
              </w:rPr>
              <w:t>combining education, electronic health record based clinical decision support tools, and individual provider audit and feedback with peer benchmarking</w:t>
            </w:r>
          </w:p>
        </w:tc>
        <w:tc>
          <w:tcPr>
            <w:tcW w:w="1128" w:type="dxa"/>
            <w:tcBorders>
              <w:top w:val="nil"/>
              <w:left w:val="nil"/>
              <w:bottom w:val="nil"/>
              <w:right w:val="nil"/>
            </w:tcBorders>
            <w:shd w:val="clear" w:color="000000" w:fill="FFFFFF"/>
            <w:hideMark/>
          </w:tcPr>
          <w:p w14:paraId="4E75FC71"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3</w:t>
            </w:r>
          </w:p>
        </w:tc>
        <w:tc>
          <w:tcPr>
            <w:tcW w:w="1389" w:type="dxa"/>
            <w:tcBorders>
              <w:top w:val="nil"/>
              <w:left w:val="nil"/>
              <w:bottom w:val="nil"/>
              <w:right w:val="nil"/>
            </w:tcBorders>
            <w:shd w:val="clear" w:color="000000" w:fill="FFFFFF"/>
            <w:hideMark/>
          </w:tcPr>
          <w:p w14:paraId="1F624CF3" w14:textId="0BA53A54"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NR</w:t>
            </w:r>
            <w:r w:rsidRPr="007F1A6A">
              <w:rPr>
                <w:rFonts w:ascii="Calibri" w:eastAsia="Times New Roman" w:hAnsi="Calibri" w:cs="Calibri"/>
                <w:color w:val="000000"/>
                <w:kern w:val="0"/>
                <w:sz w:val="16"/>
                <w:szCs w:val="16"/>
                <w:lang w:eastAsia="en-AU"/>
                <w14:ligatures w14:val="none"/>
              </w:rPr>
              <w:t> </w:t>
            </w:r>
          </w:p>
        </w:tc>
        <w:tc>
          <w:tcPr>
            <w:tcW w:w="1119" w:type="dxa"/>
            <w:tcBorders>
              <w:top w:val="nil"/>
              <w:left w:val="nil"/>
              <w:bottom w:val="nil"/>
              <w:right w:val="nil"/>
            </w:tcBorders>
            <w:shd w:val="clear" w:color="000000" w:fill="FFFFFF"/>
            <w:hideMark/>
          </w:tcPr>
          <w:p w14:paraId="192ECE36" w14:textId="1D3A74A0"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NR</w:t>
            </w:r>
            <w:r w:rsidRPr="007F1A6A">
              <w:rPr>
                <w:rFonts w:ascii="Calibri" w:eastAsia="Times New Roman" w:hAnsi="Calibri" w:cs="Calibri"/>
                <w:color w:val="000000"/>
                <w:kern w:val="0"/>
                <w:sz w:val="16"/>
                <w:szCs w:val="16"/>
                <w:lang w:eastAsia="en-AU"/>
                <w14:ligatures w14:val="none"/>
              </w:rPr>
              <w:t> </w:t>
            </w:r>
          </w:p>
        </w:tc>
        <w:tc>
          <w:tcPr>
            <w:tcW w:w="1135" w:type="dxa"/>
            <w:tcBorders>
              <w:top w:val="nil"/>
              <w:left w:val="nil"/>
              <w:bottom w:val="nil"/>
              <w:right w:val="nil"/>
            </w:tcBorders>
            <w:shd w:val="clear" w:color="000000" w:fill="FFFFFF"/>
            <w:hideMark/>
          </w:tcPr>
          <w:p w14:paraId="33A9AF7B" w14:textId="77777777"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Pre-post</w:t>
            </w:r>
          </w:p>
        </w:tc>
        <w:tc>
          <w:tcPr>
            <w:tcW w:w="1128" w:type="dxa"/>
            <w:tcBorders>
              <w:top w:val="nil"/>
              <w:left w:val="nil"/>
              <w:bottom w:val="nil"/>
              <w:right w:val="nil"/>
            </w:tcBorders>
            <w:shd w:val="clear" w:color="000000" w:fill="FFFFFF"/>
            <w:hideMark/>
          </w:tcPr>
          <w:p w14:paraId="0FBDCE90" w14:textId="35D0694E"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A07F99">
              <w:rPr>
                <w:rFonts w:ascii="Calibri" w:eastAsia="Times New Roman" w:hAnsi="Calibri" w:cs="Calibri"/>
                <w:kern w:val="0"/>
                <w:sz w:val="16"/>
                <w:szCs w:val="16"/>
                <w:lang w:eastAsia="en-AU"/>
                <w14:ligatures w14:val="none"/>
              </w:rPr>
              <w:t>System performance Patient outcomes</w:t>
            </w:r>
          </w:p>
        </w:tc>
      </w:tr>
      <w:tr w:rsidR="004B049F" w:rsidRPr="00E821F3" w14:paraId="3B186C24" w14:textId="77777777" w:rsidTr="00143566">
        <w:trPr>
          <w:cantSplit/>
          <w:trHeight w:val="567"/>
        </w:trPr>
        <w:tc>
          <w:tcPr>
            <w:tcW w:w="1313" w:type="dxa"/>
            <w:tcBorders>
              <w:top w:val="nil"/>
              <w:left w:val="nil"/>
              <w:bottom w:val="nil"/>
              <w:right w:val="nil"/>
            </w:tcBorders>
            <w:shd w:val="clear" w:color="auto" w:fill="auto"/>
            <w:noWrap/>
            <w:hideMark/>
          </w:tcPr>
          <w:p w14:paraId="3E5C4800" w14:textId="22EE5C3A"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proofErr w:type="spellStart"/>
            <w:r w:rsidRPr="004B049F">
              <w:rPr>
                <w:sz w:val="16"/>
                <w:szCs w:val="16"/>
              </w:rPr>
              <w:t>Vivanti</w:t>
            </w:r>
            <w:proofErr w:type="spellEnd"/>
            <w:r w:rsidRPr="004B049F">
              <w:rPr>
                <w:sz w:val="16"/>
                <w:szCs w:val="16"/>
              </w:rPr>
              <w:t xml:space="preserve"> et al., 2015, Australia</w:t>
            </w:r>
          </w:p>
        </w:tc>
        <w:tc>
          <w:tcPr>
            <w:tcW w:w="1525" w:type="dxa"/>
            <w:tcBorders>
              <w:top w:val="nil"/>
              <w:left w:val="nil"/>
              <w:bottom w:val="nil"/>
              <w:right w:val="nil"/>
            </w:tcBorders>
          </w:tcPr>
          <w:p w14:paraId="19190C9A" w14:textId="0BE15D09"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Malnutrition</w:t>
            </w:r>
          </w:p>
        </w:tc>
        <w:tc>
          <w:tcPr>
            <w:tcW w:w="2688" w:type="dxa"/>
            <w:tcBorders>
              <w:top w:val="nil"/>
              <w:left w:val="nil"/>
              <w:bottom w:val="nil"/>
              <w:right w:val="nil"/>
            </w:tcBorders>
            <w:shd w:val="clear" w:color="auto" w:fill="auto"/>
            <w:hideMark/>
          </w:tcPr>
          <w:p w14:paraId="26B5E643" w14:textId="3CD02B47"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To trial malnutrition screening in older adults presenting to an ED and compare two service delivery models of nutritional support on nutritional status, quality of life, falls and unplanned hospital admissions</w:t>
            </w:r>
          </w:p>
        </w:tc>
        <w:tc>
          <w:tcPr>
            <w:tcW w:w="3031" w:type="dxa"/>
            <w:tcBorders>
              <w:top w:val="nil"/>
              <w:left w:val="nil"/>
              <w:bottom w:val="nil"/>
              <w:right w:val="nil"/>
            </w:tcBorders>
            <w:shd w:val="clear" w:color="auto" w:fill="auto"/>
            <w:hideMark/>
          </w:tcPr>
          <w:p w14:paraId="4ED2B914" w14:textId="051315AD" w:rsidR="004B049F" w:rsidRPr="00C31819"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C31819">
              <w:rPr>
                <w:rFonts w:ascii="Calibri" w:eastAsia="Times New Roman" w:hAnsi="Calibri" w:cs="Calibri"/>
                <w:b/>
                <w:bCs/>
                <w:kern w:val="0"/>
                <w:sz w:val="16"/>
                <w:szCs w:val="16"/>
                <w:lang w:eastAsia="en-AU"/>
                <w14:ligatures w14:val="none"/>
              </w:rPr>
              <w:t>General assessment and multi-faceted care coordination to better address patient needs</w:t>
            </w:r>
          </w:p>
          <w:p w14:paraId="2B4F6166" w14:textId="321AF26B"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Individualised dietary counselling in which nutrition goals and strategies were made in collaboration with the ED dietitian</w:t>
            </w:r>
          </w:p>
        </w:tc>
        <w:tc>
          <w:tcPr>
            <w:tcW w:w="1128" w:type="dxa"/>
            <w:tcBorders>
              <w:top w:val="nil"/>
              <w:left w:val="nil"/>
              <w:bottom w:val="nil"/>
              <w:right w:val="nil"/>
            </w:tcBorders>
            <w:shd w:val="clear" w:color="auto" w:fill="auto"/>
            <w:hideMark/>
          </w:tcPr>
          <w:p w14:paraId="1F583D5B"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w:t>
            </w:r>
          </w:p>
        </w:tc>
        <w:tc>
          <w:tcPr>
            <w:tcW w:w="1389" w:type="dxa"/>
            <w:tcBorders>
              <w:top w:val="nil"/>
              <w:left w:val="nil"/>
              <w:bottom w:val="nil"/>
              <w:right w:val="nil"/>
            </w:tcBorders>
            <w:shd w:val="clear" w:color="auto" w:fill="auto"/>
            <w:hideMark/>
          </w:tcPr>
          <w:p w14:paraId="1736817C"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10</w:t>
            </w:r>
          </w:p>
        </w:tc>
        <w:tc>
          <w:tcPr>
            <w:tcW w:w="1119" w:type="dxa"/>
            <w:tcBorders>
              <w:top w:val="nil"/>
              <w:left w:val="nil"/>
              <w:bottom w:val="nil"/>
              <w:right w:val="nil"/>
            </w:tcBorders>
            <w:shd w:val="clear" w:color="auto" w:fill="auto"/>
            <w:hideMark/>
          </w:tcPr>
          <w:p w14:paraId="21123915"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14</w:t>
            </w:r>
          </w:p>
        </w:tc>
        <w:tc>
          <w:tcPr>
            <w:tcW w:w="1135" w:type="dxa"/>
            <w:tcBorders>
              <w:top w:val="nil"/>
              <w:left w:val="nil"/>
              <w:bottom w:val="nil"/>
              <w:right w:val="nil"/>
            </w:tcBorders>
            <w:shd w:val="clear" w:color="auto" w:fill="auto"/>
            <w:hideMark/>
          </w:tcPr>
          <w:p w14:paraId="53249599" w14:textId="77777777"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RCT</w:t>
            </w:r>
          </w:p>
        </w:tc>
        <w:tc>
          <w:tcPr>
            <w:tcW w:w="1128" w:type="dxa"/>
            <w:tcBorders>
              <w:top w:val="nil"/>
              <w:left w:val="nil"/>
              <w:bottom w:val="nil"/>
              <w:right w:val="nil"/>
            </w:tcBorders>
            <w:shd w:val="clear" w:color="auto" w:fill="auto"/>
            <w:hideMark/>
          </w:tcPr>
          <w:p w14:paraId="3D8BE68C" w14:textId="7F4E0BE8"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A07F99">
              <w:rPr>
                <w:rFonts w:ascii="Calibri" w:eastAsia="Times New Roman" w:hAnsi="Calibri" w:cs="Calibri"/>
                <w:kern w:val="0"/>
                <w:sz w:val="16"/>
                <w:szCs w:val="16"/>
                <w:lang w:eastAsia="en-AU"/>
                <w14:ligatures w14:val="none"/>
              </w:rPr>
              <w:t>System performance Patient outcomes</w:t>
            </w:r>
          </w:p>
        </w:tc>
      </w:tr>
      <w:tr w:rsidR="004B049F" w:rsidRPr="00E821F3" w14:paraId="19E17E08" w14:textId="77777777" w:rsidTr="00143566">
        <w:trPr>
          <w:cantSplit/>
          <w:trHeight w:val="567"/>
        </w:trPr>
        <w:tc>
          <w:tcPr>
            <w:tcW w:w="1313" w:type="dxa"/>
            <w:tcBorders>
              <w:top w:val="nil"/>
              <w:left w:val="nil"/>
              <w:bottom w:val="nil"/>
              <w:right w:val="nil"/>
            </w:tcBorders>
            <w:shd w:val="clear" w:color="auto" w:fill="auto"/>
            <w:noWrap/>
            <w:hideMark/>
          </w:tcPr>
          <w:p w14:paraId="32F96E68" w14:textId="2C2A2181"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4B049F">
              <w:rPr>
                <w:sz w:val="16"/>
                <w:szCs w:val="16"/>
              </w:rPr>
              <w:t>Wallace et al., 2019, USA</w:t>
            </w:r>
          </w:p>
        </w:tc>
        <w:tc>
          <w:tcPr>
            <w:tcW w:w="1525" w:type="dxa"/>
            <w:tcBorders>
              <w:top w:val="nil"/>
              <w:left w:val="nil"/>
              <w:bottom w:val="nil"/>
              <w:right w:val="nil"/>
            </w:tcBorders>
          </w:tcPr>
          <w:p w14:paraId="4328B3F0" w14:textId="5FBAD60B"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Hip fracture</w:t>
            </w:r>
          </w:p>
        </w:tc>
        <w:tc>
          <w:tcPr>
            <w:tcW w:w="2688" w:type="dxa"/>
            <w:tcBorders>
              <w:top w:val="nil"/>
              <w:left w:val="nil"/>
              <w:bottom w:val="nil"/>
              <w:right w:val="nil"/>
            </w:tcBorders>
            <w:shd w:val="clear" w:color="auto" w:fill="auto"/>
            <w:hideMark/>
          </w:tcPr>
          <w:p w14:paraId="67DB7AA5" w14:textId="61C44F72"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To evaluate the effects of a multidisciplinary hip fracture care pathway on patient outcomes in the care of elderly patients</w:t>
            </w:r>
          </w:p>
        </w:tc>
        <w:tc>
          <w:tcPr>
            <w:tcW w:w="3031" w:type="dxa"/>
            <w:tcBorders>
              <w:top w:val="nil"/>
              <w:left w:val="nil"/>
              <w:bottom w:val="nil"/>
              <w:right w:val="nil"/>
            </w:tcBorders>
            <w:shd w:val="clear" w:color="auto" w:fill="auto"/>
            <w:hideMark/>
          </w:tcPr>
          <w:p w14:paraId="09882BD7" w14:textId="77777777" w:rsidR="004B049F" w:rsidRPr="00FF13A5"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FF13A5">
              <w:rPr>
                <w:rFonts w:eastAsia="Times New Roman" w:cstheme="minorHAnsi"/>
                <w:b/>
                <w:bCs/>
                <w:color w:val="000000"/>
                <w:kern w:val="0"/>
                <w:sz w:val="16"/>
                <w:szCs w:val="16"/>
                <w:lang w:eastAsia="en-AU"/>
                <w14:ligatures w14:val="none"/>
              </w:rPr>
              <w:t>Assessment and management of hip fracture</w:t>
            </w:r>
          </w:p>
          <w:p w14:paraId="69FCE853" w14:textId="5BFA1C13"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An evidence-based clinical practice guideline for the management of hip fractures to optimize patient care and surgical outcomes</w:t>
            </w:r>
          </w:p>
        </w:tc>
        <w:tc>
          <w:tcPr>
            <w:tcW w:w="1128" w:type="dxa"/>
            <w:tcBorders>
              <w:top w:val="nil"/>
              <w:left w:val="nil"/>
              <w:bottom w:val="nil"/>
              <w:right w:val="nil"/>
            </w:tcBorders>
            <w:shd w:val="clear" w:color="auto" w:fill="auto"/>
            <w:hideMark/>
          </w:tcPr>
          <w:p w14:paraId="2669B6EF"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w:t>
            </w:r>
          </w:p>
        </w:tc>
        <w:tc>
          <w:tcPr>
            <w:tcW w:w="1389" w:type="dxa"/>
            <w:tcBorders>
              <w:top w:val="nil"/>
              <w:left w:val="nil"/>
              <w:bottom w:val="nil"/>
              <w:right w:val="nil"/>
            </w:tcBorders>
            <w:shd w:val="clear" w:color="auto" w:fill="auto"/>
            <w:hideMark/>
          </w:tcPr>
          <w:p w14:paraId="409BAF30"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191</w:t>
            </w:r>
          </w:p>
        </w:tc>
        <w:tc>
          <w:tcPr>
            <w:tcW w:w="1119" w:type="dxa"/>
            <w:tcBorders>
              <w:top w:val="nil"/>
              <w:left w:val="nil"/>
              <w:bottom w:val="nil"/>
              <w:right w:val="nil"/>
            </w:tcBorders>
            <w:shd w:val="clear" w:color="auto" w:fill="auto"/>
            <w:hideMark/>
          </w:tcPr>
          <w:p w14:paraId="2F9C9F67"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80</w:t>
            </w:r>
          </w:p>
        </w:tc>
        <w:tc>
          <w:tcPr>
            <w:tcW w:w="1135" w:type="dxa"/>
            <w:tcBorders>
              <w:top w:val="nil"/>
              <w:left w:val="nil"/>
              <w:bottom w:val="nil"/>
              <w:right w:val="nil"/>
            </w:tcBorders>
            <w:shd w:val="clear" w:color="auto" w:fill="auto"/>
            <w:hideMark/>
          </w:tcPr>
          <w:p w14:paraId="269BF987" w14:textId="77777777"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Pre-post</w:t>
            </w:r>
          </w:p>
        </w:tc>
        <w:tc>
          <w:tcPr>
            <w:tcW w:w="1128" w:type="dxa"/>
            <w:tcBorders>
              <w:top w:val="nil"/>
              <w:left w:val="nil"/>
              <w:bottom w:val="nil"/>
              <w:right w:val="nil"/>
            </w:tcBorders>
            <w:shd w:val="clear" w:color="auto" w:fill="auto"/>
            <w:hideMark/>
          </w:tcPr>
          <w:p w14:paraId="48C071FB" w14:textId="6992B393"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P</w:t>
            </w:r>
            <w:r w:rsidRPr="007F1A6A">
              <w:rPr>
                <w:rFonts w:ascii="Calibri" w:eastAsia="Times New Roman" w:hAnsi="Calibri" w:cs="Calibri"/>
                <w:color w:val="000000"/>
                <w:kern w:val="0"/>
                <w:sz w:val="16"/>
                <w:szCs w:val="16"/>
                <w:lang w:eastAsia="en-AU"/>
                <w14:ligatures w14:val="none"/>
              </w:rPr>
              <w:t xml:space="preserve">atient outcomes </w:t>
            </w:r>
            <w:r>
              <w:rPr>
                <w:rFonts w:ascii="Calibri" w:eastAsia="Times New Roman" w:hAnsi="Calibri" w:cs="Calibri"/>
                <w:color w:val="000000"/>
                <w:kern w:val="0"/>
                <w:sz w:val="16"/>
                <w:szCs w:val="16"/>
                <w:lang w:eastAsia="en-AU"/>
                <w14:ligatures w14:val="none"/>
              </w:rPr>
              <w:t>S</w:t>
            </w:r>
            <w:r w:rsidRPr="007F1A6A">
              <w:rPr>
                <w:rFonts w:ascii="Calibri" w:eastAsia="Times New Roman" w:hAnsi="Calibri" w:cs="Calibri"/>
                <w:color w:val="000000"/>
                <w:kern w:val="0"/>
                <w:sz w:val="16"/>
                <w:szCs w:val="16"/>
                <w:lang w:eastAsia="en-AU"/>
                <w14:ligatures w14:val="none"/>
              </w:rPr>
              <w:t>ystem performance</w:t>
            </w:r>
          </w:p>
        </w:tc>
      </w:tr>
      <w:tr w:rsidR="004B049F" w:rsidRPr="00E821F3" w14:paraId="31BE205F" w14:textId="77777777" w:rsidTr="00143566">
        <w:trPr>
          <w:cantSplit/>
          <w:trHeight w:val="567"/>
        </w:trPr>
        <w:tc>
          <w:tcPr>
            <w:tcW w:w="1313" w:type="dxa"/>
            <w:tcBorders>
              <w:top w:val="nil"/>
              <w:left w:val="nil"/>
              <w:bottom w:val="nil"/>
              <w:right w:val="nil"/>
            </w:tcBorders>
            <w:shd w:val="clear" w:color="auto" w:fill="auto"/>
            <w:noWrap/>
            <w:hideMark/>
          </w:tcPr>
          <w:p w14:paraId="7AACB632" w14:textId="207428B7"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4B049F">
              <w:rPr>
                <w:sz w:val="16"/>
                <w:szCs w:val="16"/>
              </w:rPr>
              <w:lastRenderedPageBreak/>
              <w:t>Wallis et al., 2018, Australia</w:t>
            </w:r>
          </w:p>
        </w:tc>
        <w:tc>
          <w:tcPr>
            <w:tcW w:w="1525" w:type="dxa"/>
            <w:tcBorders>
              <w:top w:val="nil"/>
              <w:left w:val="nil"/>
              <w:bottom w:val="nil"/>
              <w:right w:val="nil"/>
            </w:tcBorders>
          </w:tcPr>
          <w:p w14:paraId="6AAF77D8" w14:textId="1DB2518B"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Avoidable admissions</w:t>
            </w:r>
          </w:p>
        </w:tc>
        <w:tc>
          <w:tcPr>
            <w:tcW w:w="2688" w:type="dxa"/>
            <w:tcBorders>
              <w:top w:val="nil"/>
              <w:left w:val="nil"/>
              <w:bottom w:val="nil"/>
              <w:right w:val="nil"/>
            </w:tcBorders>
            <w:shd w:val="clear" w:color="auto" w:fill="auto"/>
            <w:hideMark/>
          </w:tcPr>
          <w:p w14:paraId="17D26F93" w14:textId="36A81EB9"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To evaluate a GEDI model of service delivery for adults aged 70 years and older.</w:t>
            </w:r>
          </w:p>
        </w:tc>
        <w:tc>
          <w:tcPr>
            <w:tcW w:w="3031" w:type="dxa"/>
            <w:tcBorders>
              <w:top w:val="nil"/>
              <w:left w:val="nil"/>
              <w:bottom w:val="nil"/>
              <w:right w:val="nil"/>
            </w:tcBorders>
            <w:shd w:val="clear" w:color="auto" w:fill="auto"/>
            <w:hideMark/>
          </w:tcPr>
          <w:p w14:paraId="2E35A4B6" w14:textId="5AFCA113" w:rsidR="004B049F" w:rsidRPr="00374401"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374401">
              <w:rPr>
                <w:rFonts w:ascii="Calibri" w:eastAsia="Times New Roman" w:hAnsi="Calibri" w:cs="Calibri"/>
                <w:b/>
                <w:bCs/>
                <w:kern w:val="0"/>
                <w:sz w:val="16"/>
                <w:szCs w:val="16"/>
                <w:lang w:eastAsia="en-AU"/>
                <w14:ligatures w14:val="none"/>
              </w:rPr>
              <w:t>General assessment and multi-faceted care coordination to better address patient needs</w:t>
            </w:r>
          </w:p>
          <w:p w14:paraId="7F0F13F2" w14:textId="7FD6CBBA"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A</w:t>
            </w:r>
            <w:r w:rsidRPr="007F1A6A">
              <w:rPr>
                <w:rFonts w:ascii="Calibri" w:eastAsia="Times New Roman" w:hAnsi="Calibri" w:cs="Calibri"/>
                <w:color w:val="000000"/>
                <w:kern w:val="0"/>
                <w:sz w:val="16"/>
                <w:szCs w:val="16"/>
                <w:lang w:eastAsia="en-AU"/>
                <w14:ligatures w14:val="none"/>
              </w:rPr>
              <w:t xml:space="preserve"> nurse-led, physician-championed, ED intervention to improve the care of frail older adults in the ED. The nurses had gerontology experience and education and provided targeted geriatric assessment and streamlining of care</w:t>
            </w:r>
          </w:p>
        </w:tc>
        <w:tc>
          <w:tcPr>
            <w:tcW w:w="1128" w:type="dxa"/>
            <w:tcBorders>
              <w:top w:val="nil"/>
              <w:left w:val="nil"/>
              <w:bottom w:val="nil"/>
              <w:right w:val="nil"/>
            </w:tcBorders>
            <w:shd w:val="clear" w:color="auto" w:fill="auto"/>
            <w:hideMark/>
          </w:tcPr>
          <w:p w14:paraId="007D17F0"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w:t>
            </w:r>
          </w:p>
        </w:tc>
        <w:tc>
          <w:tcPr>
            <w:tcW w:w="1389" w:type="dxa"/>
            <w:tcBorders>
              <w:top w:val="nil"/>
              <w:left w:val="nil"/>
              <w:bottom w:val="nil"/>
              <w:right w:val="nil"/>
            </w:tcBorders>
            <w:shd w:val="clear" w:color="auto" w:fill="auto"/>
            <w:hideMark/>
          </w:tcPr>
          <w:p w14:paraId="5A0C10C0" w14:textId="0139D4D2"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25</w:t>
            </w:r>
            <w:r>
              <w:rPr>
                <w:rFonts w:ascii="Calibri" w:eastAsia="Times New Roman" w:hAnsi="Calibri" w:cs="Calibri"/>
                <w:color w:val="000000"/>
                <w:kern w:val="0"/>
                <w:sz w:val="16"/>
                <w:szCs w:val="16"/>
                <w:lang w:eastAsia="en-AU"/>
                <w14:ligatures w14:val="none"/>
              </w:rPr>
              <w:t>,</w:t>
            </w:r>
            <w:r w:rsidRPr="007F1A6A">
              <w:rPr>
                <w:rFonts w:ascii="Calibri" w:eastAsia="Times New Roman" w:hAnsi="Calibri" w:cs="Calibri"/>
                <w:color w:val="000000"/>
                <w:kern w:val="0"/>
                <w:sz w:val="16"/>
                <w:szCs w:val="16"/>
                <w:lang w:eastAsia="en-AU"/>
                <w14:ligatures w14:val="none"/>
              </w:rPr>
              <w:t>675</w:t>
            </w:r>
          </w:p>
        </w:tc>
        <w:tc>
          <w:tcPr>
            <w:tcW w:w="1119" w:type="dxa"/>
            <w:tcBorders>
              <w:top w:val="nil"/>
              <w:left w:val="nil"/>
              <w:bottom w:val="nil"/>
              <w:right w:val="nil"/>
            </w:tcBorders>
            <w:shd w:val="clear" w:color="auto" w:fill="auto"/>
            <w:hideMark/>
          </w:tcPr>
          <w:p w14:paraId="1BEB894B" w14:textId="3438510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19,308</w:t>
            </w:r>
          </w:p>
        </w:tc>
        <w:tc>
          <w:tcPr>
            <w:tcW w:w="1135" w:type="dxa"/>
            <w:tcBorders>
              <w:top w:val="nil"/>
              <w:left w:val="nil"/>
              <w:bottom w:val="nil"/>
              <w:right w:val="nil"/>
            </w:tcBorders>
            <w:shd w:val="clear" w:color="auto" w:fill="auto"/>
            <w:hideMark/>
          </w:tcPr>
          <w:p w14:paraId="35FEC4A2" w14:textId="77777777"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Pre-post</w:t>
            </w:r>
          </w:p>
        </w:tc>
        <w:tc>
          <w:tcPr>
            <w:tcW w:w="1128" w:type="dxa"/>
            <w:tcBorders>
              <w:top w:val="nil"/>
              <w:left w:val="nil"/>
              <w:bottom w:val="nil"/>
              <w:right w:val="nil"/>
            </w:tcBorders>
            <w:shd w:val="clear" w:color="auto" w:fill="auto"/>
            <w:hideMark/>
          </w:tcPr>
          <w:p w14:paraId="09CA5226" w14:textId="665D4316"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A07F99">
              <w:rPr>
                <w:rFonts w:ascii="Calibri" w:eastAsia="Times New Roman" w:hAnsi="Calibri" w:cs="Calibri"/>
                <w:kern w:val="0"/>
                <w:sz w:val="16"/>
                <w:szCs w:val="16"/>
                <w:lang w:eastAsia="en-AU"/>
                <w14:ligatures w14:val="none"/>
              </w:rPr>
              <w:t>System performance Patient outcomes</w:t>
            </w:r>
          </w:p>
        </w:tc>
      </w:tr>
      <w:tr w:rsidR="004B049F" w:rsidRPr="00E821F3" w14:paraId="5C5BD725" w14:textId="77777777" w:rsidTr="00143566">
        <w:trPr>
          <w:cantSplit/>
          <w:trHeight w:val="567"/>
        </w:trPr>
        <w:tc>
          <w:tcPr>
            <w:tcW w:w="1313" w:type="dxa"/>
            <w:tcBorders>
              <w:top w:val="nil"/>
              <w:left w:val="nil"/>
              <w:bottom w:val="nil"/>
              <w:right w:val="nil"/>
            </w:tcBorders>
            <w:shd w:val="clear" w:color="auto" w:fill="auto"/>
            <w:noWrap/>
            <w:hideMark/>
          </w:tcPr>
          <w:p w14:paraId="65ECA890" w14:textId="04AC7610"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4B049F">
              <w:rPr>
                <w:sz w:val="16"/>
                <w:szCs w:val="16"/>
              </w:rPr>
              <w:t>Warburton et al., 2005, Canada</w:t>
            </w:r>
          </w:p>
        </w:tc>
        <w:tc>
          <w:tcPr>
            <w:tcW w:w="1525" w:type="dxa"/>
            <w:tcBorders>
              <w:top w:val="nil"/>
              <w:left w:val="nil"/>
              <w:bottom w:val="nil"/>
              <w:right w:val="nil"/>
            </w:tcBorders>
          </w:tcPr>
          <w:p w14:paraId="30BC7F98" w14:textId="5CEF0A66"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Improve outcomes for patients aged 75 or more visiting the Emergency Department (ED)</w:t>
            </w:r>
          </w:p>
        </w:tc>
        <w:tc>
          <w:tcPr>
            <w:tcW w:w="2688" w:type="dxa"/>
            <w:tcBorders>
              <w:top w:val="nil"/>
              <w:left w:val="nil"/>
              <w:bottom w:val="nil"/>
              <w:right w:val="nil"/>
            </w:tcBorders>
            <w:shd w:val="clear" w:color="auto" w:fill="auto"/>
            <w:hideMark/>
          </w:tcPr>
          <w:p w14:paraId="2BDA0FA8" w14:textId="224AF598"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To assess outcomes of identifying older adults at risk of adverse outcomes of hospitalization, plan interventional care, and provide targeted preventative services.</w:t>
            </w:r>
          </w:p>
        </w:tc>
        <w:tc>
          <w:tcPr>
            <w:tcW w:w="3031" w:type="dxa"/>
            <w:tcBorders>
              <w:top w:val="nil"/>
              <w:left w:val="nil"/>
              <w:bottom w:val="nil"/>
              <w:right w:val="nil"/>
            </w:tcBorders>
            <w:shd w:val="clear" w:color="auto" w:fill="auto"/>
            <w:hideMark/>
          </w:tcPr>
          <w:p w14:paraId="08B0D5EB" w14:textId="030B57C4" w:rsidR="004B049F" w:rsidRPr="005833EB"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5833EB">
              <w:rPr>
                <w:rFonts w:ascii="Calibri" w:eastAsia="Times New Roman" w:hAnsi="Calibri" w:cs="Calibri"/>
                <w:b/>
                <w:bCs/>
                <w:kern w:val="0"/>
                <w:sz w:val="16"/>
                <w:szCs w:val="16"/>
                <w:lang w:eastAsia="en-AU"/>
                <w14:ligatures w14:val="none"/>
              </w:rPr>
              <w:t>General assessment and multi-faceted care coordination to better address patient needs</w:t>
            </w:r>
          </w:p>
          <w:p w14:paraId="6797760C" w14:textId="0427DF5E"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 xml:space="preserve">Screen for risk </w:t>
            </w:r>
            <w:r>
              <w:rPr>
                <w:rFonts w:ascii="Calibri" w:eastAsia="Times New Roman" w:hAnsi="Calibri" w:cs="Calibri"/>
                <w:color w:val="000000"/>
                <w:kern w:val="0"/>
                <w:sz w:val="16"/>
                <w:szCs w:val="16"/>
                <w:lang w:eastAsia="en-AU"/>
                <w14:ligatures w14:val="none"/>
              </w:rPr>
              <w:t xml:space="preserve">using </w:t>
            </w:r>
            <w:r w:rsidRPr="007F1A6A">
              <w:rPr>
                <w:rFonts w:ascii="Calibri" w:eastAsia="Times New Roman" w:hAnsi="Calibri" w:cs="Calibri"/>
                <w:color w:val="000000"/>
                <w:kern w:val="0"/>
                <w:sz w:val="16"/>
                <w:szCs w:val="16"/>
                <w:lang w:eastAsia="en-AU"/>
                <w14:ligatures w14:val="none"/>
              </w:rPr>
              <w:t>ISAR</w:t>
            </w:r>
            <w:r>
              <w:rPr>
                <w:rFonts w:ascii="Calibri" w:eastAsia="Times New Roman" w:hAnsi="Calibri" w:cs="Calibri"/>
                <w:color w:val="000000"/>
                <w:kern w:val="0"/>
                <w:sz w:val="16"/>
                <w:szCs w:val="16"/>
                <w:lang w:eastAsia="en-AU"/>
                <w14:ligatures w14:val="none"/>
              </w:rPr>
              <w:t xml:space="preserve"> tool</w:t>
            </w:r>
            <w:r w:rsidRPr="007F1A6A">
              <w:rPr>
                <w:rFonts w:ascii="Calibri" w:eastAsia="Times New Roman" w:hAnsi="Calibri" w:cs="Calibri"/>
                <w:color w:val="000000"/>
                <w:kern w:val="0"/>
                <w:sz w:val="16"/>
                <w:szCs w:val="16"/>
                <w:lang w:eastAsia="en-AU"/>
                <w14:ligatures w14:val="none"/>
              </w:rPr>
              <w:t>, interventional care planning</w:t>
            </w:r>
          </w:p>
        </w:tc>
        <w:tc>
          <w:tcPr>
            <w:tcW w:w="1128" w:type="dxa"/>
            <w:tcBorders>
              <w:top w:val="nil"/>
              <w:left w:val="nil"/>
              <w:bottom w:val="nil"/>
              <w:right w:val="nil"/>
            </w:tcBorders>
            <w:shd w:val="clear" w:color="auto" w:fill="auto"/>
            <w:hideMark/>
          </w:tcPr>
          <w:p w14:paraId="38989848"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w:t>
            </w:r>
          </w:p>
        </w:tc>
        <w:tc>
          <w:tcPr>
            <w:tcW w:w="1389" w:type="dxa"/>
            <w:tcBorders>
              <w:top w:val="nil"/>
              <w:left w:val="nil"/>
              <w:bottom w:val="nil"/>
              <w:right w:val="nil"/>
            </w:tcBorders>
            <w:shd w:val="clear" w:color="auto" w:fill="FFFFFF" w:themeFill="background1"/>
            <w:hideMark/>
          </w:tcPr>
          <w:p w14:paraId="5116C78A"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127, stratified into screened, no referrals (HP)n= 34; screened, received all services (HC) n = 38; screened, low risk (L) n = 55</w:t>
            </w:r>
          </w:p>
        </w:tc>
        <w:tc>
          <w:tcPr>
            <w:tcW w:w="1119" w:type="dxa"/>
            <w:tcBorders>
              <w:top w:val="nil"/>
              <w:left w:val="nil"/>
              <w:bottom w:val="nil"/>
              <w:right w:val="nil"/>
            </w:tcBorders>
            <w:shd w:val="clear" w:color="auto" w:fill="auto"/>
            <w:hideMark/>
          </w:tcPr>
          <w:p w14:paraId="71F1DA9D"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150</w:t>
            </w:r>
          </w:p>
        </w:tc>
        <w:tc>
          <w:tcPr>
            <w:tcW w:w="1135" w:type="dxa"/>
            <w:tcBorders>
              <w:top w:val="nil"/>
              <w:left w:val="nil"/>
              <w:bottom w:val="nil"/>
              <w:right w:val="nil"/>
            </w:tcBorders>
            <w:shd w:val="clear" w:color="auto" w:fill="auto"/>
            <w:hideMark/>
          </w:tcPr>
          <w:p w14:paraId="665C9EF0" w14:textId="5BA8444D"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Pr>
                <w:rFonts w:ascii="Calibri" w:eastAsia="Times New Roman" w:hAnsi="Calibri" w:cs="Calibri"/>
                <w:color w:val="000000"/>
                <w:kern w:val="0"/>
                <w:sz w:val="16"/>
                <w:szCs w:val="16"/>
                <w:lang w:eastAsia="en-AU"/>
                <w14:ligatures w14:val="none"/>
              </w:rPr>
              <w:t>Quasi-experimental</w:t>
            </w:r>
          </w:p>
        </w:tc>
        <w:tc>
          <w:tcPr>
            <w:tcW w:w="1128" w:type="dxa"/>
            <w:tcBorders>
              <w:top w:val="nil"/>
              <w:left w:val="nil"/>
              <w:bottom w:val="nil"/>
              <w:right w:val="nil"/>
            </w:tcBorders>
            <w:shd w:val="clear" w:color="auto" w:fill="auto"/>
            <w:hideMark/>
          </w:tcPr>
          <w:p w14:paraId="0A4A383B" w14:textId="1A6DEE6E"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A07F99">
              <w:rPr>
                <w:rFonts w:ascii="Calibri" w:eastAsia="Times New Roman" w:hAnsi="Calibri" w:cs="Calibri"/>
                <w:kern w:val="0"/>
                <w:sz w:val="16"/>
                <w:szCs w:val="16"/>
                <w:lang w:eastAsia="en-AU"/>
                <w14:ligatures w14:val="none"/>
              </w:rPr>
              <w:t>System performance Patient outcomes</w:t>
            </w:r>
          </w:p>
        </w:tc>
      </w:tr>
      <w:tr w:rsidR="004B049F" w:rsidRPr="00E821F3" w14:paraId="23D75B55" w14:textId="77777777" w:rsidTr="00143566">
        <w:trPr>
          <w:cantSplit/>
          <w:trHeight w:val="567"/>
        </w:trPr>
        <w:tc>
          <w:tcPr>
            <w:tcW w:w="1313" w:type="dxa"/>
            <w:tcBorders>
              <w:top w:val="nil"/>
              <w:left w:val="nil"/>
              <w:bottom w:val="nil"/>
              <w:right w:val="nil"/>
            </w:tcBorders>
            <w:shd w:val="clear" w:color="auto" w:fill="auto"/>
            <w:noWrap/>
            <w:hideMark/>
          </w:tcPr>
          <w:p w14:paraId="4A598A9F" w14:textId="380CA9D2"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4B049F">
              <w:rPr>
                <w:sz w:val="16"/>
                <w:szCs w:val="16"/>
              </w:rPr>
              <w:t>Wiles et al., 2018, USA</w:t>
            </w:r>
          </w:p>
        </w:tc>
        <w:tc>
          <w:tcPr>
            <w:tcW w:w="1525" w:type="dxa"/>
            <w:tcBorders>
              <w:top w:val="nil"/>
              <w:left w:val="nil"/>
              <w:bottom w:val="nil"/>
              <w:right w:val="nil"/>
            </w:tcBorders>
          </w:tcPr>
          <w:p w14:paraId="17E5A835" w14:textId="596EE124"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Trauma</w:t>
            </w:r>
          </w:p>
        </w:tc>
        <w:tc>
          <w:tcPr>
            <w:tcW w:w="2688" w:type="dxa"/>
            <w:tcBorders>
              <w:top w:val="nil"/>
              <w:left w:val="nil"/>
              <w:bottom w:val="nil"/>
              <w:right w:val="nil"/>
            </w:tcBorders>
            <w:shd w:val="clear" w:color="auto" w:fill="auto"/>
            <w:hideMark/>
          </w:tcPr>
          <w:p w14:paraId="597C8251" w14:textId="01B500A0"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To determine whether the institution of a third-tier trauma protocol results in a change in geriatric trauma patient outcomes, complications, and mortality rates</w:t>
            </w:r>
          </w:p>
        </w:tc>
        <w:tc>
          <w:tcPr>
            <w:tcW w:w="3031" w:type="dxa"/>
            <w:tcBorders>
              <w:top w:val="nil"/>
              <w:left w:val="nil"/>
              <w:bottom w:val="nil"/>
              <w:right w:val="nil"/>
            </w:tcBorders>
            <w:shd w:val="clear" w:color="auto" w:fill="auto"/>
            <w:hideMark/>
          </w:tcPr>
          <w:p w14:paraId="439055B5" w14:textId="77777777" w:rsidR="004B049F" w:rsidRPr="00F66ECF"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F66ECF">
              <w:rPr>
                <w:rFonts w:eastAsia="Times New Roman" w:cstheme="minorHAnsi"/>
                <w:b/>
                <w:bCs/>
                <w:color w:val="000000"/>
                <w:kern w:val="0"/>
                <w:sz w:val="16"/>
                <w:szCs w:val="16"/>
                <w:lang w:eastAsia="en-AU"/>
                <w14:ligatures w14:val="none"/>
              </w:rPr>
              <w:t>Geriatric trauma protocol</w:t>
            </w:r>
          </w:p>
          <w:p w14:paraId="18A038FE" w14:textId="6D16DBB2"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Delta alert to expand criteria for geriatric trauma patient</w:t>
            </w:r>
            <w:r>
              <w:rPr>
                <w:rFonts w:ascii="Calibri" w:eastAsia="Times New Roman" w:hAnsi="Calibri" w:cs="Calibri"/>
                <w:color w:val="000000"/>
                <w:kern w:val="0"/>
                <w:sz w:val="16"/>
                <w:szCs w:val="16"/>
                <w:lang w:eastAsia="en-AU"/>
                <w14:ligatures w14:val="none"/>
              </w:rPr>
              <w:t>s</w:t>
            </w:r>
          </w:p>
        </w:tc>
        <w:tc>
          <w:tcPr>
            <w:tcW w:w="1128" w:type="dxa"/>
            <w:tcBorders>
              <w:top w:val="nil"/>
              <w:left w:val="nil"/>
              <w:bottom w:val="nil"/>
              <w:right w:val="nil"/>
            </w:tcBorders>
            <w:shd w:val="clear" w:color="auto" w:fill="auto"/>
            <w:hideMark/>
          </w:tcPr>
          <w:p w14:paraId="55B71A66"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w:t>
            </w:r>
          </w:p>
        </w:tc>
        <w:tc>
          <w:tcPr>
            <w:tcW w:w="1389" w:type="dxa"/>
            <w:tcBorders>
              <w:top w:val="nil"/>
              <w:left w:val="nil"/>
              <w:bottom w:val="nil"/>
              <w:right w:val="nil"/>
            </w:tcBorders>
            <w:shd w:val="clear" w:color="auto" w:fill="auto"/>
            <w:hideMark/>
          </w:tcPr>
          <w:p w14:paraId="6C7CA8BF"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125</w:t>
            </w:r>
          </w:p>
        </w:tc>
        <w:tc>
          <w:tcPr>
            <w:tcW w:w="1119" w:type="dxa"/>
            <w:tcBorders>
              <w:top w:val="nil"/>
              <w:left w:val="nil"/>
              <w:bottom w:val="nil"/>
              <w:right w:val="nil"/>
            </w:tcBorders>
            <w:shd w:val="clear" w:color="auto" w:fill="auto"/>
            <w:hideMark/>
          </w:tcPr>
          <w:p w14:paraId="0562A499"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62</w:t>
            </w:r>
          </w:p>
        </w:tc>
        <w:tc>
          <w:tcPr>
            <w:tcW w:w="1135" w:type="dxa"/>
            <w:tcBorders>
              <w:top w:val="nil"/>
              <w:left w:val="nil"/>
              <w:bottom w:val="nil"/>
              <w:right w:val="nil"/>
            </w:tcBorders>
            <w:shd w:val="clear" w:color="auto" w:fill="auto"/>
            <w:hideMark/>
          </w:tcPr>
          <w:p w14:paraId="345122C7" w14:textId="77777777"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Pre-post</w:t>
            </w:r>
          </w:p>
        </w:tc>
        <w:tc>
          <w:tcPr>
            <w:tcW w:w="1128" w:type="dxa"/>
            <w:tcBorders>
              <w:top w:val="nil"/>
              <w:left w:val="nil"/>
              <w:bottom w:val="nil"/>
              <w:right w:val="nil"/>
            </w:tcBorders>
            <w:shd w:val="clear" w:color="auto" w:fill="auto"/>
            <w:hideMark/>
          </w:tcPr>
          <w:p w14:paraId="27AFF1AE" w14:textId="16B22CE3"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A07F99">
              <w:rPr>
                <w:rFonts w:ascii="Calibri" w:eastAsia="Times New Roman" w:hAnsi="Calibri" w:cs="Calibri"/>
                <w:kern w:val="0"/>
                <w:sz w:val="16"/>
                <w:szCs w:val="16"/>
                <w:lang w:eastAsia="en-AU"/>
                <w14:ligatures w14:val="none"/>
              </w:rPr>
              <w:t>System performance Patient outcomes</w:t>
            </w:r>
          </w:p>
        </w:tc>
      </w:tr>
      <w:tr w:rsidR="004B049F" w:rsidRPr="00E821F3" w14:paraId="5BAF7076" w14:textId="77777777" w:rsidTr="00143566">
        <w:trPr>
          <w:cantSplit/>
          <w:trHeight w:val="567"/>
        </w:trPr>
        <w:tc>
          <w:tcPr>
            <w:tcW w:w="1313" w:type="dxa"/>
            <w:tcBorders>
              <w:top w:val="nil"/>
              <w:left w:val="nil"/>
              <w:bottom w:val="single" w:sz="4" w:space="0" w:color="auto"/>
              <w:right w:val="nil"/>
            </w:tcBorders>
            <w:shd w:val="clear" w:color="auto" w:fill="auto"/>
            <w:noWrap/>
            <w:hideMark/>
          </w:tcPr>
          <w:p w14:paraId="043CE227" w14:textId="7DD13864" w:rsidR="004B049F" w:rsidRPr="004B049F"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4B049F">
              <w:rPr>
                <w:sz w:val="16"/>
                <w:szCs w:val="16"/>
              </w:rPr>
              <w:t>Wright et al., 2014, UK</w:t>
            </w:r>
          </w:p>
        </w:tc>
        <w:tc>
          <w:tcPr>
            <w:tcW w:w="1525" w:type="dxa"/>
            <w:tcBorders>
              <w:top w:val="nil"/>
              <w:left w:val="nil"/>
              <w:bottom w:val="single" w:sz="4" w:space="0" w:color="auto"/>
              <w:right w:val="nil"/>
            </w:tcBorders>
          </w:tcPr>
          <w:p w14:paraId="5D24694A" w14:textId="77777777"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p>
        </w:tc>
        <w:tc>
          <w:tcPr>
            <w:tcW w:w="2688" w:type="dxa"/>
            <w:tcBorders>
              <w:top w:val="nil"/>
              <w:left w:val="nil"/>
              <w:bottom w:val="single" w:sz="4" w:space="0" w:color="auto"/>
              <w:right w:val="nil"/>
            </w:tcBorders>
            <w:shd w:val="clear" w:color="auto" w:fill="auto"/>
            <w:hideMark/>
          </w:tcPr>
          <w:p w14:paraId="17CF29BC" w14:textId="2133D94F"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To measure the effect of TREAT on LOS and the rate of same-day discharges</w:t>
            </w:r>
          </w:p>
        </w:tc>
        <w:tc>
          <w:tcPr>
            <w:tcW w:w="3031" w:type="dxa"/>
            <w:tcBorders>
              <w:top w:val="nil"/>
              <w:left w:val="nil"/>
              <w:bottom w:val="single" w:sz="4" w:space="0" w:color="auto"/>
              <w:right w:val="nil"/>
            </w:tcBorders>
            <w:shd w:val="clear" w:color="auto" w:fill="auto"/>
            <w:hideMark/>
          </w:tcPr>
          <w:p w14:paraId="38B5EB24" w14:textId="77777777" w:rsidR="004B049F" w:rsidRPr="00F66ECF" w:rsidRDefault="004B049F" w:rsidP="004B049F">
            <w:pPr>
              <w:spacing w:after="0" w:line="240" w:lineRule="auto"/>
              <w:rPr>
                <w:rFonts w:ascii="Calibri" w:eastAsia="Times New Roman" w:hAnsi="Calibri" w:cs="Calibri"/>
                <w:b/>
                <w:bCs/>
                <w:color w:val="000000"/>
                <w:kern w:val="0"/>
                <w:sz w:val="16"/>
                <w:szCs w:val="16"/>
                <w:lang w:eastAsia="en-AU"/>
                <w14:ligatures w14:val="none"/>
              </w:rPr>
            </w:pPr>
            <w:r w:rsidRPr="00F66ECF">
              <w:rPr>
                <w:rFonts w:eastAsia="Times New Roman" w:cstheme="minorHAnsi"/>
                <w:b/>
                <w:bCs/>
                <w:color w:val="000000"/>
                <w:kern w:val="0"/>
                <w:sz w:val="16"/>
                <w:szCs w:val="16"/>
                <w:lang w:eastAsia="en-AU"/>
                <w14:ligatures w14:val="none"/>
              </w:rPr>
              <w:t>Geriatric trauma protocol</w:t>
            </w:r>
          </w:p>
          <w:p w14:paraId="0180D077" w14:textId="3E6228B6"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 xml:space="preserve">TREAT </w:t>
            </w:r>
            <w:r>
              <w:rPr>
                <w:rFonts w:ascii="Calibri" w:eastAsia="Times New Roman" w:hAnsi="Calibri" w:cs="Calibri"/>
                <w:color w:val="000000"/>
                <w:kern w:val="0"/>
                <w:sz w:val="16"/>
                <w:szCs w:val="16"/>
                <w:lang w:eastAsia="en-AU"/>
                <w14:ligatures w14:val="none"/>
              </w:rPr>
              <w:t>–</w:t>
            </w:r>
            <w:r w:rsidRPr="007F1A6A">
              <w:rPr>
                <w:rFonts w:ascii="Calibri" w:eastAsia="Times New Roman" w:hAnsi="Calibri" w:cs="Calibri"/>
                <w:color w:val="000000"/>
                <w:kern w:val="0"/>
                <w:sz w:val="16"/>
                <w:szCs w:val="16"/>
                <w:lang w:eastAsia="en-AU"/>
                <w14:ligatures w14:val="none"/>
              </w:rPr>
              <w:t xml:space="preserve"> combining early Accident and Emergency-based senior doctor review, CGA, therapist assessment and supported discharge; post-discharge supported recovery; and a rapid access geriatric ‘hot-clinic’. TREAT was supported by a post-acute care enablement team, providing short-term nursing support immediately following discharge.</w:t>
            </w:r>
          </w:p>
        </w:tc>
        <w:tc>
          <w:tcPr>
            <w:tcW w:w="1128" w:type="dxa"/>
            <w:tcBorders>
              <w:top w:val="nil"/>
              <w:left w:val="nil"/>
              <w:bottom w:val="single" w:sz="4" w:space="0" w:color="auto"/>
              <w:right w:val="nil"/>
            </w:tcBorders>
            <w:shd w:val="clear" w:color="auto" w:fill="auto"/>
            <w:hideMark/>
          </w:tcPr>
          <w:p w14:paraId="45CA1D6D" w14:textId="77777777"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1</w:t>
            </w:r>
          </w:p>
        </w:tc>
        <w:tc>
          <w:tcPr>
            <w:tcW w:w="1389" w:type="dxa"/>
            <w:tcBorders>
              <w:top w:val="nil"/>
              <w:left w:val="nil"/>
              <w:bottom w:val="single" w:sz="4" w:space="0" w:color="auto"/>
              <w:right w:val="nil"/>
            </w:tcBorders>
            <w:shd w:val="clear" w:color="auto" w:fill="auto"/>
            <w:hideMark/>
          </w:tcPr>
          <w:p w14:paraId="75D7C147" w14:textId="622A4ABA"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3</w:t>
            </w:r>
            <w:r>
              <w:rPr>
                <w:rFonts w:ascii="Calibri" w:eastAsia="Times New Roman" w:hAnsi="Calibri" w:cs="Calibri"/>
                <w:color w:val="000000"/>
                <w:kern w:val="0"/>
                <w:sz w:val="16"/>
                <w:szCs w:val="16"/>
                <w:lang w:eastAsia="en-AU"/>
                <w14:ligatures w14:val="none"/>
              </w:rPr>
              <w:t>,</w:t>
            </w:r>
            <w:r w:rsidRPr="007F1A6A">
              <w:rPr>
                <w:rFonts w:ascii="Calibri" w:eastAsia="Times New Roman" w:hAnsi="Calibri" w:cs="Calibri"/>
                <w:color w:val="000000"/>
                <w:kern w:val="0"/>
                <w:sz w:val="16"/>
                <w:szCs w:val="16"/>
                <w:lang w:eastAsia="en-AU"/>
                <w14:ligatures w14:val="none"/>
              </w:rPr>
              <w:t>322</w:t>
            </w:r>
          </w:p>
        </w:tc>
        <w:tc>
          <w:tcPr>
            <w:tcW w:w="1119" w:type="dxa"/>
            <w:tcBorders>
              <w:top w:val="nil"/>
              <w:left w:val="nil"/>
              <w:bottom w:val="single" w:sz="4" w:space="0" w:color="auto"/>
              <w:right w:val="nil"/>
            </w:tcBorders>
            <w:shd w:val="clear" w:color="auto" w:fill="auto"/>
            <w:hideMark/>
          </w:tcPr>
          <w:p w14:paraId="711EAE8F" w14:textId="0B81ACDF" w:rsidR="004B049F" w:rsidRPr="007F1A6A" w:rsidRDefault="004B049F" w:rsidP="004B049F">
            <w:pPr>
              <w:spacing w:after="0" w:line="240" w:lineRule="auto"/>
              <w:jc w:val="right"/>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3</w:t>
            </w:r>
            <w:r>
              <w:rPr>
                <w:rFonts w:ascii="Calibri" w:eastAsia="Times New Roman" w:hAnsi="Calibri" w:cs="Calibri"/>
                <w:color w:val="000000"/>
                <w:kern w:val="0"/>
                <w:sz w:val="16"/>
                <w:szCs w:val="16"/>
                <w:lang w:eastAsia="en-AU"/>
                <w14:ligatures w14:val="none"/>
              </w:rPr>
              <w:t>,</w:t>
            </w:r>
            <w:r w:rsidRPr="007F1A6A">
              <w:rPr>
                <w:rFonts w:ascii="Calibri" w:eastAsia="Times New Roman" w:hAnsi="Calibri" w:cs="Calibri"/>
                <w:color w:val="000000"/>
                <w:kern w:val="0"/>
                <w:sz w:val="16"/>
                <w:szCs w:val="16"/>
                <w:lang w:eastAsia="en-AU"/>
                <w14:ligatures w14:val="none"/>
              </w:rPr>
              <w:t>084</w:t>
            </w:r>
          </w:p>
        </w:tc>
        <w:tc>
          <w:tcPr>
            <w:tcW w:w="1135" w:type="dxa"/>
            <w:tcBorders>
              <w:top w:val="nil"/>
              <w:left w:val="nil"/>
              <w:bottom w:val="single" w:sz="4" w:space="0" w:color="auto"/>
              <w:right w:val="nil"/>
            </w:tcBorders>
            <w:shd w:val="clear" w:color="auto" w:fill="auto"/>
            <w:hideMark/>
          </w:tcPr>
          <w:p w14:paraId="411BA833" w14:textId="77777777"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7F1A6A">
              <w:rPr>
                <w:rFonts w:ascii="Calibri" w:eastAsia="Times New Roman" w:hAnsi="Calibri" w:cs="Calibri"/>
                <w:color w:val="000000"/>
                <w:kern w:val="0"/>
                <w:sz w:val="16"/>
                <w:szCs w:val="16"/>
                <w:lang w:eastAsia="en-AU"/>
                <w14:ligatures w14:val="none"/>
              </w:rPr>
              <w:t>Pre-post</w:t>
            </w:r>
          </w:p>
        </w:tc>
        <w:tc>
          <w:tcPr>
            <w:tcW w:w="1128" w:type="dxa"/>
            <w:tcBorders>
              <w:top w:val="nil"/>
              <w:left w:val="nil"/>
              <w:bottom w:val="single" w:sz="4" w:space="0" w:color="auto"/>
              <w:right w:val="nil"/>
            </w:tcBorders>
            <w:shd w:val="clear" w:color="auto" w:fill="auto"/>
            <w:hideMark/>
          </w:tcPr>
          <w:p w14:paraId="5D1076EE" w14:textId="0BA43D71" w:rsidR="004B049F" w:rsidRPr="007F1A6A" w:rsidRDefault="004B049F" w:rsidP="004B049F">
            <w:pPr>
              <w:spacing w:after="0" w:line="240" w:lineRule="auto"/>
              <w:rPr>
                <w:rFonts w:ascii="Calibri" w:eastAsia="Times New Roman" w:hAnsi="Calibri" w:cs="Calibri"/>
                <w:color w:val="000000"/>
                <w:kern w:val="0"/>
                <w:sz w:val="16"/>
                <w:szCs w:val="16"/>
                <w:lang w:eastAsia="en-AU"/>
                <w14:ligatures w14:val="none"/>
              </w:rPr>
            </w:pPr>
            <w:r w:rsidRPr="00A07F99">
              <w:rPr>
                <w:rFonts w:ascii="Calibri" w:eastAsia="Times New Roman" w:hAnsi="Calibri" w:cs="Calibri"/>
                <w:kern w:val="0"/>
                <w:sz w:val="16"/>
                <w:szCs w:val="16"/>
                <w:lang w:eastAsia="en-AU"/>
                <w14:ligatures w14:val="none"/>
              </w:rPr>
              <w:t>System performance Patient outcomes</w:t>
            </w:r>
          </w:p>
        </w:tc>
      </w:tr>
    </w:tbl>
    <w:p w14:paraId="693DEE98" w14:textId="194591BB" w:rsidR="00C709F6" w:rsidRPr="00C709F6" w:rsidRDefault="00C709F6" w:rsidP="00C709F6">
      <w:pPr>
        <w:spacing w:before="240"/>
        <w:rPr>
          <w:sz w:val="16"/>
          <w:szCs w:val="16"/>
        </w:rPr>
      </w:pPr>
      <w:r w:rsidRPr="00C709F6">
        <w:rPr>
          <w:sz w:val="16"/>
          <w:szCs w:val="16"/>
        </w:rPr>
        <w:t xml:space="preserve">APOP: acutely presenting older patient. APRN: Advanced Practice Registered Nurses. CFS: Clinical Frailty Scale. COPE: comprehensive older person’s evaluation. CGA: comprehensive geriatric assessment. ED: Emergency Department. EMR: electronic medical record. </w:t>
      </w:r>
      <w:proofErr w:type="spellStart"/>
      <w:r w:rsidRPr="00C709F6">
        <w:rPr>
          <w:sz w:val="16"/>
          <w:szCs w:val="16"/>
        </w:rPr>
        <w:t>EQUiPPED</w:t>
      </w:r>
      <w:proofErr w:type="spellEnd"/>
      <w:r w:rsidRPr="00C709F6">
        <w:rPr>
          <w:sz w:val="16"/>
          <w:szCs w:val="16"/>
        </w:rPr>
        <w:t>: Enhancing Quality of Provider Practices for Older Adults in the Emergency Department. ER2: Emergency Room Evaluation and Recommendations. GEDI: Geriatric Emergency Department Intervention. GEDI WISE: Geriatric Emergency Department Innovations in Workforce, Informatics, and Structural Enhancements. GEMA: Geriatric Emergency Medicine Assessment. GERI-VET: Geriatric Emergency Room Innovations for Veterans. ISAR: Identification of Seniors at Risk. LOS: length of stay. PIM: potentially inappropriate medication. PT: physical therapy. T3: Expedited Emergency Medicine Physician evaluation protocol. TREAT: Triage and Rapid Elderly Assessment Team.</w:t>
      </w:r>
    </w:p>
    <w:sectPr w:rsidR="00C709F6" w:rsidRPr="00C709F6" w:rsidSect="007F1A6A">
      <w:foot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3B647" w14:textId="77777777" w:rsidR="00BC4CAC" w:rsidRDefault="00BC4CAC" w:rsidP="00467952">
      <w:pPr>
        <w:spacing w:after="0" w:line="240" w:lineRule="auto"/>
      </w:pPr>
      <w:r>
        <w:separator/>
      </w:r>
    </w:p>
  </w:endnote>
  <w:endnote w:type="continuationSeparator" w:id="0">
    <w:p w14:paraId="58516B9B" w14:textId="77777777" w:rsidR="00BC4CAC" w:rsidRDefault="00BC4CAC" w:rsidP="004679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7961043"/>
      <w:docPartObj>
        <w:docPartGallery w:val="Page Numbers (Bottom of Page)"/>
        <w:docPartUnique/>
      </w:docPartObj>
    </w:sdtPr>
    <w:sdtEndPr>
      <w:rPr>
        <w:noProof/>
      </w:rPr>
    </w:sdtEndPr>
    <w:sdtContent>
      <w:p w14:paraId="25121DE9" w14:textId="2F110CC8" w:rsidR="00467952" w:rsidRDefault="00467952">
        <w:pPr>
          <w:pStyle w:val="Footer"/>
        </w:pPr>
        <w:r>
          <w:fldChar w:fldCharType="begin"/>
        </w:r>
        <w:r>
          <w:instrText xml:space="preserve"> PAGE   \* MERGEFORMAT </w:instrText>
        </w:r>
        <w:r>
          <w:fldChar w:fldCharType="separate"/>
        </w:r>
        <w:r>
          <w:rPr>
            <w:noProof/>
          </w:rPr>
          <w:t>2</w:t>
        </w:r>
        <w:r>
          <w:rPr>
            <w:noProof/>
          </w:rPr>
          <w:fldChar w:fldCharType="end"/>
        </w:r>
      </w:p>
    </w:sdtContent>
  </w:sdt>
  <w:p w14:paraId="72D6D556" w14:textId="77777777" w:rsidR="00467952" w:rsidRDefault="004679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6EA8A" w14:textId="77777777" w:rsidR="00BC4CAC" w:rsidRDefault="00BC4CAC" w:rsidP="00467952">
      <w:pPr>
        <w:spacing w:after="0" w:line="240" w:lineRule="auto"/>
      </w:pPr>
      <w:r>
        <w:separator/>
      </w:r>
    </w:p>
  </w:footnote>
  <w:footnote w:type="continuationSeparator" w:id="0">
    <w:p w14:paraId="6B790F7A" w14:textId="77777777" w:rsidR="00BC4CAC" w:rsidRDefault="00BC4CAC" w:rsidP="0046795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A6A"/>
    <w:rsid w:val="00003C54"/>
    <w:rsid w:val="0000676F"/>
    <w:rsid w:val="00025BFC"/>
    <w:rsid w:val="000307AC"/>
    <w:rsid w:val="00031355"/>
    <w:rsid w:val="00056DF0"/>
    <w:rsid w:val="00057BCB"/>
    <w:rsid w:val="00061EEC"/>
    <w:rsid w:val="000A58F0"/>
    <w:rsid w:val="000C58AC"/>
    <w:rsid w:val="000C6335"/>
    <w:rsid w:val="000D2E4B"/>
    <w:rsid w:val="000E1362"/>
    <w:rsid w:val="000E7A80"/>
    <w:rsid w:val="000F0690"/>
    <w:rsid w:val="000F192D"/>
    <w:rsid w:val="001040A5"/>
    <w:rsid w:val="00121CE8"/>
    <w:rsid w:val="001221CE"/>
    <w:rsid w:val="001260BC"/>
    <w:rsid w:val="00126352"/>
    <w:rsid w:val="00126863"/>
    <w:rsid w:val="00131431"/>
    <w:rsid w:val="00134F8A"/>
    <w:rsid w:val="00140CF0"/>
    <w:rsid w:val="00143566"/>
    <w:rsid w:val="00144590"/>
    <w:rsid w:val="001524ED"/>
    <w:rsid w:val="001670F6"/>
    <w:rsid w:val="00171C14"/>
    <w:rsid w:val="00181C12"/>
    <w:rsid w:val="0019102B"/>
    <w:rsid w:val="00195CE7"/>
    <w:rsid w:val="001A7C0D"/>
    <w:rsid w:val="001B404C"/>
    <w:rsid w:val="001C19F4"/>
    <w:rsid w:val="001C1A40"/>
    <w:rsid w:val="001D4BC5"/>
    <w:rsid w:val="001E33E1"/>
    <w:rsid w:val="001F1D26"/>
    <w:rsid w:val="002014C5"/>
    <w:rsid w:val="00202269"/>
    <w:rsid w:val="00227E6B"/>
    <w:rsid w:val="00231E9F"/>
    <w:rsid w:val="002373F6"/>
    <w:rsid w:val="002526F9"/>
    <w:rsid w:val="002556F8"/>
    <w:rsid w:val="00260D46"/>
    <w:rsid w:val="00262025"/>
    <w:rsid w:val="00267360"/>
    <w:rsid w:val="0027179A"/>
    <w:rsid w:val="002743A3"/>
    <w:rsid w:val="0027441F"/>
    <w:rsid w:val="00276954"/>
    <w:rsid w:val="0029681C"/>
    <w:rsid w:val="002A026E"/>
    <w:rsid w:val="002A0FC3"/>
    <w:rsid w:val="002A5BB8"/>
    <w:rsid w:val="002B4F8C"/>
    <w:rsid w:val="002B5180"/>
    <w:rsid w:val="002C644C"/>
    <w:rsid w:val="002C7BCF"/>
    <w:rsid w:val="002C7C5F"/>
    <w:rsid w:val="002D35CF"/>
    <w:rsid w:val="002E526B"/>
    <w:rsid w:val="002E6115"/>
    <w:rsid w:val="00305674"/>
    <w:rsid w:val="003101C4"/>
    <w:rsid w:val="003131E1"/>
    <w:rsid w:val="00320C9F"/>
    <w:rsid w:val="00320EAB"/>
    <w:rsid w:val="00326704"/>
    <w:rsid w:val="00326E19"/>
    <w:rsid w:val="0034616C"/>
    <w:rsid w:val="00371918"/>
    <w:rsid w:val="00374401"/>
    <w:rsid w:val="003A1F2D"/>
    <w:rsid w:val="003A37EB"/>
    <w:rsid w:val="003A6715"/>
    <w:rsid w:val="003B674A"/>
    <w:rsid w:val="003D2929"/>
    <w:rsid w:val="0040180A"/>
    <w:rsid w:val="00413209"/>
    <w:rsid w:val="00413AFF"/>
    <w:rsid w:val="00424B56"/>
    <w:rsid w:val="00446D6D"/>
    <w:rsid w:val="00447B15"/>
    <w:rsid w:val="00452C03"/>
    <w:rsid w:val="00453ECA"/>
    <w:rsid w:val="00456CE5"/>
    <w:rsid w:val="0045793D"/>
    <w:rsid w:val="00467952"/>
    <w:rsid w:val="004717B1"/>
    <w:rsid w:val="00472432"/>
    <w:rsid w:val="0048014B"/>
    <w:rsid w:val="00483B5C"/>
    <w:rsid w:val="00486514"/>
    <w:rsid w:val="00486ED5"/>
    <w:rsid w:val="004934C7"/>
    <w:rsid w:val="004A2D58"/>
    <w:rsid w:val="004B049F"/>
    <w:rsid w:val="004B71B1"/>
    <w:rsid w:val="004C1677"/>
    <w:rsid w:val="004D35B0"/>
    <w:rsid w:val="004E6065"/>
    <w:rsid w:val="00511D28"/>
    <w:rsid w:val="00512225"/>
    <w:rsid w:val="00514279"/>
    <w:rsid w:val="00527C30"/>
    <w:rsid w:val="00533421"/>
    <w:rsid w:val="00535C9E"/>
    <w:rsid w:val="00535E9F"/>
    <w:rsid w:val="0054206B"/>
    <w:rsid w:val="0056796F"/>
    <w:rsid w:val="005833EB"/>
    <w:rsid w:val="005840C7"/>
    <w:rsid w:val="005869EF"/>
    <w:rsid w:val="00596FF1"/>
    <w:rsid w:val="005D1C32"/>
    <w:rsid w:val="005D42B2"/>
    <w:rsid w:val="005D73D2"/>
    <w:rsid w:val="005E7F40"/>
    <w:rsid w:val="005F531A"/>
    <w:rsid w:val="00603602"/>
    <w:rsid w:val="00611A6E"/>
    <w:rsid w:val="00623293"/>
    <w:rsid w:val="00633746"/>
    <w:rsid w:val="00634F2B"/>
    <w:rsid w:val="00642F9E"/>
    <w:rsid w:val="0064507D"/>
    <w:rsid w:val="00652362"/>
    <w:rsid w:val="0065362B"/>
    <w:rsid w:val="00661927"/>
    <w:rsid w:val="00661C15"/>
    <w:rsid w:val="00670113"/>
    <w:rsid w:val="00671102"/>
    <w:rsid w:val="00676ECC"/>
    <w:rsid w:val="006918AB"/>
    <w:rsid w:val="00696309"/>
    <w:rsid w:val="00696B91"/>
    <w:rsid w:val="006B3BF6"/>
    <w:rsid w:val="006D3B7D"/>
    <w:rsid w:val="006D6016"/>
    <w:rsid w:val="006D6B52"/>
    <w:rsid w:val="006F6FF8"/>
    <w:rsid w:val="00700ABA"/>
    <w:rsid w:val="007047A4"/>
    <w:rsid w:val="00714A5A"/>
    <w:rsid w:val="007317EF"/>
    <w:rsid w:val="00732294"/>
    <w:rsid w:val="0076223D"/>
    <w:rsid w:val="00763170"/>
    <w:rsid w:val="0077447E"/>
    <w:rsid w:val="00774805"/>
    <w:rsid w:val="00784B97"/>
    <w:rsid w:val="007913F9"/>
    <w:rsid w:val="00793CB5"/>
    <w:rsid w:val="007A7B8B"/>
    <w:rsid w:val="007B1C6F"/>
    <w:rsid w:val="007B4871"/>
    <w:rsid w:val="007C38DE"/>
    <w:rsid w:val="007D2D23"/>
    <w:rsid w:val="007D4C8B"/>
    <w:rsid w:val="007D51DE"/>
    <w:rsid w:val="007D56B1"/>
    <w:rsid w:val="007E0FC7"/>
    <w:rsid w:val="007F1A6A"/>
    <w:rsid w:val="008038A8"/>
    <w:rsid w:val="00821050"/>
    <w:rsid w:val="008352CA"/>
    <w:rsid w:val="0085140C"/>
    <w:rsid w:val="00857052"/>
    <w:rsid w:val="00872F0E"/>
    <w:rsid w:val="008907DA"/>
    <w:rsid w:val="00893809"/>
    <w:rsid w:val="008A0BF6"/>
    <w:rsid w:val="008A389A"/>
    <w:rsid w:val="008C2BF0"/>
    <w:rsid w:val="008D5404"/>
    <w:rsid w:val="008D6AF6"/>
    <w:rsid w:val="008D6FA9"/>
    <w:rsid w:val="008E1C0F"/>
    <w:rsid w:val="008F2FFA"/>
    <w:rsid w:val="008F4768"/>
    <w:rsid w:val="00902378"/>
    <w:rsid w:val="00906361"/>
    <w:rsid w:val="0091175A"/>
    <w:rsid w:val="00912F0A"/>
    <w:rsid w:val="00924B64"/>
    <w:rsid w:val="00932F90"/>
    <w:rsid w:val="00954296"/>
    <w:rsid w:val="0096677B"/>
    <w:rsid w:val="00971B49"/>
    <w:rsid w:val="0097322F"/>
    <w:rsid w:val="009856D2"/>
    <w:rsid w:val="00985E3F"/>
    <w:rsid w:val="009904E9"/>
    <w:rsid w:val="00992222"/>
    <w:rsid w:val="009A59C7"/>
    <w:rsid w:val="009B4896"/>
    <w:rsid w:val="009C6A48"/>
    <w:rsid w:val="009E2292"/>
    <w:rsid w:val="009F4633"/>
    <w:rsid w:val="009F7977"/>
    <w:rsid w:val="00A01C17"/>
    <w:rsid w:val="00A027B8"/>
    <w:rsid w:val="00A048F3"/>
    <w:rsid w:val="00A07F99"/>
    <w:rsid w:val="00A159AD"/>
    <w:rsid w:val="00A222FC"/>
    <w:rsid w:val="00A44C86"/>
    <w:rsid w:val="00A47995"/>
    <w:rsid w:val="00A5427D"/>
    <w:rsid w:val="00A631A0"/>
    <w:rsid w:val="00A64D57"/>
    <w:rsid w:val="00A72A54"/>
    <w:rsid w:val="00A7397B"/>
    <w:rsid w:val="00A96D1A"/>
    <w:rsid w:val="00AA0838"/>
    <w:rsid w:val="00AB73A5"/>
    <w:rsid w:val="00AC1A96"/>
    <w:rsid w:val="00AC271B"/>
    <w:rsid w:val="00AC29D8"/>
    <w:rsid w:val="00AD1C7E"/>
    <w:rsid w:val="00AE3054"/>
    <w:rsid w:val="00AE42A8"/>
    <w:rsid w:val="00AF09F4"/>
    <w:rsid w:val="00AF20A2"/>
    <w:rsid w:val="00B056C4"/>
    <w:rsid w:val="00B10E23"/>
    <w:rsid w:val="00B25A46"/>
    <w:rsid w:val="00B25DD4"/>
    <w:rsid w:val="00B26A89"/>
    <w:rsid w:val="00B32D67"/>
    <w:rsid w:val="00B432B7"/>
    <w:rsid w:val="00B44346"/>
    <w:rsid w:val="00B54030"/>
    <w:rsid w:val="00B568BF"/>
    <w:rsid w:val="00B70EBD"/>
    <w:rsid w:val="00B74FC6"/>
    <w:rsid w:val="00B75DF5"/>
    <w:rsid w:val="00B8553F"/>
    <w:rsid w:val="00BC4CAC"/>
    <w:rsid w:val="00BC5FB9"/>
    <w:rsid w:val="00BD26B6"/>
    <w:rsid w:val="00BE4A41"/>
    <w:rsid w:val="00BE4CC1"/>
    <w:rsid w:val="00BF0286"/>
    <w:rsid w:val="00BF3662"/>
    <w:rsid w:val="00BF4A0F"/>
    <w:rsid w:val="00BF642F"/>
    <w:rsid w:val="00C11EDA"/>
    <w:rsid w:val="00C13CEE"/>
    <w:rsid w:val="00C31819"/>
    <w:rsid w:val="00C3353C"/>
    <w:rsid w:val="00C34BE3"/>
    <w:rsid w:val="00C436F6"/>
    <w:rsid w:val="00C46C74"/>
    <w:rsid w:val="00C709F6"/>
    <w:rsid w:val="00C715AB"/>
    <w:rsid w:val="00C720C8"/>
    <w:rsid w:val="00C72E48"/>
    <w:rsid w:val="00C80A9A"/>
    <w:rsid w:val="00C8111F"/>
    <w:rsid w:val="00C81371"/>
    <w:rsid w:val="00C903A8"/>
    <w:rsid w:val="00C92D39"/>
    <w:rsid w:val="00C93085"/>
    <w:rsid w:val="00C94F4C"/>
    <w:rsid w:val="00CA2595"/>
    <w:rsid w:val="00CB0C33"/>
    <w:rsid w:val="00CB61A6"/>
    <w:rsid w:val="00CC1FE2"/>
    <w:rsid w:val="00CE0706"/>
    <w:rsid w:val="00CE492C"/>
    <w:rsid w:val="00D02474"/>
    <w:rsid w:val="00D12D96"/>
    <w:rsid w:val="00D228C7"/>
    <w:rsid w:val="00D277FD"/>
    <w:rsid w:val="00D36720"/>
    <w:rsid w:val="00D36914"/>
    <w:rsid w:val="00D37BF9"/>
    <w:rsid w:val="00D403D6"/>
    <w:rsid w:val="00D45153"/>
    <w:rsid w:val="00D5415D"/>
    <w:rsid w:val="00D62F0E"/>
    <w:rsid w:val="00D648A3"/>
    <w:rsid w:val="00D64EEB"/>
    <w:rsid w:val="00D65145"/>
    <w:rsid w:val="00D719BE"/>
    <w:rsid w:val="00D80358"/>
    <w:rsid w:val="00D82EA4"/>
    <w:rsid w:val="00D94E4C"/>
    <w:rsid w:val="00DA0D07"/>
    <w:rsid w:val="00DC0218"/>
    <w:rsid w:val="00DC302A"/>
    <w:rsid w:val="00DC74CD"/>
    <w:rsid w:val="00DD06E0"/>
    <w:rsid w:val="00DD2C75"/>
    <w:rsid w:val="00DD6FE6"/>
    <w:rsid w:val="00E00EE9"/>
    <w:rsid w:val="00E016E1"/>
    <w:rsid w:val="00E12E55"/>
    <w:rsid w:val="00E1564A"/>
    <w:rsid w:val="00E276DE"/>
    <w:rsid w:val="00E43B0A"/>
    <w:rsid w:val="00E45D6B"/>
    <w:rsid w:val="00E46BD0"/>
    <w:rsid w:val="00E6100A"/>
    <w:rsid w:val="00E652F2"/>
    <w:rsid w:val="00E66CBB"/>
    <w:rsid w:val="00E77BBA"/>
    <w:rsid w:val="00E821F3"/>
    <w:rsid w:val="00E873E1"/>
    <w:rsid w:val="00E90C8D"/>
    <w:rsid w:val="00E92F39"/>
    <w:rsid w:val="00EA2F87"/>
    <w:rsid w:val="00EA3A76"/>
    <w:rsid w:val="00EB031B"/>
    <w:rsid w:val="00EB7AB8"/>
    <w:rsid w:val="00EC25BE"/>
    <w:rsid w:val="00EC4269"/>
    <w:rsid w:val="00EC55AA"/>
    <w:rsid w:val="00ED6CF4"/>
    <w:rsid w:val="00F052FD"/>
    <w:rsid w:val="00F1140F"/>
    <w:rsid w:val="00F115D0"/>
    <w:rsid w:val="00F30B47"/>
    <w:rsid w:val="00F372D8"/>
    <w:rsid w:val="00F44B0C"/>
    <w:rsid w:val="00F46F76"/>
    <w:rsid w:val="00F66ECF"/>
    <w:rsid w:val="00F75984"/>
    <w:rsid w:val="00FB07C4"/>
    <w:rsid w:val="00FB360D"/>
    <w:rsid w:val="00FB69DD"/>
    <w:rsid w:val="00FD0104"/>
    <w:rsid w:val="00FD0623"/>
    <w:rsid w:val="00FF13A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CA301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F1A6A"/>
    <w:rPr>
      <w:color w:val="0563C1"/>
      <w:u w:val="single"/>
    </w:rPr>
  </w:style>
  <w:style w:type="character" w:styleId="FollowedHyperlink">
    <w:name w:val="FollowedHyperlink"/>
    <w:basedOn w:val="DefaultParagraphFont"/>
    <w:uiPriority w:val="99"/>
    <w:semiHidden/>
    <w:unhideWhenUsed/>
    <w:rsid w:val="007F1A6A"/>
    <w:rPr>
      <w:color w:val="954F72"/>
      <w:u w:val="single"/>
    </w:rPr>
  </w:style>
  <w:style w:type="paragraph" w:customStyle="1" w:styleId="msonormal0">
    <w:name w:val="msonormal"/>
    <w:basedOn w:val="Normal"/>
    <w:rsid w:val="007F1A6A"/>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customStyle="1" w:styleId="xl65">
    <w:name w:val="xl65"/>
    <w:basedOn w:val="Normal"/>
    <w:rsid w:val="007F1A6A"/>
    <w:pPr>
      <w:spacing w:before="100" w:beforeAutospacing="1" w:after="100" w:afterAutospacing="1" w:line="240" w:lineRule="auto"/>
      <w:textAlignment w:val="top"/>
    </w:pPr>
    <w:rPr>
      <w:rFonts w:ascii="Times New Roman" w:eastAsia="Times New Roman" w:hAnsi="Times New Roman" w:cs="Times New Roman"/>
      <w:kern w:val="0"/>
      <w:sz w:val="24"/>
      <w:szCs w:val="24"/>
      <w:lang w:eastAsia="en-AU"/>
      <w14:ligatures w14:val="none"/>
    </w:rPr>
  </w:style>
  <w:style w:type="paragraph" w:customStyle="1" w:styleId="xl66">
    <w:name w:val="xl66"/>
    <w:basedOn w:val="Normal"/>
    <w:rsid w:val="007F1A6A"/>
    <w:pPr>
      <w:spacing w:before="100" w:beforeAutospacing="1" w:after="100" w:afterAutospacing="1" w:line="240" w:lineRule="auto"/>
      <w:textAlignment w:val="top"/>
    </w:pPr>
    <w:rPr>
      <w:rFonts w:ascii="Times New Roman" w:eastAsia="Times New Roman" w:hAnsi="Times New Roman" w:cs="Times New Roman"/>
      <w:kern w:val="0"/>
      <w:sz w:val="24"/>
      <w:szCs w:val="24"/>
      <w:lang w:eastAsia="en-AU"/>
      <w14:ligatures w14:val="none"/>
    </w:rPr>
  </w:style>
  <w:style w:type="paragraph" w:customStyle="1" w:styleId="xl67">
    <w:name w:val="xl67"/>
    <w:basedOn w:val="Normal"/>
    <w:rsid w:val="007F1A6A"/>
    <w:pPr>
      <w:spacing w:before="100" w:beforeAutospacing="1" w:after="100" w:afterAutospacing="1" w:line="240" w:lineRule="auto"/>
      <w:textAlignment w:val="top"/>
    </w:pPr>
    <w:rPr>
      <w:rFonts w:ascii="Times New Roman" w:eastAsia="Times New Roman" w:hAnsi="Times New Roman" w:cs="Times New Roman"/>
      <w:kern w:val="0"/>
      <w:sz w:val="24"/>
      <w:szCs w:val="24"/>
      <w:lang w:eastAsia="en-AU"/>
      <w14:ligatures w14:val="none"/>
    </w:rPr>
  </w:style>
  <w:style w:type="paragraph" w:customStyle="1" w:styleId="xl68">
    <w:name w:val="xl68"/>
    <w:basedOn w:val="Normal"/>
    <w:rsid w:val="007F1A6A"/>
    <w:pP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AU"/>
      <w14:ligatures w14:val="none"/>
    </w:rPr>
  </w:style>
  <w:style w:type="paragraph" w:customStyle="1" w:styleId="xl69">
    <w:name w:val="xl69"/>
    <w:basedOn w:val="Normal"/>
    <w:rsid w:val="007F1A6A"/>
    <w:pP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AU"/>
      <w14:ligatures w14:val="none"/>
    </w:rPr>
  </w:style>
  <w:style w:type="paragraph" w:customStyle="1" w:styleId="xl70">
    <w:name w:val="xl70"/>
    <w:basedOn w:val="Normal"/>
    <w:rsid w:val="007F1A6A"/>
    <w:pPr>
      <w:spacing w:before="100" w:beforeAutospacing="1" w:after="100" w:afterAutospacing="1" w:line="240" w:lineRule="auto"/>
      <w:textAlignment w:val="top"/>
    </w:pPr>
    <w:rPr>
      <w:rFonts w:ascii="Times New Roman" w:eastAsia="Times New Roman" w:hAnsi="Times New Roman" w:cs="Times New Roman"/>
      <w:kern w:val="0"/>
      <w:sz w:val="24"/>
      <w:szCs w:val="24"/>
      <w:lang w:eastAsia="en-AU"/>
      <w14:ligatures w14:val="none"/>
    </w:rPr>
  </w:style>
  <w:style w:type="paragraph" w:customStyle="1" w:styleId="xl71">
    <w:name w:val="xl71"/>
    <w:basedOn w:val="Normal"/>
    <w:rsid w:val="007F1A6A"/>
    <w:pPr>
      <w:spacing w:before="100" w:beforeAutospacing="1" w:after="100" w:afterAutospacing="1" w:line="240" w:lineRule="auto"/>
      <w:textAlignment w:val="top"/>
    </w:pPr>
    <w:rPr>
      <w:rFonts w:ascii="Times New Roman" w:eastAsia="Times New Roman" w:hAnsi="Times New Roman" w:cs="Times New Roman"/>
      <w:kern w:val="0"/>
      <w:sz w:val="24"/>
      <w:szCs w:val="24"/>
      <w:lang w:eastAsia="en-AU"/>
      <w14:ligatures w14:val="none"/>
    </w:rPr>
  </w:style>
  <w:style w:type="paragraph" w:customStyle="1" w:styleId="xl72">
    <w:name w:val="xl72"/>
    <w:basedOn w:val="Normal"/>
    <w:rsid w:val="007F1A6A"/>
    <w:pPr>
      <w:spacing w:before="100" w:beforeAutospacing="1" w:after="100" w:afterAutospacing="1" w:line="240" w:lineRule="auto"/>
      <w:textAlignment w:val="top"/>
    </w:pPr>
    <w:rPr>
      <w:rFonts w:ascii="Times New Roman" w:eastAsia="Times New Roman" w:hAnsi="Times New Roman" w:cs="Times New Roman"/>
      <w:kern w:val="0"/>
      <w:sz w:val="24"/>
      <w:szCs w:val="24"/>
      <w:lang w:eastAsia="en-AU"/>
      <w14:ligatures w14:val="none"/>
    </w:rPr>
  </w:style>
  <w:style w:type="paragraph" w:customStyle="1" w:styleId="xl73">
    <w:name w:val="xl73"/>
    <w:basedOn w:val="Normal"/>
    <w:rsid w:val="007F1A6A"/>
    <w:pPr>
      <w:shd w:val="clear" w:color="000000" w:fill="FF0000"/>
      <w:spacing w:before="100" w:beforeAutospacing="1" w:after="100" w:afterAutospacing="1" w:line="240" w:lineRule="auto"/>
      <w:textAlignment w:val="top"/>
    </w:pPr>
    <w:rPr>
      <w:rFonts w:ascii="Times New Roman" w:eastAsia="Times New Roman" w:hAnsi="Times New Roman" w:cs="Times New Roman"/>
      <w:color w:val="FFFFFF"/>
      <w:kern w:val="0"/>
      <w:sz w:val="24"/>
      <w:szCs w:val="24"/>
      <w:lang w:eastAsia="en-AU"/>
      <w14:ligatures w14:val="none"/>
    </w:rPr>
  </w:style>
  <w:style w:type="paragraph" w:customStyle="1" w:styleId="xl74">
    <w:name w:val="xl74"/>
    <w:basedOn w:val="Normal"/>
    <w:rsid w:val="007F1A6A"/>
    <w:pPr>
      <w:shd w:val="clear" w:color="000000" w:fill="FF0000"/>
      <w:spacing w:before="100" w:beforeAutospacing="1" w:after="100" w:afterAutospacing="1" w:line="240" w:lineRule="auto"/>
      <w:textAlignment w:val="top"/>
    </w:pPr>
    <w:rPr>
      <w:rFonts w:ascii="Times New Roman" w:eastAsia="Times New Roman" w:hAnsi="Times New Roman" w:cs="Times New Roman"/>
      <w:color w:val="FFFFFF"/>
      <w:kern w:val="0"/>
      <w:sz w:val="24"/>
      <w:szCs w:val="24"/>
      <w:lang w:eastAsia="en-AU"/>
      <w14:ligatures w14:val="none"/>
    </w:rPr>
  </w:style>
  <w:style w:type="paragraph" w:customStyle="1" w:styleId="xl75">
    <w:name w:val="xl75"/>
    <w:basedOn w:val="Normal"/>
    <w:rsid w:val="007F1A6A"/>
    <w:pP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AU"/>
      <w14:ligatures w14:val="none"/>
    </w:rPr>
  </w:style>
  <w:style w:type="paragraph" w:customStyle="1" w:styleId="xl76">
    <w:name w:val="xl76"/>
    <w:basedOn w:val="Normal"/>
    <w:rsid w:val="007F1A6A"/>
    <w:pP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AU"/>
      <w14:ligatures w14:val="none"/>
    </w:rPr>
  </w:style>
  <w:style w:type="paragraph" w:customStyle="1" w:styleId="xl77">
    <w:name w:val="xl77"/>
    <w:basedOn w:val="Normal"/>
    <w:rsid w:val="007F1A6A"/>
    <w:pPr>
      <w:shd w:val="clear" w:color="000000" w:fill="FF0000"/>
      <w:spacing w:before="100" w:beforeAutospacing="1" w:after="100" w:afterAutospacing="1" w:line="240" w:lineRule="auto"/>
      <w:textAlignment w:val="top"/>
    </w:pPr>
    <w:rPr>
      <w:rFonts w:ascii="Times New Roman" w:eastAsia="Times New Roman" w:hAnsi="Times New Roman" w:cs="Times New Roman"/>
      <w:color w:val="FFFFFF"/>
      <w:kern w:val="0"/>
      <w:sz w:val="24"/>
      <w:szCs w:val="24"/>
      <w:lang w:eastAsia="en-AU"/>
      <w14:ligatures w14:val="none"/>
    </w:rPr>
  </w:style>
  <w:style w:type="paragraph" w:customStyle="1" w:styleId="xl78">
    <w:name w:val="xl78"/>
    <w:basedOn w:val="Normal"/>
    <w:rsid w:val="007F1A6A"/>
    <w:pPr>
      <w:shd w:val="clear" w:color="000000" w:fill="FF0000"/>
      <w:spacing w:before="100" w:beforeAutospacing="1" w:after="100" w:afterAutospacing="1" w:line="240" w:lineRule="auto"/>
      <w:textAlignment w:val="top"/>
    </w:pPr>
    <w:rPr>
      <w:rFonts w:ascii="Times New Roman" w:eastAsia="Times New Roman" w:hAnsi="Times New Roman" w:cs="Times New Roman"/>
      <w:color w:val="FFFFFF"/>
      <w:kern w:val="0"/>
      <w:sz w:val="24"/>
      <w:szCs w:val="24"/>
      <w:lang w:eastAsia="en-AU"/>
      <w14:ligatures w14:val="none"/>
    </w:rPr>
  </w:style>
  <w:style w:type="paragraph" w:customStyle="1" w:styleId="xl79">
    <w:name w:val="xl79"/>
    <w:basedOn w:val="Normal"/>
    <w:rsid w:val="007F1A6A"/>
    <w:pPr>
      <w:shd w:val="clear" w:color="FFFFFF"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AU"/>
      <w14:ligatures w14:val="none"/>
    </w:rPr>
  </w:style>
  <w:style w:type="paragraph" w:customStyle="1" w:styleId="xl80">
    <w:name w:val="xl80"/>
    <w:basedOn w:val="Normal"/>
    <w:rsid w:val="007F1A6A"/>
    <w:pPr>
      <w:shd w:val="clear" w:color="FFFFFF"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AU"/>
      <w14:ligatures w14:val="none"/>
    </w:rPr>
  </w:style>
  <w:style w:type="paragraph" w:customStyle="1" w:styleId="xl81">
    <w:name w:val="xl81"/>
    <w:basedOn w:val="Normal"/>
    <w:rsid w:val="007F1A6A"/>
    <w:pPr>
      <w:shd w:val="clear" w:color="FFFFFF" w:fill="FF0000"/>
      <w:spacing w:before="100" w:beforeAutospacing="1" w:after="100" w:afterAutospacing="1" w:line="240" w:lineRule="auto"/>
      <w:textAlignment w:val="top"/>
    </w:pPr>
    <w:rPr>
      <w:rFonts w:ascii="Times New Roman" w:eastAsia="Times New Roman" w:hAnsi="Times New Roman" w:cs="Times New Roman"/>
      <w:color w:val="FFFFFF"/>
      <w:kern w:val="0"/>
      <w:sz w:val="24"/>
      <w:szCs w:val="24"/>
      <w:lang w:eastAsia="en-AU"/>
      <w14:ligatures w14:val="none"/>
    </w:rPr>
  </w:style>
  <w:style w:type="paragraph" w:customStyle="1" w:styleId="xl82">
    <w:name w:val="xl82"/>
    <w:basedOn w:val="Normal"/>
    <w:rsid w:val="007F1A6A"/>
    <w:pPr>
      <w:shd w:val="clear" w:color="FFFFFF" w:fill="FF0000"/>
      <w:spacing w:before="100" w:beforeAutospacing="1" w:after="100" w:afterAutospacing="1" w:line="240" w:lineRule="auto"/>
      <w:textAlignment w:val="top"/>
    </w:pPr>
    <w:rPr>
      <w:rFonts w:ascii="Times New Roman" w:eastAsia="Times New Roman" w:hAnsi="Times New Roman" w:cs="Times New Roman"/>
      <w:color w:val="FFFFFF"/>
      <w:kern w:val="0"/>
      <w:sz w:val="24"/>
      <w:szCs w:val="24"/>
      <w:lang w:eastAsia="en-AU"/>
      <w14:ligatures w14:val="none"/>
    </w:rPr>
  </w:style>
  <w:style w:type="paragraph" w:customStyle="1" w:styleId="xl83">
    <w:name w:val="xl83"/>
    <w:basedOn w:val="Normal"/>
    <w:rsid w:val="007F1A6A"/>
    <w:pPr>
      <w:shd w:val="clear" w:color="000000" w:fill="FFF2CC"/>
      <w:spacing w:before="100" w:beforeAutospacing="1" w:after="100" w:afterAutospacing="1" w:line="240" w:lineRule="auto"/>
      <w:textAlignment w:val="top"/>
    </w:pPr>
    <w:rPr>
      <w:rFonts w:ascii="Times New Roman" w:eastAsia="Times New Roman" w:hAnsi="Times New Roman" w:cs="Times New Roman"/>
      <w:kern w:val="0"/>
      <w:sz w:val="24"/>
      <w:szCs w:val="24"/>
      <w:lang w:eastAsia="en-AU"/>
      <w14:ligatures w14:val="none"/>
    </w:rPr>
  </w:style>
  <w:style w:type="paragraph" w:customStyle="1" w:styleId="xl84">
    <w:name w:val="xl84"/>
    <w:basedOn w:val="Normal"/>
    <w:rsid w:val="007F1A6A"/>
    <w:pPr>
      <w:shd w:val="clear" w:color="000000" w:fill="FFF2CC"/>
      <w:spacing w:before="100" w:beforeAutospacing="1" w:after="100" w:afterAutospacing="1" w:line="240" w:lineRule="auto"/>
      <w:textAlignment w:val="top"/>
    </w:pPr>
    <w:rPr>
      <w:rFonts w:ascii="Times New Roman" w:eastAsia="Times New Roman" w:hAnsi="Times New Roman" w:cs="Times New Roman"/>
      <w:kern w:val="0"/>
      <w:sz w:val="24"/>
      <w:szCs w:val="24"/>
      <w:lang w:eastAsia="en-AU"/>
      <w14:ligatures w14:val="none"/>
    </w:rPr>
  </w:style>
  <w:style w:type="paragraph" w:customStyle="1" w:styleId="xl85">
    <w:name w:val="xl85"/>
    <w:basedOn w:val="Normal"/>
    <w:rsid w:val="007F1A6A"/>
    <w:pP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AU"/>
      <w14:ligatures w14:val="none"/>
    </w:rPr>
  </w:style>
  <w:style w:type="paragraph" w:customStyle="1" w:styleId="xl86">
    <w:name w:val="xl86"/>
    <w:basedOn w:val="Normal"/>
    <w:rsid w:val="007F1A6A"/>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en-AU"/>
      <w14:ligatures w14:val="none"/>
    </w:rPr>
  </w:style>
  <w:style w:type="paragraph" w:customStyle="1" w:styleId="xl87">
    <w:name w:val="xl87"/>
    <w:basedOn w:val="Normal"/>
    <w:rsid w:val="007F1A6A"/>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en-AU"/>
      <w14:ligatures w14:val="none"/>
    </w:rPr>
  </w:style>
  <w:style w:type="paragraph" w:customStyle="1" w:styleId="xl88">
    <w:name w:val="xl88"/>
    <w:basedOn w:val="Normal"/>
    <w:rsid w:val="007F1A6A"/>
    <w:pPr>
      <w:shd w:val="clear" w:color="000000" w:fill="FFFFFF"/>
      <w:spacing w:before="100" w:beforeAutospacing="1" w:after="100" w:afterAutospacing="1" w:line="240" w:lineRule="auto"/>
      <w:jc w:val="right"/>
      <w:textAlignment w:val="top"/>
    </w:pPr>
    <w:rPr>
      <w:rFonts w:ascii="Times New Roman" w:eastAsia="Times New Roman" w:hAnsi="Times New Roman" w:cs="Times New Roman"/>
      <w:kern w:val="0"/>
      <w:sz w:val="24"/>
      <w:szCs w:val="24"/>
      <w:lang w:eastAsia="en-AU"/>
      <w14:ligatures w14:val="none"/>
    </w:rPr>
  </w:style>
  <w:style w:type="paragraph" w:customStyle="1" w:styleId="xl89">
    <w:name w:val="xl89"/>
    <w:basedOn w:val="Normal"/>
    <w:rsid w:val="007F1A6A"/>
    <w:pPr>
      <w:spacing w:before="100" w:beforeAutospacing="1" w:after="100" w:afterAutospacing="1" w:line="240" w:lineRule="auto"/>
      <w:jc w:val="right"/>
      <w:textAlignment w:val="top"/>
    </w:pPr>
    <w:rPr>
      <w:rFonts w:ascii="Times New Roman" w:eastAsia="Times New Roman" w:hAnsi="Times New Roman" w:cs="Times New Roman"/>
      <w:kern w:val="0"/>
      <w:sz w:val="24"/>
      <w:szCs w:val="24"/>
      <w:lang w:eastAsia="en-AU"/>
      <w14:ligatures w14:val="none"/>
    </w:rPr>
  </w:style>
  <w:style w:type="paragraph" w:customStyle="1" w:styleId="xl90">
    <w:name w:val="xl90"/>
    <w:basedOn w:val="Normal"/>
    <w:rsid w:val="007F1A6A"/>
    <w:pPr>
      <w:shd w:val="clear" w:color="000000" w:fill="FFFFFF"/>
      <w:spacing w:before="100" w:beforeAutospacing="1" w:after="100" w:afterAutospacing="1" w:line="240" w:lineRule="auto"/>
      <w:jc w:val="right"/>
      <w:textAlignment w:val="top"/>
    </w:pPr>
    <w:rPr>
      <w:rFonts w:ascii="Times New Roman" w:eastAsia="Times New Roman" w:hAnsi="Times New Roman" w:cs="Times New Roman"/>
      <w:kern w:val="0"/>
      <w:sz w:val="24"/>
      <w:szCs w:val="24"/>
      <w:lang w:eastAsia="en-AU"/>
      <w14:ligatures w14:val="none"/>
    </w:rPr>
  </w:style>
  <w:style w:type="paragraph" w:customStyle="1" w:styleId="xl91">
    <w:name w:val="xl91"/>
    <w:basedOn w:val="Normal"/>
    <w:rsid w:val="007F1A6A"/>
    <w:pPr>
      <w:shd w:val="clear" w:color="000000" w:fill="FF0000"/>
      <w:spacing w:before="100" w:beforeAutospacing="1" w:after="100" w:afterAutospacing="1" w:line="240" w:lineRule="auto"/>
      <w:jc w:val="right"/>
      <w:textAlignment w:val="top"/>
    </w:pPr>
    <w:rPr>
      <w:rFonts w:ascii="Times New Roman" w:eastAsia="Times New Roman" w:hAnsi="Times New Roman" w:cs="Times New Roman"/>
      <w:color w:val="FFFFFF"/>
      <w:kern w:val="0"/>
      <w:sz w:val="24"/>
      <w:szCs w:val="24"/>
      <w:lang w:eastAsia="en-AU"/>
      <w14:ligatures w14:val="none"/>
    </w:rPr>
  </w:style>
  <w:style w:type="paragraph" w:customStyle="1" w:styleId="xl92">
    <w:name w:val="xl92"/>
    <w:basedOn w:val="Normal"/>
    <w:rsid w:val="007F1A6A"/>
    <w:pPr>
      <w:shd w:val="clear" w:color="000000" w:fill="FF0000"/>
      <w:spacing w:before="100" w:beforeAutospacing="1" w:after="100" w:afterAutospacing="1" w:line="240" w:lineRule="auto"/>
      <w:jc w:val="right"/>
      <w:textAlignment w:val="top"/>
    </w:pPr>
    <w:rPr>
      <w:rFonts w:ascii="Times New Roman" w:eastAsia="Times New Roman" w:hAnsi="Times New Roman" w:cs="Times New Roman"/>
      <w:color w:val="FFFFFF"/>
      <w:kern w:val="0"/>
      <w:sz w:val="24"/>
      <w:szCs w:val="24"/>
      <w:lang w:eastAsia="en-AU"/>
      <w14:ligatures w14:val="none"/>
    </w:rPr>
  </w:style>
  <w:style w:type="paragraph" w:customStyle="1" w:styleId="xl93">
    <w:name w:val="xl93"/>
    <w:basedOn w:val="Normal"/>
    <w:rsid w:val="007F1A6A"/>
    <w:pPr>
      <w:shd w:val="clear" w:color="000000" w:fill="FFFFFF"/>
      <w:spacing w:before="100" w:beforeAutospacing="1" w:after="100" w:afterAutospacing="1" w:line="240" w:lineRule="auto"/>
      <w:jc w:val="right"/>
      <w:textAlignment w:val="top"/>
    </w:pPr>
    <w:rPr>
      <w:rFonts w:ascii="Times New Roman" w:eastAsia="Times New Roman" w:hAnsi="Times New Roman" w:cs="Times New Roman"/>
      <w:kern w:val="0"/>
      <w:sz w:val="24"/>
      <w:szCs w:val="24"/>
      <w:lang w:eastAsia="en-AU"/>
      <w14:ligatures w14:val="none"/>
    </w:rPr>
  </w:style>
  <w:style w:type="paragraph" w:customStyle="1" w:styleId="xl94">
    <w:name w:val="xl94"/>
    <w:basedOn w:val="Normal"/>
    <w:rsid w:val="007F1A6A"/>
    <w:pPr>
      <w:spacing w:before="100" w:beforeAutospacing="1" w:after="100" w:afterAutospacing="1" w:line="240" w:lineRule="auto"/>
      <w:jc w:val="right"/>
      <w:textAlignment w:val="top"/>
    </w:pPr>
    <w:rPr>
      <w:rFonts w:ascii="Times New Roman" w:eastAsia="Times New Roman" w:hAnsi="Times New Roman" w:cs="Times New Roman"/>
      <w:kern w:val="0"/>
      <w:sz w:val="24"/>
      <w:szCs w:val="24"/>
      <w:lang w:eastAsia="en-AU"/>
      <w14:ligatures w14:val="none"/>
    </w:rPr>
  </w:style>
  <w:style w:type="paragraph" w:customStyle="1" w:styleId="xl95">
    <w:name w:val="xl95"/>
    <w:basedOn w:val="Normal"/>
    <w:rsid w:val="007F1A6A"/>
    <w:pPr>
      <w:shd w:val="clear" w:color="000000" w:fill="FFF2CC"/>
      <w:spacing w:before="100" w:beforeAutospacing="1" w:after="100" w:afterAutospacing="1" w:line="240" w:lineRule="auto"/>
      <w:jc w:val="right"/>
      <w:textAlignment w:val="top"/>
    </w:pPr>
    <w:rPr>
      <w:rFonts w:ascii="Times New Roman" w:eastAsia="Times New Roman" w:hAnsi="Times New Roman" w:cs="Times New Roman"/>
      <w:kern w:val="0"/>
      <w:sz w:val="24"/>
      <w:szCs w:val="24"/>
      <w:lang w:eastAsia="en-AU"/>
      <w14:ligatures w14:val="none"/>
    </w:rPr>
  </w:style>
  <w:style w:type="paragraph" w:customStyle="1" w:styleId="xl96">
    <w:name w:val="xl96"/>
    <w:basedOn w:val="Normal"/>
    <w:rsid w:val="007F1A6A"/>
    <w:pPr>
      <w:shd w:val="clear" w:color="FFFFFF" w:fill="FFFFFF"/>
      <w:spacing w:before="100" w:beforeAutospacing="1" w:after="100" w:afterAutospacing="1" w:line="240" w:lineRule="auto"/>
      <w:jc w:val="right"/>
      <w:textAlignment w:val="top"/>
    </w:pPr>
    <w:rPr>
      <w:rFonts w:ascii="Times New Roman" w:eastAsia="Times New Roman" w:hAnsi="Times New Roman" w:cs="Times New Roman"/>
      <w:kern w:val="0"/>
      <w:sz w:val="24"/>
      <w:szCs w:val="24"/>
      <w:lang w:eastAsia="en-AU"/>
      <w14:ligatures w14:val="none"/>
    </w:rPr>
  </w:style>
  <w:style w:type="paragraph" w:customStyle="1" w:styleId="xl97">
    <w:name w:val="xl97"/>
    <w:basedOn w:val="Normal"/>
    <w:rsid w:val="007F1A6A"/>
    <w:pPr>
      <w:shd w:val="clear" w:color="FFFFFF" w:fill="FF0000"/>
      <w:spacing w:before="100" w:beforeAutospacing="1" w:after="100" w:afterAutospacing="1" w:line="240" w:lineRule="auto"/>
      <w:jc w:val="right"/>
      <w:textAlignment w:val="top"/>
    </w:pPr>
    <w:rPr>
      <w:rFonts w:ascii="Times New Roman" w:eastAsia="Times New Roman" w:hAnsi="Times New Roman" w:cs="Times New Roman"/>
      <w:color w:val="FFFFFF"/>
      <w:kern w:val="0"/>
      <w:sz w:val="24"/>
      <w:szCs w:val="24"/>
      <w:lang w:eastAsia="en-AU"/>
      <w14:ligatures w14:val="none"/>
    </w:rPr>
  </w:style>
  <w:style w:type="paragraph" w:customStyle="1" w:styleId="xl98">
    <w:name w:val="xl98"/>
    <w:basedOn w:val="Normal"/>
    <w:rsid w:val="007F1A6A"/>
    <w:pPr>
      <w:spacing w:before="100" w:beforeAutospacing="1" w:after="100" w:afterAutospacing="1" w:line="240" w:lineRule="auto"/>
      <w:jc w:val="right"/>
      <w:textAlignment w:val="top"/>
    </w:pPr>
    <w:rPr>
      <w:rFonts w:ascii="Times New Roman" w:eastAsia="Times New Roman" w:hAnsi="Times New Roman" w:cs="Times New Roman"/>
      <w:kern w:val="0"/>
      <w:sz w:val="24"/>
      <w:szCs w:val="24"/>
      <w:lang w:eastAsia="en-AU"/>
      <w14:ligatures w14:val="none"/>
    </w:rPr>
  </w:style>
  <w:style w:type="paragraph" w:customStyle="1" w:styleId="xl99">
    <w:name w:val="xl99"/>
    <w:basedOn w:val="Normal"/>
    <w:rsid w:val="007F1A6A"/>
    <w:pPr>
      <w:shd w:val="clear" w:color="000000" w:fill="7030A0"/>
      <w:spacing w:before="100" w:beforeAutospacing="1" w:after="100" w:afterAutospacing="1" w:line="240" w:lineRule="auto"/>
      <w:jc w:val="right"/>
      <w:textAlignment w:val="top"/>
    </w:pPr>
    <w:rPr>
      <w:rFonts w:ascii="Times New Roman" w:eastAsia="Times New Roman" w:hAnsi="Times New Roman" w:cs="Times New Roman"/>
      <w:kern w:val="0"/>
      <w:sz w:val="24"/>
      <w:szCs w:val="24"/>
      <w:lang w:eastAsia="en-AU"/>
      <w14:ligatures w14:val="none"/>
    </w:rPr>
  </w:style>
  <w:style w:type="paragraph" w:customStyle="1" w:styleId="xl100">
    <w:name w:val="xl100"/>
    <w:basedOn w:val="Normal"/>
    <w:rsid w:val="007F1A6A"/>
    <w:pPr>
      <w:shd w:val="clear" w:color="000000" w:fill="FFFFFF"/>
      <w:spacing w:before="100" w:beforeAutospacing="1" w:after="100" w:afterAutospacing="1" w:line="240" w:lineRule="auto"/>
      <w:jc w:val="right"/>
      <w:textAlignment w:val="top"/>
    </w:pPr>
    <w:rPr>
      <w:rFonts w:ascii="Times New Roman" w:eastAsia="Times New Roman" w:hAnsi="Times New Roman" w:cs="Times New Roman"/>
      <w:kern w:val="0"/>
      <w:sz w:val="24"/>
      <w:szCs w:val="24"/>
      <w:lang w:eastAsia="en-AU"/>
      <w14:ligatures w14:val="none"/>
    </w:rPr>
  </w:style>
  <w:style w:type="paragraph" w:customStyle="1" w:styleId="xl101">
    <w:name w:val="xl101"/>
    <w:basedOn w:val="Normal"/>
    <w:rsid w:val="007F1A6A"/>
    <w:pPr>
      <w:shd w:val="clear" w:color="FFFFFF" w:fill="FF0000"/>
      <w:spacing w:before="100" w:beforeAutospacing="1" w:after="100" w:afterAutospacing="1" w:line="240" w:lineRule="auto"/>
      <w:jc w:val="right"/>
      <w:textAlignment w:val="top"/>
    </w:pPr>
    <w:rPr>
      <w:rFonts w:ascii="Times New Roman" w:eastAsia="Times New Roman" w:hAnsi="Times New Roman" w:cs="Times New Roman"/>
      <w:color w:val="FFFFFF"/>
      <w:kern w:val="0"/>
      <w:sz w:val="24"/>
      <w:szCs w:val="24"/>
      <w:lang w:eastAsia="en-AU"/>
      <w14:ligatures w14:val="none"/>
    </w:rPr>
  </w:style>
  <w:style w:type="paragraph" w:styleId="Header">
    <w:name w:val="header"/>
    <w:basedOn w:val="Normal"/>
    <w:link w:val="HeaderChar"/>
    <w:uiPriority w:val="99"/>
    <w:unhideWhenUsed/>
    <w:rsid w:val="004679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7952"/>
  </w:style>
  <w:style w:type="paragraph" w:styleId="Footer">
    <w:name w:val="footer"/>
    <w:basedOn w:val="Normal"/>
    <w:link w:val="FooterChar"/>
    <w:uiPriority w:val="99"/>
    <w:unhideWhenUsed/>
    <w:rsid w:val="004679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7952"/>
  </w:style>
  <w:style w:type="paragraph" w:styleId="Caption">
    <w:name w:val="caption"/>
    <w:basedOn w:val="Normal"/>
    <w:next w:val="Normal"/>
    <w:uiPriority w:val="35"/>
    <w:unhideWhenUsed/>
    <w:qFormat/>
    <w:rsid w:val="00670113"/>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E016E1"/>
    <w:rPr>
      <w:sz w:val="16"/>
      <w:szCs w:val="16"/>
    </w:rPr>
  </w:style>
  <w:style w:type="paragraph" w:styleId="CommentText">
    <w:name w:val="annotation text"/>
    <w:basedOn w:val="Normal"/>
    <w:link w:val="CommentTextChar"/>
    <w:uiPriority w:val="99"/>
    <w:unhideWhenUsed/>
    <w:rsid w:val="00E016E1"/>
    <w:pPr>
      <w:spacing w:line="240" w:lineRule="auto"/>
    </w:pPr>
    <w:rPr>
      <w:sz w:val="20"/>
      <w:szCs w:val="20"/>
    </w:rPr>
  </w:style>
  <w:style w:type="character" w:customStyle="1" w:styleId="CommentTextChar">
    <w:name w:val="Comment Text Char"/>
    <w:basedOn w:val="DefaultParagraphFont"/>
    <w:link w:val="CommentText"/>
    <w:uiPriority w:val="99"/>
    <w:rsid w:val="00E016E1"/>
    <w:rPr>
      <w:sz w:val="20"/>
      <w:szCs w:val="20"/>
    </w:rPr>
  </w:style>
  <w:style w:type="paragraph" w:styleId="CommentSubject">
    <w:name w:val="annotation subject"/>
    <w:basedOn w:val="CommentText"/>
    <w:next w:val="CommentText"/>
    <w:link w:val="CommentSubjectChar"/>
    <w:uiPriority w:val="99"/>
    <w:semiHidden/>
    <w:unhideWhenUsed/>
    <w:rsid w:val="00E016E1"/>
    <w:rPr>
      <w:b/>
      <w:bCs/>
    </w:rPr>
  </w:style>
  <w:style w:type="character" w:customStyle="1" w:styleId="CommentSubjectChar">
    <w:name w:val="Comment Subject Char"/>
    <w:basedOn w:val="CommentTextChar"/>
    <w:link w:val="CommentSubject"/>
    <w:uiPriority w:val="99"/>
    <w:semiHidden/>
    <w:rsid w:val="00E016E1"/>
    <w:rPr>
      <w:b/>
      <w:bCs/>
      <w:sz w:val="20"/>
      <w:szCs w:val="20"/>
    </w:rPr>
  </w:style>
  <w:style w:type="paragraph" w:styleId="ListParagraph">
    <w:name w:val="List Paragraph"/>
    <w:basedOn w:val="Normal"/>
    <w:uiPriority w:val="34"/>
    <w:qFormat/>
    <w:rsid w:val="00FD06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15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F61798-09D6-4D72-AC54-78112AA5F1A2}">
  <ds:schemaRefs>
    <ds:schemaRef ds:uri="http://schemas.openxmlformats.org/officeDocument/2006/bibliography"/>
  </ds:schemaRefs>
</ds:datastoreItem>
</file>

<file path=docMetadata/LabelInfo.xml><?xml version="1.0" encoding="utf-8"?>
<clbl:labelList xmlns:clbl="http://schemas.microsoft.com/office/2020/mipLabelMetadata">
  <clbl:label id="{82c514c1-a717-4087-be06-d40d2070ad52}" enabled="0" method="" siteId="{82c514c1-a717-4087-be06-d40d2070ad52}" removed="1"/>
</clbl:labelList>
</file>

<file path=docProps/app.xml><?xml version="1.0" encoding="utf-8"?>
<Properties xmlns="http://schemas.openxmlformats.org/officeDocument/2006/extended-properties" xmlns:vt="http://schemas.openxmlformats.org/officeDocument/2006/docPropsVTypes">
  <Template>Normal</Template>
  <TotalTime>0</TotalTime>
  <Pages>17</Pages>
  <Words>6381</Words>
  <Characters>36378</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2024-01-03T20:33:00Z</dcterms:created>
  <dcterms:modified xsi:type="dcterms:W3CDTF">2024-01-03T20:33:00Z</dcterms:modified>
</cp:coreProperties>
</file>