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56CE" w14:textId="756FB38D" w:rsidR="009C6292" w:rsidRPr="0069263B" w:rsidRDefault="009C6292" w:rsidP="0069263B">
      <w:pPr>
        <w:spacing w:after="240"/>
        <w:rPr>
          <w:rFonts w:ascii="Arial" w:hAnsi="Arial" w:cs="Arial"/>
          <w:b/>
          <w:bCs/>
        </w:rPr>
      </w:pPr>
      <w:r w:rsidRPr="0069263B">
        <w:rPr>
          <w:rFonts w:ascii="Arial" w:hAnsi="Arial" w:cs="Arial"/>
          <w:b/>
          <w:bCs/>
        </w:rPr>
        <w:t xml:space="preserve">Additional file </w:t>
      </w:r>
      <w:r w:rsidR="0069263B" w:rsidRPr="0069263B">
        <w:rPr>
          <w:rFonts w:ascii="Arial" w:hAnsi="Arial" w:cs="Arial"/>
          <w:b/>
          <w:bCs/>
        </w:rPr>
        <w:t>3</w:t>
      </w:r>
    </w:p>
    <w:p w14:paraId="0D1D0A06" w14:textId="77777777" w:rsidR="0069263B" w:rsidRPr="0069263B" w:rsidRDefault="0069263B" w:rsidP="0069263B">
      <w:pPr>
        <w:keepNext/>
        <w:spacing w:after="120"/>
        <w:rPr>
          <w:rFonts w:ascii="Arial" w:hAnsi="Arial" w:cs="Arial"/>
          <w:sz w:val="18"/>
          <w:szCs w:val="18"/>
        </w:rPr>
      </w:pPr>
      <w:r w:rsidRPr="0069263B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C53673E" wp14:editId="01DE1C77">
            <wp:extent cx="9288000" cy="5580000"/>
            <wp:effectExtent l="0" t="0" r="8890" b="1905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F1B29E34-C6C0-D470-49A5-0EEC64AC61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7DE7AED" w14:textId="12B3B24E" w:rsidR="0069263B" w:rsidRPr="0069263B" w:rsidRDefault="0069263B" w:rsidP="0069263B">
      <w:pPr>
        <w:pStyle w:val="Beschriftung"/>
        <w:spacing w:before="0" w:after="120"/>
        <w:rPr>
          <w:rFonts w:ascii="Arial" w:hAnsi="Arial" w:cs="Arial"/>
          <w:sz w:val="18"/>
          <w:szCs w:val="18"/>
          <w:lang w:val="en-US"/>
        </w:rPr>
      </w:pPr>
      <w:r w:rsidRPr="0069263B">
        <w:rPr>
          <w:rFonts w:ascii="Arial" w:hAnsi="Arial" w:cs="Arial"/>
          <w:sz w:val="18"/>
          <w:szCs w:val="18"/>
          <w:lang w:val="en-US"/>
        </w:rPr>
        <w:t>A graphic overview of patient-related fall risk factors in Switzerland and Austria in comparison</w:t>
      </w:r>
    </w:p>
    <w:sectPr w:rsidR="0069263B" w:rsidRPr="0069263B" w:rsidSect="0069263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yant Pro Regular Alternat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20C28F0"/>
    <w:lvl w:ilvl="0">
      <w:start w:val="1"/>
      <w:numFmt w:val="bullet"/>
      <w:pStyle w:val="Aufzhlungszeichen5"/>
      <w:lvlText w:val="–"/>
      <w:lvlJc w:val="left"/>
      <w:pPr>
        <w:tabs>
          <w:tab w:val="num" w:pos="1247"/>
        </w:tabs>
        <w:ind w:left="1247" w:hanging="226"/>
      </w:pPr>
      <w:rPr>
        <w:rFonts w:ascii="Bryant Pro Regular Alternate" w:hAnsi="Bryant Pro Regular Alternate" w:hint="default"/>
      </w:rPr>
    </w:lvl>
  </w:abstractNum>
  <w:abstractNum w:abstractNumId="1" w15:restartNumberingAfterBreak="0">
    <w:nsid w:val="FFFFFF81"/>
    <w:multiLevelType w:val="singleLevel"/>
    <w:tmpl w:val="B24EE49A"/>
    <w:lvl w:ilvl="0">
      <w:start w:val="1"/>
      <w:numFmt w:val="bullet"/>
      <w:pStyle w:val="Aufzhlungszeichen4"/>
      <w:lvlText w:val="–"/>
      <w:lvlJc w:val="left"/>
      <w:pPr>
        <w:tabs>
          <w:tab w:val="num" w:pos="1021"/>
        </w:tabs>
        <w:ind w:left="1021" w:hanging="227"/>
      </w:pPr>
      <w:rPr>
        <w:rFonts w:ascii="Bryant Pro Regular Alternate" w:hAnsi="Bryant Pro Regular Alternate" w:hint="default"/>
      </w:rPr>
    </w:lvl>
  </w:abstractNum>
  <w:abstractNum w:abstractNumId="2" w15:restartNumberingAfterBreak="0">
    <w:nsid w:val="FFFFFF82"/>
    <w:multiLevelType w:val="singleLevel"/>
    <w:tmpl w:val="C31E0340"/>
    <w:lvl w:ilvl="0">
      <w:start w:val="1"/>
      <w:numFmt w:val="bullet"/>
      <w:pStyle w:val="Aufzhlungszeichen3"/>
      <w:lvlText w:val="–"/>
      <w:lvlJc w:val="left"/>
      <w:pPr>
        <w:tabs>
          <w:tab w:val="num" w:pos="794"/>
        </w:tabs>
        <w:ind w:left="794" w:hanging="228"/>
      </w:pPr>
      <w:rPr>
        <w:rFonts w:ascii="Bryant Pro Regular Alternate" w:hAnsi="Bryant Pro Regular Alternate" w:hint="default"/>
      </w:rPr>
    </w:lvl>
  </w:abstractNum>
  <w:abstractNum w:abstractNumId="3" w15:restartNumberingAfterBreak="0">
    <w:nsid w:val="FFFFFF83"/>
    <w:multiLevelType w:val="singleLevel"/>
    <w:tmpl w:val="364686D8"/>
    <w:lvl w:ilvl="0">
      <w:start w:val="1"/>
      <w:numFmt w:val="bullet"/>
      <w:pStyle w:val="Aufzhlungszeichen2"/>
      <w:lvlText w:val="–"/>
      <w:lvlJc w:val="left"/>
      <w:pPr>
        <w:tabs>
          <w:tab w:val="num" w:pos="567"/>
        </w:tabs>
        <w:ind w:left="567" w:hanging="227"/>
      </w:pPr>
      <w:rPr>
        <w:rFonts w:ascii="Bryant Pro Regular Alternate" w:hAnsi="Bryant Pro Regular Alternate" w:hint="default"/>
      </w:rPr>
    </w:lvl>
  </w:abstractNum>
  <w:abstractNum w:abstractNumId="4" w15:restartNumberingAfterBreak="0">
    <w:nsid w:val="FFFFFF89"/>
    <w:multiLevelType w:val="singleLevel"/>
    <w:tmpl w:val="33BADBA0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Bryant Pro Regular Alternate" w:hAnsi="Bryant Pro Regular Alternate" w:hint="default"/>
      </w:rPr>
    </w:lvl>
  </w:abstractNum>
  <w:abstractNum w:abstractNumId="5" w15:restartNumberingAfterBreak="0">
    <w:nsid w:val="27A80646"/>
    <w:multiLevelType w:val="multilevel"/>
    <w:tmpl w:val="B02C1ADE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0" w:firstLine="0"/>
      </w:pPr>
      <w:rPr>
        <w:rFonts w:ascii="Lucida Sans" w:hAnsi="Lucida Sans" w:hint="default"/>
        <w:b w:val="0"/>
        <w:i w:val="0"/>
        <w:vanish w:val="0"/>
        <w:color w:val="auto"/>
        <w:sz w:val="28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3C3F7338"/>
    <w:multiLevelType w:val="multilevel"/>
    <w:tmpl w:val="7682CBCE"/>
    <w:lvl w:ilvl="0">
      <w:start w:val="1"/>
      <w:numFmt w:val="decimal"/>
      <w:pStyle w:val="Nummerierung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22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9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"/>
        </w:tabs>
        <w:ind w:left="453" w:hanging="453"/>
      </w:pPr>
      <w:rPr>
        <w:rFonts w:hint="default"/>
      </w:rPr>
    </w:lvl>
  </w:abstractNum>
  <w:abstractNum w:abstractNumId="7" w15:restartNumberingAfterBreak="0">
    <w:nsid w:val="573C6414"/>
    <w:multiLevelType w:val="hybridMultilevel"/>
    <w:tmpl w:val="3A44CE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206F2"/>
    <w:multiLevelType w:val="hybridMultilevel"/>
    <w:tmpl w:val="413E62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565459">
    <w:abstractNumId w:val="4"/>
  </w:num>
  <w:num w:numId="2" w16cid:durableId="1222718628">
    <w:abstractNumId w:val="4"/>
  </w:num>
  <w:num w:numId="3" w16cid:durableId="1537154036">
    <w:abstractNumId w:val="3"/>
  </w:num>
  <w:num w:numId="4" w16cid:durableId="1280844602">
    <w:abstractNumId w:val="3"/>
  </w:num>
  <w:num w:numId="5" w16cid:durableId="1567450239">
    <w:abstractNumId w:val="2"/>
  </w:num>
  <w:num w:numId="6" w16cid:durableId="353193963">
    <w:abstractNumId w:val="2"/>
  </w:num>
  <w:num w:numId="7" w16cid:durableId="1285842478">
    <w:abstractNumId w:val="1"/>
  </w:num>
  <w:num w:numId="8" w16cid:durableId="1191189398">
    <w:abstractNumId w:val="1"/>
  </w:num>
  <w:num w:numId="9" w16cid:durableId="1944607382">
    <w:abstractNumId w:val="0"/>
  </w:num>
  <w:num w:numId="10" w16cid:durableId="1349866687">
    <w:abstractNumId w:val="0"/>
  </w:num>
  <w:num w:numId="11" w16cid:durableId="1069619145">
    <w:abstractNumId w:val="6"/>
  </w:num>
  <w:num w:numId="12" w16cid:durableId="1076710413">
    <w:abstractNumId w:val="5"/>
  </w:num>
  <w:num w:numId="13" w16cid:durableId="229392889">
    <w:abstractNumId w:val="5"/>
  </w:num>
  <w:num w:numId="14" w16cid:durableId="1223295733">
    <w:abstractNumId w:val="5"/>
  </w:num>
  <w:num w:numId="15" w16cid:durableId="1192574070">
    <w:abstractNumId w:val="5"/>
  </w:num>
  <w:num w:numId="16" w16cid:durableId="652761729">
    <w:abstractNumId w:val="5"/>
  </w:num>
  <w:num w:numId="17" w16cid:durableId="750007331">
    <w:abstractNumId w:val="7"/>
  </w:num>
  <w:num w:numId="18" w16cid:durableId="1849975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92"/>
    <w:rsid w:val="00050B20"/>
    <w:rsid w:val="000E3DF5"/>
    <w:rsid w:val="00171DD7"/>
    <w:rsid w:val="001B560C"/>
    <w:rsid w:val="00202DB5"/>
    <w:rsid w:val="00274255"/>
    <w:rsid w:val="003E19AF"/>
    <w:rsid w:val="003E6017"/>
    <w:rsid w:val="00477A0A"/>
    <w:rsid w:val="004D4F04"/>
    <w:rsid w:val="004E6435"/>
    <w:rsid w:val="00584CF0"/>
    <w:rsid w:val="0069263B"/>
    <w:rsid w:val="006D7DB3"/>
    <w:rsid w:val="007358A7"/>
    <w:rsid w:val="007461ED"/>
    <w:rsid w:val="00880F98"/>
    <w:rsid w:val="00973087"/>
    <w:rsid w:val="009C6292"/>
    <w:rsid w:val="00A764AE"/>
    <w:rsid w:val="00B03719"/>
    <w:rsid w:val="00B10700"/>
    <w:rsid w:val="00BA722D"/>
    <w:rsid w:val="00CB685F"/>
    <w:rsid w:val="00D3036C"/>
    <w:rsid w:val="00D92445"/>
    <w:rsid w:val="00DB7CDA"/>
    <w:rsid w:val="00DD17BA"/>
    <w:rsid w:val="00E33E6B"/>
    <w:rsid w:val="00EC440E"/>
    <w:rsid w:val="00EE73ED"/>
    <w:rsid w:val="00FC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D34807"/>
  <w15:chartTrackingRefBased/>
  <w15:docId w15:val="{1E5743CF-E61A-4CF9-AD4B-B5AD4CC1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292"/>
    <w:pPr>
      <w:spacing w:after="0" w:line="240" w:lineRule="auto"/>
    </w:pPr>
    <w:rPr>
      <w:rFonts w:ascii="Times New Roman"/>
      <w:kern w:val="0"/>
      <w:sz w:val="24"/>
      <w:szCs w:val="24"/>
      <w:lang w:val="en-GB"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477A0A"/>
    <w:pPr>
      <w:keepNext/>
      <w:keepLines/>
      <w:numPr>
        <w:numId w:val="16"/>
      </w:numPr>
      <w:tabs>
        <w:tab w:val="left" w:pos="340"/>
        <w:tab w:val="left" w:pos="567"/>
        <w:tab w:val="left" w:pos="794"/>
      </w:tabs>
      <w:spacing w:before="360" w:after="240" w:line="336" w:lineRule="atLeast"/>
      <w:outlineLvl w:val="0"/>
    </w:pPr>
    <w:rPr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477A0A"/>
    <w:pPr>
      <w:keepNext/>
      <w:keepLines/>
      <w:numPr>
        <w:ilvl w:val="1"/>
        <w:numId w:val="16"/>
      </w:numPr>
      <w:tabs>
        <w:tab w:val="left" w:pos="567"/>
        <w:tab w:val="left" w:pos="794"/>
      </w:tabs>
      <w:spacing w:before="360" w:after="12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477A0A"/>
    <w:pPr>
      <w:keepNext/>
      <w:numPr>
        <w:ilvl w:val="2"/>
        <w:numId w:val="16"/>
      </w:numPr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2"/>
    <w:qFormat/>
    <w:rsid w:val="00477A0A"/>
    <w:pPr>
      <w:keepNext/>
      <w:numPr>
        <w:ilvl w:val="3"/>
        <w:numId w:val="16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2"/>
    <w:qFormat/>
    <w:rsid w:val="00477A0A"/>
    <w:pPr>
      <w:numPr>
        <w:ilvl w:val="4"/>
        <w:numId w:val="16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2"/>
    <w:qFormat/>
    <w:rsid w:val="00477A0A"/>
    <w:pPr>
      <w:outlineLvl w:val="5"/>
    </w:pPr>
    <w:rPr>
      <w:rFonts w:cs="Lucida Sans"/>
      <w:bCs/>
      <w:szCs w:val="19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477A0A"/>
    <w:pPr>
      <w:outlineLvl w:val="6"/>
    </w:pPr>
    <w:rPr>
      <w:rFonts w:cs="Lucida Sans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99"/>
    <w:unhideWhenUsed/>
    <w:rsid w:val="00477A0A"/>
    <w:pPr>
      <w:pBdr>
        <w:bottom w:val="single" w:sz="8" w:space="1" w:color="C8C8C8"/>
        <w:between w:val="single" w:sz="8" w:space="1" w:color="C8C8C8"/>
      </w:pBdr>
    </w:pPr>
  </w:style>
  <w:style w:type="paragraph" w:customStyle="1" w:styleId="Absenderzeile">
    <w:name w:val="Absenderzeile"/>
    <w:basedOn w:val="Standard"/>
    <w:uiPriority w:val="3"/>
    <w:rsid w:val="00477A0A"/>
    <w:rPr>
      <w:sz w:val="14"/>
    </w:rPr>
  </w:style>
  <w:style w:type="paragraph" w:styleId="Aufzhlungszeichen">
    <w:name w:val="List Bullet"/>
    <w:basedOn w:val="Standard"/>
    <w:uiPriority w:val="3"/>
    <w:rsid w:val="00477A0A"/>
    <w:pPr>
      <w:numPr>
        <w:numId w:val="2"/>
      </w:numPr>
    </w:pPr>
  </w:style>
  <w:style w:type="paragraph" w:styleId="Aufzhlungszeichen2">
    <w:name w:val="List Bullet 2"/>
    <w:basedOn w:val="Standard"/>
    <w:uiPriority w:val="3"/>
    <w:rsid w:val="00477A0A"/>
    <w:pPr>
      <w:numPr>
        <w:numId w:val="4"/>
      </w:numPr>
    </w:pPr>
  </w:style>
  <w:style w:type="paragraph" w:styleId="Aufzhlungszeichen3">
    <w:name w:val="List Bullet 3"/>
    <w:basedOn w:val="Standard"/>
    <w:uiPriority w:val="3"/>
    <w:rsid w:val="00477A0A"/>
    <w:pPr>
      <w:numPr>
        <w:numId w:val="6"/>
      </w:numPr>
    </w:pPr>
  </w:style>
  <w:style w:type="paragraph" w:styleId="Aufzhlungszeichen4">
    <w:name w:val="List Bullet 4"/>
    <w:basedOn w:val="Standard"/>
    <w:uiPriority w:val="3"/>
    <w:rsid w:val="00477A0A"/>
    <w:pPr>
      <w:numPr>
        <w:numId w:val="8"/>
      </w:numPr>
    </w:pPr>
  </w:style>
  <w:style w:type="paragraph" w:styleId="Aufzhlungszeichen5">
    <w:name w:val="List Bullet 5"/>
    <w:basedOn w:val="Standard"/>
    <w:uiPriority w:val="3"/>
    <w:rsid w:val="00477A0A"/>
    <w:pPr>
      <w:numPr>
        <w:numId w:val="10"/>
      </w:numPr>
    </w:pPr>
  </w:style>
  <w:style w:type="paragraph" w:styleId="Beschriftung">
    <w:name w:val="caption"/>
    <w:basedOn w:val="Standard"/>
    <w:next w:val="Standard"/>
    <w:uiPriority w:val="3"/>
    <w:qFormat/>
    <w:rsid w:val="00477A0A"/>
    <w:pPr>
      <w:spacing w:before="120" w:after="240"/>
    </w:pPr>
    <w:rPr>
      <w:bCs/>
      <w:sz w:val="16"/>
      <w:lang w:val="fr-FR"/>
    </w:rPr>
  </w:style>
  <w:style w:type="paragraph" w:styleId="Dokumentstruktur">
    <w:name w:val="Document Map"/>
    <w:basedOn w:val="Standard"/>
    <w:link w:val="DokumentstrukturZchn"/>
    <w:semiHidden/>
    <w:rsid w:val="00477A0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477A0A"/>
    <w:rPr>
      <w:rFonts w:ascii="Tahoma" w:eastAsia="Lucida Sans" w:hAnsi="Tahoma" w:cs="Tahoma"/>
      <w:sz w:val="20"/>
      <w:szCs w:val="20"/>
      <w:shd w:val="clear" w:color="auto" w:fill="000080"/>
    </w:rPr>
  </w:style>
  <w:style w:type="paragraph" w:styleId="Funotentext">
    <w:name w:val="footnote text"/>
    <w:basedOn w:val="Standard"/>
    <w:link w:val="FunotentextZchn"/>
    <w:semiHidden/>
    <w:rsid w:val="00477A0A"/>
    <w:pPr>
      <w:tabs>
        <w:tab w:val="left" w:pos="227"/>
      </w:tabs>
      <w:ind w:left="227" w:hanging="227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477A0A"/>
    <w:rPr>
      <w:rFonts w:ascii="Lucida Sans" w:eastAsia="Lucida Sans" w:hAnsi="Lucida Sans" w:cs="Times New Roman"/>
      <w:sz w:val="16"/>
      <w:szCs w:val="20"/>
    </w:rPr>
  </w:style>
  <w:style w:type="character" w:styleId="Funotenzeichen">
    <w:name w:val="footnote reference"/>
    <w:semiHidden/>
    <w:rsid w:val="00477A0A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7A0A"/>
    <w:pPr>
      <w:tabs>
        <w:tab w:val="center" w:pos="4536"/>
        <w:tab w:val="right" w:pos="9072"/>
      </w:tabs>
    </w:pPr>
    <w:rPr>
      <w:color w:val="64849B"/>
      <w:sz w:val="16"/>
    </w:rPr>
  </w:style>
  <w:style w:type="character" w:customStyle="1" w:styleId="FuzeileZchn">
    <w:name w:val="Fußzeile Zchn"/>
    <w:link w:val="Fuzeile"/>
    <w:uiPriority w:val="99"/>
    <w:rsid w:val="00477A0A"/>
    <w:rPr>
      <w:rFonts w:ascii="Lucida Sans" w:eastAsia="Lucida Sans" w:hAnsi="Lucida Sans" w:cs="Times New Roman"/>
      <w:color w:val="64849B"/>
      <w:sz w:val="16"/>
      <w:szCs w:val="20"/>
    </w:rPr>
  </w:style>
  <w:style w:type="paragraph" w:styleId="Untertitel">
    <w:name w:val="Subtitle"/>
    <w:basedOn w:val="Standard"/>
    <w:link w:val="UntertitelZchn"/>
    <w:uiPriority w:val="3"/>
    <w:qFormat/>
    <w:rsid w:val="00477A0A"/>
    <w:pPr>
      <w:spacing w:before="260" w:line="320" w:lineRule="atLeast"/>
      <w:outlineLvl w:val="1"/>
    </w:pPr>
    <w:rPr>
      <w:rFonts w:cs="Arial"/>
      <w:sz w:val="28"/>
    </w:rPr>
  </w:style>
  <w:style w:type="character" w:customStyle="1" w:styleId="UntertitelZchn">
    <w:name w:val="Untertitel Zchn"/>
    <w:basedOn w:val="Absatz-Standardschriftart"/>
    <w:link w:val="Untertitel"/>
    <w:uiPriority w:val="3"/>
    <w:rsid w:val="00DD17BA"/>
    <w:rPr>
      <w:rFonts w:ascii="Lucida Sans" w:eastAsia="Lucida Sans" w:hAnsi="Lucida Sans" w:cs="Arial"/>
      <w:sz w:val="28"/>
      <w:szCs w:val="24"/>
    </w:rPr>
  </w:style>
  <w:style w:type="paragraph" w:customStyle="1" w:styleId="Inhaltsverzeichnis">
    <w:name w:val="Inhaltsverzeichnis"/>
    <w:basedOn w:val="Untertitel"/>
    <w:uiPriority w:val="4"/>
    <w:rsid w:val="00477A0A"/>
    <w:pPr>
      <w:spacing w:line="28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477A0A"/>
    <w:pPr>
      <w:tabs>
        <w:tab w:val="center" w:pos="4536"/>
        <w:tab w:val="right" w:pos="9072"/>
      </w:tabs>
      <w:spacing w:line="192" w:lineRule="exact"/>
    </w:pPr>
    <w:rPr>
      <w:sz w:val="16"/>
    </w:rPr>
  </w:style>
  <w:style w:type="character" w:customStyle="1" w:styleId="KopfzeileZchn">
    <w:name w:val="Kopfzeile Zchn"/>
    <w:link w:val="Kopfzeile"/>
    <w:uiPriority w:val="99"/>
    <w:rsid w:val="00477A0A"/>
    <w:rPr>
      <w:rFonts w:ascii="Lucida Sans" w:eastAsia="Lucida Sans" w:hAnsi="Lucida Sans" w:cs="Times New Roman"/>
      <w:sz w:val="16"/>
      <w:szCs w:val="20"/>
    </w:rPr>
  </w:style>
  <w:style w:type="paragraph" w:customStyle="1" w:styleId="Legende">
    <w:name w:val="Legende"/>
    <w:basedOn w:val="Standard"/>
    <w:semiHidden/>
    <w:rsid w:val="00477A0A"/>
    <w:rPr>
      <w:sz w:val="16"/>
    </w:rPr>
  </w:style>
  <w:style w:type="paragraph" w:customStyle="1" w:styleId="Nummerierung">
    <w:name w:val="Nummerierung"/>
    <w:basedOn w:val="Standard"/>
    <w:uiPriority w:val="3"/>
    <w:rsid w:val="00477A0A"/>
    <w:pPr>
      <w:numPr>
        <w:numId w:val="11"/>
      </w:numPr>
      <w:jc w:val="both"/>
    </w:pPr>
  </w:style>
  <w:style w:type="paragraph" w:customStyle="1" w:styleId="RefFusszeile">
    <w:name w:val="Ref_Fusszeile"/>
    <w:basedOn w:val="Fuzeile"/>
    <w:uiPriority w:val="3"/>
    <w:rsid w:val="00477A0A"/>
    <w:rPr>
      <w:sz w:val="1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77A0A"/>
    <w:rPr>
      <w:rFonts w:ascii="Tahoma" w:eastAsia="Lucida Sans" w:hAnsi="Tahoma" w:cs="Tahoma"/>
      <w:sz w:val="16"/>
      <w:szCs w:val="16"/>
    </w:rPr>
  </w:style>
  <w:style w:type="table" w:customStyle="1" w:styleId="TabelleBFH">
    <w:name w:val="Tabelle_BFH"/>
    <w:basedOn w:val="NormaleTabelle"/>
    <w:rsid w:val="00477A0A"/>
    <w:pPr>
      <w:spacing w:after="0" w:line="240" w:lineRule="atLeast"/>
    </w:pPr>
    <w:rPr>
      <w:rFonts w:ascii="Lucida Sans" w:hAnsi="Lucida Sans"/>
      <w:sz w:val="19"/>
      <w:szCs w:val="20"/>
    </w:rPr>
    <w:tblPr>
      <w:tblInd w:w="8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40" w:type="dxa"/>
        <w:left w:w="85" w:type="dxa"/>
        <w:bottom w:w="40" w:type="dxa"/>
        <w:right w:w="85" w:type="dxa"/>
      </w:tblCellMar>
    </w:tblPr>
    <w:tcPr>
      <w:shd w:val="clear" w:color="auto" w:fill="E6E6E6"/>
    </w:tcPr>
    <w:tblStylePr w:type="firstRow">
      <w:rPr>
        <w:b/>
        <w:sz w:val="1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6A6"/>
      </w:tcPr>
    </w:tblStylePr>
  </w:style>
  <w:style w:type="table" w:styleId="Tabellenraster">
    <w:name w:val="Table Grid"/>
    <w:basedOn w:val="NormaleTabelle"/>
    <w:uiPriority w:val="59"/>
    <w:rsid w:val="00477A0A"/>
    <w:pPr>
      <w:spacing w:after="0" w:line="244" w:lineRule="atLeast"/>
    </w:pPr>
    <w:rPr>
      <w:rFonts w:ascii="Lucida Sans" w:hAnsi="Lucida Sans"/>
      <w:sz w:val="19"/>
      <w:szCs w:val="20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3"/>
    <w:qFormat/>
    <w:rsid w:val="00477A0A"/>
    <w:pPr>
      <w:spacing w:line="568" w:lineRule="atLeast"/>
    </w:pPr>
    <w:rPr>
      <w:color w:val="000000"/>
      <w:spacing w:val="5"/>
      <w:kern w:val="28"/>
      <w:sz w:val="48"/>
      <w:szCs w:val="52"/>
    </w:rPr>
  </w:style>
  <w:style w:type="character" w:customStyle="1" w:styleId="TitelZchn">
    <w:name w:val="Titel Zchn"/>
    <w:link w:val="Titel"/>
    <w:uiPriority w:val="3"/>
    <w:rsid w:val="00DD17BA"/>
    <w:rPr>
      <w:rFonts w:ascii="Lucida Sans" w:eastAsia="Times New Roman" w:hAnsi="Lucida Sans" w:cs="Times New Roman"/>
      <w:color w:val="000000"/>
      <w:spacing w:val="5"/>
      <w:kern w:val="28"/>
      <w:sz w:val="48"/>
      <w:szCs w:val="52"/>
    </w:rPr>
  </w:style>
  <w:style w:type="character" w:customStyle="1" w:styleId="berschrift1Zchn">
    <w:name w:val="Überschrift 1 Zchn"/>
    <w:link w:val="berschrift1"/>
    <w:uiPriority w:val="2"/>
    <w:rsid w:val="00DD17BA"/>
    <w:rPr>
      <w:rFonts w:ascii="Lucida Sans" w:eastAsia="Times New Roman" w:hAnsi="Lucida Sans" w:cs="Times New Roman"/>
      <w:bCs/>
      <w:sz w:val="28"/>
      <w:szCs w:val="28"/>
    </w:rPr>
  </w:style>
  <w:style w:type="character" w:customStyle="1" w:styleId="berschrift2Zchn">
    <w:name w:val="Überschrift 2 Zchn"/>
    <w:link w:val="berschrift2"/>
    <w:uiPriority w:val="2"/>
    <w:rsid w:val="00DD17BA"/>
    <w:rPr>
      <w:rFonts w:ascii="Lucida Sans" w:eastAsia="Times New Roman" w:hAnsi="Lucida Sans" w:cs="Times New Roman"/>
      <w:b/>
      <w:bCs/>
      <w:sz w:val="19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DD17BA"/>
    <w:rPr>
      <w:rFonts w:ascii="Lucida Sans" w:eastAsia="Lucida Sans" w:hAnsi="Lucida Sans" w:cs="Arial"/>
      <w:bCs/>
      <w:sz w:val="19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DD17BA"/>
    <w:rPr>
      <w:rFonts w:ascii="Lucida Sans" w:eastAsia="Lucida Sans" w:hAnsi="Lucida Sans" w:cs="Times New Roman"/>
      <w:bCs/>
      <w:sz w:val="19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DD17BA"/>
    <w:rPr>
      <w:rFonts w:ascii="Lucida Sans" w:eastAsia="Lucida Sans" w:hAnsi="Lucida Sans" w:cs="Times New Roman"/>
      <w:bCs/>
      <w:iCs/>
      <w:sz w:val="19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2"/>
    <w:rsid w:val="00DD17BA"/>
    <w:rPr>
      <w:rFonts w:ascii="Lucida Sans" w:eastAsia="Lucida Sans" w:hAnsi="Lucida Sans" w:cs="Lucida Sans"/>
      <w:bCs/>
      <w:sz w:val="19"/>
      <w:szCs w:val="19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DD17BA"/>
    <w:rPr>
      <w:rFonts w:ascii="Lucida Sans" w:eastAsia="Lucida Sans" w:hAnsi="Lucida Sans" w:cs="Lucida Sans"/>
      <w:sz w:val="19"/>
      <w:szCs w:val="19"/>
    </w:rPr>
  </w:style>
  <w:style w:type="paragraph" w:customStyle="1" w:styleId="Verzeichnis">
    <w:name w:val="Verzeichnis"/>
    <w:basedOn w:val="Standard"/>
    <w:uiPriority w:val="2"/>
    <w:rsid w:val="00477A0A"/>
    <w:pPr>
      <w:pBdr>
        <w:bottom w:val="single" w:sz="8" w:space="1" w:color="C8C8C8"/>
        <w:between w:val="single" w:sz="8" w:space="1" w:color="C8C8C8"/>
      </w:pBdr>
      <w:tabs>
        <w:tab w:val="right" w:pos="9469"/>
      </w:tabs>
    </w:pPr>
  </w:style>
  <w:style w:type="paragraph" w:styleId="Verzeichnis1">
    <w:name w:val="toc 1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left" w:pos="340"/>
        <w:tab w:val="left" w:pos="567"/>
        <w:tab w:val="left" w:pos="794"/>
        <w:tab w:val="right" w:pos="9469"/>
      </w:tabs>
      <w:spacing w:line="200" w:lineRule="exact"/>
    </w:pPr>
    <w:rPr>
      <w:lang w:val="fr-FR"/>
    </w:rPr>
  </w:style>
  <w:style w:type="paragraph" w:styleId="Verzeichnis2">
    <w:name w:val="toc 2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340"/>
    </w:pPr>
  </w:style>
  <w:style w:type="paragraph" w:styleId="Verzeichnis3">
    <w:name w:val="toc 3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567"/>
    </w:pPr>
  </w:style>
  <w:style w:type="paragraph" w:styleId="Verzeichnis4">
    <w:name w:val="toc 4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794"/>
    </w:pPr>
  </w:style>
  <w:style w:type="paragraph" w:styleId="Verzeichnis5">
    <w:name w:val="toc 5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1021"/>
    </w:pPr>
  </w:style>
  <w:style w:type="paragraph" w:styleId="Zitat">
    <w:name w:val="Quote"/>
    <w:basedOn w:val="Standard"/>
    <w:next w:val="Standard"/>
    <w:link w:val="ZitatZchn"/>
    <w:uiPriority w:val="2"/>
    <w:qFormat/>
    <w:rsid w:val="00477A0A"/>
    <w:pPr>
      <w:spacing w:before="244" w:after="244"/>
      <w:ind w:left="227" w:right="227"/>
    </w:pPr>
    <w:rPr>
      <w:i/>
    </w:rPr>
  </w:style>
  <w:style w:type="character" w:customStyle="1" w:styleId="ZitatZchn">
    <w:name w:val="Zitat Zchn"/>
    <w:basedOn w:val="Absatz-Standardschriftart"/>
    <w:link w:val="Zitat"/>
    <w:uiPriority w:val="2"/>
    <w:rsid w:val="00DD17BA"/>
    <w:rPr>
      <w:rFonts w:ascii="Lucida Sans" w:eastAsia="Lucida Sans" w:hAnsi="Lucida Sans" w:cs="Times New Roman"/>
      <w:i/>
      <w:sz w:val="19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9C6292"/>
    <w:pPr>
      <w:spacing w:after="0" w:line="240" w:lineRule="auto"/>
    </w:pPr>
    <w:rPr>
      <w:rFonts w:ascii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Tabelle1!$C$5:$C$6</c:f>
              <c:strCache>
                <c:ptCount val="2"/>
                <c:pt idx="0">
                  <c:v>Switzerland</c:v>
                </c:pt>
                <c:pt idx="1">
                  <c:v>(n=35,998)</c:v>
                </c:pt>
              </c:strCache>
            </c:strRef>
          </c:tx>
          <c:spPr>
            <a:solidFill>
              <a:srgbClr val="008FFA"/>
            </a:solidFill>
            <a:ln>
              <a:noFill/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Tabelle1!$A$7:$B$28</c:f>
              <c:multiLvlStrCache>
                <c:ptCount val="22"/>
                <c:lvl>
                  <c:pt idx="0">
                    <c:v>18-64 years</c:v>
                  </c:pt>
                  <c:pt idx="1">
                    <c:v>65-74 years</c:v>
                  </c:pt>
                  <c:pt idx="2">
                    <c:v>75-84 years</c:v>
                  </c:pt>
                  <c:pt idx="3">
                    <c:v>≥85 years</c:v>
                  </c:pt>
                  <c:pt idx="4">
                    <c:v>care independent [70-75]</c:v>
                  </c:pt>
                  <c:pt idx="5">
                    <c:v>to a great extent independent [60-69]</c:v>
                  </c:pt>
                  <c:pt idx="6">
                    <c:v>partially dependent [45-59]</c:v>
                  </c:pt>
                  <c:pt idx="7">
                    <c:v>to a great extent dependent [25-44]</c:v>
                  </c:pt>
                  <c:pt idx="8">
                    <c:v>completely dependent [15-24]</c:v>
                  </c:pt>
                  <c:pt idx="9">
                    <c:v>Sex [female]</c:v>
                  </c:pt>
                  <c:pt idx="10">
                    <c:v>Fall in the last 12 months [yes]</c:v>
                  </c:pt>
                  <c:pt idx="11">
                    <c:v>Sedative/psychotropic medications intake [yes]</c:v>
                  </c:pt>
                  <c:pt idx="12">
                    <c:v>Surgical procedure within 14 days prior to measurement [yes]</c:v>
                  </c:pt>
                  <c:pt idx="13">
                    <c:v>ICD-10 - Mental and behavioural disorders [yes]</c:v>
                  </c:pt>
                  <c:pt idx="14">
                    <c:v>ICD-10 - Neoplasms [yes]</c:v>
                  </c:pt>
                  <c:pt idx="15">
                    <c:v>ICD-10 - Diseases of the blood and blood-forming organs [yes]</c:v>
                  </c:pt>
                  <c:pt idx="16">
                    <c:v>ICD-10 - Certain infectious and parasitic diseases [yes]</c:v>
                  </c:pt>
                  <c:pt idx="17">
                    <c:v>ICD-10 - Factors influencing health status [yes]</c:v>
                  </c:pt>
                  <c:pt idx="18">
                    <c:v>ICD-10 - Diseases of the nervous system [yes]</c:v>
                  </c:pt>
                  <c:pt idx="19">
                    <c:v>ICD-10 - Endocrine, nutritional and metabolic diseases [yes]</c:v>
                  </c:pt>
                  <c:pt idx="20">
                    <c:v>ICD-10 - Diseases of the musculoskeletal system [yes]</c:v>
                  </c:pt>
                  <c:pt idx="21">
                    <c:v>ICD-10 - Diseases of the ear [yes]</c:v>
                  </c:pt>
                </c:lvl>
                <c:lvl>
                  <c:pt idx="0">
                    <c:v>Age groups</c:v>
                  </c:pt>
                  <c:pt idx="4">
                    <c:v>Care dependency (CDS)</c:v>
                  </c:pt>
                  <c:pt idx="9">
                    <c:v>Binary patient-related fall risk factors</c:v>
                  </c:pt>
                </c:lvl>
              </c:multiLvlStrCache>
            </c:multiLvlStrRef>
          </c:cat>
          <c:val>
            <c:numRef>
              <c:f>Tabelle1!$C$7:$C$28</c:f>
              <c:numCache>
                <c:formatCode>General</c:formatCode>
                <c:ptCount val="22"/>
                <c:pt idx="0">
                  <c:v>0.38200000000000001</c:v>
                </c:pt>
                <c:pt idx="1">
                  <c:v>0.22699999999999998</c:v>
                </c:pt>
                <c:pt idx="2">
                  <c:v>0.248</c:v>
                </c:pt>
                <c:pt idx="3">
                  <c:v>0.14300000000000002</c:v>
                </c:pt>
                <c:pt idx="4">
                  <c:v>0.53500000000000003</c:v>
                </c:pt>
                <c:pt idx="5">
                  <c:v>0.245</c:v>
                </c:pt>
                <c:pt idx="6">
                  <c:v>0.14499999999999999</c:v>
                </c:pt>
                <c:pt idx="7">
                  <c:v>5.7999999999999996E-2</c:v>
                </c:pt>
                <c:pt idx="8">
                  <c:v>1.8000000000000002E-2</c:v>
                </c:pt>
                <c:pt idx="9">
                  <c:v>0.49099999999999999</c:v>
                </c:pt>
                <c:pt idx="10">
                  <c:v>0.309</c:v>
                </c:pt>
                <c:pt idx="11">
                  <c:v>0.35899999999999999</c:v>
                </c:pt>
                <c:pt idx="12">
                  <c:v>0.441</c:v>
                </c:pt>
                <c:pt idx="13">
                  <c:v>0.193</c:v>
                </c:pt>
                <c:pt idx="14">
                  <c:v>0.21899999999999997</c:v>
                </c:pt>
                <c:pt idx="15">
                  <c:v>0.16899999999999998</c:v>
                </c:pt>
                <c:pt idx="16">
                  <c:v>0.13300000000000001</c:v>
                </c:pt>
                <c:pt idx="17">
                  <c:v>7.0000000000000007E-2</c:v>
                </c:pt>
                <c:pt idx="18">
                  <c:v>0.14400000000000002</c:v>
                </c:pt>
                <c:pt idx="19">
                  <c:v>0.35</c:v>
                </c:pt>
                <c:pt idx="20">
                  <c:v>0.40600000000000003</c:v>
                </c:pt>
                <c:pt idx="21">
                  <c:v>2.7000000000000003E-2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A-42CB-BFD8-B0FE5464B3B5}"/>
            </c:ext>
          </c:extLst>
        </c:ser>
        <c:ser>
          <c:idx val="1"/>
          <c:order val="1"/>
          <c:tx>
            <c:strRef>
              <c:f>Tabelle1!$D$5:$D$6</c:f>
              <c:strCache>
                <c:ptCount val="2"/>
                <c:pt idx="0">
                  <c:v>Austria</c:v>
                </c:pt>
                <c:pt idx="1">
                  <c:v>(n=7,986)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Tabelle1!$A$7:$B$28</c:f>
              <c:multiLvlStrCache>
                <c:ptCount val="22"/>
                <c:lvl>
                  <c:pt idx="0">
                    <c:v>18-64 years</c:v>
                  </c:pt>
                  <c:pt idx="1">
                    <c:v>65-74 years</c:v>
                  </c:pt>
                  <c:pt idx="2">
                    <c:v>75-84 years</c:v>
                  </c:pt>
                  <c:pt idx="3">
                    <c:v>≥85 years</c:v>
                  </c:pt>
                  <c:pt idx="4">
                    <c:v>care independent [70-75]</c:v>
                  </c:pt>
                  <c:pt idx="5">
                    <c:v>to a great extent independent [60-69]</c:v>
                  </c:pt>
                  <c:pt idx="6">
                    <c:v>partially dependent [45-59]</c:v>
                  </c:pt>
                  <c:pt idx="7">
                    <c:v>to a great extent dependent [25-44]</c:v>
                  </c:pt>
                  <c:pt idx="8">
                    <c:v>completely dependent [15-24]</c:v>
                  </c:pt>
                  <c:pt idx="9">
                    <c:v>Sex [female]</c:v>
                  </c:pt>
                  <c:pt idx="10">
                    <c:v>Fall in the last 12 months [yes]</c:v>
                  </c:pt>
                  <c:pt idx="11">
                    <c:v>Sedative/psychotropic medications intake [yes]</c:v>
                  </c:pt>
                  <c:pt idx="12">
                    <c:v>Surgical procedure within 14 days prior to measurement [yes]</c:v>
                  </c:pt>
                  <c:pt idx="13">
                    <c:v>ICD-10 - Mental and behavioural disorders [yes]</c:v>
                  </c:pt>
                  <c:pt idx="14">
                    <c:v>ICD-10 - Neoplasms [yes]</c:v>
                  </c:pt>
                  <c:pt idx="15">
                    <c:v>ICD-10 - Diseases of the blood and blood-forming organs [yes]</c:v>
                  </c:pt>
                  <c:pt idx="16">
                    <c:v>ICD-10 - Certain infectious and parasitic diseases [yes]</c:v>
                  </c:pt>
                  <c:pt idx="17">
                    <c:v>ICD-10 - Factors influencing health status [yes]</c:v>
                  </c:pt>
                  <c:pt idx="18">
                    <c:v>ICD-10 - Diseases of the nervous system [yes]</c:v>
                  </c:pt>
                  <c:pt idx="19">
                    <c:v>ICD-10 - Endocrine, nutritional and metabolic diseases [yes]</c:v>
                  </c:pt>
                  <c:pt idx="20">
                    <c:v>ICD-10 - Diseases of the musculoskeletal system [yes]</c:v>
                  </c:pt>
                  <c:pt idx="21">
                    <c:v>ICD-10 - Diseases of the ear [yes]</c:v>
                  </c:pt>
                </c:lvl>
                <c:lvl>
                  <c:pt idx="0">
                    <c:v>Age groups</c:v>
                  </c:pt>
                  <c:pt idx="4">
                    <c:v>Care dependency (CDS)</c:v>
                  </c:pt>
                  <c:pt idx="9">
                    <c:v>Binary patient-related fall risk factors</c:v>
                  </c:pt>
                </c:lvl>
              </c:multiLvlStrCache>
            </c:multiLvlStrRef>
          </c:cat>
          <c:val>
            <c:numRef>
              <c:f>Tabelle1!$D$7:$D$28</c:f>
              <c:numCache>
                <c:formatCode>General</c:formatCode>
                <c:ptCount val="22"/>
                <c:pt idx="0">
                  <c:v>0.373</c:v>
                </c:pt>
                <c:pt idx="1">
                  <c:v>0.23399999999999999</c:v>
                </c:pt>
                <c:pt idx="2">
                  <c:v>0.26700000000000002</c:v>
                </c:pt>
                <c:pt idx="3">
                  <c:v>0.126</c:v>
                </c:pt>
                <c:pt idx="4">
                  <c:v>0.629</c:v>
                </c:pt>
                <c:pt idx="5">
                  <c:v>0.16500000000000001</c:v>
                </c:pt>
                <c:pt idx="6">
                  <c:v>0.106</c:v>
                </c:pt>
                <c:pt idx="7">
                  <c:v>6.5000000000000002E-2</c:v>
                </c:pt>
                <c:pt idx="8">
                  <c:v>3.4000000000000002E-2</c:v>
                </c:pt>
                <c:pt idx="9">
                  <c:v>0.51600000000000001</c:v>
                </c:pt>
                <c:pt idx="10">
                  <c:v>0.24299999999999999</c:v>
                </c:pt>
                <c:pt idx="11">
                  <c:v>0.307</c:v>
                </c:pt>
                <c:pt idx="12">
                  <c:v>0.25900000000000001</c:v>
                </c:pt>
                <c:pt idx="13">
                  <c:v>0.13699999999999998</c:v>
                </c:pt>
                <c:pt idx="14">
                  <c:v>0.19500000000000001</c:v>
                </c:pt>
                <c:pt idx="15">
                  <c:v>8.900000000000001E-2</c:v>
                </c:pt>
                <c:pt idx="16">
                  <c:v>7.2999999999999995E-2</c:v>
                </c:pt>
                <c:pt idx="17">
                  <c:v>8.6999999999999994E-2</c:v>
                </c:pt>
                <c:pt idx="18">
                  <c:v>0.13400000000000001</c:v>
                </c:pt>
                <c:pt idx="19">
                  <c:v>0.34200000000000003</c:v>
                </c:pt>
                <c:pt idx="20">
                  <c:v>0.27500000000000002</c:v>
                </c:pt>
                <c:pt idx="21">
                  <c:v>1.8000000000000002E-2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EA-42CB-BFD8-B0FE5464B3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7466640"/>
        <c:axId val="468332192"/>
      </c:barChart>
      <c:catAx>
        <c:axId val="46746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468332192"/>
        <c:crosses val="autoZero"/>
        <c:auto val="1"/>
        <c:lblAlgn val="ctr"/>
        <c:lblOffset val="100"/>
        <c:noMultiLvlLbl val="0"/>
      </c:catAx>
      <c:valAx>
        <c:axId val="468332192"/>
        <c:scaling>
          <c:orientation val="minMax"/>
          <c:max val="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46746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FH">
  <a:themeElements>
    <a:clrScheme name="BFH2">
      <a:dk1>
        <a:sysClr val="windowText" lastClr="000000"/>
      </a:dk1>
      <a:lt1>
        <a:sysClr val="window" lastClr="FFFFFF"/>
      </a:lt1>
      <a:dk2>
        <a:srgbClr val="697D91"/>
      </a:dk2>
      <a:lt2>
        <a:srgbClr val="EEECE1"/>
      </a:lt2>
      <a:accent1>
        <a:srgbClr val="556455"/>
      </a:accent1>
      <a:accent2>
        <a:srgbClr val="8CAF82"/>
      </a:accent2>
      <a:accent3>
        <a:srgbClr val="506E96"/>
      </a:accent3>
      <a:accent4>
        <a:srgbClr val="87B9C8"/>
      </a:accent4>
      <a:accent5>
        <a:srgbClr val="645078"/>
      </a:accent5>
      <a:accent6>
        <a:srgbClr val="A087AA"/>
      </a:accent6>
      <a:hlink>
        <a:srgbClr val="699BBE"/>
      </a:hlink>
      <a:folHlink>
        <a:srgbClr val="B99164"/>
      </a:folHlink>
    </a:clrScheme>
    <a:fontScheme name="Benutzerdefiniert 1">
      <a:majorFont>
        <a:latin typeface="Lucida Sans"/>
        <a:ea typeface=""/>
        <a:cs typeface="Times New Roman"/>
      </a:majorFont>
      <a:minorFont>
        <a:latin typeface="Lucida Sans"/>
        <a:ea typeface="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BF241-E22B-407D-AAD7-123A6550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Bernet Niklaus Stefan</dc:creator>
  <cp:keywords/>
  <dc:description/>
  <cp:lastModifiedBy>Bernet Niklaus Stefan</cp:lastModifiedBy>
  <cp:revision>4</cp:revision>
  <dcterms:created xsi:type="dcterms:W3CDTF">2024-01-30T14:25:00Z</dcterms:created>
  <dcterms:modified xsi:type="dcterms:W3CDTF">2024-01-30T16:17:00Z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6abafc85-59bc-4690-a728-a93c9c9492bd</vt:lpwstr>
  </property>
</Properties>
</file>