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CC3558" w14:textId="5896024A" w:rsidR="0087069D" w:rsidRPr="00E62CA4" w:rsidRDefault="00E05510" w:rsidP="003F447F">
      <w:pPr>
        <w:pStyle w:val="Title"/>
      </w:pPr>
      <w:r w:rsidRPr="003F447F">
        <w:t>Supplementary</w:t>
      </w:r>
      <w:r w:rsidRPr="00E62CA4">
        <w:t xml:space="preserve"> Electronic Material </w:t>
      </w:r>
    </w:p>
    <w:p w14:paraId="52422368" w14:textId="77777777" w:rsidR="0055378A" w:rsidRDefault="0055378A"/>
    <w:p w14:paraId="7E7B7054" w14:textId="2676C82D" w:rsidR="00E05510" w:rsidRPr="003F447F" w:rsidRDefault="00E05510" w:rsidP="003F447F">
      <w:pPr>
        <w:pStyle w:val="Heading1"/>
      </w:pPr>
      <w:r w:rsidRPr="003F447F">
        <w:t xml:space="preserve">Three-stage development of the </w:t>
      </w:r>
      <w:r w:rsidR="00051122" w:rsidRPr="003F447F">
        <w:t>eHealth</w:t>
      </w:r>
      <w:r w:rsidRPr="003F447F">
        <w:t>-C</w:t>
      </w:r>
      <w:r w:rsidR="00CD299F" w:rsidRPr="003F447F">
        <w:t>B</w:t>
      </w:r>
      <w:r w:rsidRPr="003F447F">
        <w:t>A framework</w:t>
      </w:r>
    </w:p>
    <w:p w14:paraId="08D80708" w14:textId="77777777" w:rsidR="00E05510" w:rsidRPr="00E62CA4" w:rsidRDefault="00E05510" w:rsidP="003F447F">
      <w:pPr>
        <w:pStyle w:val="Heading2"/>
      </w:pPr>
      <w:bookmarkStart w:id="0" w:name="_Toc54952417"/>
      <w:bookmarkStart w:id="1" w:name="_Toc72147059"/>
      <w:r w:rsidRPr="00E62CA4">
        <w:t>Stage 1</w:t>
      </w:r>
      <w:bookmarkEnd w:id="0"/>
      <w:r w:rsidRPr="00E62CA4">
        <w:t xml:space="preserve"> – </w:t>
      </w:r>
      <w:r w:rsidRPr="003F447F">
        <w:t>Literature</w:t>
      </w:r>
      <w:r w:rsidRPr="00E62CA4">
        <w:t xml:space="preserve"> Review</w:t>
      </w:r>
      <w:bookmarkEnd w:id="1"/>
    </w:p>
    <w:p w14:paraId="1BAA423A" w14:textId="2A93694B" w:rsidR="00E05510" w:rsidRDefault="00E05510" w:rsidP="00E05510">
      <w:r>
        <w:t xml:space="preserve">A comprehensive </w:t>
      </w:r>
      <w:r w:rsidRPr="00D01D59">
        <w:t xml:space="preserve">scoping review to assess the </w:t>
      </w:r>
      <w:r>
        <w:t xml:space="preserve">current methodologies and </w:t>
      </w:r>
      <w:r w:rsidRPr="00D01D59">
        <w:t xml:space="preserve">proposed costs and benefits </w:t>
      </w:r>
      <w:r>
        <w:t xml:space="preserve">of EMR </w:t>
      </w:r>
      <w:r w:rsidRPr="00D01D59">
        <w:t xml:space="preserve">implementation published </w:t>
      </w:r>
      <w:r>
        <w:t>since 2000</w:t>
      </w:r>
      <w:r w:rsidR="00101EFC">
        <w:t xml:space="preserve"> (Figure </w:t>
      </w:r>
      <w:r w:rsidR="00B217D7">
        <w:t>SEM</w:t>
      </w:r>
      <w:r w:rsidR="00101EFC">
        <w:t>1)</w:t>
      </w:r>
      <w:r w:rsidR="003346B0">
        <w:t>.</w:t>
      </w:r>
      <w:r w:rsidRPr="00D01D59">
        <w:fldChar w:fldCharType="begin"/>
      </w:r>
      <w:r w:rsidR="00DE3614">
        <w:instrText xml:space="preserve"> ADDIN ZOTERO_ITEM CSL_CITATION {"citationID":"XUd2i7RC","properties":{"formattedCitation":"\\super 1\\nosupersub{}","plainCitation":"1","noteIndex":0},"citationItems":[{"id":"5NhQtA0M/l83UoO6U","uris":["http://zotero.org/users/7947971/items/X83RUCWY"],"itemData":{"id":17196,"type":"article-journal","abstract":"Digital transformation is expensive and rarely smooth, often leading to higher costs than anticipated. It is challenging to demonstrate the contribution of digital health investment in achieving the healthcare aims of population health and workforce sustainability. We conducted a scoping review to understand how electronic medical record (EMR) implementations in the hospital setting have been evaluated using cost-benefit analysis (CBA) approaches. The review search resulted in 1184 unique articles, a final list of 28 was collated of which 20 were US-based studies. All studies were published in 2010-2019, with fewer studies published in more recent years. The data used to estimate benefits and costs were dated from 1996 to 2016, with most data from 2000 to 2010. Only three studies were qualified as using cost-benefit analysis approaches. While studies indicated that there is a positive impact from the EMR implementation, the impacts measured varied greatly. We concluded that the current literature demonstrates a lack of appropriate and comprehensive economic frameworks to understand the value of digital hospital implementations. Additionally, most studies failed to align fully to the quadruple aims of healthcare: they focused either on cost savings and/or improved patient outcomes and population health, none investigated healthcare-workforce sustainability.","container-title":"npj Digital Medicine","DOI":"10.1038/s41746-022-00565-1","ISSN":"2398-6352","issue":"1","language":"eng","note":"publisher: Nature Publishing Group","page":"29","source":"espace.library.uq.edu.au","title":"Economic evaluation and analyses of hospital-based electronic medical records (EMRs): a scoping review of international literature","title-short":"Economic evaluation and analyses of hospital-based electronic medical records (EMRs)","volume":"5","author":[{"family":"Nguyen","given":"Kim-Huong"},{"family":"Wright","given":"Chad"},{"family":"Simpson","given":"Digby"},{"family":"Woods","given":"Leanna"},{"family":"Comans","given":"Tracy"},{"family":"Sullivan","given":"Clair"}],"issued":{"date-parts":[["2022",3,8]]}}}],"schema":"https://github.com/citation-style-language/schema/raw/master/csl-citation.json"} </w:instrText>
      </w:r>
      <w:r w:rsidRPr="00D01D59">
        <w:fldChar w:fldCharType="separate"/>
      </w:r>
      <w:r w:rsidR="00665B34" w:rsidRPr="00665B34">
        <w:rPr>
          <w:rFonts w:cs="Times New Roman"/>
          <w:vertAlign w:val="superscript"/>
          <w:lang w:val="en-GB"/>
        </w:rPr>
        <w:t>1</w:t>
      </w:r>
      <w:r w:rsidRPr="00D01D59">
        <w:fldChar w:fldCharType="end"/>
      </w:r>
      <w:r w:rsidRPr="00D01D59">
        <w:t xml:space="preserve"> </w:t>
      </w:r>
      <w:r>
        <w:t>T</w:t>
      </w:r>
      <w:r w:rsidRPr="00D01D59">
        <w:t>hree core themes were identified in the review</w:t>
      </w:r>
      <w:r>
        <w:t xml:space="preserve">, </w:t>
      </w:r>
      <w:r w:rsidRPr="00D01D59">
        <w:t xml:space="preserve">that </w:t>
      </w:r>
      <w:r w:rsidR="00051D78">
        <w:t>was</w:t>
      </w:r>
      <w:r w:rsidRPr="00D01D59">
        <w:t xml:space="preserve"> deemed important to consider </w:t>
      </w:r>
      <w:r>
        <w:t>when developing a digital health cost</w:t>
      </w:r>
      <w:r w:rsidR="00741CD1">
        <w:t xml:space="preserve">-benefit </w:t>
      </w:r>
      <w:r>
        <w:t xml:space="preserve">analysis </w:t>
      </w:r>
      <w:r w:rsidRPr="00D01D59">
        <w:t>framework</w:t>
      </w:r>
      <w:r>
        <w:t xml:space="preserve">: </w:t>
      </w:r>
    </w:p>
    <w:p w14:paraId="353A4C03" w14:textId="6D54E981" w:rsidR="00E05510" w:rsidRPr="00E05510" w:rsidRDefault="00E05510">
      <w:pPr>
        <w:pStyle w:val="ListParagraph"/>
        <w:rPr>
          <w:lang w:val="en-US"/>
        </w:rPr>
      </w:pPr>
      <w:r w:rsidRPr="00E05510">
        <w:rPr>
          <w:b/>
        </w:rPr>
        <w:t>Maturity of EMR and digital hospitals:</w:t>
      </w:r>
      <w:r w:rsidRPr="00D01D59">
        <w:t xml:space="preserve"> as EMR technolog</w:t>
      </w:r>
      <w:r>
        <w:t>ies</w:t>
      </w:r>
      <w:r w:rsidRPr="00D01D59">
        <w:t xml:space="preserve"> </w:t>
      </w:r>
      <w:r w:rsidR="00051D78">
        <w:t>mature</w:t>
      </w:r>
      <w:r w:rsidRPr="00D01D59">
        <w:t xml:space="preserve">, greater benefits have been observed. </w:t>
      </w:r>
      <w:r>
        <w:t xml:space="preserve">Most </w:t>
      </w:r>
      <w:r w:rsidRPr="00D01D59">
        <w:t xml:space="preserve">recent literature indicates that EMR has increasingly led to improvements in </w:t>
      </w:r>
      <w:r w:rsidR="00051D78">
        <w:t xml:space="preserve">the </w:t>
      </w:r>
      <w:r w:rsidRPr="00D01D59">
        <w:t xml:space="preserve">quality of care and is becoming viable on a purely financial basis. </w:t>
      </w:r>
    </w:p>
    <w:p w14:paraId="1882D4DA" w14:textId="72179DB3" w:rsidR="00E05510" w:rsidRPr="005E647F" w:rsidRDefault="00E05510">
      <w:pPr>
        <w:pStyle w:val="ListParagraph"/>
        <w:rPr>
          <w:lang w:val="en-US"/>
        </w:rPr>
      </w:pPr>
      <w:r w:rsidRPr="005E647F">
        <w:rPr>
          <w:b/>
        </w:rPr>
        <w:t>Economies of scope and scale:</w:t>
      </w:r>
      <w:r w:rsidRPr="00D01D59">
        <w:t xml:space="preserve"> current capabilities of EMR make it a solution for simple problems with the greatest impact in </w:t>
      </w:r>
      <w:r w:rsidR="00051D78">
        <w:t>poor-performing</w:t>
      </w:r>
      <w:r w:rsidRPr="00D01D59">
        <w:t xml:space="preserve"> healthcare systems. With further adoption, accruing positive network externalities </w:t>
      </w:r>
      <w:r>
        <w:t xml:space="preserve">enable </w:t>
      </w:r>
      <w:r w:rsidRPr="00D01D59">
        <w:t xml:space="preserve">EMR </w:t>
      </w:r>
      <w:r>
        <w:t xml:space="preserve">to </w:t>
      </w:r>
      <w:r w:rsidR="00755524">
        <w:t>solve more complex healthcare problems more effectively</w:t>
      </w:r>
      <w:r w:rsidRPr="00D01D59">
        <w:t xml:space="preserve">. </w:t>
      </w:r>
    </w:p>
    <w:p w14:paraId="2162DFC3" w14:textId="6C4110AC" w:rsidR="00E05510" w:rsidRDefault="00E05510">
      <w:pPr>
        <w:pStyle w:val="ListParagraph"/>
      </w:pPr>
      <w:r w:rsidRPr="00E05510">
        <w:rPr>
          <w:b/>
        </w:rPr>
        <w:t>Alignment of EMR with health system goals:</w:t>
      </w:r>
      <w:r w:rsidRPr="00D01D59">
        <w:t xml:space="preserve"> implementation of the EMR was commonly undertaken with the primary outcome being </w:t>
      </w:r>
      <w:r w:rsidR="00755524">
        <w:t xml:space="preserve">the </w:t>
      </w:r>
      <w:r w:rsidRPr="00D01D59">
        <w:t>successful delivery of the EMR itself</w:t>
      </w:r>
      <w:r>
        <w:t xml:space="preserve">. This is short-term </w:t>
      </w:r>
      <w:r w:rsidR="00755524">
        <w:t>output-oriented</w:t>
      </w:r>
      <w:r>
        <w:t xml:space="preserve">, in contrast to medium and long-term </w:t>
      </w:r>
      <w:r w:rsidR="00755524">
        <w:t>outcome-oriented</w:t>
      </w:r>
      <w:r>
        <w:t xml:space="preserve">, in which ultimate outcomes such as improved population health, increased patient safety and quality of life, </w:t>
      </w:r>
      <w:r w:rsidR="00755524">
        <w:t xml:space="preserve">and </w:t>
      </w:r>
      <w:r>
        <w:t xml:space="preserve">improved satisfaction and </w:t>
      </w:r>
      <w:r w:rsidR="00755524">
        <w:t>well-being</w:t>
      </w:r>
      <w:r>
        <w:t xml:space="preserve"> of the healthcare workforce. The latter </w:t>
      </w:r>
      <w:r w:rsidR="00EF0C84">
        <w:t>is</w:t>
      </w:r>
      <w:r>
        <w:t xml:space="preserve"> more aligned with the quadruple aims of healthcare, yet non-existence in the literature </w:t>
      </w:r>
      <w:r w:rsidR="00EF0C84">
        <w:t>on</w:t>
      </w:r>
      <w:r>
        <w:t xml:space="preserve"> digital hospital evaluation.</w:t>
      </w:r>
    </w:p>
    <w:p w14:paraId="128E6CC4" w14:textId="0AB14710" w:rsidR="00E05510" w:rsidRDefault="00E05510" w:rsidP="00E05510">
      <w:r>
        <w:t>The literature search also pointed us toward approaches that could contribute to the framework development. Two approaches, the “elements of value” and the digital health benefit evaluation were deemed most complementary to the C</w:t>
      </w:r>
      <w:r w:rsidR="00741CD1">
        <w:t>B</w:t>
      </w:r>
      <w:r>
        <w:t>A approach.</w:t>
      </w:r>
    </w:p>
    <w:p w14:paraId="0277F235" w14:textId="4D1F63C8" w:rsidR="00922CA8" w:rsidRDefault="003F447F" w:rsidP="00E05510">
      <w:r>
        <w:rPr>
          <w:noProof/>
        </w:rPr>
        <w:drawing>
          <wp:inline distT="0" distB="0" distL="0" distR="0" wp14:anchorId="77C59681" wp14:editId="2916BC24">
            <wp:extent cx="5730141" cy="1577591"/>
            <wp:effectExtent l="0" t="0" r="4445" b="3810"/>
            <wp:docPr id="2" name="Picture 2"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ext&#10;&#10;Description automatically generated"/>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t="21194" b="29860"/>
                    <a:stretch/>
                  </pic:blipFill>
                  <pic:spPr bwMode="auto">
                    <a:xfrm>
                      <a:off x="0" y="0"/>
                      <a:ext cx="5731510" cy="1577968"/>
                    </a:xfrm>
                    <a:prstGeom prst="rect">
                      <a:avLst/>
                    </a:prstGeom>
                    <a:noFill/>
                    <a:ln>
                      <a:noFill/>
                    </a:ln>
                    <a:extLst>
                      <a:ext uri="{53640926-AAD7-44D8-BBD7-CCE9431645EC}">
                        <a14:shadowObscured xmlns:a14="http://schemas.microsoft.com/office/drawing/2010/main"/>
                      </a:ext>
                    </a:extLst>
                  </pic:spPr>
                </pic:pic>
              </a:graphicData>
            </a:graphic>
          </wp:inline>
        </w:drawing>
      </w:r>
    </w:p>
    <w:p w14:paraId="3DE26E54" w14:textId="77777777" w:rsidR="00C9493C" w:rsidRDefault="00811918" w:rsidP="683B4E8D">
      <w:pPr>
        <w:rPr>
          <w:b/>
          <w:bCs/>
          <w:i/>
          <w:iCs/>
        </w:rPr>
      </w:pPr>
      <w:r w:rsidRPr="683B4E8D">
        <w:rPr>
          <w:b/>
          <w:bCs/>
          <w:i/>
          <w:iCs/>
        </w:rPr>
        <w:t xml:space="preserve">Figure </w:t>
      </w:r>
      <w:r w:rsidR="006223B6" w:rsidRPr="683B4E8D">
        <w:rPr>
          <w:b/>
          <w:bCs/>
          <w:i/>
          <w:iCs/>
        </w:rPr>
        <w:t>SEM</w:t>
      </w:r>
      <w:r w:rsidRPr="683B4E8D">
        <w:rPr>
          <w:b/>
          <w:bCs/>
          <w:i/>
          <w:iCs/>
        </w:rPr>
        <w:t>1.</w:t>
      </w:r>
      <w:r w:rsidR="0006301A" w:rsidRPr="683B4E8D">
        <w:rPr>
          <w:b/>
          <w:bCs/>
          <w:i/>
          <w:iCs/>
        </w:rPr>
        <w:t xml:space="preserve"> S</w:t>
      </w:r>
      <w:r w:rsidR="0E696A4B" w:rsidRPr="683B4E8D">
        <w:rPr>
          <w:b/>
          <w:bCs/>
          <w:i/>
          <w:iCs/>
        </w:rPr>
        <w:t>tage 1: Sc</w:t>
      </w:r>
      <w:r w:rsidR="0006301A" w:rsidRPr="683B4E8D">
        <w:rPr>
          <w:b/>
          <w:bCs/>
          <w:i/>
          <w:iCs/>
        </w:rPr>
        <w:t xml:space="preserve">oping review </w:t>
      </w:r>
      <w:r w:rsidR="59CDED6F" w:rsidRPr="683B4E8D">
        <w:rPr>
          <w:b/>
          <w:bCs/>
          <w:i/>
          <w:iCs/>
        </w:rPr>
        <w:t>process</w:t>
      </w:r>
      <w:r w:rsidR="00051122">
        <w:rPr>
          <w:b/>
          <w:bCs/>
          <w:i/>
          <w:iCs/>
        </w:rPr>
        <w:t xml:space="preserve">. </w:t>
      </w:r>
    </w:p>
    <w:p w14:paraId="3809BAC2" w14:textId="3DF2BB1D" w:rsidR="00CD5F40" w:rsidRPr="00C9493C" w:rsidRDefault="00C9493C" w:rsidP="683B4E8D">
      <w:r w:rsidRPr="00C9493C">
        <w:t xml:space="preserve">Abbreviation: </w:t>
      </w:r>
      <w:r w:rsidR="00051122" w:rsidRPr="00C9493C">
        <w:t>EMR</w:t>
      </w:r>
      <w:r>
        <w:t xml:space="preserve">: </w:t>
      </w:r>
      <w:r w:rsidR="00051122" w:rsidRPr="00C9493C">
        <w:t>electronic medical record</w:t>
      </w:r>
    </w:p>
    <w:p w14:paraId="4760C6B8" w14:textId="77777777" w:rsidR="00246EAD" w:rsidRPr="003F447F" w:rsidRDefault="00E05510" w:rsidP="003F447F">
      <w:pPr>
        <w:pStyle w:val="Heading3"/>
      </w:pPr>
      <w:r w:rsidRPr="003F447F">
        <w:lastRenderedPageBreak/>
        <w:t xml:space="preserve">The elements of value framework: </w:t>
      </w:r>
    </w:p>
    <w:p w14:paraId="79769411" w14:textId="34974E32" w:rsidR="00E05510" w:rsidRPr="0006157A" w:rsidRDefault="00E05510" w:rsidP="00E05510">
      <w:r w:rsidRPr="001F2BA6">
        <w:t xml:space="preserve">the ISPOR </w:t>
      </w:r>
      <w:r>
        <w:t xml:space="preserve">special </w:t>
      </w:r>
      <w:r w:rsidRPr="001F2BA6">
        <w:t xml:space="preserve">task force </w:t>
      </w:r>
      <w:r>
        <w:t xml:space="preserve">report </w:t>
      </w:r>
      <w:r w:rsidRPr="0006157A">
        <w:t>by Lakdawalla</w:t>
      </w:r>
      <w:r w:rsidRPr="001F2BA6">
        <w:t xml:space="preserve"> et al (2018)</w:t>
      </w:r>
      <w:r w:rsidR="00DD39B2">
        <w:fldChar w:fldCharType="begin"/>
      </w:r>
      <w:r w:rsidR="00DD39B2">
        <w:instrText xml:space="preserve"> ADDIN ZOTERO_ITEM CSL_CITATION {"citationID":"X0rVFKMX","properties":{"formattedCitation":"\\super 2\\nosupersub{}","plainCitation":"2","noteIndex":0},"citationItems":[{"id":2531,"uris":["http://zotero.org/users/8693389/items/FW77Z2FR"],"itemData":{"id":2531,"type":"article-journal","abstract":"The third section of our Special Task Force report identifies and defines a series of elements that warrant consideration in value assessments of medical technologies. We aim to broaden the view of what constitutes value in health care and to spur new research on incorporating additional elements of value into cost-effectiveness analysis (CEA). Twelve potential elements of value are considered. Four of them—quality-adjusted life-years, net costs, productivity, and adherence-improving factors—are conventionally included or considered in value assessments. Eight others, which would be more novel in economic assessments, are defined and discussed: reduction in uncertainty, fear of contagion, insurance value, severity of disease, value of hope, real option value, equity, and scientific spillovers. Most of these are theoretically well understood and available for inclusion in value assessments. The two exceptions are equity and scientific spillover effects, which require more theoretical development and consensus. A number of regulatory authorities around the globe have shown interest in some of these novel elements. Augmenting CEA to consider these additional elements would result in a more comprehensive CEA in line with the “impact inventory” of the Second Panel on Cost-Effectiveness in Health and Medicine. Possible approaches for valuation and inclusion of these elements include integrating them as part of a net monetary benefit calculation, including elements as attributes in health state descriptions, or using them as criteria in a multicriteria decision analysis. Further research is needed on how best to measure and include them in decision making.","container-title":"Value in Health","DOI":"10.1016/j.jval.2017.12.007","ISSN":"1098-3015","issue":"2","journalAbbreviation":"Value in Health","language":"en","page":"131-139","source":"ScienceDirect","title":"Defining Elements of Value in Health Care—A Health Economics Approach: An ISPOR Special Task Force Report [3]","title-short":"Defining Elements of Value in Health Care—A Health Economics Approach","volume":"21","author":[{"family":"Lakdawalla","given":"Darius N."},{"family":"Doshi","given":"Jalpa A."},{"family":"Garrison","given":"Louis P."},{"family":"Phelps","given":"Charles E."},{"family":"Basu","given":"Anirban"},{"family":"Danzon","given":"Patricia M."}],"issued":{"date-parts":[["2018",2,1]]},"citation-key":"Lakdawalla2018Defining"}}],"schema":"https://github.com/citation-style-language/schema/raw/master/csl-citation.json"} </w:instrText>
      </w:r>
      <w:r w:rsidR="00DD39B2">
        <w:fldChar w:fldCharType="separate"/>
      </w:r>
      <w:r w:rsidR="00DD39B2" w:rsidRPr="00DD39B2">
        <w:rPr>
          <w:rFonts w:cs="Times New Roman"/>
          <w:vertAlign w:val="superscript"/>
          <w:lang w:val="en-GB"/>
        </w:rPr>
        <w:t>2</w:t>
      </w:r>
      <w:r w:rsidR="00DD39B2">
        <w:fldChar w:fldCharType="end"/>
      </w:r>
      <w:r w:rsidRPr="001F2BA6">
        <w:t xml:space="preserve"> </w:t>
      </w:r>
      <w:r w:rsidRPr="0006157A">
        <w:t>discusses a series of elements that warrant consideration in value assessments of health and medical technologies.</w:t>
      </w:r>
      <w:r w:rsidR="00DD39B2" w:rsidRPr="0006157A">
        <w:t xml:space="preserve"> </w:t>
      </w:r>
      <w:r w:rsidRPr="0006157A">
        <w:t xml:space="preserve">They aimed to broaden the view of what constitutes value in health care and urged for new research of the additional elements. </w:t>
      </w:r>
    </w:p>
    <w:p w14:paraId="551B55EC" w14:textId="701F5F26" w:rsidR="00E05510" w:rsidRDefault="00E05510" w:rsidP="00E05510">
      <w:r w:rsidRPr="0006157A">
        <w:t xml:space="preserve">The </w:t>
      </w:r>
      <w:r w:rsidR="00F06B54">
        <w:rPr>
          <w:b/>
        </w:rPr>
        <w:t>light purple</w:t>
      </w:r>
      <w:r w:rsidRPr="0006157A">
        <w:rPr>
          <w:b/>
        </w:rPr>
        <w:t xml:space="preserve"> elements </w:t>
      </w:r>
      <w:r w:rsidRPr="001F2BA6">
        <w:rPr>
          <w:bCs/>
        </w:rPr>
        <w:t>in Figure</w:t>
      </w:r>
      <w:r w:rsidRPr="0006157A">
        <w:rPr>
          <w:b/>
        </w:rPr>
        <w:t xml:space="preserve"> </w:t>
      </w:r>
      <w:r w:rsidR="00014719">
        <w:t>SEM2</w:t>
      </w:r>
      <w:r w:rsidRPr="0006157A">
        <w:t xml:space="preserve"> represent the</w:t>
      </w:r>
      <w:r w:rsidRPr="00D639E8">
        <w:t xml:space="preserve"> current approach used </w:t>
      </w:r>
      <w:r w:rsidR="00CA58A1">
        <w:t xml:space="preserve">to evaluate </w:t>
      </w:r>
      <w:r w:rsidR="00EF0C84">
        <w:t xml:space="preserve">the </w:t>
      </w:r>
      <w:r w:rsidR="00CA58A1">
        <w:t>impacts of health technologies and EMR</w:t>
      </w:r>
      <w:r w:rsidRPr="00D639E8">
        <w:t xml:space="preserve"> in Australia and internationally. These include net costs - capturing the investment and operating costs as well as any cost savings realised by EMR implementation, the value of </w:t>
      </w:r>
      <w:r w:rsidR="00EF0C84">
        <w:t>quality-adjusted</w:t>
      </w:r>
      <w:r w:rsidRPr="00D639E8">
        <w:t xml:space="preserve"> life years (QALYs) – the standard economic measure capturing the impact of health technologies or interventions on extending </w:t>
      </w:r>
      <w:r w:rsidR="00EF0C84">
        <w:t xml:space="preserve">the </w:t>
      </w:r>
      <w:r w:rsidRPr="00D639E8">
        <w:t xml:space="preserve">length of life, or quality of life. </w:t>
      </w:r>
    </w:p>
    <w:p w14:paraId="14BC216B" w14:textId="7B65D615" w:rsidR="00E05510" w:rsidRPr="00D639E8" w:rsidRDefault="00E05510" w:rsidP="00E05510">
      <w:r w:rsidRPr="00D639E8">
        <w:t xml:space="preserve">The </w:t>
      </w:r>
      <w:r w:rsidR="00F06B54">
        <w:rPr>
          <w:b/>
        </w:rPr>
        <w:t xml:space="preserve">pink </w:t>
      </w:r>
      <w:r>
        <w:rPr>
          <w:b/>
        </w:rPr>
        <w:t xml:space="preserve">elements </w:t>
      </w:r>
      <w:r w:rsidRPr="00D639E8">
        <w:t xml:space="preserve">represent emerging elements of value that have been either discussed or incorporated in the economic evaluations, yet not in a systematic way. These include the value of labour productivity – capturing the value of </w:t>
      </w:r>
      <w:r w:rsidR="00EF0C84">
        <w:t xml:space="preserve">the </w:t>
      </w:r>
      <w:r w:rsidRPr="00D639E8">
        <w:t xml:space="preserve">marginal product of labour by both patients and medical staff should there </w:t>
      </w:r>
      <w:r w:rsidR="00976B3E">
        <w:t>be</w:t>
      </w:r>
      <w:r w:rsidRPr="00D639E8">
        <w:t xml:space="preserve"> evident that EMR has </w:t>
      </w:r>
      <w:r w:rsidR="00976B3E">
        <w:t xml:space="preserve">an </w:t>
      </w:r>
      <w:r w:rsidRPr="00D639E8">
        <w:t xml:space="preserve">impact on labour productivity, and </w:t>
      </w:r>
      <w:r w:rsidR="00976B3E">
        <w:t xml:space="preserve">the </w:t>
      </w:r>
      <w:r w:rsidRPr="00D639E8">
        <w:t xml:space="preserve">value of treatment adherence – reflecting benefits from improved effectiveness of medical treatments and health services </w:t>
      </w:r>
      <w:r w:rsidR="00976B3E" w:rsidRPr="00D639E8">
        <w:t>because of</w:t>
      </w:r>
      <w:r w:rsidRPr="00D639E8">
        <w:t xml:space="preserve"> higher standardisation and precision of EMR-enabled care models. </w:t>
      </w:r>
    </w:p>
    <w:p w14:paraId="105AC1D1" w14:textId="3D28A370" w:rsidR="00E05510" w:rsidRDefault="00E05510" w:rsidP="00E05510">
      <w:r w:rsidRPr="00D639E8">
        <w:t xml:space="preserve">The </w:t>
      </w:r>
      <w:r w:rsidR="00F06B54">
        <w:rPr>
          <w:b/>
        </w:rPr>
        <w:t>green</w:t>
      </w:r>
      <w:r>
        <w:rPr>
          <w:b/>
        </w:rPr>
        <w:t xml:space="preserve"> elements </w:t>
      </w:r>
      <w:r w:rsidRPr="00D639E8">
        <w:t xml:space="preserve">represent items of economic value that are not currently considered in most evaluations, either due to </w:t>
      </w:r>
      <w:r w:rsidR="00976B3E">
        <w:t xml:space="preserve">a </w:t>
      </w:r>
      <w:r w:rsidRPr="00D639E8">
        <w:t xml:space="preserve">lack of economic methods to translate the medical evidence into value, or data deficits. </w:t>
      </w:r>
      <w:r>
        <w:t xml:space="preserve">The fact that these elements outnumber both the green and blue elements highlights the current limitation in </w:t>
      </w:r>
      <w:r w:rsidR="00976B3E">
        <w:t xml:space="preserve">the </w:t>
      </w:r>
      <w:r>
        <w:t>healthcare evaluation framework. On the other hand, explicit discussions of those elements open up opportunit</w:t>
      </w:r>
      <w:r w:rsidR="00B93B0A">
        <w:t>ies</w:t>
      </w:r>
      <w:r>
        <w:t xml:space="preserve"> for future research in methodologies such that those elements are better </w:t>
      </w:r>
      <w:proofErr w:type="gramStart"/>
      <w:r>
        <w:t>measured</w:t>
      </w:r>
      <w:proofErr w:type="gramEnd"/>
      <w:r>
        <w:t xml:space="preserve"> and their values are captured appropriately in healthcare project assessments. </w:t>
      </w:r>
    </w:p>
    <w:p w14:paraId="64186DA6" w14:textId="088FF000" w:rsidR="00AA7211" w:rsidRDefault="00AA7211" w:rsidP="00E05510">
      <w:r>
        <w:rPr>
          <w:noProof/>
        </w:rPr>
        <w:drawing>
          <wp:inline distT="0" distB="0" distL="0" distR="0" wp14:anchorId="14F6D7DD" wp14:editId="54EE117A">
            <wp:extent cx="4210696" cy="3912158"/>
            <wp:effectExtent l="0" t="0" r="0" b="0"/>
            <wp:docPr id="8" name="Picture 8" descr="Diagram, schemat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Diagram, schematic&#10;&#10;Description automatically generated"/>
                    <pic:cNvPicPr/>
                  </pic:nvPicPr>
                  <pic:blipFill rotWithShape="1">
                    <a:blip r:embed="rId12" cstate="print">
                      <a:extLst>
                        <a:ext uri="{28A0092B-C50C-407E-A947-70E740481C1C}">
                          <a14:useLocalDpi xmlns:a14="http://schemas.microsoft.com/office/drawing/2010/main" val="0"/>
                        </a:ext>
                      </a:extLst>
                    </a:blip>
                    <a:srcRect l="21508" r="17951"/>
                    <a:stretch/>
                  </pic:blipFill>
                  <pic:spPr bwMode="auto">
                    <a:xfrm>
                      <a:off x="0" y="0"/>
                      <a:ext cx="4235536" cy="3935237"/>
                    </a:xfrm>
                    <a:prstGeom prst="rect">
                      <a:avLst/>
                    </a:prstGeom>
                    <a:ln>
                      <a:noFill/>
                    </a:ln>
                    <a:extLst>
                      <a:ext uri="{53640926-AAD7-44D8-BBD7-CCE9431645EC}">
                        <a14:shadowObscured xmlns:a14="http://schemas.microsoft.com/office/drawing/2010/main"/>
                      </a:ext>
                    </a:extLst>
                  </pic:spPr>
                </pic:pic>
              </a:graphicData>
            </a:graphic>
          </wp:inline>
        </w:drawing>
      </w:r>
    </w:p>
    <w:p w14:paraId="0F6D594C" w14:textId="55B5B110" w:rsidR="00014719" w:rsidRDefault="00014719" w:rsidP="683B4E8D">
      <w:pPr>
        <w:rPr>
          <w:b/>
          <w:bCs/>
          <w:i/>
          <w:iCs/>
          <w:noProof/>
        </w:rPr>
      </w:pPr>
      <w:r w:rsidRPr="683B4E8D">
        <w:rPr>
          <w:noProof/>
        </w:rPr>
        <w:lastRenderedPageBreak/>
        <w:t xml:space="preserve"> </w:t>
      </w:r>
      <w:r w:rsidRPr="683B4E8D">
        <w:rPr>
          <w:b/>
          <w:bCs/>
          <w:i/>
          <w:iCs/>
          <w:noProof/>
        </w:rPr>
        <w:t>Figure SEM2. Elements of value</w:t>
      </w:r>
      <w:r w:rsidR="1A89842F" w:rsidRPr="683B4E8D">
        <w:rPr>
          <w:b/>
          <w:bCs/>
          <w:i/>
          <w:iCs/>
          <w:noProof/>
        </w:rPr>
        <w:t xml:space="preserve"> (adapted from Lakdawalla et al, 2018)</w:t>
      </w:r>
    </w:p>
    <w:p w14:paraId="3656A3E1" w14:textId="77777777" w:rsidR="00C9493C" w:rsidRPr="00014719" w:rsidRDefault="00C9493C" w:rsidP="683B4E8D">
      <w:pPr>
        <w:rPr>
          <w:b/>
          <w:bCs/>
          <w:i/>
          <w:iCs/>
        </w:rPr>
      </w:pPr>
    </w:p>
    <w:p w14:paraId="019A91BD" w14:textId="5B6EB300" w:rsidR="00246EAD" w:rsidRDefault="00E05510" w:rsidP="683B4E8D">
      <w:pPr>
        <w:pStyle w:val="Heading3"/>
      </w:pPr>
      <w:r w:rsidRPr="683B4E8D">
        <w:t xml:space="preserve">The </w:t>
      </w:r>
      <w:proofErr w:type="spellStart"/>
      <w:r w:rsidR="00E33B7B" w:rsidRPr="683B4E8D">
        <w:t>ehealth</w:t>
      </w:r>
      <w:proofErr w:type="spellEnd"/>
      <w:r w:rsidR="00E33B7B" w:rsidRPr="683B4E8D">
        <w:t xml:space="preserve"> </w:t>
      </w:r>
      <w:r w:rsidRPr="683B4E8D">
        <w:t>benefit</w:t>
      </w:r>
      <w:r w:rsidR="00E33B7B" w:rsidRPr="683B4E8D">
        <w:t xml:space="preserve"> </w:t>
      </w:r>
      <w:r w:rsidRPr="683B4E8D">
        <w:t xml:space="preserve">evaluation framework: </w:t>
      </w:r>
    </w:p>
    <w:p w14:paraId="6DCAC940" w14:textId="58E17290" w:rsidR="00E05510" w:rsidRPr="00E91944" w:rsidRDefault="00E33B7B" w:rsidP="00E05510">
      <w:r>
        <w:t xml:space="preserve">The framework was developed </w:t>
      </w:r>
      <w:r w:rsidR="00E05510">
        <w:t xml:space="preserve">by </w:t>
      </w:r>
      <w:r w:rsidR="00E05510" w:rsidRPr="6B561B66">
        <w:t xml:space="preserve">Lau and </w:t>
      </w:r>
      <w:proofErr w:type="spellStart"/>
      <w:r w:rsidR="00E05510" w:rsidRPr="6B561B66">
        <w:t>Kuziemsky</w:t>
      </w:r>
      <w:proofErr w:type="spellEnd"/>
      <w:r w:rsidR="002372AA">
        <w:t xml:space="preserve"> (2016)</w:t>
      </w:r>
      <w:r w:rsidR="00DF4A58">
        <w:t>,</w:t>
      </w:r>
      <w:r w:rsidR="00DF4A58">
        <w:fldChar w:fldCharType="begin"/>
      </w:r>
      <w:r w:rsidR="00DE3614">
        <w:instrText xml:space="preserve"> ADDIN ZOTERO_ITEM CSL_CITATION {"citationID":"TcCzhizy","properties":{"formattedCitation":"\\super 3\\nosupersub{}","plainCitation":"3","noteIndex":0},"citationItems":[{"id":2510,"uris":["http://zotero.org/users/8693389/items/XU2HUYZQ"],"itemData":{"id":2510,"type":"book","abstract":"This handbook presents the science and practice of eHealth evaluation based on empirical evidence gathered over many years within the health informatics discipline. The handbook describes different approaches used to evaluate the planning, design, implementation, use and impact of eHealth systems in different health settings. It also provides a snapshot of the current state of knowledge on the consequences of opting for eHealth systems with respect to their effects and implications on provider performance and health outcomes. This book is licensed under a Creative Commons Attribution-NonCommercial 4.0 license (CC BY-NC). Third party copyrighted material has been used with permission. Any further reuse must be cleared directly with the rights holder.","ISBN":"978-1-55058-601-5","language":"en","license":"Attribution-NonCommercial 2.5 Canada","note":"Accepted: 2017-02-27T18:18:40Z","source":"dspace.library.uvic.ca","title":"Handbook of eHealth Evaluation: An Evidence-based Approach","title-short":"Handbook of eHealth Evaluation","URL":"https://dspace.library.uvic.ca/handle/1828/7814","author":[{"family":"Lau","given":"Francis"},{"family":"Kuziemsky","given":"Craig"}],"accessed":{"date-parts":[["2023",2,4]]},"issued":{"date-parts":[["2016"]]}}}],"schema":"https://github.com/citation-style-language/schema/raw/master/csl-citation.json"} </w:instrText>
      </w:r>
      <w:r w:rsidR="00DF4A58">
        <w:fldChar w:fldCharType="separate"/>
      </w:r>
      <w:r w:rsidR="005105C0" w:rsidRPr="005105C0">
        <w:rPr>
          <w:rFonts w:cs="Times New Roman"/>
          <w:vertAlign w:val="superscript"/>
          <w:lang w:val="en-GB"/>
        </w:rPr>
        <w:t>3</w:t>
      </w:r>
      <w:r w:rsidR="00DF4A58">
        <w:fldChar w:fldCharType="end"/>
      </w:r>
      <w:r w:rsidR="00DF4A58">
        <w:t xml:space="preserve"> </w:t>
      </w:r>
      <w:r>
        <w:t xml:space="preserve">and </w:t>
      </w:r>
      <w:r w:rsidR="00E05510">
        <w:t xml:space="preserve">presented elements of </w:t>
      </w:r>
      <w:r w:rsidR="00E05510" w:rsidRPr="6B561B66">
        <w:rPr>
          <w:szCs w:val="24"/>
        </w:rPr>
        <w:t>success</w:t>
      </w:r>
      <w:r w:rsidR="00E05510">
        <w:rPr>
          <w:szCs w:val="24"/>
        </w:rPr>
        <w:t xml:space="preserve">ful </w:t>
      </w:r>
      <w:r w:rsidR="00E05510" w:rsidRPr="6B561B66">
        <w:rPr>
          <w:szCs w:val="24"/>
        </w:rPr>
        <w:t>information systems in different settings</w:t>
      </w:r>
      <w:r w:rsidR="00D14733">
        <w:rPr>
          <w:szCs w:val="24"/>
        </w:rPr>
        <w:t>,</w:t>
      </w:r>
      <w:r w:rsidR="00E05510" w:rsidRPr="6B561B66">
        <w:fldChar w:fldCharType="begin"/>
      </w:r>
      <w:r w:rsidR="00DE3614">
        <w:instrText xml:space="preserve"> ADDIN ZOTERO_ITEM CSL_CITATION {"citationID":"bFV4PCar","properties":{"formattedCitation":"\\super 4,5\\nosupersub{}","plainCitation":"4,5","noteIndex":0},"citationItems":[{"id":"5NhQtA0M/5ijRFUB3","uris":["http://zotero.org/users/7947971/items/FZR5XGMG"],"itemData":{"id":17215,"type":"article-journal","abstract":"A large number of studies have been conducted during the last decade and a half attempting to identify those factors that contribute to information systems success. However, the dependent variable in these studies—I/S success—has been an elusive one to define. Different researchers have addressed different aspects of success, making comparisons difficult and the prospect of building a cumulative tradition for I/S research similarly elusive. To organize this diverse research, as well as to present a more integrated view of the concept of I/S success, a comprehensive taxonomy is introduced. This taxonomy posits six major dimensions or categories of I/S success—SYSTEM QUALITY, INFORMATION QUALITY, USE, USER SATISFACTION, INDIVIDUAL IMPACT, and ORGANIZATIONAL IMPACT. Using these dimensions, both conceptual and empirical studies are then reviewed (a total of 180 articles are cited) and organized according to the dimensions of the taxonomy. Finally, the many aspects of I/S success are drawn together into a descriptive model and its implications for future I/S research are discussed.","container-title":"Information Systems Research","DOI":"10.1287/isre.3.1.60","ISSN":"1047-7047","issue":"1","note":"publisher: INFORMS","page":"60-95","source":"pubsonline.informs.org (Atypon)","title":"Information Systems Success: The Quest for the Dependent Variable","title-short":"Information Systems Success","volume":"3","author":[{"family":"DeLone","given":"William H."},{"family":"McLean","given":"Ephraim R."}],"issued":{"date-parts":[["1992",3]]}}},{"id":"5NhQtA0M/evhiRdMF","uris":["http://zotero.org/users/7947971/items/VTX8UENV"],"itemData":{"id":17216,"type":"article-journal","abstract":"Ten years ago, we presented the DeLone and McLean Information Systems (IS) Success Model as a framework and model for measuring the complex-dependent variable in IS research. In this paper, we discuss many of the important IS success research contributions of the last decade, focusing especially on research efforts that apply, validate, challenge, and propose enhancements to our original model. Based on our evaluation of those contributions, we propose minor refinements to the model and propose an updated DeLone and McLean IS Success Model. We discuss the utility of the updated model for measuring e-commerce system success. Finally, we make a series of recommendations regarding current and future measurement of IS success.","container-title":"Journal of Management Information Systems","DOI":"10.1080/07421222.2003.11045748","ISSN":"0742-1222","issue":"4","note":"publisher: Routledge\n_eprint: https://doi.org/10.1080/07421222.2003.11045748","page":"9-30","source":"Taylor and Francis+NEJM","title":"The DeLone and McLean Model of Information Systems Success: A Ten-Year Update","title-short":"The DeLone and McLean Model of Information Systems Success","volume":"19","author":[{"family":"Delone","given":"William H."},{"family":"McLean","given":"Ephraim"}],"issued":{"date-parts":[["2003",4,1]]}}}],"schema":"https://github.com/citation-style-language/schema/raw/master/csl-citation.json"} </w:instrText>
      </w:r>
      <w:r w:rsidR="00E05510" w:rsidRPr="6B561B66">
        <w:fldChar w:fldCharType="separate"/>
      </w:r>
      <w:r w:rsidR="00E4058E" w:rsidRPr="00E4058E">
        <w:rPr>
          <w:rFonts w:cs="Times New Roman"/>
          <w:vertAlign w:val="superscript"/>
          <w:lang w:val="en-GB"/>
        </w:rPr>
        <w:t>4,5</w:t>
      </w:r>
      <w:r w:rsidR="00E05510" w:rsidRPr="6B561B66">
        <w:fldChar w:fldCharType="end"/>
      </w:r>
      <w:r w:rsidR="00E05510">
        <w:rPr>
          <w:szCs w:val="24"/>
        </w:rPr>
        <w:t xml:space="preserve"> </w:t>
      </w:r>
      <w:r w:rsidR="00E05510" w:rsidRPr="6B561B66">
        <w:rPr>
          <w:szCs w:val="24"/>
        </w:rPr>
        <w:t>systematic review</w:t>
      </w:r>
      <w:r w:rsidR="00E05510">
        <w:rPr>
          <w:szCs w:val="24"/>
        </w:rPr>
        <w:t>s</w:t>
      </w:r>
      <w:r w:rsidR="00E05510" w:rsidRPr="6B561B66">
        <w:rPr>
          <w:szCs w:val="24"/>
        </w:rPr>
        <w:t xml:space="preserve"> on the determinants of success in inpatient clinical information systems</w:t>
      </w:r>
      <w:r w:rsidR="007C23AE">
        <w:rPr>
          <w:szCs w:val="24"/>
        </w:rPr>
        <w:t>,</w:t>
      </w:r>
      <w:r w:rsidR="00E05510" w:rsidRPr="6B561B66">
        <w:fldChar w:fldCharType="begin"/>
      </w:r>
      <w:r w:rsidR="00DE3614">
        <w:instrText xml:space="preserve"> ADDIN ZOTERO_ITEM CSL_CITATION {"citationID":"AcylYiqf","properties":{"formattedCitation":"\\super 6\\nosupersub{}","plainCitation":"6","noteIndex":0},"citationItems":[{"id":"5NhQtA0M/fuaZmT7T","uris":["http://zotero.org/users/7947971/items/68L6ZRUF"],"itemData":{"id":17218,"type":"article-journal","abstract":"We reviewed the English and Dutch literature on evaluations of patient care information systems that require data entry by health care professionals published from 1991 to 2001. Our objectives were to identify attributes that were used to assess the success of such systems and to test the ability of a framework developed by Delone and McLean for management information systems1 to categorize these attributes correctly. The framework includes six dimensions or success factors: system quality, information quality, usage, user satisfaction, individual impact, and organizational impact. Thirty-three papers were selected for complete review. Types of study design included descriptive, correlational, comparative, and case studies. A variety of relevant attributes could be assigned to the six dimensions in the Delone and McLean framework, but some attributes, predominantly in cases of failure, did not fit any of the categories. They related to contingent factors, such as organizational culture. Our review points out the need for more thorough evaluations of patient care information systems that look at a wide range of factors that can affect the relative success or failure of these systems.","container-title":"Journal of the American Medical Informatics Association","DOI":"10.1197/jamia.M1094","ISSN":"1067-5027","issue":"3","journalAbbreviation":"Journal of the American Medical Informatics Association","page":"235-243","source":"Silverchair","title":"Determinants of Success of Inpatient Clinical Information Systems: A Literature Review","title-short":"Determinants of Success of Inpatient Clinical Information Systems","volume":"10","author":[{"family":"Meijden","given":"M. J.","non-dropping-particle":"van der"},{"family":"Tange","given":"H. J."},{"family":"Troost","given":"J."},{"family":"Hasman","given":"A."}],"issued":{"date-parts":[["2003",5,1]]}}}],"schema":"https://github.com/citation-style-language/schema/raw/master/csl-citation.json"} </w:instrText>
      </w:r>
      <w:r w:rsidR="00E05510" w:rsidRPr="6B561B66">
        <w:fldChar w:fldCharType="separate"/>
      </w:r>
      <w:r w:rsidR="00E4058E" w:rsidRPr="00E4058E">
        <w:rPr>
          <w:rFonts w:cs="Times New Roman"/>
          <w:vertAlign w:val="superscript"/>
          <w:lang w:val="en-GB"/>
        </w:rPr>
        <w:t>6</w:t>
      </w:r>
      <w:r w:rsidR="00E05510" w:rsidRPr="6B561B66">
        <w:fldChar w:fldCharType="end"/>
      </w:r>
      <w:r w:rsidR="00E05510" w:rsidRPr="6B561B66">
        <w:rPr>
          <w:szCs w:val="24"/>
        </w:rPr>
        <w:t xml:space="preserve"> and synthesis of results from health information system evaluations</w:t>
      </w:r>
      <w:r w:rsidR="004D6901">
        <w:rPr>
          <w:szCs w:val="24"/>
        </w:rPr>
        <w:t xml:space="preserve"> (Figure SEM3)</w:t>
      </w:r>
      <w:r w:rsidR="00D14733">
        <w:rPr>
          <w:szCs w:val="24"/>
        </w:rPr>
        <w:t>.</w:t>
      </w:r>
      <w:r w:rsidR="00E05510" w:rsidRPr="6B561B66">
        <w:fldChar w:fldCharType="begin"/>
      </w:r>
      <w:r w:rsidR="0010285D">
        <w:fldChar w:fldCharType="begin"/>
      </w:r>
      <w:r w:rsidR="0010285D">
        <w:instrText xml:space="preserve">  </w:instrText>
      </w:r>
      <w:r w:rsidR="0010285D">
        <w:fldChar w:fldCharType="end"/>
      </w:r>
      <w:r w:rsidR="00DE3614">
        <w:instrText xml:space="preserve"> ADDIN ZOTERO_ITEM CSL_CITATION {"citationID":"mS6UgEuJ","properties":{"formattedCitation":"\\super 7\\nosupersub{}","plainCitation":"7","noteIndex":0},"citationItems":[{"id":"5NhQtA0M/nYxJpRTC","uris":["http://zotero.org/users/7947971/items/FWJVKK77"],"itemData":{"id":17221,"type":"article-journal","abstract":"The purpose of this review is to consolidate existing evidence from published systematic reviews on health information system (HIS) evaluation studies to inform HIS practice and research. Fifty reviews published during 1994–2008 were selected for meta-level synthesis. These reviews covered five areas: medication management, preventive care, health conditions, data quality, and care process/outcome. After reconciliation for duplicates, 1276 HIS studies were arrived at as the non-overlapping corpus. On the basis of a subset of 287 controlled HIS studies, there is some evidence for improved quality of care, but in varying degrees across topic areas. For instance, 31/43 (72%) controlled HIS studies had positive results using preventive care reminders, mostly through guideline adherence such as immunization and health screening. Key factors that influence HIS success included having in-house systems, developers as users, integrated decision support and benchmark practices, and addressing such contextual issues as provider knowledge and perception, incentives, and legislation/policy.","container-title":"Journal of the American Medical Informatics Association","DOI":"10.1136/jamia.2010.004838","ISSN":"1067-5027","issue":"6","journalAbbreviation":"Journal of the American Medical Informatics Association","page":"637-645","source":"Silverchair","title":"A review on systematic reviews of health information system studies","volume":"17","author":[{"family":"Lau","given":"Francis"},{"family":"Kuziemsky","given":"Craig"},{"family":"Price","given":"Morgan"},{"family":"Gardner","given":"Jesse"}],"issued":{"date-parts":[["2010",11,1]]}}}],"schema":"https://github.com/citation-style-language/schema/raw/master/csl-citation.json"} </w:instrText>
      </w:r>
      <w:r w:rsidR="00E05510" w:rsidRPr="6B561B66">
        <w:fldChar w:fldCharType="separate"/>
      </w:r>
      <w:r w:rsidR="00E4058E" w:rsidRPr="00E4058E">
        <w:rPr>
          <w:rFonts w:cs="Times New Roman"/>
          <w:vertAlign w:val="superscript"/>
          <w:lang w:val="en-GB"/>
        </w:rPr>
        <w:t>7</w:t>
      </w:r>
      <w:r w:rsidR="00E05510" w:rsidRPr="6B561B66">
        <w:fldChar w:fldCharType="end"/>
      </w:r>
      <w:r w:rsidR="00E05510" w:rsidRPr="6B561B66">
        <w:rPr>
          <w:szCs w:val="24"/>
        </w:rPr>
        <w:t xml:space="preserve"> </w:t>
      </w:r>
      <w:r w:rsidR="00E05510">
        <w:rPr>
          <w:szCs w:val="24"/>
        </w:rPr>
        <w:t xml:space="preserve">It </w:t>
      </w:r>
      <w:r w:rsidR="00E05510" w:rsidRPr="6B561B66">
        <w:rPr>
          <w:szCs w:val="24"/>
        </w:rPr>
        <w:t>stop</w:t>
      </w:r>
      <w:r w:rsidR="00E05510">
        <w:rPr>
          <w:szCs w:val="24"/>
        </w:rPr>
        <w:t>s</w:t>
      </w:r>
      <w:r w:rsidR="00E05510" w:rsidRPr="6B561B66">
        <w:rPr>
          <w:szCs w:val="24"/>
        </w:rPr>
        <w:t xml:space="preserve"> at </w:t>
      </w:r>
      <w:r w:rsidR="00E05510">
        <w:rPr>
          <w:szCs w:val="24"/>
        </w:rPr>
        <w:t xml:space="preserve">naming </w:t>
      </w:r>
      <w:r w:rsidR="00E05510" w:rsidRPr="6B561B66">
        <w:rPr>
          <w:szCs w:val="24"/>
        </w:rPr>
        <w:t>the benefit items</w:t>
      </w:r>
      <w:r w:rsidR="00E05510">
        <w:rPr>
          <w:szCs w:val="24"/>
        </w:rPr>
        <w:t xml:space="preserve">. The economic values of benefit items were not presented or discussed, making </w:t>
      </w:r>
      <w:r w:rsidR="00E05510" w:rsidRPr="6B561B66">
        <w:rPr>
          <w:szCs w:val="24"/>
        </w:rPr>
        <w:t xml:space="preserve">it </w:t>
      </w:r>
      <w:r w:rsidR="00E05510">
        <w:rPr>
          <w:szCs w:val="24"/>
        </w:rPr>
        <w:t>im</w:t>
      </w:r>
      <w:r w:rsidR="00E05510" w:rsidRPr="6B561B66">
        <w:rPr>
          <w:szCs w:val="24"/>
        </w:rPr>
        <w:t xml:space="preserve">possible to </w:t>
      </w:r>
      <w:r w:rsidR="00E05510">
        <w:rPr>
          <w:szCs w:val="24"/>
        </w:rPr>
        <w:t xml:space="preserve">use </w:t>
      </w:r>
      <w:r w:rsidR="005E6D76">
        <w:rPr>
          <w:szCs w:val="24"/>
        </w:rPr>
        <w:t xml:space="preserve">them </w:t>
      </w:r>
      <w:r w:rsidR="00E05510">
        <w:rPr>
          <w:szCs w:val="24"/>
        </w:rPr>
        <w:t>for an economic evaluation</w:t>
      </w:r>
      <w:r w:rsidR="00E05510" w:rsidRPr="6B561B66">
        <w:rPr>
          <w:szCs w:val="24"/>
        </w:rPr>
        <w:t xml:space="preserve">. </w:t>
      </w:r>
    </w:p>
    <w:p w14:paraId="1797800F" w14:textId="7BE14469" w:rsidR="00E05510" w:rsidRDefault="00E05510" w:rsidP="00E05510">
      <w:r w:rsidRPr="00D639E8">
        <w:t xml:space="preserve">The three main domains of net benefits include care quality, access (to care) and productivity: </w:t>
      </w:r>
      <w:r w:rsidRPr="00E91944">
        <w:rPr>
          <w:b/>
          <w:bCs/>
        </w:rPr>
        <w:t>“Care quality”</w:t>
      </w:r>
      <w:r w:rsidRPr="00D639E8">
        <w:t xml:space="preserve"> covers a wide range of categories and measures, including patient safety (e.g., preventable adverse events, near-misses and errors, reduction in patient risks and safety-related reportable adverse events, surveillance in </w:t>
      </w:r>
      <w:r w:rsidR="005E6D76">
        <w:t xml:space="preserve">the </w:t>
      </w:r>
      <w:r w:rsidRPr="00D639E8">
        <w:t xml:space="preserve">monitoring of specific populations for patterns), appropriateness and effectiveness (e.g., adherence and compliance with benchmark, policy or practice standards and guidelines, immunisation and testing and other relevant rates, continuity of care) and health outcomes (e.g., clinical outcomes, change in health status attributable to eHealth interventions). </w:t>
      </w:r>
      <w:r w:rsidRPr="00E91944">
        <w:rPr>
          <w:b/>
          <w:bCs/>
        </w:rPr>
        <w:t>“Access”</w:t>
      </w:r>
      <w:r w:rsidRPr="00D639E8">
        <w:t xml:space="preserve"> captures </w:t>
      </w:r>
      <w:r w:rsidR="005E6D76">
        <w:t xml:space="preserve">the </w:t>
      </w:r>
      <w:r w:rsidRPr="00D639E8">
        <w:t xml:space="preserve">ability of patients and providers to access services (e.g., availability, diversity and consolidation of eHealth-enabled services, timeliness, geographic, </w:t>
      </w:r>
      <w:proofErr w:type="gramStart"/>
      <w:r w:rsidRPr="00D639E8">
        <w:t>financial</w:t>
      </w:r>
      <w:proofErr w:type="gramEnd"/>
      <w:r w:rsidRPr="00D639E8">
        <w:t xml:space="preserve"> and cultural or linguistic, removal of inequitable barriers) and participation by patients and carers (e.g., patients’ self-management and access to their own information). </w:t>
      </w:r>
      <w:r w:rsidRPr="00E91944">
        <w:rPr>
          <w:b/>
          <w:bCs/>
        </w:rPr>
        <w:t xml:space="preserve">“Productivity” </w:t>
      </w:r>
      <w:r w:rsidRPr="00D639E8">
        <w:t xml:space="preserve">includes efficiency (e.g., provider resource use, improvement </w:t>
      </w:r>
      <w:r w:rsidR="005E6D76">
        <w:t>in short-term</w:t>
      </w:r>
      <w:r w:rsidRPr="00D639E8">
        <w:t xml:space="preserve"> outputs vs. inputs, and </w:t>
      </w:r>
      <w:r w:rsidR="00B932DD">
        <w:t>long-term</w:t>
      </w:r>
      <w:r w:rsidRPr="00D639E8">
        <w:t xml:space="preserve"> in care continuity, improved health system management capability, improved patient efficiency and non-monetary effects), care coordination (e.g., care </w:t>
      </w:r>
      <w:r w:rsidR="00B932DD">
        <w:t>provided</w:t>
      </w:r>
      <w:r w:rsidRPr="00D639E8">
        <w:t xml:space="preserve"> by </w:t>
      </w:r>
      <w:r w:rsidR="00B932DD">
        <w:t xml:space="preserve">the </w:t>
      </w:r>
      <w:r w:rsidRPr="00D639E8">
        <w:t xml:space="preserve">team, continuity of care across </w:t>
      </w:r>
      <w:r w:rsidR="00B932DD">
        <w:t xml:space="preserve">the </w:t>
      </w:r>
      <w:r w:rsidRPr="00D639E8">
        <w:t>continuum) and net cost (e.g., monetary avoidance and/or reductions, actual and projected savings)</w:t>
      </w:r>
      <w:r>
        <w:t xml:space="preserve">. </w:t>
      </w:r>
    </w:p>
    <w:p w14:paraId="5DFBCC50" w14:textId="47A630AE" w:rsidR="002766BC" w:rsidRDefault="00BD51B2" w:rsidP="00E05510">
      <w:r>
        <w:rPr>
          <w:noProof/>
        </w:rPr>
        <w:drawing>
          <wp:inline distT="0" distB="0" distL="0" distR="0" wp14:anchorId="6E0490ED" wp14:editId="6178B910">
            <wp:extent cx="5730356" cy="2689609"/>
            <wp:effectExtent l="0" t="0" r="3810" b="0"/>
            <wp:docPr id="3" name="Picture 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Diagram&#10;&#10;Description automatically generated"/>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t="7583" b="8972"/>
                    <a:stretch/>
                  </pic:blipFill>
                  <pic:spPr bwMode="auto">
                    <a:xfrm>
                      <a:off x="0" y="0"/>
                      <a:ext cx="5731510" cy="2690151"/>
                    </a:xfrm>
                    <a:prstGeom prst="rect">
                      <a:avLst/>
                    </a:prstGeom>
                    <a:noFill/>
                    <a:ln>
                      <a:noFill/>
                    </a:ln>
                    <a:extLst>
                      <a:ext uri="{53640926-AAD7-44D8-BBD7-CCE9431645EC}">
                        <a14:shadowObscured xmlns:a14="http://schemas.microsoft.com/office/drawing/2010/main"/>
                      </a:ext>
                    </a:extLst>
                  </pic:spPr>
                </pic:pic>
              </a:graphicData>
            </a:graphic>
          </wp:inline>
        </w:drawing>
      </w:r>
    </w:p>
    <w:p w14:paraId="359800DD" w14:textId="60FA0758" w:rsidR="00901330" w:rsidRPr="00901330" w:rsidRDefault="00901330" w:rsidP="683B4E8D">
      <w:pPr>
        <w:rPr>
          <w:b/>
          <w:bCs/>
          <w:i/>
          <w:iCs/>
        </w:rPr>
      </w:pPr>
      <w:r w:rsidRPr="683B4E8D">
        <w:rPr>
          <w:b/>
          <w:bCs/>
          <w:i/>
          <w:iCs/>
        </w:rPr>
        <w:t xml:space="preserve">Figure SEM3. eHealth </w:t>
      </w:r>
      <w:r w:rsidR="004D6901" w:rsidRPr="683B4E8D">
        <w:rPr>
          <w:b/>
          <w:bCs/>
          <w:i/>
          <w:iCs/>
        </w:rPr>
        <w:t>B</w:t>
      </w:r>
      <w:r w:rsidRPr="683B4E8D">
        <w:rPr>
          <w:b/>
          <w:bCs/>
          <w:i/>
          <w:iCs/>
        </w:rPr>
        <w:t xml:space="preserve">enefit </w:t>
      </w:r>
      <w:r w:rsidR="004D6901" w:rsidRPr="683B4E8D">
        <w:rPr>
          <w:b/>
          <w:bCs/>
          <w:i/>
          <w:iCs/>
        </w:rPr>
        <w:t>E</w:t>
      </w:r>
      <w:r w:rsidRPr="683B4E8D">
        <w:rPr>
          <w:b/>
          <w:bCs/>
          <w:i/>
          <w:iCs/>
        </w:rPr>
        <w:t xml:space="preserve">valuation </w:t>
      </w:r>
      <w:r w:rsidR="004D6901" w:rsidRPr="683B4E8D">
        <w:rPr>
          <w:b/>
          <w:bCs/>
          <w:i/>
          <w:iCs/>
        </w:rPr>
        <w:t>F</w:t>
      </w:r>
      <w:r w:rsidRPr="683B4E8D">
        <w:rPr>
          <w:b/>
          <w:bCs/>
          <w:i/>
          <w:iCs/>
        </w:rPr>
        <w:t xml:space="preserve">ramework, copyright 2016 by Canadian Health </w:t>
      </w:r>
      <w:proofErr w:type="spellStart"/>
      <w:r w:rsidRPr="683B4E8D">
        <w:rPr>
          <w:b/>
          <w:bCs/>
          <w:i/>
          <w:iCs/>
        </w:rPr>
        <w:t>Inf</w:t>
      </w:r>
      <w:r w:rsidR="004624F9" w:rsidRPr="683B4E8D">
        <w:rPr>
          <w:b/>
          <w:bCs/>
          <w:i/>
          <w:iCs/>
        </w:rPr>
        <w:t>oway</w:t>
      </w:r>
      <w:proofErr w:type="spellEnd"/>
      <w:r w:rsidR="004624F9" w:rsidRPr="683B4E8D">
        <w:rPr>
          <w:b/>
          <w:bCs/>
          <w:i/>
          <w:iCs/>
        </w:rPr>
        <w:t xml:space="preserve"> Inc</w:t>
      </w:r>
      <w:r w:rsidR="00AF07F7" w:rsidRPr="683B4E8D">
        <w:rPr>
          <w:b/>
          <w:bCs/>
          <w:i/>
          <w:iCs/>
        </w:rPr>
        <w:t>.</w:t>
      </w:r>
      <w:r w:rsidR="004624F9" w:rsidRPr="683B4E8D">
        <w:rPr>
          <w:b/>
          <w:bCs/>
          <w:i/>
          <w:iCs/>
        </w:rPr>
        <w:t xml:space="preserve"> reproduced by Lau and </w:t>
      </w:r>
      <w:proofErr w:type="spellStart"/>
      <w:r w:rsidR="004624F9" w:rsidRPr="683B4E8D">
        <w:rPr>
          <w:b/>
          <w:bCs/>
          <w:i/>
          <w:iCs/>
        </w:rPr>
        <w:t>Kuziemsky</w:t>
      </w:r>
      <w:proofErr w:type="spellEnd"/>
      <w:r w:rsidR="004624F9" w:rsidRPr="683B4E8D">
        <w:rPr>
          <w:b/>
          <w:bCs/>
          <w:i/>
          <w:iCs/>
        </w:rPr>
        <w:t xml:space="preserve"> 2016</w:t>
      </w:r>
    </w:p>
    <w:p w14:paraId="06AD4365" w14:textId="63C10207" w:rsidR="00E05510" w:rsidRPr="00D639E8" w:rsidRDefault="00E05510" w:rsidP="683B4E8D"/>
    <w:p w14:paraId="4E488AB2" w14:textId="77777777" w:rsidR="000079FB" w:rsidRPr="00E62CA4" w:rsidRDefault="000079FB" w:rsidP="00E62CA4">
      <w:pPr>
        <w:pStyle w:val="Heading2"/>
      </w:pPr>
      <w:r w:rsidRPr="00E62CA4">
        <w:lastRenderedPageBreak/>
        <w:t>Stage 2 – Stakeholder consultation</w:t>
      </w:r>
    </w:p>
    <w:p w14:paraId="4FFDA9ED" w14:textId="3AA3D8CF" w:rsidR="000079FB" w:rsidRPr="00D639E8" w:rsidRDefault="000079FB" w:rsidP="6E40E144">
      <w:r>
        <w:t xml:space="preserve">A </w:t>
      </w:r>
      <w:r w:rsidR="1D31D0E9">
        <w:t xml:space="preserve">three-step </w:t>
      </w:r>
      <w:r>
        <w:t xml:space="preserve">systematic consultation process was adopted with </w:t>
      </w:r>
      <w:r w:rsidR="468E4640">
        <w:t xml:space="preserve">a purposive sample of </w:t>
      </w:r>
      <w:r>
        <w:t xml:space="preserve">relevant </w:t>
      </w:r>
      <w:r w:rsidR="7E4C0A4C">
        <w:t xml:space="preserve">healthcare </w:t>
      </w:r>
      <w:r>
        <w:t>stakeholders belonging to the Referent Group</w:t>
      </w:r>
      <w:r w:rsidR="00FF74EB">
        <w:t xml:space="preserve"> (Figure SEM4)</w:t>
      </w:r>
      <w:r>
        <w:t xml:space="preserve">.  </w:t>
      </w:r>
      <w:r w:rsidR="7C6FB635">
        <w:t>O</w:t>
      </w:r>
      <w:r w:rsidR="604E463D">
        <w:t xml:space="preserve">ur </w:t>
      </w:r>
      <w:r w:rsidR="51A044C2">
        <w:t xml:space="preserve">medical academic </w:t>
      </w:r>
      <w:r w:rsidR="5B4F9E6B">
        <w:t>centre is co-located on the hospital campus</w:t>
      </w:r>
      <w:r w:rsidR="0FCEED4D">
        <w:t>,</w:t>
      </w:r>
      <w:r w:rsidR="532C4FD8">
        <w:t xml:space="preserve"> </w:t>
      </w:r>
      <w:r w:rsidR="5AA1A237">
        <w:t xml:space="preserve">and project members have existing research or operational relationships with </w:t>
      </w:r>
      <w:r w:rsidR="532C4FD8">
        <w:t>healthcare s</w:t>
      </w:r>
      <w:r w:rsidR="7CE0B8B8">
        <w:t xml:space="preserve">takeholders </w:t>
      </w:r>
      <w:r w:rsidR="432506CA">
        <w:t xml:space="preserve">to invite their participation. </w:t>
      </w:r>
      <w:r w:rsidR="1876FF51">
        <w:t xml:space="preserve">For the digital hospital CBA analysis, the Reference Groups include patients, staff, the hospital as an entity, and the broader health district the hospital serves. Stakeholders who </w:t>
      </w:r>
      <w:r w:rsidR="7D577732">
        <w:t xml:space="preserve">agreed to </w:t>
      </w:r>
      <w:r w:rsidR="1876FF51">
        <w:t>participate repre</w:t>
      </w:r>
      <w:r w:rsidR="423D411A">
        <w:t xml:space="preserve">sent </w:t>
      </w:r>
      <w:r w:rsidR="167B771C">
        <w:t xml:space="preserve">four main groups: </w:t>
      </w:r>
      <w:r w:rsidR="686B7247">
        <w:t xml:space="preserve">the local health service, the healthcare system, </w:t>
      </w:r>
      <w:proofErr w:type="gramStart"/>
      <w:r w:rsidR="686B7247">
        <w:t>clinicians</w:t>
      </w:r>
      <w:proofErr w:type="gramEnd"/>
      <w:r w:rsidR="686B7247">
        <w:t xml:space="preserve"> and </w:t>
      </w:r>
      <w:r w:rsidR="49EC35EB">
        <w:t>digital health peak body.</w:t>
      </w:r>
      <w:r w:rsidR="423D411A">
        <w:t xml:space="preserve"> </w:t>
      </w:r>
      <w:r w:rsidR="2C31012C">
        <w:t xml:space="preserve">In each stakeholder consultation a scribe </w:t>
      </w:r>
      <w:r w:rsidR="290BB2D7">
        <w:t xml:space="preserve">took minutes representing stakeholder </w:t>
      </w:r>
      <w:r w:rsidR="45F4D77D">
        <w:t>perspectives</w:t>
      </w:r>
      <w:r w:rsidR="2C31012C">
        <w:t xml:space="preserve"> and preferences</w:t>
      </w:r>
      <w:r w:rsidR="0B8373C5">
        <w:t xml:space="preserve">. Content analysis of the minutes </w:t>
      </w:r>
      <w:r w:rsidR="57174B92">
        <w:t xml:space="preserve">was conducted </w:t>
      </w:r>
      <w:r w:rsidR="0B8373C5">
        <w:t xml:space="preserve">by the project </w:t>
      </w:r>
      <w:r w:rsidR="1F4D75EC">
        <w:t xml:space="preserve">members </w:t>
      </w:r>
      <w:r w:rsidR="61B91A5C">
        <w:t xml:space="preserve">following each consultation </w:t>
      </w:r>
      <w:r w:rsidR="0B8373C5">
        <w:t xml:space="preserve">to </w:t>
      </w:r>
      <w:r w:rsidR="7E9A3807">
        <w:t>aggregate</w:t>
      </w:r>
      <w:r w:rsidR="0B8373C5">
        <w:t xml:space="preserve"> findings to incorporate into improvements to the </w:t>
      </w:r>
      <w:r w:rsidR="73527147">
        <w:t>eHealth-CBA framework</w:t>
      </w:r>
      <w:r w:rsidR="7C00115F">
        <w:t xml:space="preserve">. </w:t>
      </w:r>
      <w:r w:rsidR="5BC21497">
        <w:t xml:space="preserve">Stakeholder consultation occurred </w:t>
      </w:r>
      <w:r w:rsidR="3A6EDCF6">
        <w:t>from February to May 2021</w:t>
      </w:r>
      <w:r w:rsidR="5BC21497">
        <w:t xml:space="preserve">. </w:t>
      </w:r>
    </w:p>
    <w:p w14:paraId="516CCC14" w14:textId="091924E5" w:rsidR="000079FB" w:rsidRDefault="000079FB">
      <w:r w:rsidRPr="6E40E144">
        <w:rPr>
          <w:noProof/>
          <w:lang w:eastAsia="en-AU"/>
        </w:rPr>
        <w:t xml:space="preserve">First, </w:t>
      </w:r>
      <w:r w:rsidR="5F02E4BF" w:rsidRPr="6E40E144">
        <w:rPr>
          <w:noProof/>
          <w:lang w:eastAsia="en-AU"/>
        </w:rPr>
        <w:t>a</w:t>
      </w:r>
      <w:r w:rsidR="6B6F11C4" w:rsidRPr="6E40E144">
        <w:rPr>
          <w:noProof/>
          <w:lang w:eastAsia="en-AU"/>
        </w:rPr>
        <w:t xml:space="preserve"> 2-hour </w:t>
      </w:r>
      <w:r w:rsidR="542A4393" w:rsidRPr="6E40E144">
        <w:rPr>
          <w:noProof/>
          <w:lang w:eastAsia="en-AU"/>
        </w:rPr>
        <w:t>hybrid (in-person and online)</w:t>
      </w:r>
      <w:r w:rsidRPr="6E40E144">
        <w:rPr>
          <w:noProof/>
          <w:lang w:eastAsia="en-AU"/>
        </w:rPr>
        <w:t xml:space="preserve"> </w:t>
      </w:r>
      <w:r>
        <w:t xml:space="preserve">consultative workshop </w:t>
      </w:r>
      <w:r w:rsidR="62B6B35E">
        <w:t xml:space="preserve">(n=1) </w:t>
      </w:r>
      <w:r>
        <w:t>was organised immediately after the initial findings from the literature review</w:t>
      </w:r>
      <w:r w:rsidR="7FDBBCC1">
        <w:t xml:space="preserve"> were available</w:t>
      </w:r>
      <w:r>
        <w:t xml:space="preserve"> (Stage 1). </w:t>
      </w:r>
      <w:r w:rsidR="6A10A861">
        <w:t xml:space="preserve">The workshop objective was </w:t>
      </w:r>
      <w:r>
        <w:t xml:space="preserve">to </w:t>
      </w:r>
      <w:r w:rsidR="719D693B">
        <w:t xml:space="preserve">(1) </w:t>
      </w:r>
      <w:r>
        <w:t xml:space="preserve">discuss the literature findings and </w:t>
      </w:r>
      <w:r w:rsidR="00B932DD">
        <w:t>their</w:t>
      </w:r>
      <w:r>
        <w:t xml:space="preserve"> implications </w:t>
      </w:r>
      <w:r w:rsidR="00B932DD">
        <w:t>for</w:t>
      </w:r>
      <w:r>
        <w:t xml:space="preserve"> the C</w:t>
      </w:r>
      <w:r w:rsidR="0049010F">
        <w:t>B</w:t>
      </w:r>
      <w:r>
        <w:t xml:space="preserve">A framework development, and </w:t>
      </w:r>
      <w:r w:rsidR="4DE5E6EB">
        <w:t xml:space="preserve">(2) </w:t>
      </w:r>
      <w:r>
        <w:t xml:space="preserve">to </w:t>
      </w:r>
      <w:r w:rsidR="773D8C8B">
        <w:t xml:space="preserve">begin to </w:t>
      </w:r>
      <w:r>
        <w:t>explore the feasibility, acceptability, and appropriateness of using the C</w:t>
      </w:r>
      <w:r w:rsidR="0049010F">
        <w:t>B</w:t>
      </w:r>
      <w:r>
        <w:t>A approach</w:t>
      </w:r>
      <w:r>
        <w:fldChar w:fldCharType="begin"/>
      </w:r>
      <w:r>
        <w:instrText xml:space="preserve"> ADDIN ZOTERO_ITEM CSL_CITATION {"citationID":"ddApx5kP","properties":{"formattedCitation":"\\super 8\\nosupersub{}","plainCitation":"8","noteIndex":0},"citationItems":[{"id":2796,"uris":["http://zotero.org/groups/647203/items/AXY9WHQA"],"itemData":{"id":2796,"type":"book","event-place":"London","ISBN":"978-1-317-53568-3","publisher":"Taylor and Francis","publisher-place":"London","title":"Cost-Benefit Analysis : Financial And Economic Appraisal Using Spreadsheets","title-short":"Cost-Benefit Analysis","author":[{"family":"Campbell","given":"Harry F."},{"family":"Brown","given":"Richard P. C."}],"issued":{"date-parts":[["2015"]]}}}],"schema":"https://github.com/citation-style-language/schema/raw/master/csl-citation.json"} </w:instrText>
      </w:r>
      <w:r>
        <w:fldChar w:fldCharType="separate"/>
      </w:r>
      <w:r w:rsidR="004E5449" w:rsidRPr="6E40E144">
        <w:rPr>
          <w:rFonts w:cs="Times New Roman"/>
          <w:vertAlign w:val="superscript"/>
        </w:rPr>
        <w:t>8</w:t>
      </w:r>
      <w:r>
        <w:fldChar w:fldCharType="end"/>
      </w:r>
      <w:r>
        <w:t xml:space="preserve"> to evaluate the economic value of EMR implementation. </w:t>
      </w:r>
      <w:r w:rsidR="76873CA1">
        <w:t>The workshop was conducted with member</w:t>
      </w:r>
      <w:r w:rsidR="31FCFF08">
        <w:t>s</w:t>
      </w:r>
      <w:r w:rsidR="76873CA1">
        <w:t xml:space="preserve"> from all four stakeholder groups (n=</w:t>
      </w:r>
      <w:r w:rsidR="02205793">
        <w:t>15</w:t>
      </w:r>
      <w:r w:rsidR="76873CA1">
        <w:t xml:space="preserve">). </w:t>
      </w:r>
      <w:r>
        <w:t xml:space="preserve">Second, </w:t>
      </w:r>
      <w:r w:rsidR="7949DBC2" w:rsidRPr="6E40E144">
        <w:rPr>
          <w:noProof/>
          <w:lang w:eastAsia="en-AU"/>
        </w:rPr>
        <w:t>follow-up consultations (</w:t>
      </w:r>
      <w:r w:rsidR="7537F570" w:rsidRPr="6E40E144">
        <w:rPr>
          <w:noProof/>
          <w:lang w:eastAsia="en-AU"/>
        </w:rPr>
        <w:t xml:space="preserve">group </w:t>
      </w:r>
      <w:r w:rsidR="06862E1F" w:rsidRPr="6E40E144">
        <w:rPr>
          <w:noProof/>
          <w:lang w:eastAsia="en-AU"/>
        </w:rPr>
        <w:t>meetings</w:t>
      </w:r>
      <w:r w:rsidR="150D5485" w:rsidRPr="6E40E144">
        <w:rPr>
          <w:noProof/>
          <w:lang w:eastAsia="en-AU"/>
        </w:rPr>
        <w:t xml:space="preserve"> n=2</w:t>
      </w:r>
      <w:r w:rsidR="1292F185" w:rsidRPr="6E40E144">
        <w:rPr>
          <w:noProof/>
          <w:lang w:eastAsia="en-AU"/>
        </w:rPr>
        <w:t>)</w:t>
      </w:r>
      <w:r w:rsidRPr="6E40E144">
        <w:rPr>
          <w:noProof/>
          <w:lang w:eastAsia="en-AU"/>
        </w:rPr>
        <w:t xml:space="preserve"> </w:t>
      </w:r>
      <w:r>
        <w:t xml:space="preserve">were </w:t>
      </w:r>
      <w:r w:rsidR="6291728A">
        <w:t>conducted with a subset of stakeholders from all four stakeholder groups</w:t>
      </w:r>
      <w:r w:rsidR="480DD0A5">
        <w:t xml:space="preserve"> (n=</w:t>
      </w:r>
      <w:r w:rsidR="1B47AAC5">
        <w:t>13</w:t>
      </w:r>
      <w:r w:rsidR="480DD0A5">
        <w:t>)</w:t>
      </w:r>
      <w:r w:rsidR="6291728A">
        <w:t xml:space="preserve">. The objective of the </w:t>
      </w:r>
      <w:r w:rsidR="7D0BDFC7">
        <w:t>consultations w</w:t>
      </w:r>
      <w:r w:rsidR="00884C4F">
        <w:t>as to (1) further discuss the feasibility and acceptability of CBA in evaluating digital hospitals</w:t>
      </w:r>
      <w:r>
        <w:t xml:space="preserve"> and </w:t>
      </w:r>
      <w:r w:rsidR="6DE9BEF8">
        <w:t xml:space="preserve">(2) </w:t>
      </w:r>
      <w:r>
        <w:t xml:space="preserve">to capture </w:t>
      </w:r>
      <w:r w:rsidR="00884C4F">
        <w:t>stakeholders' perspective</w:t>
      </w:r>
      <w:r w:rsidR="4DEF53EF">
        <w:t>s as the project continued</w:t>
      </w:r>
      <w:r w:rsidR="724611BF">
        <w:t>.</w:t>
      </w:r>
      <w:r>
        <w:t xml:space="preserve"> This is essential to reflect the practical experience and concerns </w:t>
      </w:r>
      <w:r w:rsidR="00B932DD">
        <w:t>of</w:t>
      </w:r>
      <w:r>
        <w:t xml:space="preserve"> practitioners</w:t>
      </w:r>
      <w:r w:rsidR="00884C4F">
        <w:t xml:space="preserve"> who directly implement and are affected by the EMR implementation</w:t>
      </w:r>
      <w:r>
        <w:t xml:space="preserve"> as inputs for the C</w:t>
      </w:r>
      <w:r w:rsidR="00695528">
        <w:t>B</w:t>
      </w:r>
      <w:r>
        <w:t xml:space="preserve">A framework. Third, result consultations </w:t>
      </w:r>
      <w:r w:rsidR="72D6DBDA">
        <w:t xml:space="preserve">(presentations </w:t>
      </w:r>
      <w:r w:rsidR="388A6E40">
        <w:t xml:space="preserve">to governance groups </w:t>
      </w:r>
      <w:r w:rsidR="72D6DBDA">
        <w:t xml:space="preserve">n=3; </w:t>
      </w:r>
      <w:r w:rsidR="6B45DD4D">
        <w:t xml:space="preserve">individual </w:t>
      </w:r>
      <w:r w:rsidR="72D6DBDA">
        <w:t xml:space="preserve">executive meetings n=2) </w:t>
      </w:r>
      <w:r>
        <w:t>were conducted</w:t>
      </w:r>
      <w:r w:rsidR="6CF47798">
        <w:t xml:space="preserve"> with the local health service and healthcare system stakeholders</w:t>
      </w:r>
      <w:r w:rsidR="6605286F">
        <w:t xml:space="preserve"> only</w:t>
      </w:r>
      <w:r w:rsidR="03C236F0">
        <w:t xml:space="preserve"> (n=</w:t>
      </w:r>
      <w:r w:rsidR="07B70409">
        <w:t>1 to 13)</w:t>
      </w:r>
      <w:r w:rsidR="6CF47798">
        <w:t xml:space="preserve">. The objective of the result consultations was </w:t>
      </w:r>
      <w:r>
        <w:t xml:space="preserve">to confirm the feasibility and acceptability of the framework amongst </w:t>
      </w:r>
      <w:r w:rsidR="0A679D41">
        <w:t xml:space="preserve">relevant local </w:t>
      </w:r>
      <w:r>
        <w:t>stakeholders. The draft eHealth-C</w:t>
      </w:r>
      <w:r w:rsidR="00695528">
        <w:t>B</w:t>
      </w:r>
      <w:r>
        <w:t xml:space="preserve">A framework was presented for high-level feedback on </w:t>
      </w:r>
      <w:r w:rsidR="00884C4F">
        <w:t>measuring and valuing</w:t>
      </w:r>
      <w:r>
        <w:t xml:space="preserve"> costs and benefits. Comments and suggestions were further incorporated into the final framework, including the current data limitations, and proposed </w:t>
      </w:r>
      <w:proofErr w:type="gramStart"/>
      <w:r>
        <w:t>future plans</w:t>
      </w:r>
      <w:proofErr w:type="gramEnd"/>
      <w:r>
        <w:t xml:space="preserve"> for data acquisition and repeated evaluation. </w:t>
      </w:r>
    </w:p>
    <w:p w14:paraId="74B11A13" w14:textId="76B95587" w:rsidR="00E07B95" w:rsidRDefault="00BD51B2" w:rsidP="000079FB">
      <w:r>
        <w:rPr>
          <w:noProof/>
        </w:rPr>
        <w:drawing>
          <wp:inline distT="0" distB="0" distL="0" distR="0" wp14:anchorId="530D9D5F" wp14:editId="3F7B1425">
            <wp:extent cx="5731431" cy="1671376"/>
            <wp:effectExtent l="0" t="0" r="3175" b="5080"/>
            <wp:docPr id="4" name="Picture 4"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Text&#10;&#10;Description automatically generated"/>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t="20779" b="27377"/>
                    <a:stretch/>
                  </pic:blipFill>
                  <pic:spPr bwMode="auto">
                    <a:xfrm>
                      <a:off x="0" y="0"/>
                      <a:ext cx="5731510" cy="1671399"/>
                    </a:xfrm>
                    <a:prstGeom prst="rect">
                      <a:avLst/>
                    </a:prstGeom>
                    <a:noFill/>
                    <a:ln>
                      <a:noFill/>
                    </a:ln>
                    <a:extLst>
                      <a:ext uri="{53640926-AAD7-44D8-BBD7-CCE9431645EC}">
                        <a14:shadowObscured xmlns:a14="http://schemas.microsoft.com/office/drawing/2010/main"/>
                      </a:ext>
                    </a:extLst>
                  </pic:spPr>
                </pic:pic>
              </a:graphicData>
            </a:graphic>
          </wp:inline>
        </w:drawing>
      </w:r>
    </w:p>
    <w:p w14:paraId="55DDF315" w14:textId="067DF700" w:rsidR="000079FB" w:rsidRPr="0051151E" w:rsidRDefault="0051151E" w:rsidP="683B4E8D">
      <w:pPr>
        <w:rPr>
          <w:b/>
          <w:bCs/>
          <w:i/>
          <w:iCs/>
        </w:rPr>
      </w:pPr>
      <w:r w:rsidRPr="683B4E8D">
        <w:rPr>
          <w:b/>
          <w:bCs/>
          <w:i/>
          <w:iCs/>
        </w:rPr>
        <w:t xml:space="preserve">Figure SEM 4. </w:t>
      </w:r>
      <w:r w:rsidR="11E0F630" w:rsidRPr="683B4E8D">
        <w:rPr>
          <w:b/>
          <w:bCs/>
          <w:i/>
          <w:iCs/>
        </w:rPr>
        <w:t xml:space="preserve">Stage 2: </w:t>
      </w:r>
      <w:r w:rsidR="001D2E6D" w:rsidRPr="683B4E8D">
        <w:rPr>
          <w:b/>
          <w:bCs/>
          <w:i/>
          <w:iCs/>
        </w:rPr>
        <w:t>Stakeholder involvement, from initiation to finalisation of the C</w:t>
      </w:r>
      <w:r w:rsidR="00FF1BEC">
        <w:rPr>
          <w:b/>
          <w:bCs/>
          <w:i/>
          <w:iCs/>
        </w:rPr>
        <w:t>B</w:t>
      </w:r>
      <w:r w:rsidR="001D2E6D" w:rsidRPr="683B4E8D">
        <w:rPr>
          <w:b/>
          <w:bCs/>
          <w:i/>
          <w:iCs/>
        </w:rPr>
        <w:t>A framework</w:t>
      </w:r>
    </w:p>
    <w:p w14:paraId="3EC341F9" w14:textId="0123F0CB" w:rsidR="000079FB" w:rsidRPr="00D639E8" w:rsidRDefault="000079FB" w:rsidP="683B4E8D"/>
    <w:p w14:paraId="63C6C306" w14:textId="00B2F229" w:rsidR="000079FB" w:rsidRPr="00E62CA4" w:rsidRDefault="000079FB" w:rsidP="00E62CA4">
      <w:pPr>
        <w:pStyle w:val="Heading2"/>
      </w:pPr>
      <w:bookmarkStart w:id="2" w:name="_Toc72147064"/>
      <w:r w:rsidRPr="00E62CA4">
        <w:t xml:space="preserve">Stage 3 – </w:t>
      </w:r>
      <w:bookmarkEnd w:id="2"/>
      <w:r w:rsidRPr="00E62CA4">
        <w:t>C</w:t>
      </w:r>
      <w:r w:rsidR="00FF1BEC" w:rsidRPr="00E62CA4">
        <w:t>B</w:t>
      </w:r>
      <w:r w:rsidRPr="00E62CA4">
        <w:t xml:space="preserve">A framework development   </w:t>
      </w:r>
    </w:p>
    <w:p w14:paraId="614A73C0" w14:textId="06F6005B" w:rsidR="004D6430" w:rsidRDefault="000079FB" w:rsidP="000079FB">
      <w:r>
        <w:t>T</w:t>
      </w:r>
      <w:r w:rsidRPr="00D639E8">
        <w:t xml:space="preserve">his stage </w:t>
      </w:r>
      <w:r>
        <w:t xml:space="preserve">aims </w:t>
      </w:r>
      <w:r w:rsidRPr="00D639E8">
        <w:t xml:space="preserve">to develop </w:t>
      </w:r>
      <w:r>
        <w:t>a C</w:t>
      </w:r>
      <w:r w:rsidR="00185305">
        <w:t>B</w:t>
      </w:r>
      <w:r>
        <w:t xml:space="preserve">A </w:t>
      </w:r>
      <w:r w:rsidRPr="00D639E8">
        <w:t xml:space="preserve">framework to evaluate EMR implementation in hospitals, </w:t>
      </w:r>
      <w:r>
        <w:t xml:space="preserve">accounting for </w:t>
      </w:r>
      <w:r w:rsidRPr="00D639E8">
        <w:t xml:space="preserve">the quadruple aim of </w:t>
      </w:r>
      <w:r>
        <w:t xml:space="preserve">healthcare, the digital health </w:t>
      </w:r>
      <w:r w:rsidRPr="00D639E8">
        <w:t>transformation context</w:t>
      </w:r>
      <w:r>
        <w:t xml:space="preserve"> of Australia, </w:t>
      </w:r>
      <w:r w:rsidRPr="00D639E8">
        <w:t xml:space="preserve">the existing literature </w:t>
      </w:r>
      <w:r>
        <w:t xml:space="preserve">on </w:t>
      </w:r>
      <w:r w:rsidRPr="00D639E8">
        <w:t>healthcare</w:t>
      </w:r>
      <w:r>
        <w:t xml:space="preserve"> economics (evaluation methods, and “elements of value” framework)</w:t>
      </w:r>
      <w:r w:rsidRPr="00D639E8">
        <w:t>, valuation of benefits and costs associated with eHealth implementation</w:t>
      </w:r>
      <w:r>
        <w:t xml:space="preserve">, and the local practice and experience by the stakeholder (hospital workforce, healthcare </w:t>
      </w:r>
      <w:r w:rsidR="00E25D4C">
        <w:t>and h</w:t>
      </w:r>
      <w:r>
        <w:t>ospital decision-maker and patients</w:t>
      </w:r>
      <w:r w:rsidR="00E25D4C">
        <w:t xml:space="preserve">, </w:t>
      </w:r>
      <w:r>
        <w:t xml:space="preserve">consumers). </w:t>
      </w:r>
      <w:r w:rsidRPr="00D639E8">
        <w:t>The framework was improved through stakeholder engagement and feedback with a workshop and follow-up consultations</w:t>
      </w:r>
      <w:r>
        <w:t xml:space="preserve"> (Stage 2)</w:t>
      </w:r>
      <w:r w:rsidR="00E25D4C">
        <w:t xml:space="preserve"> and </w:t>
      </w:r>
      <w:r w:rsidR="005F0DAB">
        <w:t>aligned</w:t>
      </w:r>
      <w:r w:rsidR="00CD5F40">
        <w:t xml:space="preserve"> with the digital health horizon (Figure </w:t>
      </w:r>
      <w:r w:rsidR="005F3D54">
        <w:t>SEM5</w:t>
      </w:r>
      <w:r w:rsidR="00CD5F40">
        <w:t xml:space="preserve">). </w:t>
      </w:r>
      <w:r w:rsidRPr="00D639E8">
        <w:t xml:space="preserve">This </w:t>
      </w:r>
      <w:r w:rsidR="00F6778D">
        <w:t xml:space="preserve">process </w:t>
      </w:r>
      <w:r w:rsidRPr="00D639E8">
        <w:t xml:space="preserve">has resulted in </w:t>
      </w:r>
      <w:r>
        <w:t xml:space="preserve">the first </w:t>
      </w:r>
      <w:r w:rsidRPr="00D639E8">
        <w:t xml:space="preserve">comprehensive </w:t>
      </w:r>
      <w:r>
        <w:t>economic e</w:t>
      </w:r>
      <w:r w:rsidRPr="00D639E8">
        <w:t xml:space="preserve">valuation framework developed for </w:t>
      </w:r>
      <w:r>
        <w:t xml:space="preserve">EMR implementation </w:t>
      </w:r>
      <w:r w:rsidRPr="00D639E8">
        <w:t>to inform decision</w:t>
      </w:r>
      <w:r>
        <w:t>-</w:t>
      </w:r>
      <w:r w:rsidRPr="00D639E8">
        <w:t>makers o</w:t>
      </w:r>
      <w:r w:rsidR="00884C4F">
        <w:t>f</w:t>
      </w:r>
      <w:r w:rsidRPr="00D639E8">
        <w:t xml:space="preserve"> the value of their digital investments</w:t>
      </w:r>
      <w:r w:rsidR="00A35372">
        <w:t xml:space="preserve"> (Figure SEM6)</w:t>
      </w:r>
      <w:r w:rsidRPr="00D639E8">
        <w:t xml:space="preserve">. </w:t>
      </w:r>
    </w:p>
    <w:p w14:paraId="1911EF15" w14:textId="0A1FBBFF" w:rsidR="00120D36" w:rsidRDefault="00120D36" w:rsidP="000079FB">
      <w:r>
        <w:rPr>
          <w:noProof/>
        </w:rPr>
        <w:drawing>
          <wp:inline distT="0" distB="0" distL="0" distR="0" wp14:anchorId="7E7BEC24" wp14:editId="3046C384">
            <wp:extent cx="5731510" cy="3223895"/>
            <wp:effectExtent l="0" t="0" r="2540" b="0"/>
            <wp:docPr id="11" name="Picture 11" descr="Graphical user interface, 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Graphical user interface, text&#10;&#10;Description automatically generated with medium confidenc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731510" cy="3223895"/>
                    </a:xfrm>
                    <a:prstGeom prst="rect">
                      <a:avLst/>
                    </a:prstGeom>
                  </pic:spPr>
                </pic:pic>
              </a:graphicData>
            </a:graphic>
          </wp:inline>
        </w:drawing>
      </w:r>
    </w:p>
    <w:p w14:paraId="52D9B59C" w14:textId="44169AD8" w:rsidR="00513A5A" w:rsidRDefault="00513A5A" w:rsidP="683B4E8D">
      <w:pPr>
        <w:rPr>
          <w:b/>
          <w:bCs/>
          <w:i/>
          <w:iCs/>
        </w:rPr>
      </w:pPr>
      <w:r w:rsidRPr="683B4E8D">
        <w:rPr>
          <w:b/>
          <w:bCs/>
          <w:i/>
          <w:iCs/>
        </w:rPr>
        <w:t xml:space="preserve">Figure SEM5. </w:t>
      </w:r>
      <w:r w:rsidR="00FD7AEB" w:rsidRPr="683B4E8D">
        <w:rPr>
          <w:b/>
          <w:bCs/>
          <w:i/>
          <w:iCs/>
        </w:rPr>
        <w:t xml:space="preserve">Anticipated impacts of EMR implementation that leads to the identified </w:t>
      </w:r>
      <w:r w:rsidR="00185305">
        <w:rPr>
          <w:b/>
          <w:bCs/>
          <w:i/>
          <w:iCs/>
        </w:rPr>
        <w:t>costs</w:t>
      </w:r>
      <w:r w:rsidR="00185305" w:rsidRPr="683B4E8D">
        <w:rPr>
          <w:b/>
          <w:bCs/>
          <w:i/>
          <w:iCs/>
        </w:rPr>
        <w:t xml:space="preserve"> </w:t>
      </w:r>
      <w:r w:rsidR="00FD7AEB" w:rsidRPr="683B4E8D">
        <w:rPr>
          <w:b/>
          <w:bCs/>
          <w:i/>
          <w:iCs/>
        </w:rPr>
        <w:t xml:space="preserve">and </w:t>
      </w:r>
      <w:proofErr w:type="gramStart"/>
      <w:r w:rsidR="00185305">
        <w:rPr>
          <w:b/>
          <w:bCs/>
          <w:i/>
          <w:iCs/>
        </w:rPr>
        <w:t>benefits</w:t>
      </w:r>
      <w:proofErr w:type="gramEnd"/>
    </w:p>
    <w:p w14:paraId="1F20545F" w14:textId="0BA750EB" w:rsidR="009C4A04" w:rsidRPr="005F3D54" w:rsidRDefault="00562464" w:rsidP="000079FB">
      <w:pPr>
        <w:rPr>
          <w:b/>
          <w:bCs/>
          <w:i/>
          <w:iCs/>
          <w:color w:val="7030A0"/>
        </w:rPr>
      </w:pPr>
      <w:r>
        <w:rPr>
          <w:noProof/>
        </w:rPr>
        <w:drawing>
          <wp:inline distT="0" distB="0" distL="0" distR="0" wp14:anchorId="75C31FB9" wp14:editId="30D6FD86">
            <wp:extent cx="5731450" cy="2130251"/>
            <wp:effectExtent l="0" t="0" r="3175" b="3810"/>
            <wp:docPr id="5" name="Picture 5"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Text&#10;&#10;Description automatically generated"/>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t="16623" b="17299"/>
                    <a:stretch/>
                  </pic:blipFill>
                  <pic:spPr bwMode="auto">
                    <a:xfrm>
                      <a:off x="0" y="0"/>
                      <a:ext cx="5731510" cy="2130273"/>
                    </a:xfrm>
                    <a:prstGeom prst="rect">
                      <a:avLst/>
                    </a:prstGeom>
                    <a:noFill/>
                    <a:ln>
                      <a:noFill/>
                    </a:ln>
                    <a:extLst>
                      <a:ext uri="{53640926-AAD7-44D8-BBD7-CCE9431645EC}">
                        <a14:shadowObscured xmlns:a14="http://schemas.microsoft.com/office/drawing/2010/main"/>
                      </a:ext>
                    </a:extLst>
                  </pic:spPr>
                </pic:pic>
              </a:graphicData>
            </a:graphic>
          </wp:inline>
        </w:drawing>
      </w:r>
    </w:p>
    <w:p w14:paraId="6B6CF0FD" w14:textId="323F2776" w:rsidR="00CD5F40" w:rsidRPr="00827F07" w:rsidRDefault="0037644F" w:rsidP="683B4E8D">
      <w:pPr>
        <w:rPr>
          <w:b/>
          <w:bCs/>
          <w:i/>
          <w:iCs/>
        </w:rPr>
      </w:pPr>
      <w:r w:rsidRPr="683B4E8D">
        <w:rPr>
          <w:b/>
          <w:bCs/>
          <w:i/>
          <w:iCs/>
        </w:rPr>
        <w:t xml:space="preserve">Figure SEM6. </w:t>
      </w:r>
      <w:r w:rsidR="2BDC8FF3" w:rsidRPr="683B4E8D">
        <w:rPr>
          <w:b/>
          <w:bCs/>
          <w:i/>
          <w:iCs/>
        </w:rPr>
        <w:t>Stage 3: eHealth C</w:t>
      </w:r>
      <w:r w:rsidR="00185305">
        <w:rPr>
          <w:b/>
          <w:bCs/>
          <w:i/>
          <w:iCs/>
        </w:rPr>
        <w:t>B</w:t>
      </w:r>
      <w:r w:rsidR="2BDC8FF3" w:rsidRPr="683B4E8D">
        <w:rPr>
          <w:b/>
          <w:bCs/>
          <w:i/>
          <w:iCs/>
        </w:rPr>
        <w:t xml:space="preserve">A framework </w:t>
      </w:r>
      <w:r w:rsidR="590776D4" w:rsidRPr="683B4E8D">
        <w:rPr>
          <w:b/>
          <w:bCs/>
          <w:i/>
          <w:iCs/>
        </w:rPr>
        <w:t xml:space="preserve">development and analysis </w:t>
      </w:r>
    </w:p>
    <w:p w14:paraId="023043C7" w14:textId="4698F6EF" w:rsidR="0079085F" w:rsidRDefault="0079085F" w:rsidP="683B4E8D"/>
    <w:p w14:paraId="55A4DFEF" w14:textId="307F4A75" w:rsidR="007128DF" w:rsidRDefault="007128DF" w:rsidP="00CD299F">
      <w:pPr>
        <w:pStyle w:val="Heading1"/>
      </w:pPr>
      <w:r w:rsidRPr="683B4E8D">
        <w:t xml:space="preserve">Additional benefit that are </w:t>
      </w:r>
      <w:r w:rsidR="00CD5F40" w:rsidRPr="683B4E8D">
        <w:t>currently</w:t>
      </w:r>
      <w:r w:rsidRPr="683B4E8D">
        <w:t xml:space="preserve"> not qualified</w:t>
      </w:r>
    </w:p>
    <w:p w14:paraId="10A4E012" w14:textId="77777777" w:rsidR="0079085F" w:rsidRPr="00D639E8" w:rsidRDefault="0079085F" w:rsidP="683B4E8D">
      <w:pPr>
        <w:pStyle w:val="Heading3"/>
      </w:pPr>
      <w:bookmarkStart w:id="3" w:name="_Toc72147089"/>
      <w:r w:rsidRPr="683B4E8D">
        <w:t xml:space="preserve">Patient benefit: value of insurance and hope </w:t>
      </w:r>
      <w:bookmarkEnd w:id="3"/>
    </w:p>
    <w:p w14:paraId="2034BD8D" w14:textId="72742DBD" w:rsidR="0079085F" w:rsidRPr="00D639E8" w:rsidRDefault="0079085F" w:rsidP="0079085F">
      <w:r w:rsidRPr="00D639E8">
        <w:t>The value of insurance element reflects the psychological need for risk protection when falling ill. For healthy consumers, illness represents a risk, not a current condition</w:t>
      </w:r>
      <w:r w:rsidR="00884C4F">
        <w:t>. Hence,</w:t>
      </w:r>
      <w:r w:rsidRPr="00D639E8">
        <w:t xml:space="preserve"> they have different perspectives on the value of advanced medical technologies. There is a “value in knowing” that new medical technology reduces the “physical risk” of getting sick, or the new services/treatments make </w:t>
      </w:r>
      <w:r w:rsidR="005F0DAB">
        <w:t xml:space="preserve">the </w:t>
      </w:r>
      <w:r w:rsidRPr="00D639E8">
        <w:t xml:space="preserve">illness less unpleasant and thus improve well-being in the “sick” state. This extends not only to the value of knowing the effectiveness of technology, but also its availability when needed in the future, and the quality of the technologies or </w:t>
      </w:r>
      <w:r w:rsidR="005F0DAB">
        <w:t>services</w:t>
      </w:r>
      <w:r w:rsidRPr="00D639E8">
        <w:t xml:space="preserve"> provided. The EMR implementation is expected to increase the volume, </w:t>
      </w:r>
      <w:proofErr w:type="gramStart"/>
      <w:r w:rsidRPr="00D639E8">
        <w:t>quality</w:t>
      </w:r>
      <w:proofErr w:type="gramEnd"/>
      <w:r w:rsidRPr="00D639E8">
        <w:t xml:space="preserve"> and speed of access to patient </w:t>
      </w:r>
      <w:r>
        <w:t>and treatment data</w:t>
      </w:r>
      <w:r w:rsidRPr="00D639E8">
        <w:t>, leading to increased clinical knowledge and capacity for innovations in targeted models of care.</w:t>
      </w:r>
    </w:p>
    <w:p w14:paraId="22589EBE" w14:textId="3923EF9D" w:rsidR="0079085F" w:rsidRPr="00D639E8" w:rsidRDefault="0079085F" w:rsidP="0079085F">
      <w:r w:rsidRPr="00D639E8">
        <w:t xml:space="preserve">The value of hope is closely related to the value of reducing treatment uncertainty. It captures some </w:t>
      </w:r>
      <w:r w:rsidR="00AD16D4">
        <w:t>individuals’</w:t>
      </w:r>
      <w:r w:rsidRPr="00D639E8">
        <w:t xml:space="preserve"> willingness to “gamble on a better outcome”, when there is high uncertainty around the treatment effect (both/either costs and/or outcomes). Health economists have long identified certain situations in which patients might become risk lovers who are willing to take gambles that do not focus solely on maximising expected</w:t>
      </w:r>
      <w:r>
        <w:t xml:space="preserve"> length and quality of life</w:t>
      </w:r>
      <w:r w:rsidRPr="00D639E8">
        <w:t xml:space="preserve">. This reflects how some patients perceive the cost of uncertainty and the value of risk reduction, especially in the context where morbidity and mortality risk associated with the disease is high (high severity), and there are </w:t>
      </w:r>
      <w:r w:rsidR="00884C4F">
        <w:t>many unknowns about the technologies' effectivenes</w:t>
      </w:r>
      <w:r w:rsidRPr="00D639E8">
        <w:t xml:space="preserve">s. For example, consider two different technologies that produce the same mean </w:t>
      </w:r>
      <w:r w:rsidR="00AD16D4" w:rsidRPr="00D639E8">
        <w:t>outcome,</w:t>
      </w:r>
      <w:r w:rsidRPr="00D639E8">
        <w:t xml:space="preserve"> but one involves much greater uncertainty than the other. If patients value hope, they may gravitate to high-variance technology, </w:t>
      </w:r>
      <w:r w:rsidR="00884C4F">
        <w:t>hoping</w:t>
      </w:r>
      <w:r w:rsidRPr="00D639E8">
        <w:t xml:space="preserve"> they will be one of the lucky few to benefit. In contrast, if patients are risk-averse, they may gravitate to the “safe bet” technology that insulates them against an unlucky outcome. Either way, they are </w:t>
      </w:r>
      <w:r w:rsidR="00884C4F">
        <w:t>choosing</w:t>
      </w:r>
      <w:r w:rsidRPr="00D639E8">
        <w:t xml:space="preserve"> between two technologies that appear identical if we focus only on average costs and benefits.</w:t>
      </w:r>
    </w:p>
    <w:p w14:paraId="0377C967" w14:textId="77777777" w:rsidR="007128DF" w:rsidRPr="00D639E8" w:rsidRDefault="007128DF" w:rsidP="683B4E8D">
      <w:pPr>
        <w:pStyle w:val="Heading3"/>
      </w:pPr>
      <w:bookmarkStart w:id="4" w:name="_Toc72147088"/>
      <w:r w:rsidRPr="683B4E8D">
        <w:t>Society benefit: research benefits</w:t>
      </w:r>
      <w:bookmarkEnd w:id="4"/>
      <w:r w:rsidRPr="683B4E8D">
        <w:t xml:space="preserve"> from scientific spillovers </w:t>
      </w:r>
    </w:p>
    <w:p w14:paraId="25762666" w14:textId="013AC951" w:rsidR="007128DF" w:rsidRDefault="007128DF" w:rsidP="007128DF">
      <w:r w:rsidRPr="00D639E8">
        <w:t xml:space="preserve">This value element acknowledges the value of “positive externalities by future innovations”, and that certain health technologies might not have an immediate value (of treating a condition) but the knowledge about how the mechanism works might lead to other more valuable medical advancements in the future, even to treat very different diseases. The first technology might unlock new technologies or be a </w:t>
      </w:r>
      <w:r w:rsidR="00894754">
        <w:t>prerequisite for developing new drug technologies</w:t>
      </w:r>
      <w:r w:rsidRPr="00D639E8">
        <w:t xml:space="preserve">. Innovations with little stand-alone value still have merit if they stimulate follow-on innovation. To account for this benefit, one might consider including “scientific novelty” </w:t>
      </w:r>
      <w:r w:rsidR="00894754">
        <w:t>in</w:t>
      </w:r>
      <w:r w:rsidRPr="00D639E8">
        <w:t xml:space="preserve"> the analysis, for example by using the number of research grants or quality improvement activities targeting service improvement as a proxy.</w:t>
      </w:r>
    </w:p>
    <w:p w14:paraId="2C6B0F89" w14:textId="77777777" w:rsidR="001B32F2" w:rsidRPr="00D639E8" w:rsidRDefault="001B32F2" w:rsidP="683B4E8D">
      <w:pPr>
        <w:pStyle w:val="Heading3"/>
      </w:pPr>
      <w:bookmarkStart w:id="5" w:name="_Toc72147086"/>
      <w:r w:rsidRPr="683B4E8D">
        <w:t>Hospital and health system benefits: value of improved Key Performance Indicators</w:t>
      </w:r>
      <w:bookmarkEnd w:id="5"/>
    </w:p>
    <w:p w14:paraId="223FC2A1" w14:textId="170E91B1" w:rsidR="005105C0" w:rsidRDefault="001B32F2" w:rsidP="001B32F2">
      <w:r w:rsidRPr="00D639E8">
        <w:t xml:space="preserve">The ultimate outcomes of </w:t>
      </w:r>
      <w:r>
        <w:t xml:space="preserve">digital </w:t>
      </w:r>
      <w:r w:rsidRPr="00D639E8">
        <w:t xml:space="preserve">hospital services – like other healthcare services – are improved patient health outcomes and experience, population health, workforce quality and experience, and cost efficiency. Key Performance Indicators (KPIs) can </w:t>
      </w:r>
      <w:r w:rsidR="00894754">
        <w:t xml:space="preserve">provide specific measures of health services and </w:t>
      </w:r>
      <w:r w:rsidR="00894754">
        <w:lastRenderedPageBreak/>
        <w:t xml:space="preserve">systems and </w:t>
      </w:r>
      <w:r w:rsidRPr="00D639E8">
        <w:t xml:space="preserve">report the performance of all hospitals and health service districts. An improvement in KPI is a natural outcome of better quality and more efficient care services. KPI can be viewed as a signal of the commitment to providing quality healthcare; however, measuring the benefits of EMR on KPI might be challenging. </w:t>
      </w:r>
    </w:p>
    <w:p w14:paraId="20A87BF4" w14:textId="77777777" w:rsidR="005105C0" w:rsidRDefault="005105C0">
      <w:pPr>
        <w:spacing w:before="0" w:after="160" w:line="259" w:lineRule="auto"/>
        <w:jc w:val="left"/>
      </w:pPr>
      <w:r>
        <w:br w:type="page"/>
      </w:r>
    </w:p>
    <w:p w14:paraId="1E8C4F23" w14:textId="71CB14AD" w:rsidR="001B32F2" w:rsidRPr="008A1F9A" w:rsidRDefault="005105C0" w:rsidP="00CD299F">
      <w:pPr>
        <w:pStyle w:val="Heading1"/>
      </w:pPr>
      <w:r w:rsidRPr="683B4E8D">
        <w:lastRenderedPageBreak/>
        <w:t>References</w:t>
      </w:r>
    </w:p>
    <w:p w14:paraId="7F57BA0B" w14:textId="77777777" w:rsidR="00DD39B2" w:rsidRPr="00DD39B2" w:rsidRDefault="00665B34" w:rsidP="00DD39B2">
      <w:pPr>
        <w:pStyle w:val="Bibliography"/>
        <w:rPr>
          <w:lang w:val="en-GB"/>
        </w:rPr>
      </w:pPr>
      <w:r>
        <w:fldChar w:fldCharType="begin"/>
      </w:r>
      <w:r w:rsidR="004E5449">
        <w:instrText xml:space="preserve"> ADDIN ZOTERO_BIBL {"uncited":[],"omitted":[],"custom":[]} CSL_BIBLIOGRAPHY </w:instrText>
      </w:r>
      <w:r>
        <w:fldChar w:fldCharType="separate"/>
      </w:r>
      <w:r w:rsidR="00DD39B2" w:rsidRPr="00DD39B2">
        <w:rPr>
          <w:lang w:val="en-GB"/>
        </w:rPr>
        <w:t>1.</w:t>
      </w:r>
      <w:r w:rsidR="00DD39B2" w:rsidRPr="00DD39B2">
        <w:rPr>
          <w:lang w:val="en-GB"/>
        </w:rPr>
        <w:tab/>
        <w:t xml:space="preserve">Nguyen, K.-H. </w:t>
      </w:r>
      <w:r w:rsidR="00DD39B2" w:rsidRPr="00DD39B2">
        <w:rPr>
          <w:i/>
          <w:iCs/>
          <w:lang w:val="en-GB"/>
        </w:rPr>
        <w:t>et al.</w:t>
      </w:r>
      <w:r w:rsidR="00DD39B2" w:rsidRPr="00DD39B2">
        <w:rPr>
          <w:lang w:val="en-GB"/>
        </w:rPr>
        <w:t xml:space="preserve"> Economic evaluation and analyses of hospital-based electronic medical records (EMRs): a scoping review of international literature. </w:t>
      </w:r>
      <w:r w:rsidR="00DD39B2" w:rsidRPr="00DD39B2">
        <w:rPr>
          <w:i/>
          <w:iCs/>
          <w:lang w:val="en-GB"/>
        </w:rPr>
        <w:t>Npj Digit. Med.</w:t>
      </w:r>
      <w:r w:rsidR="00DD39B2" w:rsidRPr="00DD39B2">
        <w:rPr>
          <w:lang w:val="en-GB"/>
        </w:rPr>
        <w:t xml:space="preserve"> </w:t>
      </w:r>
      <w:r w:rsidR="00DD39B2" w:rsidRPr="00DD39B2">
        <w:rPr>
          <w:b/>
          <w:bCs/>
          <w:lang w:val="en-GB"/>
        </w:rPr>
        <w:t>5</w:t>
      </w:r>
      <w:r w:rsidR="00DD39B2" w:rsidRPr="00DD39B2">
        <w:rPr>
          <w:lang w:val="en-GB"/>
        </w:rPr>
        <w:t>, 29 (2022).</w:t>
      </w:r>
    </w:p>
    <w:p w14:paraId="63893340" w14:textId="77777777" w:rsidR="00DD39B2" w:rsidRPr="00DD39B2" w:rsidRDefault="00DD39B2" w:rsidP="00DD39B2">
      <w:pPr>
        <w:pStyle w:val="Bibliography"/>
        <w:rPr>
          <w:lang w:val="en-GB"/>
        </w:rPr>
      </w:pPr>
      <w:r w:rsidRPr="00DD39B2">
        <w:rPr>
          <w:lang w:val="en-GB"/>
        </w:rPr>
        <w:t>2.</w:t>
      </w:r>
      <w:r w:rsidRPr="00DD39B2">
        <w:rPr>
          <w:lang w:val="en-GB"/>
        </w:rPr>
        <w:tab/>
        <w:t xml:space="preserve">Lakdawalla, D. N. </w:t>
      </w:r>
      <w:r w:rsidRPr="00DD39B2">
        <w:rPr>
          <w:i/>
          <w:iCs/>
          <w:lang w:val="en-GB"/>
        </w:rPr>
        <w:t>et al.</w:t>
      </w:r>
      <w:r w:rsidRPr="00DD39B2">
        <w:rPr>
          <w:lang w:val="en-GB"/>
        </w:rPr>
        <w:t xml:space="preserve"> Defining Elements of Value in Health Care—A Health Economics Approach: An ISPOR Special Task Force Report [3]. </w:t>
      </w:r>
      <w:r w:rsidRPr="00DD39B2">
        <w:rPr>
          <w:i/>
          <w:iCs/>
          <w:lang w:val="en-GB"/>
        </w:rPr>
        <w:t>Value Health</w:t>
      </w:r>
      <w:r w:rsidRPr="00DD39B2">
        <w:rPr>
          <w:lang w:val="en-GB"/>
        </w:rPr>
        <w:t xml:space="preserve"> </w:t>
      </w:r>
      <w:r w:rsidRPr="00DD39B2">
        <w:rPr>
          <w:b/>
          <w:bCs/>
          <w:lang w:val="en-GB"/>
        </w:rPr>
        <w:t>21</w:t>
      </w:r>
      <w:r w:rsidRPr="00DD39B2">
        <w:rPr>
          <w:lang w:val="en-GB"/>
        </w:rPr>
        <w:t>, 131–139 (2018).</w:t>
      </w:r>
    </w:p>
    <w:p w14:paraId="218016D0" w14:textId="77777777" w:rsidR="00DD39B2" w:rsidRPr="00DD39B2" w:rsidRDefault="00DD39B2" w:rsidP="00DD39B2">
      <w:pPr>
        <w:pStyle w:val="Bibliography"/>
        <w:rPr>
          <w:lang w:val="en-GB"/>
        </w:rPr>
      </w:pPr>
      <w:r w:rsidRPr="00DD39B2">
        <w:rPr>
          <w:lang w:val="en-GB"/>
        </w:rPr>
        <w:t>3.</w:t>
      </w:r>
      <w:r w:rsidRPr="00DD39B2">
        <w:rPr>
          <w:lang w:val="en-GB"/>
        </w:rPr>
        <w:tab/>
        <w:t xml:space="preserve">Lau, F. &amp; Kuziemsky, C. </w:t>
      </w:r>
      <w:r w:rsidRPr="00DD39B2">
        <w:rPr>
          <w:i/>
          <w:iCs/>
          <w:lang w:val="en-GB"/>
        </w:rPr>
        <w:t>Handbook of eHealth Evaluation: An Evidence-based Approach</w:t>
      </w:r>
      <w:r w:rsidRPr="00DD39B2">
        <w:rPr>
          <w:lang w:val="en-GB"/>
        </w:rPr>
        <w:t>. (2016).</w:t>
      </w:r>
    </w:p>
    <w:p w14:paraId="49F7E701" w14:textId="77777777" w:rsidR="00DD39B2" w:rsidRPr="00DD39B2" w:rsidRDefault="00DD39B2" w:rsidP="00DD39B2">
      <w:pPr>
        <w:pStyle w:val="Bibliography"/>
        <w:rPr>
          <w:lang w:val="en-GB"/>
        </w:rPr>
      </w:pPr>
      <w:r w:rsidRPr="00DD39B2">
        <w:rPr>
          <w:lang w:val="en-GB"/>
        </w:rPr>
        <w:t>4.</w:t>
      </w:r>
      <w:r w:rsidRPr="00DD39B2">
        <w:rPr>
          <w:lang w:val="en-GB"/>
        </w:rPr>
        <w:tab/>
        <w:t xml:space="preserve">DeLone, W. H. &amp; McLean, E. R. Information Systems Success: The Quest for the Dependent Variable. </w:t>
      </w:r>
      <w:r w:rsidRPr="00DD39B2">
        <w:rPr>
          <w:i/>
          <w:iCs/>
          <w:lang w:val="en-GB"/>
        </w:rPr>
        <w:t>Inf. Syst. Res.</w:t>
      </w:r>
      <w:r w:rsidRPr="00DD39B2">
        <w:rPr>
          <w:lang w:val="en-GB"/>
        </w:rPr>
        <w:t xml:space="preserve"> </w:t>
      </w:r>
      <w:r w:rsidRPr="00DD39B2">
        <w:rPr>
          <w:b/>
          <w:bCs/>
          <w:lang w:val="en-GB"/>
        </w:rPr>
        <w:t>3</w:t>
      </w:r>
      <w:r w:rsidRPr="00DD39B2">
        <w:rPr>
          <w:lang w:val="en-GB"/>
        </w:rPr>
        <w:t>, 60–95 (1992).</w:t>
      </w:r>
    </w:p>
    <w:p w14:paraId="4665E91B" w14:textId="77777777" w:rsidR="00DD39B2" w:rsidRPr="00DD39B2" w:rsidRDefault="00DD39B2" w:rsidP="00DD39B2">
      <w:pPr>
        <w:pStyle w:val="Bibliography"/>
        <w:rPr>
          <w:lang w:val="en-GB"/>
        </w:rPr>
      </w:pPr>
      <w:r w:rsidRPr="00DD39B2">
        <w:rPr>
          <w:lang w:val="en-GB"/>
        </w:rPr>
        <w:t>5.</w:t>
      </w:r>
      <w:r w:rsidRPr="00DD39B2">
        <w:rPr>
          <w:lang w:val="en-GB"/>
        </w:rPr>
        <w:tab/>
        <w:t xml:space="preserve">Delone, W. H. &amp; McLean, E. The DeLone and McLean Model of Information Systems Success: A Ten-Year Update. </w:t>
      </w:r>
      <w:r w:rsidRPr="00DD39B2">
        <w:rPr>
          <w:i/>
          <w:iCs/>
          <w:lang w:val="en-GB"/>
        </w:rPr>
        <w:t>J. Manag. Inf. Syst.</w:t>
      </w:r>
      <w:r w:rsidRPr="00DD39B2">
        <w:rPr>
          <w:lang w:val="en-GB"/>
        </w:rPr>
        <w:t xml:space="preserve"> </w:t>
      </w:r>
      <w:r w:rsidRPr="00DD39B2">
        <w:rPr>
          <w:b/>
          <w:bCs/>
          <w:lang w:val="en-GB"/>
        </w:rPr>
        <w:t>19</w:t>
      </w:r>
      <w:r w:rsidRPr="00DD39B2">
        <w:rPr>
          <w:lang w:val="en-GB"/>
        </w:rPr>
        <w:t>, 9–30 (2003).</w:t>
      </w:r>
    </w:p>
    <w:p w14:paraId="4EAC7F2F" w14:textId="77777777" w:rsidR="00DD39B2" w:rsidRPr="00DD39B2" w:rsidRDefault="00DD39B2" w:rsidP="00DD39B2">
      <w:pPr>
        <w:pStyle w:val="Bibliography"/>
        <w:rPr>
          <w:lang w:val="en-GB"/>
        </w:rPr>
      </w:pPr>
      <w:r w:rsidRPr="00DD39B2">
        <w:rPr>
          <w:lang w:val="en-GB"/>
        </w:rPr>
        <w:t>6.</w:t>
      </w:r>
      <w:r w:rsidRPr="00DD39B2">
        <w:rPr>
          <w:lang w:val="en-GB"/>
        </w:rPr>
        <w:tab/>
        <w:t xml:space="preserve">van der Meijden, M. J., Tange, H. J., Troost, J. &amp; Hasman, A. Determinants of Success of Inpatient Clinical Information Systems: A Literature Review. </w:t>
      </w:r>
      <w:r w:rsidRPr="00DD39B2">
        <w:rPr>
          <w:i/>
          <w:iCs/>
          <w:lang w:val="en-GB"/>
        </w:rPr>
        <w:t>J. Am. Med. Inform. Assoc.</w:t>
      </w:r>
      <w:r w:rsidRPr="00DD39B2">
        <w:rPr>
          <w:lang w:val="en-GB"/>
        </w:rPr>
        <w:t xml:space="preserve"> </w:t>
      </w:r>
      <w:r w:rsidRPr="00DD39B2">
        <w:rPr>
          <w:b/>
          <w:bCs/>
          <w:lang w:val="en-GB"/>
        </w:rPr>
        <w:t>10</w:t>
      </w:r>
      <w:r w:rsidRPr="00DD39B2">
        <w:rPr>
          <w:lang w:val="en-GB"/>
        </w:rPr>
        <w:t>, 235–243 (2003).</w:t>
      </w:r>
    </w:p>
    <w:p w14:paraId="4A9807C3" w14:textId="77777777" w:rsidR="00DD39B2" w:rsidRPr="00DD39B2" w:rsidRDefault="00DD39B2" w:rsidP="00DD39B2">
      <w:pPr>
        <w:pStyle w:val="Bibliography"/>
        <w:rPr>
          <w:lang w:val="en-GB"/>
        </w:rPr>
      </w:pPr>
      <w:r w:rsidRPr="00DD39B2">
        <w:rPr>
          <w:lang w:val="en-GB"/>
        </w:rPr>
        <w:t>7.</w:t>
      </w:r>
      <w:r w:rsidRPr="00DD39B2">
        <w:rPr>
          <w:lang w:val="en-GB"/>
        </w:rPr>
        <w:tab/>
        <w:t xml:space="preserve">Lau, F., Kuziemsky, C., Price, M. &amp; Gardner, J. A review on systematic reviews of health information system studies. </w:t>
      </w:r>
      <w:r w:rsidRPr="00DD39B2">
        <w:rPr>
          <w:i/>
          <w:iCs/>
          <w:lang w:val="en-GB"/>
        </w:rPr>
        <w:t>J. Am. Med. Inform. Assoc.</w:t>
      </w:r>
      <w:r w:rsidRPr="00DD39B2">
        <w:rPr>
          <w:lang w:val="en-GB"/>
        </w:rPr>
        <w:t xml:space="preserve"> </w:t>
      </w:r>
      <w:r w:rsidRPr="00DD39B2">
        <w:rPr>
          <w:b/>
          <w:bCs/>
          <w:lang w:val="en-GB"/>
        </w:rPr>
        <w:t>17</w:t>
      </w:r>
      <w:r w:rsidRPr="00DD39B2">
        <w:rPr>
          <w:lang w:val="en-GB"/>
        </w:rPr>
        <w:t>, 637–645 (2010).</w:t>
      </w:r>
    </w:p>
    <w:p w14:paraId="456EADF0" w14:textId="77777777" w:rsidR="00DD39B2" w:rsidRPr="00DD39B2" w:rsidRDefault="00DD39B2" w:rsidP="00DD39B2">
      <w:pPr>
        <w:pStyle w:val="Bibliography"/>
        <w:rPr>
          <w:lang w:val="en-GB"/>
        </w:rPr>
      </w:pPr>
      <w:r w:rsidRPr="00DD39B2">
        <w:rPr>
          <w:lang w:val="en-GB"/>
        </w:rPr>
        <w:t>8.</w:t>
      </w:r>
      <w:r w:rsidRPr="00DD39B2">
        <w:rPr>
          <w:lang w:val="en-GB"/>
        </w:rPr>
        <w:tab/>
        <w:t xml:space="preserve">Campbell, H. F. &amp; Brown, R. P. C. </w:t>
      </w:r>
      <w:r w:rsidRPr="00DD39B2">
        <w:rPr>
          <w:i/>
          <w:iCs/>
          <w:lang w:val="en-GB"/>
        </w:rPr>
        <w:t>Cost-Benefit Analysis</w:t>
      </w:r>
      <w:r w:rsidRPr="00DD39B2">
        <w:rPr>
          <w:rFonts w:ascii="Arial" w:hAnsi="Arial" w:cs="Arial"/>
          <w:i/>
          <w:iCs/>
          <w:lang w:val="en-GB"/>
        </w:rPr>
        <w:t> </w:t>
      </w:r>
      <w:r w:rsidRPr="00DD39B2">
        <w:rPr>
          <w:i/>
          <w:iCs/>
          <w:lang w:val="en-GB"/>
        </w:rPr>
        <w:t>: Financial And Economic Appraisal Using Spreadsheets</w:t>
      </w:r>
      <w:r w:rsidRPr="00DD39B2">
        <w:rPr>
          <w:lang w:val="en-GB"/>
        </w:rPr>
        <w:t>. (Taylor and Francis, 2015).</w:t>
      </w:r>
    </w:p>
    <w:p w14:paraId="05160467" w14:textId="793E8426" w:rsidR="001B32F2" w:rsidRPr="00D639E8" w:rsidRDefault="00665B34" w:rsidP="007128DF">
      <w:r>
        <w:fldChar w:fldCharType="end"/>
      </w:r>
    </w:p>
    <w:p w14:paraId="50B24BF7" w14:textId="6377B38E" w:rsidR="004D6430" w:rsidRDefault="004D6430" w:rsidP="004D6430">
      <w:r>
        <w:t xml:space="preserve">  </w:t>
      </w:r>
    </w:p>
    <w:p w14:paraId="007C7444" w14:textId="53F18E06" w:rsidR="0055378A" w:rsidRDefault="0055378A" w:rsidP="000079FB"/>
    <w:p w14:paraId="71508963" w14:textId="77777777" w:rsidR="0055378A" w:rsidRDefault="0055378A" w:rsidP="000079FB"/>
    <w:p w14:paraId="631DF1A6" w14:textId="2375F836" w:rsidR="007A5A4D" w:rsidRDefault="007A5A4D" w:rsidP="00E05510"/>
    <w:p w14:paraId="405DA541" w14:textId="06519380" w:rsidR="0055378A" w:rsidRDefault="0055378A" w:rsidP="00E05510"/>
    <w:sectPr w:rsidR="0055378A" w:rsidSect="00621365">
      <w:footerReference w:type="default" r:id="rId17"/>
      <w:pgSz w:w="11906" w:h="16838"/>
      <w:pgMar w:top="1440" w:right="1440" w:bottom="993"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E11693" w14:textId="77777777" w:rsidR="00890245" w:rsidRDefault="00890245" w:rsidP="00E05510">
      <w:pPr>
        <w:spacing w:before="0" w:after="0" w:line="240" w:lineRule="auto"/>
      </w:pPr>
      <w:r>
        <w:separator/>
      </w:r>
    </w:p>
  </w:endnote>
  <w:endnote w:type="continuationSeparator" w:id="0">
    <w:p w14:paraId="3AEE9381" w14:textId="77777777" w:rsidR="00890245" w:rsidRDefault="00890245" w:rsidP="00E05510">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42463155"/>
      <w:docPartObj>
        <w:docPartGallery w:val="Page Numbers (Bottom of Page)"/>
        <w:docPartUnique/>
      </w:docPartObj>
    </w:sdtPr>
    <w:sdtContent>
      <w:p w14:paraId="1586DFD6" w14:textId="73D5F979" w:rsidR="002B5C73" w:rsidRDefault="002B5C73">
        <w:pPr>
          <w:pStyle w:val="Footer"/>
          <w:jc w:val="right"/>
        </w:pPr>
        <w:r>
          <w:fldChar w:fldCharType="begin"/>
        </w:r>
        <w:r>
          <w:instrText>PAGE   \* MERGEFORMAT</w:instrText>
        </w:r>
        <w:r>
          <w:fldChar w:fldCharType="separate"/>
        </w:r>
        <w:r>
          <w:rPr>
            <w:lang w:val="en-GB"/>
          </w:rPr>
          <w:t>2</w:t>
        </w:r>
        <w:r>
          <w:fldChar w:fldCharType="end"/>
        </w:r>
      </w:p>
    </w:sdtContent>
  </w:sdt>
  <w:p w14:paraId="3DE2D0CE" w14:textId="77777777" w:rsidR="002B5C73" w:rsidRDefault="002B5C7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716425" w14:textId="77777777" w:rsidR="00890245" w:rsidRDefault="00890245" w:rsidP="00E05510">
      <w:pPr>
        <w:spacing w:before="0" w:after="0" w:line="240" w:lineRule="auto"/>
      </w:pPr>
      <w:r>
        <w:separator/>
      </w:r>
    </w:p>
  </w:footnote>
  <w:footnote w:type="continuationSeparator" w:id="0">
    <w:p w14:paraId="742713C3" w14:textId="77777777" w:rsidR="00890245" w:rsidRDefault="00890245" w:rsidP="00E05510">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9568F7"/>
    <w:multiLevelType w:val="hybridMultilevel"/>
    <w:tmpl w:val="8BC6B806"/>
    <w:lvl w:ilvl="0" w:tplc="553E85F8">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 w15:restartNumberingAfterBreak="0">
    <w:nsid w:val="4FA47ACF"/>
    <w:multiLevelType w:val="hybridMultilevel"/>
    <w:tmpl w:val="C12662AE"/>
    <w:lvl w:ilvl="0" w:tplc="44502ED0">
      <w:start w:val="1"/>
      <w:numFmt w:val="bullet"/>
      <w:pStyle w:val="ListParagraph"/>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15:restartNumberingAfterBreak="0">
    <w:nsid w:val="71FE7707"/>
    <w:multiLevelType w:val="hybridMultilevel"/>
    <w:tmpl w:val="099ABB5A"/>
    <w:lvl w:ilvl="0" w:tplc="EA86D1AC">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968195092">
    <w:abstractNumId w:val="2"/>
    <w:lvlOverride w:ilvl="0">
      <w:startOverride w:val="1"/>
    </w:lvlOverride>
  </w:num>
  <w:num w:numId="2" w16cid:durableId="1577860357">
    <w:abstractNumId w:val="0"/>
  </w:num>
  <w:num w:numId="3" w16cid:durableId="160812489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1"/>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5510"/>
    <w:rsid w:val="000079FB"/>
    <w:rsid w:val="00014719"/>
    <w:rsid w:val="000309BB"/>
    <w:rsid w:val="000443AD"/>
    <w:rsid w:val="00051122"/>
    <w:rsid w:val="00051D78"/>
    <w:rsid w:val="0006301A"/>
    <w:rsid w:val="000C720D"/>
    <w:rsid w:val="00101EFC"/>
    <w:rsid w:val="0010285D"/>
    <w:rsid w:val="0010414C"/>
    <w:rsid w:val="00114ECE"/>
    <w:rsid w:val="00120D36"/>
    <w:rsid w:val="001336EA"/>
    <w:rsid w:val="00185305"/>
    <w:rsid w:val="001B32F2"/>
    <w:rsid w:val="001D2E6D"/>
    <w:rsid w:val="00216336"/>
    <w:rsid w:val="002372AA"/>
    <w:rsid w:val="00246EAD"/>
    <w:rsid w:val="002766BC"/>
    <w:rsid w:val="002828A1"/>
    <w:rsid w:val="002B5C73"/>
    <w:rsid w:val="002E57BB"/>
    <w:rsid w:val="003346B0"/>
    <w:rsid w:val="00351631"/>
    <w:rsid w:val="0037644F"/>
    <w:rsid w:val="00393DA9"/>
    <w:rsid w:val="003B2947"/>
    <w:rsid w:val="003B756F"/>
    <w:rsid w:val="003F447F"/>
    <w:rsid w:val="004624F9"/>
    <w:rsid w:val="0049010F"/>
    <w:rsid w:val="004D6430"/>
    <w:rsid w:val="004D6901"/>
    <w:rsid w:val="004E5449"/>
    <w:rsid w:val="004F4A3E"/>
    <w:rsid w:val="005105C0"/>
    <w:rsid w:val="0051151E"/>
    <w:rsid w:val="00513A5A"/>
    <w:rsid w:val="005463E7"/>
    <w:rsid w:val="0055216B"/>
    <w:rsid w:val="0055378A"/>
    <w:rsid w:val="00562464"/>
    <w:rsid w:val="005B2740"/>
    <w:rsid w:val="005D6401"/>
    <w:rsid w:val="005E6D76"/>
    <w:rsid w:val="005F0DAB"/>
    <w:rsid w:val="005F3D54"/>
    <w:rsid w:val="005F70C8"/>
    <w:rsid w:val="00621365"/>
    <w:rsid w:val="006223B6"/>
    <w:rsid w:val="00635994"/>
    <w:rsid w:val="00655438"/>
    <w:rsid w:val="00665B34"/>
    <w:rsid w:val="00695528"/>
    <w:rsid w:val="007128DF"/>
    <w:rsid w:val="00741CD1"/>
    <w:rsid w:val="00755524"/>
    <w:rsid w:val="007651C5"/>
    <w:rsid w:val="0079085F"/>
    <w:rsid w:val="007A5A4D"/>
    <w:rsid w:val="007C23AE"/>
    <w:rsid w:val="007F21EB"/>
    <w:rsid w:val="00811918"/>
    <w:rsid w:val="00827F07"/>
    <w:rsid w:val="00840973"/>
    <w:rsid w:val="0085415F"/>
    <w:rsid w:val="0087069D"/>
    <w:rsid w:val="00880CFB"/>
    <w:rsid w:val="00884C4F"/>
    <w:rsid w:val="00890245"/>
    <w:rsid w:val="00894754"/>
    <w:rsid w:val="00901330"/>
    <w:rsid w:val="00922CA8"/>
    <w:rsid w:val="00925A88"/>
    <w:rsid w:val="0093528E"/>
    <w:rsid w:val="00970725"/>
    <w:rsid w:val="00972085"/>
    <w:rsid w:val="00976B3E"/>
    <w:rsid w:val="009B77B1"/>
    <w:rsid w:val="009C4A04"/>
    <w:rsid w:val="00A35372"/>
    <w:rsid w:val="00A51FEA"/>
    <w:rsid w:val="00A751DC"/>
    <w:rsid w:val="00AA7211"/>
    <w:rsid w:val="00AC4E25"/>
    <w:rsid w:val="00AC633E"/>
    <w:rsid w:val="00AD16D4"/>
    <w:rsid w:val="00AF07F7"/>
    <w:rsid w:val="00B11F09"/>
    <w:rsid w:val="00B217D7"/>
    <w:rsid w:val="00B932DD"/>
    <w:rsid w:val="00B93B0A"/>
    <w:rsid w:val="00BD51B2"/>
    <w:rsid w:val="00C9493C"/>
    <w:rsid w:val="00CA58A1"/>
    <w:rsid w:val="00CC360C"/>
    <w:rsid w:val="00CD1FA5"/>
    <w:rsid w:val="00CD299F"/>
    <w:rsid w:val="00CD5F40"/>
    <w:rsid w:val="00D14733"/>
    <w:rsid w:val="00D23084"/>
    <w:rsid w:val="00D348DC"/>
    <w:rsid w:val="00D77FEA"/>
    <w:rsid w:val="00D82D7A"/>
    <w:rsid w:val="00D84ECD"/>
    <w:rsid w:val="00DB3BBE"/>
    <w:rsid w:val="00DD39B2"/>
    <w:rsid w:val="00DE3614"/>
    <w:rsid w:val="00DF4A58"/>
    <w:rsid w:val="00E05510"/>
    <w:rsid w:val="00E07B95"/>
    <w:rsid w:val="00E21F19"/>
    <w:rsid w:val="00E25D4C"/>
    <w:rsid w:val="00E27A66"/>
    <w:rsid w:val="00E33B7B"/>
    <w:rsid w:val="00E4058E"/>
    <w:rsid w:val="00E62CA4"/>
    <w:rsid w:val="00E72B66"/>
    <w:rsid w:val="00E72DB0"/>
    <w:rsid w:val="00E74D68"/>
    <w:rsid w:val="00E94469"/>
    <w:rsid w:val="00EF0C84"/>
    <w:rsid w:val="00F04636"/>
    <w:rsid w:val="00F06B54"/>
    <w:rsid w:val="00F6778D"/>
    <w:rsid w:val="00FB3293"/>
    <w:rsid w:val="00FD7AEB"/>
    <w:rsid w:val="00FF1BEC"/>
    <w:rsid w:val="00FF74EB"/>
    <w:rsid w:val="02205793"/>
    <w:rsid w:val="025C93AE"/>
    <w:rsid w:val="03B7DFBD"/>
    <w:rsid w:val="03C236F0"/>
    <w:rsid w:val="04515FDB"/>
    <w:rsid w:val="056F74D3"/>
    <w:rsid w:val="0615DF71"/>
    <w:rsid w:val="06862E1F"/>
    <w:rsid w:val="06CD3EB1"/>
    <w:rsid w:val="06E1922E"/>
    <w:rsid w:val="0771F88D"/>
    <w:rsid w:val="07B70409"/>
    <w:rsid w:val="082CA3E8"/>
    <w:rsid w:val="09B47E42"/>
    <w:rsid w:val="09BD56B8"/>
    <w:rsid w:val="0A679D41"/>
    <w:rsid w:val="0A872B52"/>
    <w:rsid w:val="0B8373C5"/>
    <w:rsid w:val="0BA8B610"/>
    <w:rsid w:val="0C22FBB3"/>
    <w:rsid w:val="0CC1EEA1"/>
    <w:rsid w:val="0CD8537C"/>
    <w:rsid w:val="0DBAA3A8"/>
    <w:rsid w:val="0E696A4B"/>
    <w:rsid w:val="0EBF0F19"/>
    <w:rsid w:val="0ED049F0"/>
    <w:rsid w:val="0F884B59"/>
    <w:rsid w:val="0FCEED4D"/>
    <w:rsid w:val="106C1A51"/>
    <w:rsid w:val="11C12E56"/>
    <w:rsid w:val="11E0F630"/>
    <w:rsid w:val="1292F185"/>
    <w:rsid w:val="130BBA87"/>
    <w:rsid w:val="13A3BB13"/>
    <w:rsid w:val="1409B871"/>
    <w:rsid w:val="150D5485"/>
    <w:rsid w:val="167B771C"/>
    <w:rsid w:val="1858F3F0"/>
    <w:rsid w:val="1876FF51"/>
    <w:rsid w:val="1922679C"/>
    <w:rsid w:val="19BF6A25"/>
    <w:rsid w:val="1A89842F"/>
    <w:rsid w:val="1B47AAC5"/>
    <w:rsid w:val="1BB751F6"/>
    <w:rsid w:val="1BCCB5C5"/>
    <w:rsid w:val="1C997470"/>
    <w:rsid w:val="1D31D0E9"/>
    <w:rsid w:val="1DF7A3F0"/>
    <w:rsid w:val="1E2D2575"/>
    <w:rsid w:val="1F4D75EC"/>
    <w:rsid w:val="22005393"/>
    <w:rsid w:val="2252E0CE"/>
    <w:rsid w:val="27855DD9"/>
    <w:rsid w:val="27D7CA7C"/>
    <w:rsid w:val="290BB2D7"/>
    <w:rsid w:val="2AFF1C0F"/>
    <w:rsid w:val="2BDC8FF3"/>
    <w:rsid w:val="2C31012C"/>
    <w:rsid w:val="2D4F864C"/>
    <w:rsid w:val="31FCFF08"/>
    <w:rsid w:val="31FFF32E"/>
    <w:rsid w:val="3261A412"/>
    <w:rsid w:val="32DBB0B5"/>
    <w:rsid w:val="333F2328"/>
    <w:rsid w:val="3639C92D"/>
    <w:rsid w:val="37321368"/>
    <w:rsid w:val="388A6E40"/>
    <w:rsid w:val="39A25609"/>
    <w:rsid w:val="3A27EC7B"/>
    <w:rsid w:val="3A6EDCF6"/>
    <w:rsid w:val="3AD896A4"/>
    <w:rsid w:val="3B3BF0C3"/>
    <w:rsid w:val="3B801D69"/>
    <w:rsid w:val="3C048639"/>
    <w:rsid w:val="3E33C49A"/>
    <w:rsid w:val="407F8FEF"/>
    <w:rsid w:val="423D411A"/>
    <w:rsid w:val="432506CA"/>
    <w:rsid w:val="45F4D77D"/>
    <w:rsid w:val="468E4640"/>
    <w:rsid w:val="46EE4E21"/>
    <w:rsid w:val="46EED173"/>
    <w:rsid w:val="480DD0A5"/>
    <w:rsid w:val="49EC35EB"/>
    <w:rsid w:val="4A14A00E"/>
    <w:rsid w:val="4B1BB0AC"/>
    <w:rsid w:val="4DE5E6EB"/>
    <w:rsid w:val="4DEF53EF"/>
    <w:rsid w:val="50BB1728"/>
    <w:rsid w:val="50CE7EBB"/>
    <w:rsid w:val="515C2266"/>
    <w:rsid w:val="51A044C2"/>
    <w:rsid w:val="51ADFBB9"/>
    <w:rsid w:val="532C4FD8"/>
    <w:rsid w:val="53C74060"/>
    <w:rsid w:val="542A4393"/>
    <w:rsid w:val="5617BE0F"/>
    <w:rsid w:val="570C1FF0"/>
    <w:rsid w:val="57174B92"/>
    <w:rsid w:val="590776D4"/>
    <w:rsid w:val="59CDED6F"/>
    <w:rsid w:val="5AA00846"/>
    <w:rsid w:val="5AA1A237"/>
    <w:rsid w:val="5B4F9E6B"/>
    <w:rsid w:val="5BC21497"/>
    <w:rsid w:val="5F02E4BF"/>
    <w:rsid w:val="604E463D"/>
    <w:rsid w:val="61B91A5C"/>
    <w:rsid w:val="61E6C70C"/>
    <w:rsid w:val="6291728A"/>
    <w:rsid w:val="62B6B35E"/>
    <w:rsid w:val="6347EAE9"/>
    <w:rsid w:val="641F0B35"/>
    <w:rsid w:val="64C59ABF"/>
    <w:rsid w:val="65F20760"/>
    <w:rsid w:val="6605286F"/>
    <w:rsid w:val="683B4E8D"/>
    <w:rsid w:val="686B7247"/>
    <w:rsid w:val="6A10A861"/>
    <w:rsid w:val="6A3FF982"/>
    <w:rsid w:val="6B3541E5"/>
    <w:rsid w:val="6B45DD4D"/>
    <w:rsid w:val="6B6F11C4"/>
    <w:rsid w:val="6CF47798"/>
    <w:rsid w:val="6D35C6F4"/>
    <w:rsid w:val="6DE29022"/>
    <w:rsid w:val="6DE9BEF8"/>
    <w:rsid w:val="6E40E144"/>
    <w:rsid w:val="70D2D3F2"/>
    <w:rsid w:val="719D693B"/>
    <w:rsid w:val="71A48369"/>
    <w:rsid w:val="71E3C279"/>
    <w:rsid w:val="724611BF"/>
    <w:rsid w:val="72D6DBDA"/>
    <w:rsid w:val="73527147"/>
    <w:rsid w:val="737F92DA"/>
    <w:rsid w:val="73B48A1D"/>
    <w:rsid w:val="7537F570"/>
    <w:rsid w:val="75E4868C"/>
    <w:rsid w:val="761E0A07"/>
    <w:rsid w:val="76349BCC"/>
    <w:rsid w:val="76873CA1"/>
    <w:rsid w:val="773D8C8B"/>
    <w:rsid w:val="77E97544"/>
    <w:rsid w:val="77FA9C90"/>
    <w:rsid w:val="7949DBC2"/>
    <w:rsid w:val="7BE1BAE9"/>
    <w:rsid w:val="7C00115F"/>
    <w:rsid w:val="7C6FB635"/>
    <w:rsid w:val="7CE0B8B8"/>
    <w:rsid w:val="7D0BDFC7"/>
    <w:rsid w:val="7D577732"/>
    <w:rsid w:val="7E4C0A4C"/>
    <w:rsid w:val="7E9A3807"/>
    <w:rsid w:val="7FDBBCC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95F70F"/>
  <w15:chartTrackingRefBased/>
  <w15:docId w15:val="{842F6CC9-8B79-415A-9669-1EB05D9664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28A1"/>
    <w:pPr>
      <w:spacing w:before="120" w:after="120" w:line="300" w:lineRule="auto"/>
      <w:jc w:val="both"/>
    </w:pPr>
    <w:rPr>
      <w:rFonts w:ascii="Arial Narrow" w:hAnsi="Arial Narrow"/>
      <w:sz w:val="24"/>
    </w:rPr>
  </w:style>
  <w:style w:type="paragraph" w:styleId="Heading1">
    <w:name w:val="heading 1"/>
    <w:basedOn w:val="Normal"/>
    <w:next w:val="Normal"/>
    <w:link w:val="Heading1Char"/>
    <w:autoRedefine/>
    <w:uiPriority w:val="9"/>
    <w:qFormat/>
    <w:rsid w:val="003F447F"/>
    <w:pPr>
      <w:keepNext/>
      <w:keepLines/>
      <w:outlineLvl w:val="0"/>
    </w:pPr>
    <w:rPr>
      <w:rFonts w:eastAsiaTheme="majorEastAsia" w:cstheme="majorBidi"/>
      <w:b/>
      <w:sz w:val="28"/>
      <w:szCs w:val="32"/>
    </w:rPr>
  </w:style>
  <w:style w:type="paragraph" w:styleId="Heading2">
    <w:name w:val="heading 2"/>
    <w:basedOn w:val="Normal"/>
    <w:next w:val="Normal"/>
    <w:link w:val="Heading2Char"/>
    <w:autoRedefine/>
    <w:uiPriority w:val="9"/>
    <w:unhideWhenUsed/>
    <w:qFormat/>
    <w:rsid w:val="003F447F"/>
    <w:pPr>
      <w:keepNext/>
      <w:keepLines/>
      <w:outlineLvl w:val="1"/>
    </w:pPr>
    <w:rPr>
      <w:rFonts w:eastAsiaTheme="majorEastAsia" w:cstheme="majorBidi"/>
      <w:b/>
      <w:iCs/>
      <w:sz w:val="26"/>
      <w:szCs w:val="26"/>
      <w:lang w:eastAsia="en-AU"/>
    </w:rPr>
  </w:style>
  <w:style w:type="paragraph" w:styleId="Heading3">
    <w:name w:val="heading 3"/>
    <w:basedOn w:val="Normal"/>
    <w:next w:val="Normal"/>
    <w:link w:val="Heading3Char"/>
    <w:autoRedefine/>
    <w:uiPriority w:val="9"/>
    <w:unhideWhenUsed/>
    <w:qFormat/>
    <w:rsid w:val="003F447F"/>
    <w:pPr>
      <w:keepNext/>
      <w:keepLines/>
      <w:spacing w:line="240" w:lineRule="auto"/>
      <w:outlineLvl w:val="2"/>
    </w:pPr>
    <w:rPr>
      <w:rFonts w:eastAsiaTheme="majorEastAsia" w:cstheme="majorBidi"/>
      <w:szCs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autoRedefine/>
    <w:uiPriority w:val="10"/>
    <w:qFormat/>
    <w:rsid w:val="003F447F"/>
    <w:pPr>
      <w:spacing w:line="240" w:lineRule="auto"/>
      <w:contextualSpacing/>
    </w:pPr>
    <w:rPr>
      <w:rFonts w:eastAsiaTheme="majorEastAsia" w:cstheme="majorBidi"/>
      <w:b/>
      <w:spacing w:val="-10"/>
      <w:kern w:val="28"/>
      <w:sz w:val="36"/>
      <w:szCs w:val="56"/>
    </w:rPr>
  </w:style>
  <w:style w:type="character" w:customStyle="1" w:styleId="TitleChar">
    <w:name w:val="Title Char"/>
    <w:basedOn w:val="DefaultParagraphFont"/>
    <w:link w:val="Title"/>
    <w:uiPriority w:val="10"/>
    <w:rsid w:val="003F447F"/>
    <w:rPr>
      <w:rFonts w:ascii="Arial Narrow" w:eastAsiaTheme="majorEastAsia" w:hAnsi="Arial Narrow" w:cstheme="majorBidi"/>
      <w:b/>
      <w:spacing w:val="-10"/>
      <w:kern w:val="28"/>
      <w:sz w:val="36"/>
      <w:szCs w:val="56"/>
    </w:rPr>
  </w:style>
  <w:style w:type="character" w:customStyle="1" w:styleId="Heading1Char">
    <w:name w:val="Heading 1 Char"/>
    <w:basedOn w:val="DefaultParagraphFont"/>
    <w:link w:val="Heading1"/>
    <w:uiPriority w:val="9"/>
    <w:rsid w:val="003F447F"/>
    <w:rPr>
      <w:rFonts w:ascii="Arial Narrow" w:eastAsiaTheme="majorEastAsia" w:hAnsi="Arial Narrow" w:cstheme="majorBidi"/>
      <w:b/>
      <w:sz w:val="28"/>
      <w:szCs w:val="32"/>
    </w:rPr>
  </w:style>
  <w:style w:type="paragraph" w:styleId="Caption">
    <w:name w:val="caption"/>
    <w:basedOn w:val="Normal"/>
    <w:next w:val="Normal"/>
    <w:autoRedefine/>
    <w:uiPriority w:val="35"/>
    <w:unhideWhenUsed/>
    <w:qFormat/>
    <w:rsid w:val="002E57BB"/>
    <w:pPr>
      <w:spacing w:before="0" w:after="0" w:line="240" w:lineRule="auto"/>
    </w:pPr>
    <w:rPr>
      <w:i/>
      <w:iCs/>
      <w:color w:val="7030A0"/>
      <w:sz w:val="22"/>
      <w:szCs w:val="18"/>
    </w:rPr>
  </w:style>
  <w:style w:type="character" w:customStyle="1" w:styleId="Heading2Char">
    <w:name w:val="Heading 2 Char"/>
    <w:basedOn w:val="DefaultParagraphFont"/>
    <w:link w:val="Heading2"/>
    <w:uiPriority w:val="9"/>
    <w:rsid w:val="003F447F"/>
    <w:rPr>
      <w:rFonts w:ascii="Arial Narrow" w:eastAsiaTheme="majorEastAsia" w:hAnsi="Arial Narrow" w:cstheme="majorBidi"/>
      <w:b/>
      <w:iCs/>
      <w:sz w:val="26"/>
      <w:szCs w:val="26"/>
      <w:lang w:eastAsia="en-AU"/>
    </w:rPr>
  </w:style>
  <w:style w:type="paragraph" w:styleId="BodyText">
    <w:name w:val="Body Text"/>
    <w:basedOn w:val="Normal"/>
    <w:link w:val="BodyTextChar"/>
    <w:autoRedefine/>
    <w:qFormat/>
    <w:rsid w:val="00FB3293"/>
    <w:pPr>
      <w:spacing w:before="0" w:line="280" w:lineRule="exact"/>
    </w:pPr>
    <w:rPr>
      <w:rFonts w:asciiTheme="minorHAnsi" w:hAnsiTheme="minorHAnsi"/>
      <w:sz w:val="20"/>
    </w:rPr>
  </w:style>
  <w:style w:type="character" w:customStyle="1" w:styleId="BodyTextChar">
    <w:name w:val="Body Text Char"/>
    <w:basedOn w:val="DefaultParagraphFont"/>
    <w:link w:val="BodyText"/>
    <w:rsid w:val="00FB3293"/>
    <w:rPr>
      <w:sz w:val="20"/>
    </w:rPr>
  </w:style>
  <w:style w:type="character" w:customStyle="1" w:styleId="Heading3Char">
    <w:name w:val="Heading 3 Char"/>
    <w:basedOn w:val="DefaultParagraphFont"/>
    <w:link w:val="Heading3"/>
    <w:uiPriority w:val="9"/>
    <w:rsid w:val="003F447F"/>
    <w:rPr>
      <w:rFonts w:ascii="Arial Narrow" w:eastAsiaTheme="majorEastAsia" w:hAnsi="Arial Narrow" w:cstheme="majorBidi"/>
      <w:sz w:val="24"/>
      <w:szCs w:val="24"/>
      <w:u w:val="single"/>
    </w:rPr>
  </w:style>
  <w:style w:type="paragraph" w:styleId="ListParagraph">
    <w:name w:val="List Paragraph"/>
    <w:basedOn w:val="Normal"/>
    <w:autoRedefine/>
    <w:uiPriority w:val="34"/>
    <w:qFormat/>
    <w:rsid w:val="00741CD1"/>
    <w:pPr>
      <w:numPr>
        <w:numId w:val="3"/>
      </w:numPr>
      <w:contextualSpacing/>
    </w:pPr>
  </w:style>
  <w:style w:type="character" w:styleId="CommentReference">
    <w:name w:val="annotation reference"/>
    <w:basedOn w:val="DefaultParagraphFont"/>
    <w:uiPriority w:val="99"/>
    <w:semiHidden/>
    <w:unhideWhenUsed/>
    <w:rsid w:val="00E05510"/>
    <w:rPr>
      <w:sz w:val="16"/>
      <w:szCs w:val="16"/>
    </w:rPr>
  </w:style>
  <w:style w:type="paragraph" w:styleId="CommentText">
    <w:name w:val="annotation text"/>
    <w:basedOn w:val="Normal"/>
    <w:link w:val="CommentTextChar"/>
    <w:uiPriority w:val="99"/>
    <w:unhideWhenUsed/>
    <w:rsid w:val="00E05510"/>
    <w:pPr>
      <w:spacing w:line="240" w:lineRule="auto"/>
    </w:pPr>
    <w:rPr>
      <w:sz w:val="20"/>
      <w:szCs w:val="20"/>
    </w:rPr>
  </w:style>
  <w:style w:type="character" w:customStyle="1" w:styleId="CommentTextChar">
    <w:name w:val="Comment Text Char"/>
    <w:basedOn w:val="DefaultParagraphFont"/>
    <w:link w:val="CommentText"/>
    <w:uiPriority w:val="99"/>
    <w:rsid w:val="00E05510"/>
    <w:rPr>
      <w:rFonts w:ascii="Arial Narrow" w:hAnsi="Arial Narrow"/>
      <w:sz w:val="20"/>
      <w:szCs w:val="20"/>
    </w:rPr>
  </w:style>
  <w:style w:type="paragraph" w:styleId="Bibliography">
    <w:name w:val="Bibliography"/>
    <w:basedOn w:val="Normal"/>
    <w:next w:val="Normal"/>
    <w:uiPriority w:val="37"/>
    <w:unhideWhenUsed/>
    <w:rsid w:val="00665B34"/>
    <w:pPr>
      <w:tabs>
        <w:tab w:val="left" w:pos="260"/>
      </w:tabs>
      <w:spacing w:after="0" w:line="480" w:lineRule="auto"/>
      <w:ind w:left="264" w:hanging="264"/>
    </w:pPr>
  </w:style>
  <w:style w:type="paragraph" w:styleId="CommentSubject">
    <w:name w:val="annotation subject"/>
    <w:basedOn w:val="CommentText"/>
    <w:next w:val="CommentText"/>
    <w:link w:val="CommentSubjectChar"/>
    <w:uiPriority w:val="99"/>
    <w:semiHidden/>
    <w:unhideWhenUsed/>
    <w:rsid w:val="00CC360C"/>
    <w:rPr>
      <w:b/>
      <w:bCs/>
    </w:rPr>
  </w:style>
  <w:style w:type="character" w:customStyle="1" w:styleId="CommentSubjectChar">
    <w:name w:val="Comment Subject Char"/>
    <w:basedOn w:val="CommentTextChar"/>
    <w:link w:val="CommentSubject"/>
    <w:uiPriority w:val="99"/>
    <w:semiHidden/>
    <w:rsid w:val="00CC360C"/>
    <w:rPr>
      <w:rFonts w:ascii="Arial Narrow" w:hAnsi="Arial Narrow"/>
      <w:b/>
      <w:bCs/>
      <w:sz w:val="20"/>
      <w:szCs w:val="20"/>
    </w:rPr>
  </w:style>
  <w:style w:type="paragraph" w:styleId="Revision">
    <w:name w:val="Revision"/>
    <w:hidden/>
    <w:uiPriority w:val="99"/>
    <w:semiHidden/>
    <w:rsid w:val="00CD299F"/>
    <w:pPr>
      <w:spacing w:after="0" w:line="240" w:lineRule="auto"/>
    </w:pPr>
    <w:rPr>
      <w:rFonts w:ascii="Arial Narrow" w:hAnsi="Arial Narrow"/>
      <w:sz w:val="24"/>
    </w:rPr>
  </w:style>
  <w:style w:type="paragraph" w:styleId="Header">
    <w:name w:val="header"/>
    <w:basedOn w:val="Normal"/>
    <w:link w:val="HeaderChar"/>
    <w:uiPriority w:val="99"/>
    <w:unhideWhenUsed/>
    <w:rsid w:val="002B5C73"/>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2B5C73"/>
    <w:rPr>
      <w:rFonts w:ascii="Arial Narrow" w:hAnsi="Arial Narrow"/>
      <w:sz w:val="24"/>
    </w:rPr>
  </w:style>
  <w:style w:type="paragraph" w:styleId="Footer">
    <w:name w:val="footer"/>
    <w:basedOn w:val="Normal"/>
    <w:link w:val="FooterChar"/>
    <w:uiPriority w:val="99"/>
    <w:unhideWhenUsed/>
    <w:rsid w:val="002B5C73"/>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2B5C73"/>
    <w:rPr>
      <w:rFonts w:ascii="Arial Narrow" w:hAnsi="Arial Narrow"/>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5.png"/><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4634F367684BA740A9E1D347F5868EA5" ma:contentTypeVersion="8" ma:contentTypeDescription="Create a new document." ma:contentTypeScope="" ma:versionID="f1528e623ba14a08430c71724c90a42f">
  <xsd:schema xmlns:xsd="http://www.w3.org/2001/XMLSchema" xmlns:xs="http://www.w3.org/2001/XMLSchema" xmlns:p="http://schemas.microsoft.com/office/2006/metadata/properties" xmlns:ns2="ab69ba34-378f-4a44-b19a-de9b426ba2c1" xmlns:ns3="3bc8bdc5-7a55-4d42-bc08-9f31e530091b" targetNamespace="http://schemas.microsoft.com/office/2006/metadata/properties" ma:root="true" ma:fieldsID="61571403b708ca87b1a79949ff6a48a8" ns2:_="" ns3:_="">
    <xsd:import namespace="ab69ba34-378f-4a44-b19a-de9b426ba2c1"/>
    <xsd:import namespace="3bc8bdc5-7a55-4d42-bc08-9f31e530091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69ba34-378f-4a44-b19a-de9b426ba2c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bc8bdc5-7a55-4d42-bc08-9f31e530091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haredWithUsers xmlns="3bc8bdc5-7a55-4d42-bc08-9f31e530091b">
      <UserInfo>
        <DisplayName>Kim-Huong Nguyen</DisplayName>
        <AccountId>12</AccountId>
        <AccountType/>
      </UserInfo>
      <UserInfo>
        <DisplayName>Thi Nguyen</DisplayName>
        <AccountId>18</AccountId>
        <AccountType/>
      </UserInfo>
      <UserInfo>
        <DisplayName>Clair Sullivan</DisplayName>
        <AccountId>19</AccountId>
        <AccountType/>
      </UserInfo>
    </SharedWithUsers>
  </documentManagement>
</p:properties>
</file>

<file path=customXml/itemProps1.xml><?xml version="1.0" encoding="utf-8"?>
<ds:datastoreItem xmlns:ds="http://schemas.openxmlformats.org/officeDocument/2006/customXml" ds:itemID="{2F4A6273-A472-4590-984D-2C6B46FA6EE1}">
  <ds:schemaRefs>
    <ds:schemaRef ds:uri="http://schemas.openxmlformats.org/officeDocument/2006/bibliography"/>
  </ds:schemaRefs>
</ds:datastoreItem>
</file>

<file path=customXml/itemProps2.xml><?xml version="1.0" encoding="utf-8"?>
<ds:datastoreItem xmlns:ds="http://schemas.openxmlformats.org/officeDocument/2006/customXml" ds:itemID="{5C88F503-7B5E-4228-BD9E-73E9467A6B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b69ba34-378f-4a44-b19a-de9b426ba2c1"/>
    <ds:schemaRef ds:uri="3bc8bdc5-7a55-4d42-bc08-9f31e53009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8886237-C885-417B-812D-813600DCAA26}">
  <ds:schemaRefs>
    <ds:schemaRef ds:uri="http://schemas.microsoft.com/sharepoint/v3/contenttype/forms"/>
  </ds:schemaRefs>
</ds:datastoreItem>
</file>

<file path=customXml/itemProps4.xml><?xml version="1.0" encoding="utf-8"?>
<ds:datastoreItem xmlns:ds="http://schemas.openxmlformats.org/officeDocument/2006/customXml" ds:itemID="{89FAC880-877B-4FBB-82CA-F7B63AD969B7}">
  <ds:schemaRefs>
    <ds:schemaRef ds:uri="http://schemas.microsoft.com/office/2006/metadata/properties"/>
    <ds:schemaRef ds:uri="http://schemas.microsoft.com/office/infopath/2007/PartnerControls"/>
    <ds:schemaRef ds:uri="3bc8bdc5-7a55-4d42-bc08-9f31e530091b"/>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8</Pages>
  <Words>4596</Words>
  <Characters>26199</Characters>
  <Application>Microsoft Office Word</Application>
  <DocSecurity>0</DocSecurity>
  <Lines>218</Lines>
  <Paragraphs>61</Paragraphs>
  <ScaleCrop>false</ScaleCrop>
  <Company>The University of Queensland</Company>
  <LinksUpToDate>false</LinksUpToDate>
  <CharactersWithSpaces>30734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Kim-Huong Nguyen</dc:creator>
  <cp:keywords/>
  <dc:description/>
  <cp:lastModifiedBy>Thi Nguyen</cp:lastModifiedBy>
  <cp:revision>67</cp:revision>
  <dcterms:created xsi:type="dcterms:W3CDTF">2023-02-06T23:44:00Z</dcterms:created>
  <dcterms:modified xsi:type="dcterms:W3CDTF">2024-04-15T11:16:00Z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f488380-630a-4f55-a077-a19445e3f360_Enabled">
    <vt:lpwstr>true</vt:lpwstr>
  </property>
  <property fmtid="{D5CDD505-2E9C-101B-9397-08002B2CF9AE}" pid="3" name="MSIP_Label_0f488380-630a-4f55-a077-a19445e3f360_SetDate">
    <vt:lpwstr>2023-02-01T14:25:54Z</vt:lpwstr>
  </property>
  <property fmtid="{D5CDD505-2E9C-101B-9397-08002B2CF9AE}" pid="4" name="MSIP_Label_0f488380-630a-4f55-a077-a19445e3f360_Method">
    <vt:lpwstr>Standard</vt:lpwstr>
  </property>
  <property fmtid="{D5CDD505-2E9C-101B-9397-08002B2CF9AE}" pid="5" name="MSIP_Label_0f488380-630a-4f55-a077-a19445e3f360_Name">
    <vt:lpwstr>OFFICIAL - INTERNAL</vt:lpwstr>
  </property>
  <property fmtid="{D5CDD505-2E9C-101B-9397-08002B2CF9AE}" pid="6" name="MSIP_Label_0f488380-630a-4f55-a077-a19445e3f360_SiteId">
    <vt:lpwstr>b6e377cf-9db3-46cb-91a2-fad9605bb15c</vt:lpwstr>
  </property>
  <property fmtid="{D5CDD505-2E9C-101B-9397-08002B2CF9AE}" pid="7" name="MSIP_Label_0f488380-630a-4f55-a077-a19445e3f360_ActionId">
    <vt:lpwstr>ef2539e1-203b-4b9a-a561-19dc70fe8434</vt:lpwstr>
  </property>
  <property fmtid="{D5CDD505-2E9C-101B-9397-08002B2CF9AE}" pid="8" name="MSIP_Label_0f488380-630a-4f55-a077-a19445e3f360_ContentBits">
    <vt:lpwstr>0</vt:lpwstr>
  </property>
  <property fmtid="{D5CDD505-2E9C-101B-9397-08002B2CF9AE}" pid="9" name="ZOTERO_PREF_1">
    <vt:lpwstr>&lt;data data-version="3" zotero-version="6.0.21"&gt;&lt;session id="pOy4ZReH"/&gt;&lt;style id="http://www.zotero.org/styles/nature" hasBibliography="1" bibliographyStyleHasBeenSet="1"/&gt;&lt;prefs&gt;&lt;pref name="fieldType" value="Field"/&gt;&lt;pref name="automaticJournalAbbreviati</vt:lpwstr>
  </property>
  <property fmtid="{D5CDD505-2E9C-101B-9397-08002B2CF9AE}" pid="10" name="ZOTERO_PREF_2">
    <vt:lpwstr>ons" value="true"/&gt;&lt;/prefs&gt;&lt;/data&gt;</vt:lpwstr>
  </property>
  <property fmtid="{D5CDD505-2E9C-101B-9397-08002B2CF9AE}" pid="11" name="ContentTypeId">
    <vt:lpwstr>0x0101004634F367684BA740A9E1D347F5868EA5</vt:lpwstr>
  </property>
</Properties>
</file>