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ListTable2"/>
        <w:tblpPr w:leftFromText="180" w:rightFromText="180" w:vertAnchor="text" w:tblpX="-147" w:tblpY="1"/>
        <w:tblW w:w="14507" w:type="dxa"/>
        <w:shd w:val="clear" w:color="auto" w:fill="FFFFFF" w:themeFill="background1"/>
        <w:tblLayout w:type="fixed"/>
        <w:tblLook w:val="04A0" w:firstRow="1" w:lastRow="0" w:firstColumn="1" w:lastColumn="0" w:noHBand="0" w:noVBand="1"/>
      </w:tblPr>
      <w:tblGrid>
        <w:gridCol w:w="525"/>
        <w:gridCol w:w="1162"/>
        <w:gridCol w:w="1032"/>
        <w:gridCol w:w="1279"/>
        <w:gridCol w:w="2163"/>
        <w:gridCol w:w="1283"/>
        <w:gridCol w:w="1657"/>
        <w:gridCol w:w="1586"/>
        <w:gridCol w:w="1910"/>
        <w:gridCol w:w="1910"/>
      </w:tblGrid>
      <w:tr w:rsidR="00EF055A" w:rsidRPr="00986A43" w14:paraId="4714AB15" w14:textId="400CD366" w:rsidTr="00EF055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5" w:type="dxa"/>
            <w:shd w:val="clear" w:color="auto" w:fill="E8E8E8" w:themeFill="background2"/>
          </w:tcPr>
          <w:p w14:paraId="06771D65" w14:textId="77777777" w:rsidR="00A34CE6" w:rsidRPr="00254090" w:rsidRDefault="00A34CE6" w:rsidP="00072EA0">
            <w:pPr>
              <w:rPr>
                <w:rFonts w:ascii="Trebuchet MS" w:hAnsi="Trebuchet MS" w:cstheme="minorHAnsi"/>
                <w:sz w:val="20"/>
                <w:szCs w:val="20"/>
              </w:rPr>
            </w:pPr>
            <w:r w:rsidRPr="00254090">
              <w:rPr>
                <w:rFonts w:ascii="Trebuchet MS" w:hAnsi="Trebuchet MS" w:cstheme="minorHAnsi"/>
                <w:sz w:val="20"/>
                <w:szCs w:val="20"/>
              </w:rPr>
              <w:t>No.</w:t>
            </w:r>
          </w:p>
        </w:tc>
        <w:tc>
          <w:tcPr>
            <w:tcW w:w="1162" w:type="dxa"/>
            <w:shd w:val="clear" w:color="auto" w:fill="E8E8E8" w:themeFill="background2"/>
          </w:tcPr>
          <w:p w14:paraId="22AF6EAE" w14:textId="77777777" w:rsidR="00A34CE6" w:rsidRPr="00254090"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Author (year)</w:t>
            </w:r>
          </w:p>
        </w:tc>
        <w:tc>
          <w:tcPr>
            <w:tcW w:w="1032" w:type="dxa"/>
            <w:shd w:val="clear" w:color="auto" w:fill="E8E8E8" w:themeFill="background2"/>
          </w:tcPr>
          <w:p w14:paraId="3F35CB86" w14:textId="77777777" w:rsidR="00A34CE6" w:rsidRPr="00986A43"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Country</w:t>
            </w:r>
          </w:p>
        </w:tc>
        <w:tc>
          <w:tcPr>
            <w:tcW w:w="1279" w:type="dxa"/>
            <w:shd w:val="clear" w:color="auto" w:fill="E8E8E8" w:themeFill="background2"/>
          </w:tcPr>
          <w:p w14:paraId="0DCDA402" w14:textId="77777777" w:rsidR="00A34CE6" w:rsidRPr="00986A43"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Model’s name</w:t>
            </w:r>
          </w:p>
        </w:tc>
        <w:tc>
          <w:tcPr>
            <w:tcW w:w="2163" w:type="dxa"/>
            <w:shd w:val="clear" w:color="auto" w:fill="E8E8E8" w:themeFill="background2"/>
          </w:tcPr>
          <w:p w14:paraId="2519896A" w14:textId="77777777" w:rsidR="00A34CE6" w:rsidRPr="00986A43"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Policy assessment/ scenarios/evaluation</w:t>
            </w:r>
          </w:p>
        </w:tc>
        <w:tc>
          <w:tcPr>
            <w:tcW w:w="1283" w:type="dxa"/>
            <w:shd w:val="clear" w:color="auto" w:fill="E8E8E8" w:themeFill="background2"/>
          </w:tcPr>
          <w:p w14:paraId="5FB9732F" w14:textId="77777777" w:rsidR="00A34CE6" w:rsidRPr="00986A43"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Perspective</w:t>
            </w:r>
          </w:p>
        </w:tc>
        <w:tc>
          <w:tcPr>
            <w:tcW w:w="1657" w:type="dxa"/>
            <w:shd w:val="clear" w:color="auto" w:fill="E8E8E8" w:themeFill="background2"/>
          </w:tcPr>
          <w:p w14:paraId="6884BD72" w14:textId="77777777" w:rsidR="00A34CE6" w:rsidRPr="00EF0D65"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EF0D65">
              <w:rPr>
                <w:rFonts w:ascii="Trebuchet MS" w:hAnsi="Trebuchet MS" w:cstheme="minorHAnsi"/>
                <w:sz w:val="20"/>
                <w:szCs w:val="20"/>
              </w:rPr>
              <w:t>Model types</w:t>
            </w:r>
          </w:p>
        </w:tc>
        <w:tc>
          <w:tcPr>
            <w:tcW w:w="1586" w:type="dxa"/>
            <w:shd w:val="clear" w:color="auto" w:fill="E8E8E8" w:themeFill="background2"/>
          </w:tcPr>
          <w:p w14:paraId="7ADE1403" w14:textId="77777777" w:rsidR="00A34CE6" w:rsidRPr="00986A43"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Time horizon, cycle</w:t>
            </w:r>
          </w:p>
        </w:tc>
        <w:tc>
          <w:tcPr>
            <w:tcW w:w="1910" w:type="dxa"/>
            <w:shd w:val="clear" w:color="auto" w:fill="E8E8E8" w:themeFill="background2"/>
          </w:tcPr>
          <w:p w14:paraId="34B2B69E" w14:textId="77777777" w:rsidR="00A34CE6" w:rsidRPr="00986A43"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Disease state</w:t>
            </w:r>
            <w:r>
              <w:rPr>
                <w:rFonts w:ascii="Trebuchet MS" w:hAnsi="Trebuchet MS" w:cstheme="minorHAnsi"/>
                <w:sz w:val="20"/>
                <w:szCs w:val="20"/>
              </w:rPr>
              <w:t>s</w:t>
            </w:r>
            <w:r w:rsidRPr="00986A43">
              <w:rPr>
                <w:rFonts w:ascii="Trebuchet MS" w:hAnsi="Trebuchet MS" w:cstheme="minorHAnsi"/>
                <w:sz w:val="20"/>
                <w:szCs w:val="20"/>
              </w:rPr>
              <w:t>/ measurement</w:t>
            </w:r>
          </w:p>
        </w:tc>
        <w:tc>
          <w:tcPr>
            <w:tcW w:w="1910" w:type="dxa"/>
            <w:shd w:val="clear" w:color="auto" w:fill="E8E8E8" w:themeFill="background2"/>
          </w:tcPr>
          <w:p w14:paraId="4716C7DF" w14:textId="27A6451E" w:rsidR="00A34CE6" w:rsidRPr="00986A43" w:rsidRDefault="00A34CE6" w:rsidP="00072EA0">
            <w:pPr>
              <w:jc w:val="center"/>
              <w:cnfStyle w:val="100000000000" w:firstRow="1"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Uncertainty analysis (types)</w:t>
            </w:r>
          </w:p>
        </w:tc>
      </w:tr>
      <w:tr w:rsidR="00EF055A" w:rsidRPr="00986A43" w14:paraId="2EB6DFD4" w14:textId="4FFE8B5B"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7EF41CBE" w14:textId="77777777" w:rsidR="00A34CE6" w:rsidRPr="00254090" w:rsidRDefault="00A34CE6" w:rsidP="00A34CE6">
            <w:pPr>
              <w:pStyle w:val="ListParagraph"/>
              <w:numPr>
                <w:ilvl w:val="0"/>
                <w:numId w:val="2"/>
              </w:numPr>
              <w:rPr>
                <w:rFonts w:ascii="Trebuchet MS" w:hAnsi="Trebuchet MS" w:cstheme="minorHAnsi"/>
                <w:sz w:val="20"/>
                <w:szCs w:val="20"/>
              </w:rPr>
            </w:pPr>
            <w:bookmarkStart w:id="0" w:name="_Hlk137163467"/>
          </w:p>
        </w:tc>
        <w:tc>
          <w:tcPr>
            <w:tcW w:w="1162" w:type="dxa"/>
            <w:shd w:val="clear" w:color="auto" w:fill="FFFFFF" w:themeFill="background1"/>
          </w:tcPr>
          <w:p w14:paraId="75FF963D"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Dalziel and Segal (2007)</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{"citationID":"y8IRLJ3z","properties":{"formattedCitation":"\\super 112\\nosupersub{}","plainCitation":"112","noteIndex":0},"citationItems":[{"id":680,"uris":["http://zotero.org/users/local/fKc2159l/items/CQAZHXWE"],"itemData":{"id":680,"type":"article-journal","abstract":"The aim of this study was to evaluate the economic performance of 10 nutrition interventions. The interventions included Mediterranean Diet, Intensive Lifestyle Change (nutrition and physical activity) to Prevent Diabetes, Reduced Fat Diet for persons with IGT, Nutritional Counselling in GP (GP, general practice/primary care), Nurse Counselling in GP, Oxcheck Nurse Health Checks in GP, Gutbusters Workplace (for men), Talking Computer, Multi Media 2 fruit 5 veg Campaign and the FFFF (Fighting Fit, Fighting Fat) Media Campaign. Markov models were constructed in order to estimate economic performance expressed as cost per QALY (quality adjusted life year) gained. Data from original clinical trial reports were used to populate the models, supplemented by the wider literature where required. Performance of the Mediterranean Diet and Intensive Lifestyle Change to Prevent Diabetes interventions could be estimated with most certainty and both were highly cost-effective interventions, at AU 1020 (US 760, £410) and AU 1880 (US 1410, £750) per QALY gained, respectively. The media campaign interventions appear highly cost-effective at AU 46 (US 34, £18) for '2 fruit 5 veg' and AU 5600 (US 4200, £2200) per QALY gained for FFFF, but are associated with considerable uncertainty, and may be dominated under certain assumptions. Several interventions were cost-saving under plausible sets of assumptions, whereas a small number were potentially dominated. All interventions subject to economic evaluation appeared cost-effective relative to societal norms. Nutrition interventions can constitute a highly efficient component of a strategy to reduce the growing disease burden linked to over/poor nutrition. There is an urgent need for high-quality trial data from which economic performance of nutrition interventions can be modelled. © The Author (2007). Published by Oxford University Press. All rights reserved.","container-title":"Health Promotion International","DOI":"10.1093/heapro/dam027","ISSN":"09574824","issue":"4","note":"PMID: 17916604","page":"271-283","title":"Time to give nutrition interventions a higher profile: Cost-effectiveness of 10 nutrition interventions","volume":"22","author":[{"family":"Dalziel","given":"Kim"},{"family":"Segal","given":"Leonie"}],"issued":{"date-parts":[["2007",12]]}}}],"schema":"https://github.com/citation-style-language/schema/raw/master/csl-citation.json"}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112</w:t>
            </w:r>
            <w:r w:rsidRPr="00254090">
              <w:rPr>
                <w:rFonts w:ascii="Trebuchet MS" w:hAnsi="Trebuchet MS" w:cstheme="minorHAnsi"/>
                <w:sz w:val="20"/>
                <w:szCs w:val="20"/>
              </w:rPr>
              <w:fldChar w:fldCharType="end"/>
            </w:r>
          </w:p>
        </w:tc>
        <w:tc>
          <w:tcPr>
            <w:tcW w:w="1032" w:type="dxa"/>
            <w:shd w:val="clear" w:color="auto" w:fill="FFFFFF" w:themeFill="background1"/>
          </w:tcPr>
          <w:p w14:paraId="69338DA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Australia</w:t>
            </w:r>
          </w:p>
        </w:tc>
        <w:tc>
          <w:tcPr>
            <w:tcW w:w="1279" w:type="dxa"/>
            <w:shd w:val="clear" w:color="auto" w:fill="FFFFFF" w:themeFill="background1"/>
          </w:tcPr>
          <w:p w14:paraId="79CF3F39"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1EB966F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Cost-effectiveness analysis of 10 nutritional interventions including counselling, diet, lifestyle change, media campaign, nurse check</w:t>
            </w:r>
          </w:p>
          <w:p w14:paraId="49AF0158"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59D365FB"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Societal</w:t>
            </w:r>
          </w:p>
        </w:tc>
        <w:tc>
          <w:tcPr>
            <w:tcW w:w="1657" w:type="dxa"/>
            <w:shd w:val="clear" w:color="auto" w:fill="FFFFFF" w:themeFill="background1"/>
          </w:tcPr>
          <w:p w14:paraId="1DFC464C"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p w14:paraId="72218B9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586" w:type="dxa"/>
            <w:shd w:val="clear" w:color="auto" w:fill="FFFFFF" w:themeFill="background1"/>
          </w:tcPr>
          <w:p w14:paraId="64BF45B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20 years (except for reduced fat diet scenario), annual</w:t>
            </w:r>
          </w:p>
        </w:tc>
        <w:tc>
          <w:tcPr>
            <w:tcW w:w="1910" w:type="dxa"/>
            <w:shd w:val="clear" w:color="auto" w:fill="FFFFFF" w:themeFill="background1"/>
          </w:tcPr>
          <w:p w14:paraId="18E2268B"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Cardiac model: free, MI, AMI, Major events, stroke, death </w:t>
            </w:r>
          </w:p>
          <w:p w14:paraId="36ED6AA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Diabetes model: DM, IGT, NGT</w:t>
            </w:r>
          </w:p>
          <w:p w14:paraId="4D215F6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F/V model: Success, failure, death</w:t>
            </w:r>
          </w:p>
          <w:p w14:paraId="14570C3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BMI model: Normal, overweight, obese</w:t>
            </w:r>
          </w:p>
          <w:p w14:paraId="6A7BE96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7334F7A0" w14:textId="42CFD1AA" w:rsidR="00A34CE6" w:rsidRPr="00986A43" w:rsidRDefault="00A34CE6" w:rsidP="00A34CE6">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06ED1E90" w14:textId="520C9F99"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38B58AB4"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2796E832"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Moran et al. (2008)</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{"citationID":"1VPzgnad","properties":{"formattedCitation":"\\super 113\\nosupersub{}","plainCitation":"113","noteIndex":0},"citationItems":[{"id":712,"uris":["http://zotero.org/users/local/fKc2159l/items/T4YS9QJI"],"itemData":{"id":712,"type":"article-journal","abstract":"China will experience an overall growth and aging of its adult population in coming decades. We used a computer model to forecast the future impact of these demographic changes on coronary heart disease (CHD) in China. The CHD Policy Model is a validated state-transition, computer simulation of CHD on a national scale. China-specific CHD risk factor, incidence, case-fatality, and prevalence data were incorporated, and a CHD prediction model was generated from a Chinese cohort study and calibrated to age-specific Chinese mortality rates. Disability-adjusted life years (DALYs) due to CHD were calculated using standard methods. The projected population of China aged 35–84 years was entered, and CHD events, deaths, and DALYs were simulated over 2000–2029. CHD risk factors other than age and case-fatality were held at year 2000 levels. Sensitivity analyses tested uncertainty regarding CHD mortality coding, the proportion of total deaths attributable to CHD, and case-fatality. We predicted 7.8 million excess CHD events (a 69% increase) and 3.4 million excess CHD deaths (a 64% increase) in the decade 2020–2029 compared with 2000–2009. For 2030, we predicted 71% of almost one million annual CHD deaths will occur in persons ≥65 years old, while 67% of the growing annual burden of CHD death and disability will weigh on adults &lt;65 years old. Substituting alternate CHD mortality assumptions led to 17–20% more predicted CHD deaths over 2000–2029, though the pattern of increases in CHD events and deaths over time remained. We forecast that absolute numbers of CHD events and deaths will increase dramatically in China over 2010–2029, due to a growing and aging population alone. Recent data suggest CHD risk factor levels are increasing, so our projections may underestimate the extent of the potential CHD epidemic in China.","container-title":"BMC Public Health","DOI":"10.1186/1471-2458-8-394","ISSN":"1471-2458","issue":"1","journalAbbreviation":"BMC Public Health","language":"en","license":"2008 Moran et al; licensee BioMed Central Ltd.","note":"number: 1\npublisher: BioMed Central","page":"1-14","source":"bmcpublichealth.biomedcentral.com","title":"The future impact of population growth and aging on coronary heart disease in China: projections from the Coronary Heart Disease Policy Model-China","title-short":"The future impact of population growth and aging on coronary heart disease in China","volume":"8","author":[{"family":"Moran","given":"Andrew"},{"family":"Zhao","given":"Dong"},{"family":"Gu","given":"Dongfeng"},{"family":"Coxson","given":"Pamela"},{"family":"Chen","given":"Chung-Shiuan"},{"family":"Cheng","given":"Jun"},{"family":"Liu","given":"Jing"},{"family":"He","given":"Jiang"},{"family":"Goldman","given":"Lee"}],"issued":{"date-parts":[["2008",12]]}}}],"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113</w:t>
            </w:r>
            <w:r w:rsidRPr="00254090">
              <w:rPr>
                <w:rFonts w:ascii="Trebuchet MS" w:hAnsi="Trebuchet MS" w:cstheme="minorHAnsi"/>
                <w:sz w:val="20"/>
                <w:szCs w:val="20"/>
              </w:rPr>
              <w:fldChar w:fldCharType="end"/>
            </w:r>
          </w:p>
        </w:tc>
        <w:tc>
          <w:tcPr>
            <w:tcW w:w="1032" w:type="dxa"/>
            <w:shd w:val="clear" w:color="auto" w:fill="FFFFFF" w:themeFill="background1"/>
          </w:tcPr>
          <w:p w14:paraId="6356809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China </w:t>
            </w:r>
          </w:p>
        </w:tc>
        <w:tc>
          <w:tcPr>
            <w:tcW w:w="1279" w:type="dxa"/>
            <w:shd w:val="clear" w:color="auto" w:fill="FFFFFF" w:themeFill="background1"/>
          </w:tcPr>
          <w:p w14:paraId="0890AE3A"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Policy Model-China</w:t>
            </w:r>
          </w:p>
        </w:tc>
        <w:tc>
          <w:tcPr>
            <w:tcW w:w="2163" w:type="dxa"/>
            <w:shd w:val="clear" w:color="auto" w:fill="FFFFFF" w:themeFill="background1"/>
          </w:tcPr>
          <w:p w14:paraId="31789A7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Estimation and assessment of the CHD events based on to demographic changes</w:t>
            </w:r>
          </w:p>
          <w:p w14:paraId="7ACADEA8" w14:textId="77777777" w:rsidR="00A34CE6" w:rsidRPr="00986A43" w:rsidRDefault="00A34CE6" w:rsidP="00072EA0">
            <w:pPr>
              <w:ind w:left="142" w:hanging="8"/>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p w14:paraId="53CCD6E7" w14:textId="77777777" w:rsidR="00A34CE6" w:rsidRPr="00986A43" w:rsidRDefault="00A34CE6" w:rsidP="00072EA0">
            <w:pPr>
              <w:ind w:left="142" w:hanging="8"/>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745D502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3AD7F7A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w:t>
            </w:r>
          </w:p>
        </w:tc>
        <w:tc>
          <w:tcPr>
            <w:tcW w:w="1586" w:type="dxa"/>
            <w:shd w:val="clear" w:color="auto" w:fill="FFFFFF" w:themeFill="background1"/>
          </w:tcPr>
          <w:p w14:paraId="5DD31FC3"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30 years, annual</w:t>
            </w:r>
          </w:p>
        </w:tc>
        <w:tc>
          <w:tcPr>
            <w:tcW w:w="1910" w:type="dxa"/>
            <w:shd w:val="clear" w:color="auto" w:fill="FFFFFF" w:themeFill="background1"/>
          </w:tcPr>
          <w:p w14:paraId="077661F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Free CHD, CHD, CHD death, non-CHD death.</w:t>
            </w:r>
          </w:p>
          <w:p w14:paraId="639930AC"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49538EC4" w14:textId="5D9C5084" w:rsidR="00A34CE6" w:rsidRPr="00986A43" w:rsidRDefault="00A34CE6" w:rsidP="00A34CE6">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227D2D62" w14:textId="2598DB68"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51BA3940"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70333C44"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Cobiac</w:t>
            </w:r>
            <w:proofErr w:type="spellEnd"/>
            <w:r w:rsidRPr="00254090">
              <w:rPr>
                <w:rFonts w:ascii="Trebuchet MS" w:hAnsi="Trebuchet MS" w:cstheme="minorHAnsi"/>
                <w:sz w:val="20"/>
                <w:szCs w:val="20"/>
              </w:rPr>
              <w:t xml:space="preserve"> et al. (2010)</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{"citationID":"kJCYRMYt","properties":{"formattedCitation":"\\super 114\\nosupersub{}","plainCitation":"114","noteIndex":0},"citationItems":[{"id":653,"uris":["http://zotero.org/users/local/fKc2159l/items/8BBQJVC5"],"itemData":{"id":653,"type":"article-journal","abstract":"Background: Fruits and vegetables are an essential part of the human diet, but many people do not consume the recommended serves to prevent cardiovascular disease and cancer. In this research, we evaluate the cost-effectiveness of interventions to promote fruit and vegetable consumption to determine which interventions are good value for money, and by how much current strategies can reduce the population disease burden. Methods/Principal Findings: In a review of published literature, we identified 23 interventions for promoting fruit and vegetable intake in the healthy adult population that have sufficient evidence for cost-effectiveness analysis. For each intervention, we model the health impacts in disability-adjusted life years (DALYs), the costs of intervention and the potential cost-savings from averting disease treatment, to determine cost-effectiveness of each intervention over the lifetime of the population, from an Australian health sector perspective. Interventions that rely on dietary counselling, telephone contact, worksite promotion or other methods to encourage change in dietary behaviour are not highly effective or cost-effective. Only five out of 23 interventions are less than an A$50,000 per disability-adjusted life year costeffectiveness threshold, and even the most effective intervention can avert only 5% of the disease burden attributed to insufficient fruit and vegetable intake. Conclusions/Significance: We recommend more investment in evaluating interventions that address the whole population, such as changing policies influencing price or availability of fruits and vegetables, to see if these approaches can provide more effective and cost-effective incentives for improving fruit and vegetable intake. © 2010 Cobiac et al.","container-title":"PLoS ONE","DOI":"10.1371/journal.pone.0014148","ISSN":"19326203","issue":"11","note":"PMID: 21152389","title":"Cost-effectiveness of interventions to promote fruit and vegetable consumption","volume":"5","author":[{"family":"Cobiac","given":"Linda J."},{"family":"Vos","given":"Theo"},{"family":"Veerman","given":"J. Lennert"}],"issued":{"date-parts":[["2010"]]}}}],"schema":"https://github.com/citation-style-language/schema/raw/master/csl-citation.json"}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114</w:t>
            </w:r>
            <w:r w:rsidRPr="00254090">
              <w:rPr>
                <w:rFonts w:ascii="Trebuchet MS" w:hAnsi="Trebuchet MS" w:cstheme="minorHAnsi"/>
                <w:sz w:val="20"/>
                <w:szCs w:val="20"/>
              </w:rPr>
              <w:fldChar w:fldCharType="end"/>
            </w:r>
            <w:r w:rsidRPr="00254090">
              <w:rPr>
                <w:rFonts w:ascii="Trebuchet MS" w:hAnsi="Trebuchet MS" w:cstheme="minorHAnsi"/>
                <w:sz w:val="20"/>
                <w:szCs w:val="20"/>
              </w:rPr>
              <w:t xml:space="preserve"> </w:t>
            </w:r>
          </w:p>
        </w:tc>
        <w:tc>
          <w:tcPr>
            <w:tcW w:w="1032" w:type="dxa"/>
            <w:shd w:val="clear" w:color="auto" w:fill="FFFFFF" w:themeFill="background1"/>
          </w:tcPr>
          <w:p w14:paraId="789BEBB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Australia</w:t>
            </w:r>
          </w:p>
        </w:tc>
        <w:tc>
          <w:tcPr>
            <w:tcW w:w="1279" w:type="dxa"/>
            <w:shd w:val="clear" w:color="auto" w:fill="FFFFFF" w:themeFill="background1"/>
          </w:tcPr>
          <w:p w14:paraId="10AFDF9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4620AE2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Cost-effectiveness analysis of 23 interventions on promoting fruit and vegetable consumption</w:t>
            </w:r>
          </w:p>
          <w:p w14:paraId="6EC58D91"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2BD4E27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 sector</w:t>
            </w:r>
          </w:p>
        </w:tc>
        <w:tc>
          <w:tcPr>
            <w:tcW w:w="1657" w:type="dxa"/>
            <w:shd w:val="clear" w:color="auto" w:fill="FFFFFF" w:themeFill="background1"/>
          </w:tcPr>
          <w:p w14:paraId="2101EE7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0F6E81D9"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1D7812F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Healthy, diseased, death (disease), death (other)</w:t>
            </w:r>
          </w:p>
        </w:tc>
        <w:tc>
          <w:tcPr>
            <w:tcW w:w="1910" w:type="dxa"/>
            <w:shd w:val="clear" w:color="auto" w:fill="FFFFFF" w:themeFill="background1"/>
          </w:tcPr>
          <w:p w14:paraId="7425F554" w14:textId="50C9C666" w:rsidR="00A34CE6" w:rsidRPr="00986A43" w:rsidRDefault="00A34CE6" w:rsidP="00A34CE6">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5EA380D8" w14:textId="6F417B78"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3742C84B"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180AA7DC"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Moran et al. (2010)</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{"citationID":"8YG7sUlx","properties":{"formattedCitation":"\\super 115\\nosupersub{}","plainCitation":"115","noteIndex":0},"citationItems":[{"id":656,"uris":["http://zotero.org/users/local/fKc2159l/items/JQWDCHQ9"],"itemData":{"id":656,"type":"article-journal","DOI":"10.1161/CIRCOUTCOMES.109.910711.Future","issue":"3","page":"243-252","title":"NIH Public Access","volume":"3","author":[{"family":"Moran","given":"Andrew"},{"family":"Gu","given":"Dongfeng"},{"family":"Zhao","given":"Dong"},{"family":"Ph","given":"D."},{"family":"Coxson","given":"Pamela"},{"family":"Ph","given":"D."},{"family":"Wang","given":"Y. Claire"},{"family":"Sc","given":"M."},{"family":"Chen","given":"Chung-shiuan"},{"family":"Liu","given":"Jing"},{"family":"Cheng","given":"Jun"},{"family":"Bibbins-domingo","given":"Kirsten"},{"family":"Ph","given":"D."},{"family":"Shen","given":"Yu-ming"},{"family":"Ph","given":"D."}],"issued":{"date-parts":[["2010"]]}}}],"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115</w:t>
            </w:r>
            <w:r w:rsidRPr="00254090">
              <w:rPr>
                <w:rFonts w:ascii="Trebuchet MS" w:hAnsi="Trebuchet MS" w:cstheme="minorHAnsi"/>
                <w:sz w:val="20"/>
                <w:szCs w:val="20"/>
              </w:rPr>
              <w:fldChar w:fldCharType="end"/>
            </w:r>
          </w:p>
        </w:tc>
        <w:tc>
          <w:tcPr>
            <w:tcW w:w="1032" w:type="dxa"/>
            <w:shd w:val="clear" w:color="auto" w:fill="FFFFFF" w:themeFill="background1"/>
          </w:tcPr>
          <w:p w14:paraId="6BD668C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China </w:t>
            </w:r>
          </w:p>
        </w:tc>
        <w:tc>
          <w:tcPr>
            <w:tcW w:w="1279" w:type="dxa"/>
            <w:shd w:val="clear" w:color="auto" w:fill="FFFFFF" w:themeFill="background1"/>
          </w:tcPr>
          <w:p w14:paraId="1B7D990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Policy Model-China</w:t>
            </w:r>
          </w:p>
        </w:tc>
        <w:tc>
          <w:tcPr>
            <w:tcW w:w="2163" w:type="dxa"/>
            <w:shd w:val="clear" w:color="auto" w:fill="FFFFFF" w:themeFill="background1"/>
          </w:tcPr>
          <w:p w14:paraId="3C65083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Estimation of future risk factors on CHD and stroke</w:t>
            </w:r>
          </w:p>
          <w:p w14:paraId="0AFA3D25" w14:textId="77777777" w:rsidR="00A34CE6" w:rsidRPr="00986A43" w:rsidRDefault="00A34CE6" w:rsidP="00072EA0">
            <w:pPr>
              <w:pStyle w:val="ListParagraph"/>
              <w:ind w:left="177"/>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3D08694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06BB31B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p w14:paraId="566F156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586" w:type="dxa"/>
            <w:shd w:val="clear" w:color="auto" w:fill="FFFFFF" w:themeFill="background1"/>
          </w:tcPr>
          <w:p w14:paraId="482FD732"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20 years, annual</w:t>
            </w:r>
          </w:p>
        </w:tc>
        <w:tc>
          <w:tcPr>
            <w:tcW w:w="1910" w:type="dxa"/>
            <w:shd w:val="clear" w:color="auto" w:fill="FFFFFF" w:themeFill="background1"/>
          </w:tcPr>
          <w:p w14:paraId="6E5F71F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Free CHD, person with CHD, CHD death, non-CHD death.</w:t>
            </w:r>
          </w:p>
        </w:tc>
        <w:tc>
          <w:tcPr>
            <w:tcW w:w="1910" w:type="dxa"/>
            <w:shd w:val="clear" w:color="auto" w:fill="FFFFFF" w:themeFill="background1"/>
          </w:tcPr>
          <w:p w14:paraId="3E2A9046" w14:textId="67CD06DA" w:rsidR="00A34CE6" w:rsidRPr="00986A43" w:rsidRDefault="00A34CE6" w:rsidP="00A34CE6">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77EE1192" w14:textId="01ED93A4"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4192CB31" w14:textId="77777777" w:rsidR="00A34CE6" w:rsidRPr="00254090" w:rsidRDefault="00A34CE6" w:rsidP="00A34CE6">
            <w:pPr>
              <w:pStyle w:val="ListParagraph"/>
              <w:numPr>
                <w:ilvl w:val="0"/>
                <w:numId w:val="2"/>
              </w:numPr>
              <w:spacing w:before="240"/>
              <w:rPr>
                <w:rFonts w:ascii="Trebuchet MS" w:hAnsi="Trebuchet MS" w:cstheme="minorHAnsi"/>
                <w:sz w:val="20"/>
                <w:szCs w:val="20"/>
              </w:rPr>
            </w:pPr>
          </w:p>
        </w:tc>
        <w:tc>
          <w:tcPr>
            <w:tcW w:w="1162" w:type="dxa"/>
            <w:shd w:val="clear" w:color="auto" w:fill="FFFFFF" w:themeFill="background1"/>
          </w:tcPr>
          <w:p w14:paraId="3789DFC8" w14:textId="77777777" w:rsidR="00A34CE6" w:rsidRPr="00254090"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Bibbins</w:t>
            </w:r>
            <w:proofErr w:type="spellEnd"/>
            <w:r w:rsidRPr="00254090">
              <w:rPr>
                <w:rFonts w:ascii="Trebuchet MS" w:hAnsi="Trebuchet MS" w:cstheme="minorHAnsi"/>
                <w:sz w:val="20"/>
                <w:szCs w:val="20"/>
              </w:rPr>
              <w:t>-Domingo et al. (2010)</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{"citationID":"VkZV103Q","properties":{"formattedCitation":"\\super 116\\nosupersub{}","plainCitation":"116","noteIndex":0},"citationItems":[{"id":703,"uris":["http://zotero.org/users/local/fKc2159l/items/54B4MXGZ"],"itemData":{"id":703,"type":"article-journal","container-title":"New England Journal of Medicine","DOI":"10.1056/NEJMoa0907355","ISSN":"0028-4793, 1533-4406","issue":"7","journalAbbreviation":"N Engl J Med","language":"en","page":"590-599","source":"DOI.org (Crossref)","title":"Projected Effect of Dietary Salt Reductions on Future Cardiovascular Disease","volume":"362","author":[{"family":"Bibbins-Domingo","given":"Kirsten"},{"family":"Chertow","given":"Glenn M."},{"family":"Coxson","given":"Pamela G."},{"family":"Moran","given":"Andrew"},{"family":"Lightwood","given":"James M."},{"family":"Pletcher","given":"Mark J."},{"family":"Goldman","given":"Lee"}],"issued":{"date-parts":[["2010",2,18]]}}}],"schema":"https://github.com/citation-style-language/schema/raw/master/csl-citation.json"}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116</w:t>
            </w:r>
            <w:r w:rsidRPr="00254090">
              <w:rPr>
                <w:rFonts w:ascii="Trebuchet MS" w:hAnsi="Trebuchet MS" w:cstheme="minorHAnsi"/>
                <w:sz w:val="20"/>
                <w:szCs w:val="20"/>
              </w:rPr>
              <w:fldChar w:fldCharType="end"/>
            </w:r>
          </w:p>
        </w:tc>
        <w:tc>
          <w:tcPr>
            <w:tcW w:w="1032" w:type="dxa"/>
            <w:shd w:val="clear" w:color="auto" w:fill="FFFFFF" w:themeFill="background1"/>
          </w:tcPr>
          <w:p w14:paraId="3F5AD259"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1A44803E"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Policy Model</w:t>
            </w:r>
          </w:p>
        </w:tc>
        <w:tc>
          <w:tcPr>
            <w:tcW w:w="2163" w:type="dxa"/>
            <w:shd w:val="clear" w:color="auto" w:fill="FFFFFF" w:themeFill="background1"/>
          </w:tcPr>
          <w:p w14:paraId="50F8912E"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Estimation of benefits (rates, costs and cost-effectiveness) of salt </w:t>
            </w:r>
            <w:r w:rsidRPr="00986A43">
              <w:rPr>
                <w:rFonts w:ascii="Trebuchet MS" w:hAnsi="Trebuchet MS" w:cstheme="minorHAnsi"/>
                <w:sz w:val="20"/>
                <w:szCs w:val="20"/>
              </w:rPr>
              <w:lastRenderedPageBreak/>
              <w:t>reduction intervention</w:t>
            </w:r>
          </w:p>
          <w:p w14:paraId="6AE67690"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265F5EE3"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lastRenderedPageBreak/>
              <w:t>Healthcare</w:t>
            </w:r>
          </w:p>
        </w:tc>
        <w:tc>
          <w:tcPr>
            <w:tcW w:w="1657" w:type="dxa"/>
            <w:shd w:val="clear" w:color="auto" w:fill="FFFFFF" w:themeFill="background1"/>
          </w:tcPr>
          <w:p w14:paraId="33C7E596"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p w14:paraId="16BF6B09"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586" w:type="dxa"/>
            <w:shd w:val="clear" w:color="auto" w:fill="FFFFFF" w:themeFill="background1"/>
          </w:tcPr>
          <w:p w14:paraId="0883CDFE"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43824717" w14:textId="77777777" w:rsidR="00A34CE6" w:rsidRPr="00986A43" w:rsidRDefault="00A34CE6" w:rsidP="00072EA0">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Free CHD, person with CHD, CHD death, non-CHD death.</w:t>
            </w:r>
          </w:p>
        </w:tc>
        <w:tc>
          <w:tcPr>
            <w:tcW w:w="1910" w:type="dxa"/>
            <w:shd w:val="clear" w:color="auto" w:fill="FFFFFF" w:themeFill="background1"/>
          </w:tcPr>
          <w:p w14:paraId="1245B5A0" w14:textId="3F8CC431" w:rsidR="00A34CE6" w:rsidRPr="00986A43" w:rsidRDefault="00A34CE6" w:rsidP="00A34CE6">
            <w:pPr>
              <w:spacing w:before="24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3B6BEA5B" w14:textId="175573B3"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0325148A"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4091A768"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Smith-Spangler et al. (2010)</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{"citationID":"RW2iQWtl","properties":{"formattedCitation":"\\super 117\\nosupersub{}","plainCitation":"117","noteIndex":0},"citationItems":[{"id":714,"uris":["http://zotero.org/users/local/fKc2159l/items/UE945YHJ"],"itemData":{"id":714,"type":"article-journal","abstract":"BACKGROUND: Sodium consumption raises blood pressure, increasing the risk for heart attack and stroke. Several countries, including the United States, are considering strategies to decrease population sodium intake.\nOBJECTIVE: To assess the cost-effectiveness of 2 population strategies to reduce sodium intake: government collaboration with food manufacturers to voluntarily cut sodium in processed foods, modeled on the United Kingdom experience, and a sodium tax.\nDESIGN: A Markov model was constructed with 4 health states: well, acute myocardial infarction (MI), acute stroke, and history of MI or stroke.\nDATA SOURCES: Medical Panel Expenditure Survey (2006), Framingham Heart Study (1980 to 2003), Dietary Approaches to Stop Hypertension trial, and other published data.\nTARGET POPULATION: U.S. adults aged 40 to 85 years.\nTIME HORIZON: Lifetime.\nPERSPECTIVE: Societal.\nOUTCOME MEASURES: Incremental costs (2008 U.S. dollars), quality-adjusted life-years (QALYs), and MIs and strokes averted.\nRESULTS OF BASE-CASE ANALYSIS: Collaboration with industry that decreases mean population sodium intake by 9.5% averts 513 885 strokes and 480 358 MIs over the lifetime of adults aged 40 to 85 years who are alive today compared with the status quo, increasing QALYs by 2.1 million and saving $32.1 billion in medical costs. A tax on sodium that decreases population sodium intake by 6% increases QALYs by 1.3 million and saves $22.4 billion over the same period.\nRESULTS OF SENSITIVITY ANALYSIS: Results are sensitive to the assumption that consumers have no disutility with modest reductions in sodium intake.\nLIMITATION: Efforts to reduce population sodium intake could result in other dietary changes that are difficult to predict.\nCONCLUSION: Strategies to reduce sodium intake on a population level in the United States are likely to substantially reduce stroke and MI incidence, which would save billions of dollars in medical expenses.\nPRIMARY FUNDING SOURCE: Department of Veterans Affairs, Stanford University, and National Science Foundation.","container-title":"Annals of Internal Medicine","DOI":"10.7326/0003-4819-152-8-201004200-00212","ISSN":"1539-3704","issue":"8","journalAbbreviation":"Ann Intern Med","language":"eng","note":"PMID: 20194225","page":"481-487, W170-173","source":"PubMed","title":"Population strategies to decrease sodium intake and the burden of cardiovascular disease: a cost-effectiveness analysis","title-short":"Population strategies to decrease sodium intake and the burden of cardiovascular disease","volume":"152","author":[{"family":"Smith-Spangler","given":"Crystal M."},{"family":"Juusola","given":"Jessie L."},{"family":"Enns","given":"Eva A."},{"family":"Owens","given":"Douglas K."},{"family":"Garber","given":"Alan M."}],"issued":{"date-parts":[["2010",4,20]]}}}],"schema":"https://github.com/citation-style-language/schema/raw/master/csl-citation.json"}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117</w:t>
            </w:r>
            <w:r w:rsidRPr="00254090">
              <w:rPr>
                <w:rFonts w:ascii="Trebuchet MS" w:hAnsi="Trebuchet MS" w:cstheme="minorHAnsi"/>
                <w:sz w:val="20"/>
                <w:szCs w:val="20"/>
              </w:rPr>
              <w:fldChar w:fldCharType="end"/>
            </w:r>
            <w:r w:rsidRPr="00254090">
              <w:rPr>
                <w:rFonts w:ascii="Trebuchet MS" w:hAnsi="Trebuchet MS" w:cstheme="minorHAnsi"/>
                <w:sz w:val="20"/>
                <w:szCs w:val="20"/>
              </w:rPr>
              <w:t xml:space="preserve"> </w:t>
            </w:r>
          </w:p>
        </w:tc>
        <w:tc>
          <w:tcPr>
            <w:tcW w:w="1032" w:type="dxa"/>
            <w:shd w:val="clear" w:color="auto" w:fill="FFFFFF" w:themeFill="background1"/>
          </w:tcPr>
          <w:p w14:paraId="2ED0203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UK</w:t>
            </w:r>
          </w:p>
        </w:tc>
        <w:tc>
          <w:tcPr>
            <w:tcW w:w="1279" w:type="dxa"/>
            <w:shd w:val="clear" w:color="auto" w:fill="FFFFFF" w:themeFill="background1"/>
          </w:tcPr>
          <w:p w14:paraId="0171C4B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049554D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Cost effectiveness analysis of two population strategies for sodium intake reduction</w:t>
            </w:r>
          </w:p>
          <w:p w14:paraId="6FE3745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03F355F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Societal </w:t>
            </w:r>
          </w:p>
        </w:tc>
        <w:tc>
          <w:tcPr>
            <w:tcW w:w="1657" w:type="dxa"/>
            <w:shd w:val="clear" w:color="auto" w:fill="FFFFFF" w:themeFill="background1"/>
          </w:tcPr>
          <w:p w14:paraId="29347A95"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4A52684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567757B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Well, MI, stroke, history of MI and stroke</w:t>
            </w:r>
          </w:p>
        </w:tc>
        <w:tc>
          <w:tcPr>
            <w:tcW w:w="1910" w:type="dxa"/>
            <w:shd w:val="clear" w:color="auto" w:fill="FFFFFF" w:themeFill="background1"/>
          </w:tcPr>
          <w:p w14:paraId="444469D3" w14:textId="11155111" w:rsidR="00A34CE6" w:rsidRPr="00986A43" w:rsidRDefault="00A34CE6" w:rsidP="00A34CE6">
            <w:pPr>
              <w:jc w:val="cente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1E1E4D4D" w14:textId="0F9CAEA7"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360A82B8"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4C45A8A1"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Wang et al. (2012)</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{"citationID":"zEXx57lK","properties":{"formattedCitation":"\\super 118\\nosupersub{}","plainCitation":"118","noteIndex":0},"citationItems":[{"id":676,"uris":["http://zotero.org/users/local/fKc2159l/items/ELPPRLGI"],"itemData":{"id":676,"type":"article-journal","abstract":"Sugar-sweetened beverages are a major contributor to the US obesity and diabetes epidemics. Using the Coronary Heart Disease Policy Model, we examined the potential impact on health and health spending of a nationwide penny-per-ounce excise tax on these beverages. We found that the tax would reduce consumption of these beverages by 15 percent among adults ages 25-64. Over the period 2010-20, the tax was estimated to prevent 2.4 million diabetes person-years, 95,000 coronary heart events, 8,000 strokes, and 26,000 premature deaths, while avoiding more than 17 billion in medical costs. In addition to generating approximately 13 billion in annual tax revenue, a modest tax on sugarsweetened beverages could reduce the adverse health and cost burdens of obesity, diabetes, and cardiovascular diseases. © 2012 Project HOPE-The People-to-People Health Foundation, Inc.","container-title":"Health Affairs","DOI":"10.1377/hlthaff.2011.0410","ISSN":"02782715","issue":"1","note":"PMID: 22232111","page":"199-207","title":"A penny-per-ounce tax on sugar-sweetened beverages would cut health and cost burdens of diabetes","volume":"31","author":[{"family":"Wang","given":"Y. Claire"},{"family":"Coxson","given":"Pamela"},{"family":"Shen","given":"Yu Ming"},{"family":"Goldman","given":"Lee"},{"family":"Bibbins-Domingo","given":"Kirsten"}],"issued":{"date-parts":[["2012"]]}}}],"schema":"https://github.com/citation-style-language/schema/raw/master/csl-citation.json"}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118</w:t>
            </w:r>
            <w:r w:rsidRPr="00254090">
              <w:rPr>
                <w:rFonts w:ascii="Trebuchet MS" w:hAnsi="Trebuchet MS" w:cstheme="minorHAnsi"/>
                <w:sz w:val="20"/>
                <w:szCs w:val="20"/>
              </w:rPr>
              <w:fldChar w:fldCharType="end"/>
            </w:r>
          </w:p>
        </w:tc>
        <w:tc>
          <w:tcPr>
            <w:tcW w:w="1032" w:type="dxa"/>
            <w:shd w:val="clear" w:color="auto" w:fill="FFFFFF" w:themeFill="background1"/>
          </w:tcPr>
          <w:p w14:paraId="276315E3"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1F4B6070"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Policy Model</w:t>
            </w:r>
          </w:p>
        </w:tc>
        <w:tc>
          <w:tcPr>
            <w:tcW w:w="2163" w:type="dxa"/>
            <w:shd w:val="clear" w:color="auto" w:fill="FFFFFF" w:themeFill="background1"/>
          </w:tcPr>
          <w:p w14:paraId="29BF5A4B"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Estimation of potential health impact and spending of a penny-per-ounce excise nationwide tax policy</w:t>
            </w:r>
          </w:p>
          <w:p w14:paraId="2CF7AC2A" w14:textId="77777777" w:rsidR="00A34CE6" w:rsidRPr="00986A43" w:rsidRDefault="00A34CE6" w:rsidP="00072EA0">
            <w:pPr>
              <w:ind w:left="177"/>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34949496"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w:t>
            </w:r>
          </w:p>
        </w:tc>
        <w:tc>
          <w:tcPr>
            <w:tcW w:w="1657" w:type="dxa"/>
            <w:shd w:val="clear" w:color="auto" w:fill="FFFFFF" w:themeFill="background1"/>
          </w:tcPr>
          <w:p w14:paraId="4315035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w:t>
            </w:r>
          </w:p>
          <w:p w14:paraId="182E6AC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586" w:type="dxa"/>
            <w:shd w:val="clear" w:color="auto" w:fill="FFFFFF" w:themeFill="background1"/>
          </w:tcPr>
          <w:p w14:paraId="0F30647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4E8BCFC6"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Free CHD, person with CHD, CHD death, non-CHD death.</w:t>
            </w:r>
          </w:p>
          <w:p w14:paraId="64AEB9E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08E4FED5" w14:textId="704D7040"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bookmarkEnd w:id="0"/>
      <w:tr w:rsidR="00EF055A" w:rsidRPr="00986A43" w14:paraId="70352DB0" w14:textId="5410F3C4"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0B8844EA"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05C8727E"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Basu et al. (2013)</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{"citationID":"fxKL4qjM","properties":{"formattedCitation":"\\super 119\\nosupersub{}","plainCitation":"119","noteIndex":0},"citationItems":[{"id":677,"uris":["http://zotero.org/users/local/fKc2159l/items/4NCC5EKE"],"itemData":{"id":677,"type":"article-journal","abstract":"Background. Some experts have proposed limiting the use of Supplemental Nutrition Assistance Program (SNAP) benefits, for calorie-dense foods or subsidizing SNAP purchases of healthier foods. Objective. To estimate health effects and cost-effectiveness of banning or taxing sugar-sweetened beverages (SSBs) or subsidizing fruits and vegetables purchased with SNAP. Design. Microsimulation. Data Sources. National Health and Nutrition Examination Survey, US Department of Agriculture Quarterly Food-at-Home Price Database, and SNAP program data. Target Population: US adults aged 25 to 64 y. Time Horizon. 10 y. Perspective. Governmental. Outcome Measures. Incremental costs, quality-adjusted life-years (QALYs), body mass index, Alternative Healthy Eating Index, Food Security Score, diabetes person-years, and deaths from myocardial infarctions (MIs) and strokes. Results of Base-Case Analysis. Banning SSB purchases using SNAP benefits would be expected to avert 510,000 diabetes person-years and 52,000 deaths from MIs and strokes over the next decade, with a savings of $2900 per QALY saved. A penny-per-ounce tax on SSBs purchased with SNAP dollars would produce higher cost savings due to tax revenues but avert fewer chronic disease deaths. However, some SNAP participants are likely to preferentially purchase SSBs through their disposable income, indirectly reducing their food security. A 30% produce subsidy would be expected to avert 39,000 diabetes person-years and 4600 cardiovascular deaths over 10 y without effects on food security. Results of Sensitivity Analysis. Results are sensitive to the intake elasticities of SSBs and produce. Limitations. Input data did not provide information on heterogeneity in response to price changes within the SNAP-using population. Conclusions. SNAP restrictions on SSBs could lower chronic disease mortality, but further testing should examine indirect effects on disposable income and food security. Subsidizing produce could confer fewer benefits or risks but at higher cost. © The Author(s) 2013.","container-title":"Medical Decision Making","DOI":"10.1177/0272989X13493971","ISSN":"0272989X","issue":"7","note":"PMID: 23811757","page":"937-948","title":"Nutritional policy changes in the supplemental nutrition assistance program: A microsimulation and cost-effectiveness analysis","volume":"33","author":[{"family":"Basu","given":"Sanjay"},{"family":"Seligman","given":"Hilary"},{"family":"Bhattacharya","given":"Jay"}],"issued":{"date-parts":[["2013"]]}}}],"schema":"https://github.com/citation-style-language/schema/raw/master/csl-citation.json"}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119</w:t>
            </w:r>
            <w:r w:rsidRPr="00254090">
              <w:rPr>
                <w:rFonts w:ascii="Trebuchet MS" w:hAnsi="Trebuchet MS" w:cstheme="minorHAnsi"/>
                <w:sz w:val="20"/>
                <w:szCs w:val="20"/>
              </w:rPr>
              <w:fldChar w:fldCharType="end"/>
            </w:r>
          </w:p>
        </w:tc>
        <w:tc>
          <w:tcPr>
            <w:tcW w:w="1032" w:type="dxa"/>
            <w:shd w:val="clear" w:color="auto" w:fill="FFFFFF" w:themeFill="background1"/>
          </w:tcPr>
          <w:p w14:paraId="75DD091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3BB19AF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279365E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Estimation of health effects and cost-effectiveness SNAP programme</w:t>
            </w:r>
          </w:p>
          <w:p w14:paraId="5CB82248" w14:textId="77777777" w:rsidR="00A34CE6" w:rsidRPr="00986A43" w:rsidRDefault="00A34CE6" w:rsidP="00072EA0">
            <w:pPr>
              <w:pStyle w:val="ListParagraph"/>
              <w:ind w:left="560" w:hanging="383"/>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1F08112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Government</w:t>
            </w:r>
          </w:p>
        </w:tc>
        <w:tc>
          <w:tcPr>
            <w:tcW w:w="1657" w:type="dxa"/>
            <w:shd w:val="clear" w:color="auto" w:fill="FFFFFF" w:themeFill="background1"/>
          </w:tcPr>
          <w:p w14:paraId="1387D03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Microsimulation</w:t>
            </w:r>
          </w:p>
          <w:p w14:paraId="5C4B211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586" w:type="dxa"/>
            <w:shd w:val="clear" w:color="auto" w:fill="FFFFFF" w:themeFill="background1"/>
          </w:tcPr>
          <w:p w14:paraId="7543A35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3EDE462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CVD mortality </w:t>
            </w:r>
          </w:p>
        </w:tc>
        <w:tc>
          <w:tcPr>
            <w:tcW w:w="1910" w:type="dxa"/>
            <w:shd w:val="clear" w:color="auto" w:fill="FFFFFF" w:themeFill="background1"/>
          </w:tcPr>
          <w:p w14:paraId="29647D7F" w14:textId="65D83D09"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281EB397" w14:textId="0F2F3C11"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4326A0A3"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3BED760A"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Konfino</w:t>
            </w:r>
            <w:proofErr w:type="spellEnd"/>
            <w:r w:rsidRPr="00254090">
              <w:rPr>
                <w:rFonts w:ascii="Trebuchet MS" w:hAnsi="Trebuchet MS" w:cstheme="minorHAnsi"/>
                <w:sz w:val="20"/>
                <w:szCs w:val="20"/>
              </w:rPr>
              <w:t xml:space="preserve"> et al. (2013)</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{"citationID":"nXMhrPFk","properties":{"formattedCitation":"\\super 59\\nosupersub{}","plainCitation":"59","noteIndex":0},"citationItems":[{"id":198,"uris":["http://zotero.org/users/local/fKc2159l/items/6Z7VYEFU"],"itemData":{"id":198,"type":"article-journal","abstract":"Background Cardiovascular disease (CVD) is the leading cause of death in adults in Argentina. Sodium reduction policies targeting processed foods were implemented in 2011 in Argentina, but the impact has not been evaluated. The aims of this study are to use Argentina-specific data on sodium excretion and project the impact of Argentina’s sodium reduction policies under two scenarios - the 2-year intervention currently being undertaken or a more persistent 10 year sodium reduction strategy. Methods We used Argentina-specific data on sodium excretion by sex and projected the impact of the current strategy on sodium consumption and blood pressure decrease. We assessed the projected impact of sodium reduction policies on CVD using the Cardiovascular Disease (CVD) Policy Model, adapted to Argentina, modeling two alternative policy scenarios over the next decade. Results Our study finds that the initiative to reduce sodium consumption currently in place in Argentina will have substantial impact on CVD over the next 10 years. Under the current proposed policy of 2-year sodium reduction, the mean sodium consumption is projected to decrease by 319–387 mg/day. This decrease is expected to translate into an absolute reduction of systolic blood pressure from 0.93 mmHg to 1.81 mmHg. This would avert about 19,000 all-cause mortality, 13,000 total myocardial infarctions, and 10,000 total strokes over the next decade. A more persistent sodium reduction strategy would yield even greater CVD benefits. Conclusion The impact of the Argentinean initiative would be effective in substantially reducing mortality and morbidity from CVD. This paper provides evidence-based support to continue implementing strategies to reduce sodium consumption at a population level.","container-title":"PLOS ONE","DOI":"10.1371/journal.pone.0073824","ISSN":"1932-6203","issue":"9","journalAbbreviation":"PLOS ONE","language":"en","note":"publisher: Public Library of Science","page":"e73824","source":"PLoS Journals","title":"Projected Impact of a Sodium Consumption Reduction Initiative in Argentina: An Analysis from the CVD Policy Model – Argentina","title-short":"Projected Impact of a Sodium Consumption Reduction Initiative in Argentina","volume":"8","author":[{"family":"Konfino","given":"Jonatan"},{"family":"Mekonnen","given":"Tekeshe A."},{"family":"Coxson","given":"Pamela G."},{"family":"Ferrante","given":"Daniel"},{"family":"Bibbins-Domingo","given":"Kirsten"}],"issued":{"date-parts":[["2013",9,9]]}}}],"schema":"https://github.com/citation-style-language/schema/raw/master/csl-citation.json"} </w:instrText>
            </w:r>
            <w:r w:rsidRPr="00254090">
              <w:rPr>
                <w:rFonts w:ascii="Trebuchet MS" w:hAnsi="Trebuchet MS" w:cstheme="minorHAnsi"/>
                <w:sz w:val="20"/>
                <w:szCs w:val="20"/>
              </w:rPr>
              <w:fldChar w:fldCharType="separate"/>
            </w:r>
            <w:r w:rsidRPr="003C0051">
              <w:rPr>
                <w:rFonts w:ascii="Trebuchet MS" w:hAnsi="Trebuchet MS"/>
                <w:color w:val="000000"/>
                <w:sz w:val="20"/>
                <w:vertAlign w:val="superscript"/>
              </w:rPr>
              <w:t>59</w:t>
            </w:r>
            <w:r w:rsidRPr="00254090">
              <w:rPr>
                <w:rFonts w:ascii="Trebuchet MS" w:hAnsi="Trebuchet MS" w:cstheme="minorHAnsi"/>
                <w:sz w:val="20"/>
                <w:szCs w:val="20"/>
              </w:rPr>
              <w:fldChar w:fldCharType="end"/>
            </w:r>
          </w:p>
        </w:tc>
        <w:tc>
          <w:tcPr>
            <w:tcW w:w="1032" w:type="dxa"/>
            <w:shd w:val="clear" w:color="auto" w:fill="FFFFFF" w:themeFill="background1"/>
          </w:tcPr>
          <w:p w14:paraId="1FD63BE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Argentina </w:t>
            </w:r>
          </w:p>
        </w:tc>
        <w:tc>
          <w:tcPr>
            <w:tcW w:w="1279" w:type="dxa"/>
            <w:shd w:val="clear" w:color="auto" w:fill="FFFFFF" w:themeFill="background1"/>
          </w:tcPr>
          <w:p w14:paraId="78C486F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Policy Model-Argentina</w:t>
            </w:r>
          </w:p>
          <w:p w14:paraId="267BD76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2163" w:type="dxa"/>
            <w:shd w:val="clear" w:color="auto" w:fill="FFFFFF" w:themeFill="background1"/>
          </w:tcPr>
          <w:p w14:paraId="780454EC"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Assessment of the impact of sodium reduction policies</w:t>
            </w:r>
          </w:p>
        </w:tc>
        <w:tc>
          <w:tcPr>
            <w:tcW w:w="1283" w:type="dxa"/>
            <w:shd w:val="clear" w:color="auto" w:fill="FFFFFF" w:themeFill="background1"/>
          </w:tcPr>
          <w:p w14:paraId="593AEA41"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44399781"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7BBDEBCB"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400BB5AB"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Free CHD, person with CHD, CHD death, non-CHD death. </w:t>
            </w:r>
          </w:p>
          <w:p w14:paraId="1C4542C1"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2220243B" w14:textId="5565B4AE"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2B2100FA" w14:textId="461AACEC"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3CDC7AA7"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715A277D"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Basu et al. (2014)</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{"citationID":"zAt9HsBE","properties":{"formattedCitation":"\\super 120\\nosupersub{}","plainCitation":"120","noteIndex":0},"citationItems":[{"id":655,"uris":["http://zotero.org/users/local/fKc2159l/items/TGBVKZES"],"itemData":{"id":655,"type":"article-journal","abstract":"Background:Taxing sugar-sweetened beverages (SSBs) has been proposed in high-income countries to reduce obesity and type 2 diabetes. We sought to estimate the potential health effects of such a fiscal strategy in the middle-income country of India, where there is heterogeneity in SSB consumption, patterns of substitution between SSBs and other beverages after tax increases, and vast differences in chronic disease risk within the population.Methods and Findings:Using consumption and price variations data from a nationally representative survey of 100,855 Indian households, we first calculated how changes in SSB price alter per capita consumption of SSBs and substitution with other beverages. We then incorporated SSB sales trends, body mass index (BMI), and diabetes incidence data stratified by age, sex, income, and urban/rural residence into a validated microsimulation of caloric consumption, glycemic load, overweight/obesity prevalence, and type 2 diabetes incidence among Indian subpopulations facing a 20% SSB excise tax. The 20% SSB tax was anticipated to reduce overweight and obesity prevalence by 3.0% (95% CI 1.6%-5.9%) and type 2 diabetes incidence by 1.6% (95% CI 1.2%-1.9%) among various Indian subpopulations over the period 2014-2023, if SSB consumption continued to increase linearly in accordance with secular trends. However, acceleration in SSB consumption trends consistent with industry marketing models would be expected to increase the impact efficacy of taxation, averting 4.2% of prevalent overweight/obesity (95% CI 2.5-10.0%) and 2.5% (95% CI 1.0-2.8%) of incident type 2 diabetes from 2014-2023. Given current consumption and BMI distributions, our results suggest the largest relative effect would be expected among young rural men, refuting our a priori hypothesis that urban populations would be isolated beneficiaries of SSB taxation. Key limitations of this estimation approach include the assumption that consumer expenditure behavior from prior years, captured in price elasticities, will reflect future behavior among consumers, and potential underreporting of consumption in dietary recall data used to inform our calculations.Conclusion:Sustained SSB taxation at a high tax rate could mitigate rising obesity and type 2 diabetes in India among both urban and rural subpopulations.Please see later in the article for the Editors' Summary. © 2014 Basu et al.","container-title":"PLoS Medicine","DOI":"10.1371/journal.pmed.1001582","ISSN":"15491277","issue":"1","note":"PMID: 24409102","title":"Averting Obesity and Type 2 Diabetes in India through Sugar-Sweetened Beverage Taxation: An Economic-Epidemiologic Modeling Study","volume":"11","author":[{"family":"Basu","given":"Sanjay"},{"family":"Vellakkal","given":"Sukumar"},{"family":"Agrawal","given":"Sutapa"},{"family":"Stuckler","given":"David"},{"family":"Popkin","given":"Barry"},{"family":"Ebrahim","given":"Shah"}],"issued":{"date-parts":[["2014"]]}}}],"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120</w:t>
            </w:r>
            <w:r w:rsidRPr="00254090">
              <w:rPr>
                <w:rFonts w:ascii="Trebuchet MS" w:hAnsi="Trebuchet MS" w:cstheme="minorHAnsi"/>
                <w:sz w:val="20"/>
                <w:szCs w:val="20"/>
              </w:rPr>
              <w:fldChar w:fldCharType="end"/>
            </w:r>
          </w:p>
        </w:tc>
        <w:tc>
          <w:tcPr>
            <w:tcW w:w="1032" w:type="dxa"/>
            <w:shd w:val="clear" w:color="auto" w:fill="FFFFFF" w:themeFill="background1"/>
          </w:tcPr>
          <w:p w14:paraId="2AA9E9E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India</w:t>
            </w:r>
          </w:p>
        </w:tc>
        <w:tc>
          <w:tcPr>
            <w:tcW w:w="1279" w:type="dxa"/>
            <w:shd w:val="clear" w:color="auto" w:fill="FFFFFF" w:themeFill="background1"/>
          </w:tcPr>
          <w:p w14:paraId="537F611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r w:rsidRPr="00986A43">
              <w:rPr>
                <w:rFonts w:ascii="Trebuchet MS" w:hAnsi="Trebuchet MS" w:cstheme="minorHAnsi"/>
                <w:sz w:val="20"/>
                <w:szCs w:val="20"/>
              </w:rPr>
              <w:t xml:space="preserve"> </w:t>
            </w:r>
          </w:p>
        </w:tc>
        <w:tc>
          <w:tcPr>
            <w:tcW w:w="2163" w:type="dxa"/>
            <w:shd w:val="clear" w:color="auto" w:fill="FFFFFF" w:themeFill="background1"/>
          </w:tcPr>
          <w:p w14:paraId="58BC9A3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Estimation of the health effect on SSB taxation policy </w:t>
            </w:r>
          </w:p>
          <w:p w14:paraId="5674977A" w14:textId="77777777" w:rsidR="00A34CE6" w:rsidRPr="00986A43" w:rsidRDefault="00A34CE6" w:rsidP="00072EA0">
            <w:pPr>
              <w:ind w:left="603" w:hanging="426"/>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51E4145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Government</w:t>
            </w:r>
          </w:p>
        </w:tc>
        <w:tc>
          <w:tcPr>
            <w:tcW w:w="1657" w:type="dxa"/>
            <w:shd w:val="clear" w:color="auto" w:fill="FFFFFF" w:themeFill="background1"/>
          </w:tcPr>
          <w:p w14:paraId="35EC179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Microsimulation</w:t>
            </w:r>
          </w:p>
          <w:p w14:paraId="3D52674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586" w:type="dxa"/>
            <w:shd w:val="clear" w:color="auto" w:fill="FFFFFF" w:themeFill="background1"/>
          </w:tcPr>
          <w:p w14:paraId="4815713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79A4320C"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T2DM incidence</w:t>
            </w:r>
          </w:p>
        </w:tc>
        <w:tc>
          <w:tcPr>
            <w:tcW w:w="1910" w:type="dxa"/>
            <w:shd w:val="clear" w:color="auto" w:fill="FFFFFF" w:themeFill="background1"/>
          </w:tcPr>
          <w:p w14:paraId="0868AA23" w14:textId="39D1601C"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1B5DE2A1" w14:textId="3253B05F"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2C2F5202"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2E69F2BD"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000000"/>
                <w:sz w:val="20"/>
                <w:szCs w:val="20"/>
                <w:vertAlign w:val="superscript"/>
              </w:rPr>
            </w:pPr>
            <w:r w:rsidRPr="00254090">
              <w:rPr>
                <w:rFonts w:ascii="Trebuchet MS" w:hAnsi="Trebuchet MS" w:cstheme="minorHAnsi"/>
                <w:sz w:val="20"/>
                <w:szCs w:val="20"/>
              </w:rPr>
              <w:t>Collins et al. (2014)</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{"citationID":"XCHv9QZR","properties":{"formattedCitation":"\\super 121\\nosupersub{}","plainCitation":"121","noteIndex":0},"citationItems":[{"id":654,"uris":["http://zotero.org/users/local/fKc2159l/items/FIYNT82H"],"itemData":{"id":654,"type":"article-journal","abstract":"Objectives Dietary salt intake has been causally linked to high blood pressure and increased risk of cardiovascular events. Cardiovascular disease causes approximately 35% of total UK deaths, at an estimated annual cost of £30 billion. The World Health Organization and the National Institute for Health and Care Excellence have recommended a reduction in the intake of salt in people's diets. This study evaluated the cost-effectiveness of four population health policies to reduce dietary salt intake on an English population to prevent coronary heart disease (CHD). Methods The validated IMPACT CHD model was used to quantify and compare four policies: 1) Change4Life health promotion campaign, 2) front-of-pack traffic light labeling to display salt content, 3) Food Standards Agency working with the food industry to reduce salt (voluntary), and 4) mandatory reformulation to reduce salt in processed foods. The effectiveness of these policies in reducing salt intake, and hence blood pressure, was determined by systematic literature review. The model calculated the reduction in mortality associated with each policy, quantified as life-years gained over 10 years. Policy costs were calculated using evidence from published sources. Health care costs for specific CHD patient groups were estimated. Costs were compared against a \"do nothing\" baseline. Results All policies resulted in a life-year gain over the baseline. Change4life and labeling each gained approximately 1960 life-years, voluntary reformulation 14,560 life-years, and mandatory reformulation 19,320 life-years. Each policy appeared cost saving, with mandatory reformulation offering the largest cost saving, more than £660 million. Conclusions All policies to reduce dietary salt intake could gain life-years and reduce health care expenditure on coronary heart disease. © 2014 International Society for Pharmacoeconomics and Outcomes Research (ISPOR).","container-title":"Value in Health","DOI":"10.1016/j.jval.2014.03.1722","ISSN":"15244733","issue":"5","note":"publisher: Elsevier\nPMID: 25128044","page":"517-524","title":"An economic evaluation of salt reduction policies to reduce coronary heart disease in england: A policy modeling study","volume":"17","author":[{"family":"Collins","given":"Marissa"},{"family":"Mason","given":"Helen"},{"family":"O'Flaherty","given":"Martin"},{"family":"Guzman-Castillo","given":"Maria"},{"family":"Critchley","given":"Julia"},{"family":"Capewell","given":"Simon"}],"issued":{"date-parts":[["2014"]]}}}],"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121</w:t>
            </w:r>
            <w:r w:rsidRPr="00254090">
              <w:rPr>
                <w:rFonts w:ascii="Trebuchet MS" w:hAnsi="Trebuchet MS" w:cstheme="minorHAnsi"/>
                <w:sz w:val="20"/>
                <w:szCs w:val="20"/>
              </w:rPr>
              <w:fldChar w:fldCharType="end"/>
            </w:r>
          </w:p>
          <w:p w14:paraId="31921899"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000000"/>
                <w:sz w:val="20"/>
                <w:szCs w:val="20"/>
                <w:vertAlign w:val="superscript"/>
              </w:rPr>
            </w:pPr>
          </w:p>
          <w:p w14:paraId="4CC67A8D"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000000"/>
                <w:sz w:val="20"/>
                <w:szCs w:val="20"/>
                <w:vertAlign w:val="superscript"/>
              </w:rPr>
            </w:pPr>
          </w:p>
          <w:p w14:paraId="75584C4F"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032" w:type="dxa"/>
            <w:shd w:val="clear" w:color="auto" w:fill="FFFFFF" w:themeFill="background1"/>
          </w:tcPr>
          <w:p w14:paraId="577471C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lastRenderedPageBreak/>
              <w:t xml:space="preserve">England </w:t>
            </w:r>
          </w:p>
        </w:tc>
        <w:tc>
          <w:tcPr>
            <w:tcW w:w="1279" w:type="dxa"/>
            <w:shd w:val="clear" w:color="auto" w:fill="FFFFFF" w:themeFill="background1"/>
          </w:tcPr>
          <w:p w14:paraId="293DBB88"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IMPACT Model</w:t>
            </w:r>
          </w:p>
        </w:tc>
        <w:tc>
          <w:tcPr>
            <w:tcW w:w="2163" w:type="dxa"/>
            <w:shd w:val="clear" w:color="auto" w:fill="FFFFFF" w:themeFill="background1"/>
          </w:tcPr>
          <w:p w14:paraId="40501AE3"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Cost-effectiveness analysis of four population health policies on salt intake </w:t>
            </w:r>
          </w:p>
        </w:tc>
        <w:tc>
          <w:tcPr>
            <w:tcW w:w="1283" w:type="dxa"/>
            <w:shd w:val="clear" w:color="auto" w:fill="FFFFFF" w:themeFill="background1"/>
          </w:tcPr>
          <w:p w14:paraId="5C243F1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Health sector </w:t>
            </w:r>
          </w:p>
        </w:tc>
        <w:tc>
          <w:tcPr>
            <w:tcW w:w="1657" w:type="dxa"/>
            <w:shd w:val="clear" w:color="auto" w:fill="FFFFFF" w:themeFill="background1"/>
          </w:tcPr>
          <w:p w14:paraId="75946FC0"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Cell-based model</w:t>
            </w:r>
          </w:p>
        </w:tc>
        <w:tc>
          <w:tcPr>
            <w:tcW w:w="1586" w:type="dxa"/>
            <w:shd w:val="clear" w:color="auto" w:fill="FFFFFF" w:themeFill="background1"/>
          </w:tcPr>
          <w:p w14:paraId="6359AE8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N/R</w:t>
            </w:r>
          </w:p>
        </w:tc>
        <w:tc>
          <w:tcPr>
            <w:tcW w:w="1910" w:type="dxa"/>
            <w:shd w:val="clear" w:color="auto" w:fill="FFFFFF" w:themeFill="background1"/>
          </w:tcPr>
          <w:p w14:paraId="028AA16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death</w:t>
            </w:r>
          </w:p>
        </w:tc>
        <w:tc>
          <w:tcPr>
            <w:tcW w:w="1910" w:type="dxa"/>
            <w:shd w:val="clear" w:color="auto" w:fill="FFFFFF" w:themeFill="background1"/>
          </w:tcPr>
          <w:p w14:paraId="4FA1F411" w14:textId="7F37F19B"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49108934" w14:textId="131D1BED"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7BCBEC8A"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593E67DC"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Mason et al. (2014)</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{"citationID":"c54nZ6XN","properties":{"formattedCitation":"\\super 122\\nosupersub{}","plainCitation":"122","noteIndex":0},"citationItems":[{"id":650,"uris":["http://zotero.org/users/local/fKc2159l/items/5ATDVQTR"],"itemData":{"id":650,"type":"article-journal","abstract":"Background: Coronary Heart Disease (CHD) is rising in middle income countries. Population based strategies to reduce specific CHD risk factors have an important role to play in reducing overall CHD mortality. Reducing dietary salt consumption is a potentially cost-effective way to reduce CHD events. This paper presents an economic evaluation of population based salt reduction policies in Tunisia, Syria, Palestine and Turkey. Methods and Findings: Three policies to reduce dietary salt intake were evaluated: a health promotion campaign, labelling of food packaging and mandatory reformulation of salt content in processed food. These were evaluated separately and in combination. Estimates of the effectiveness of salt reduction on blood pressure were based on a literature review. The reduction in mortality was estimated using the IMPACT CHD model specific to that country. Cumulative population health effects were quantified as life years gained (LYG) over a 10 year time frame. The costs of each policy were estimated using evidence from comparable policies and expert opinion including public sector costs and costs to the food industry. Health care costs associated with CHDs were estimated using standardized unit costs. The total cost of implementing each policy was compared against the current baseline (no policy). All costs were calculated using 2010 PPP exchange rates. In all four countries most policies were cost saving compared with the baseline. The combination of all three policies (reducing salt consumption by 30%) resulted in estimated cost savings of 235,000,000 and 6455 LYG in Tunisia; 39,000,000 and 31674 LYG in Syria; 6,000,000 and 2682 LYG in Palestine and 1,3000,000,000 and 378439 LYG in Turkey. Conclusion: Decreasing dietary salt intake will reduce coronary heart disease deaths in the four countries. A comprehensive strategy of health education and food industry actions to label and reduce salt content would save both money and lives. © 2014 Mason et al.","container-title":"PLoS ONE","DOI":"10.1371/journal.pone.0084445","ISSN":"19326203","issue":"1","note":"PMID: 24409297","title":"A cost effectiveness analysis of salt reduction policies to reduce coronary heart disease in four Eastern Mediterranean countries","volume":"9","author":[{"family":"Mason","given":"Helen"},{"family":"Shoaibi","given":"Azza"},{"family":"Ghandour","given":"Rula"},{"family":"O'Flaherty","given":"Martin"},{"family":"Capewell","given":"Simon"},{"family":"Khatib","given":"Rana"},{"family":"Jabr","given":"Samer"},{"family":"Unal","given":"Belgin"},{"family":"Sözmen","given":"Kaan"},{"family":"Arfa","given":"Chokri"},{"family":"Aissi","given":"Wafa"},{"family":"Romdhane","given":"Habiba Ben"},{"family":"Fouad","given":"Fouad"},{"family":"Al-Ali","given":"Radwan"},{"family":"Husseini","given":"Abdullatif"},{"family":"Critchley","given":"Julia"},{"family":"Ahmad","given":"Balsam"},{"family":"Phillimore","given":"Peter"},{"family":"Zaman","given":"Shahaduz"},{"family":"Dherani","given":"Mukesh"},{"family":"Vartjes","given":"Illonca"},{"family":"Bennett","given":"Kathleen"},{"family":"Altun","given":"Deniz"},{"family":"Arik","given":"Hale"},{"family":"Aslan","given":"Özgür"},{"family":"Demiral","given":"Yücel"},{"family":"Doganay","given":"Sinem"},{"family":"Ergör","given":"Gül"},{"family":"Gerçeklio</w:instrText>
            </w:r>
            <w:r>
              <w:rPr>
                <w:rFonts w:ascii="Calibri" w:hAnsi="Calibri" w:cs="Calibri"/>
                <w:sz w:val="20"/>
                <w:szCs w:val="20"/>
              </w:rPr>
              <w:instrText>ǧ</w:instrText>
            </w:r>
            <w:r>
              <w:rPr>
                <w:rFonts w:ascii="Trebuchet MS" w:hAnsi="Trebuchet MS" w:cstheme="minorHAnsi"/>
                <w:sz w:val="20"/>
                <w:szCs w:val="20"/>
              </w:rPr>
              <w:instrText>lu","given":"Gül"},{"family":"Kilic","given":"Bülent"},{"family":"Saatli","given":"Gül"},{"family":"Şimşek","given":"Hatice"},{"family":"Satman","given":"Ilhan"},{"family":"Gö</w:instrText>
            </w:r>
            <w:r>
              <w:rPr>
                <w:rFonts w:ascii="Calibri" w:hAnsi="Calibri" w:cs="Calibri"/>
                <w:sz w:val="20"/>
                <w:szCs w:val="20"/>
              </w:rPr>
              <w:instrText>ǧ</w:instrText>
            </w:r>
            <w:r>
              <w:rPr>
                <w:rFonts w:ascii="Trebuchet MS" w:hAnsi="Trebuchet MS" w:cstheme="minorHAnsi"/>
                <w:sz w:val="20"/>
                <w:szCs w:val="20"/>
              </w:rPr>
              <w:instrText xml:space="preserve">en","given":"Sibel"},{"family":"Kalaca","given":"Sibel"},{"family":"Elias","given":"Madonna"},{"family":"Rastam","given":"Samer"},{"family":"Soulaiman","given":"Nesrien"},{"family":"Moukeh","given":"Ghmaez"},{"family":"Maziak","given":"Wasim"},{"family":"Mayaleh","given":"Maher Abou"},{"family":"Abu-Rmeileh","given":"Niveen"},{"family":"Jaber","given":"Samer"},{"family":"Khatib","given":"Rasha"},{"family":"Mikki","given":"Nahed"},{"family":"Abu-Kteish","given":"Heidar"},{"family":"Allani","given":"Riadh"},{"family":"Beltaifa","given":"Latifa"},{"family":"Mansour","given":"Nadia Ben"},{"family":"Lassoued","given":"Olfa"},{"family":"Saidi","given":"Olfa"},{"family":"Tlili","given":"Faten"},{"family":"Achour","given":"Nourredine"},{"family":"Salah","given":"Nabil Ben"},{"family":"Collins","given":"Marissa"},{"family":"Roglic","given":"Gojka"},{"family":"Fadhil","given":"Ibtihal"},{"family":"Unwin","given":"Nigel"}],"issued":{"date-parts":[["2014"]]}}}],"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122</w:t>
            </w:r>
            <w:r w:rsidRPr="00254090">
              <w:rPr>
                <w:rFonts w:ascii="Trebuchet MS" w:hAnsi="Trebuchet MS" w:cstheme="minorHAnsi"/>
                <w:sz w:val="20"/>
                <w:szCs w:val="20"/>
              </w:rPr>
              <w:fldChar w:fldCharType="end"/>
            </w:r>
          </w:p>
        </w:tc>
        <w:tc>
          <w:tcPr>
            <w:tcW w:w="1032" w:type="dxa"/>
            <w:shd w:val="clear" w:color="auto" w:fill="FFFFFF" w:themeFill="background1"/>
          </w:tcPr>
          <w:p w14:paraId="4A235B2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Tunisia, Syria, Palestine, Turkey </w:t>
            </w:r>
          </w:p>
        </w:tc>
        <w:tc>
          <w:tcPr>
            <w:tcW w:w="1279" w:type="dxa"/>
            <w:shd w:val="clear" w:color="auto" w:fill="FFFFFF" w:themeFill="background1"/>
          </w:tcPr>
          <w:p w14:paraId="496DE20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IMPACT Model</w:t>
            </w:r>
          </w:p>
        </w:tc>
        <w:tc>
          <w:tcPr>
            <w:tcW w:w="2163" w:type="dxa"/>
            <w:shd w:val="clear" w:color="auto" w:fill="FFFFFF" w:themeFill="background1"/>
          </w:tcPr>
          <w:p w14:paraId="1784289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Cost-effectiveness analysis of population-based salt reduction policies in four Eastern Mediterranean countries </w:t>
            </w:r>
          </w:p>
          <w:p w14:paraId="4415F5B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1980EEB6"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Public/ private sector, healthcare</w:t>
            </w:r>
          </w:p>
        </w:tc>
        <w:tc>
          <w:tcPr>
            <w:tcW w:w="1657" w:type="dxa"/>
            <w:shd w:val="clear" w:color="auto" w:fill="FFFFFF" w:themeFill="background1"/>
          </w:tcPr>
          <w:p w14:paraId="0252858D" w14:textId="77777777" w:rsidR="00A34CE6" w:rsidRPr="00B02C29"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highlight w:val="yellow"/>
              </w:rPr>
            </w:pPr>
            <w:r>
              <w:rPr>
                <w:rFonts w:ascii="Trebuchet MS" w:hAnsi="Trebuchet MS" w:cstheme="minorHAnsi"/>
                <w:sz w:val="20"/>
                <w:szCs w:val="20"/>
              </w:rPr>
              <w:t>Cell-based model</w:t>
            </w:r>
          </w:p>
        </w:tc>
        <w:tc>
          <w:tcPr>
            <w:tcW w:w="1586" w:type="dxa"/>
            <w:shd w:val="clear" w:color="auto" w:fill="FFFFFF" w:themeFill="background1"/>
          </w:tcPr>
          <w:p w14:paraId="75F0952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N/R</w:t>
            </w:r>
          </w:p>
        </w:tc>
        <w:tc>
          <w:tcPr>
            <w:tcW w:w="1910" w:type="dxa"/>
            <w:shd w:val="clear" w:color="auto" w:fill="FFFFFF" w:themeFill="background1"/>
          </w:tcPr>
          <w:p w14:paraId="29980BFC"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death</w:t>
            </w:r>
          </w:p>
        </w:tc>
        <w:tc>
          <w:tcPr>
            <w:tcW w:w="1910" w:type="dxa"/>
            <w:shd w:val="clear" w:color="auto" w:fill="FFFFFF" w:themeFill="background1"/>
          </w:tcPr>
          <w:p w14:paraId="5EC50E37" w14:textId="16861862"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101A6769" w14:textId="48BF39E2"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1A6C74BF"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4DC78998"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Lewsey et al. (2015)</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{"citationID":"OEY0rBTs","properties":{"formattedCitation":"\\super 54\\nosupersub{}","plainCitation":"54","noteIndex":0},"citationItems":[{"id":193,"uris":["http://zotero.org/users/local/fKc2159l/items/XZ8ANIRT"],"itemData":{"id":193,"type":"article-journal","abstract":"Objectives A policy model is a model that can evaluate the effectiveness and cost-effectiveness of interventions and inform policy decisions. In this study, we introduce a cardiovascular disease (CVD) policy model which can be used to model remaining life expectancy including a measure of socioeconomic deprivation as an independent risk factor for CVD.\nDesign A state transition model was developed using the Scottish Heart Health Extended Cohort (SHHEC) linked to Scottish morbidity and death records. Individuals start in a CVD-free state and can transit to three CVD event states plus a non-CVD death state. Individuals who have a non-fatal first event are then followed up until death. Taking a competing risk approach, the cause-specific hazards of a first event are modelled using parametric survival analysis. Survival following a first non-fatal event is also modelled parametrically. We assessed discrimination, validation and calibration of our model.\nResults Our model achieved a good level of discrimination in each component (c-statistics for men (women)—non-fatal coronary heart disease (CHD): 0.70 (0.74), non-fatal cerebrovascular disease (CBVD): 0.73 (0.76), fatal CVD: 0.77 (0.80), fatal non-CVD: 0.74 (0.72), survival after non-fatal CHD: 0.68 (0.67) and survival after non-fatal CBVD: 0.65 (0.66)). In general, our model predictions were comparable with observed event rates for a Scottish randomised statin trial population which has an overlapping follow-up period with SHHEC. After applying a calibration factor, our predictions of life expectancy closely match those published in recent national life tables.\nConclusions Our model can be used to estimate the impact of primary prevention interventions on life expectancy and can assess the impact of interventions on inequalities.","container-title":"Heart","DOI":"10.1136/heartjnl-2014-305637","ISSN":"1355-6037, 1468-201X","issue":"3","journalAbbreviation":"Heart","language":"en","license":"Published by the BMJ Publishing Group Limited. For permission to use (where not already granted under a licence) please go to http://group.bmj.com/group/rights-licensing/permissions. 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and the use is non-commercial. See: http://creativecommons.org/licenses/by-nc/4.0/","note":"publisher: BMJ Publishing Group Ltd and British Cardiovascular Society\nsection: Healthcare delivery, economics and global health\nPMID: 25324535","page":"201-208","source":"heart.bmj.com","title":"A cardiovascular disease policy model that predicts life expectancy taking into account socioeconomic deprivation","volume":"101","author":[{"family":"Lewsey","given":"J. D."},{"family":"Lawson","given":"K. D."},{"family":"Ford","given":"I."},{"family":"Fox","given":"K. a. A."},{"family":"Ritchie","given":"L. D."},{"family":"Tunstall-Pedoe","given":"H."},{"family":"Watt","given":"G. C. M."},{"family":"Woodward","given":"M."},{"family":"Kent","given":"S."},{"family":"Neilson","given":"M."},{"family":"Briggs","given":"A. H."}],"issued":{"date-parts":[["2015",2,1]]}}}],"schema":"https://github.com/citation-style-language/schema/raw/master/csl-citation.json"} </w:instrText>
            </w:r>
            <w:r w:rsidRPr="00254090">
              <w:rPr>
                <w:rFonts w:ascii="Trebuchet MS" w:hAnsi="Trebuchet MS" w:cstheme="minorHAnsi"/>
                <w:sz w:val="20"/>
                <w:szCs w:val="20"/>
              </w:rPr>
              <w:fldChar w:fldCharType="separate"/>
            </w:r>
            <w:r w:rsidRPr="003C0051">
              <w:rPr>
                <w:rFonts w:ascii="Trebuchet MS" w:hAnsi="Trebuchet MS"/>
                <w:color w:val="000000"/>
                <w:sz w:val="20"/>
                <w:vertAlign w:val="superscript"/>
              </w:rPr>
              <w:t>54</w:t>
            </w:r>
            <w:r w:rsidRPr="00254090">
              <w:rPr>
                <w:rFonts w:ascii="Trebuchet MS" w:hAnsi="Trebuchet MS" w:cstheme="minorHAnsi"/>
                <w:sz w:val="20"/>
                <w:szCs w:val="20"/>
              </w:rPr>
              <w:fldChar w:fldCharType="end"/>
            </w:r>
            <w:r w:rsidRPr="00254090">
              <w:rPr>
                <w:rFonts w:ascii="Trebuchet MS" w:hAnsi="Trebuchet MS" w:cstheme="minorHAnsi"/>
                <w:sz w:val="20"/>
                <w:szCs w:val="20"/>
              </w:rPr>
              <w:t xml:space="preserve"> </w:t>
            </w:r>
          </w:p>
        </w:tc>
        <w:tc>
          <w:tcPr>
            <w:tcW w:w="1032" w:type="dxa"/>
            <w:shd w:val="clear" w:color="auto" w:fill="FFFFFF" w:themeFill="background1"/>
          </w:tcPr>
          <w:p w14:paraId="7AF66D9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Scotland </w:t>
            </w:r>
          </w:p>
        </w:tc>
        <w:tc>
          <w:tcPr>
            <w:tcW w:w="1279" w:type="dxa"/>
            <w:shd w:val="clear" w:color="auto" w:fill="FFFFFF" w:themeFill="background1"/>
          </w:tcPr>
          <w:p w14:paraId="5AD8720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Scottish CVD Policy Model</w:t>
            </w:r>
          </w:p>
        </w:tc>
        <w:tc>
          <w:tcPr>
            <w:tcW w:w="2163" w:type="dxa"/>
            <w:shd w:val="clear" w:color="auto" w:fill="FFFFFF" w:themeFill="background1"/>
          </w:tcPr>
          <w:p w14:paraId="3C9C88A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The development of CVD policy model that predicts life expectancy and incorporating socioeconomic deprivation</w:t>
            </w:r>
          </w:p>
          <w:p w14:paraId="5C34763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63A90C1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1657" w:type="dxa"/>
            <w:shd w:val="clear" w:color="auto" w:fill="FFFFFF" w:themeFill="background1"/>
          </w:tcPr>
          <w:p w14:paraId="67422AA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w:t>
            </w:r>
            <w:r w:rsidRPr="00986A43">
              <w:rPr>
                <w:rFonts w:ascii="Trebuchet MS" w:hAnsi="Trebuchet MS" w:cstheme="minorHAnsi"/>
                <w:sz w:val="20"/>
                <w:szCs w:val="20"/>
              </w:rPr>
              <w:t xml:space="preserve"> </w:t>
            </w:r>
          </w:p>
        </w:tc>
        <w:tc>
          <w:tcPr>
            <w:tcW w:w="1586" w:type="dxa"/>
            <w:shd w:val="clear" w:color="auto" w:fill="FFFFFF" w:themeFill="background1"/>
          </w:tcPr>
          <w:p w14:paraId="4DBAA9C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Potentially lifetime, annual</w:t>
            </w:r>
          </w:p>
        </w:tc>
        <w:tc>
          <w:tcPr>
            <w:tcW w:w="1910" w:type="dxa"/>
            <w:shd w:val="clear" w:color="auto" w:fill="FFFFFF" w:themeFill="background1"/>
          </w:tcPr>
          <w:p w14:paraId="0D100599"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event free, non-fatal CHD, non-fatal CBVD, fatal CVD, fatal non-CVD, fatal all cause</w:t>
            </w:r>
          </w:p>
          <w:p w14:paraId="3AB36AF1"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6B1C6E23" w14:textId="513DA9B6"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651CE8D1" w14:textId="3CBA2927"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5FFDE209"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29D56AA2"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Manyema</w:t>
            </w:r>
            <w:proofErr w:type="spellEnd"/>
            <w:r w:rsidRPr="00254090">
              <w:rPr>
                <w:rFonts w:ascii="Trebuchet MS" w:hAnsi="Trebuchet MS" w:cstheme="minorHAnsi"/>
                <w:sz w:val="20"/>
                <w:szCs w:val="20"/>
              </w:rPr>
              <w:t xml:space="preserve"> et al. (2015)</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{"citationID":"DeV5cWbe","properties":{"formattedCitation":"\\super 123\\nosupersub{}","plainCitation":"123","noteIndex":0},"citationItems":[{"id":674,"uris":["http://zotero.org/users/local/fKc2159l/items/35KU3F6W"],"itemData":{"id":674,"type":"article-journal","abstract":"Introduction Type 2 diabetes poses an increasing public health burden in South Africa (SA) with obesity as the main driver of the epidemic. Consumption of sugar sweetened beverages (SSBs) is linked to weight gain and reducing SSB consumption may significantly impact the prevalence of obesity and related diseases. We estimated the effect of a 20% SSB tax on the burden of diabetes in SA. Methods and Findings We constructed a life table-based model in Microsoft Excel (2010). Consumption data from the 2012 SA National Health and Nutrition Examination Survey, previously published own- and cross-price elasticities of SSBs and energy balance equations were used to estimate changes in daily energy intake and its projected impact on BMI arising from increased SSB prices. Diabetes relative risk and prevalent years lived with disability estimates fromthe Global Burden of Disease Study andmodelled disease epidemiology estimates from a previous study were used to estimate the effect of the BMI changes on diabetes burden. Diabetes cost estimates were obtained from the South African Council forMedical Schemes. Over 20 years, a 20% SSB tax could reduce diabetes incident cases by 106 000 in women (95%uncertainty interval (UI) 70 000-142 000) and by 54 000 inmen (95%UI: 33 000-80 000); and prevalence in all adults by 4.0% (95% UI: 2.7%-5.3%). Cumulatively over twenty years, approximately 21 000 (95%UI: 14 000-29 000) adult T2DM-related deaths, 374 000 DALYs attributed to T2DM (95%UI: 299 000-463 000) and over ZAR10 billion T2DM healthcare costs (95%UI: ZAR6.8-14.0 billion) equivalent to USD860 million (95%UI: USD570 million-USD1.2 billion) may be averted. Conclusion Fiscal policy on SSBs has the potential tomitigate the diabetes epidemic in South Africa and contribute to the National Department of Health goals stated in the National NCD strategic plan.","container-title":"PLoS ONE","DOI":"10.1371/journal.pone.0143050","ISSN":"19326203","issue":"11","note":"PMID: 26575644","page":"1-17","title":"Decreasing the burden of type 2 diabetes in South Africa: The impact of taxing sugar-sweetened beverages","volume":"10","author":[{"family":"Manyema","given":"Mercy"},{"family":"Veerman","given":"J. Lennert"},{"family":"Chola","given":"Lumbwe"},{"family":"Tugendhaft","given":"Aviva"},{"family":"Labadarios","given":"Demetre"},{"family":"Hofman","given":"Karen"}],"issued":{"date-parts":[["2015"]]}}}],"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123</w:t>
            </w:r>
            <w:r w:rsidRPr="00254090">
              <w:rPr>
                <w:rFonts w:ascii="Trebuchet MS" w:hAnsi="Trebuchet MS" w:cstheme="minorHAnsi"/>
                <w:sz w:val="20"/>
                <w:szCs w:val="20"/>
              </w:rPr>
              <w:fldChar w:fldCharType="end"/>
            </w:r>
          </w:p>
        </w:tc>
        <w:tc>
          <w:tcPr>
            <w:tcW w:w="1032" w:type="dxa"/>
            <w:shd w:val="clear" w:color="auto" w:fill="FFFFFF" w:themeFill="background1"/>
          </w:tcPr>
          <w:p w14:paraId="7B6889E3"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South Africa</w:t>
            </w:r>
          </w:p>
        </w:tc>
        <w:tc>
          <w:tcPr>
            <w:tcW w:w="1279" w:type="dxa"/>
            <w:shd w:val="clear" w:color="auto" w:fill="FFFFFF" w:themeFill="background1"/>
          </w:tcPr>
          <w:p w14:paraId="747EBCC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3D1D0D1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Estimation of the effect of 20% SSB tax on the diabetes burden</w:t>
            </w:r>
          </w:p>
          <w:p w14:paraId="1E8CDDE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1D292AD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w:t>
            </w:r>
          </w:p>
        </w:tc>
        <w:tc>
          <w:tcPr>
            <w:tcW w:w="1657" w:type="dxa"/>
            <w:shd w:val="clear" w:color="auto" w:fill="FFFFFF" w:themeFill="background1"/>
          </w:tcPr>
          <w:p w14:paraId="4F5CC6E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Markov-multi state life table </w:t>
            </w:r>
          </w:p>
        </w:tc>
        <w:tc>
          <w:tcPr>
            <w:tcW w:w="1586" w:type="dxa"/>
            <w:shd w:val="clear" w:color="auto" w:fill="FFFFFF" w:themeFill="background1"/>
          </w:tcPr>
          <w:p w14:paraId="36FCA9A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20 years, annual</w:t>
            </w:r>
          </w:p>
        </w:tc>
        <w:tc>
          <w:tcPr>
            <w:tcW w:w="1910" w:type="dxa"/>
            <w:shd w:val="clear" w:color="auto" w:fill="FFFFFF" w:themeFill="background1"/>
          </w:tcPr>
          <w:p w14:paraId="160551B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BMI changes, diabetes</w:t>
            </w:r>
          </w:p>
        </w:tc>
        <w:tc>
          <w:tcPr>
            <w:tcW w:w="1910" w:type="dxa"/>
            <w:shd w:val="clear" w:color="auto" w:fill="FFFFFF" w:themeFill="background1"/>
          </w:tcPr>
          <w:p w14:paraId="4CC9A159" w14:textId="3852B3E8"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4D78B56F" w14:textId="6E3FA78D"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211C8620"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5E523830"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Wilcox et al. (2015)</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{"citationID":"uHzIYMvJ","properties":{"formattedCitation":"\\super 124\\nosupersub{}","plainCitation":"124","noteIndex":0},"citationItems":[{"id":660,"uris":["http://zotero.org/users/local/fKc2159l/items/RIH38SP5"],"itemData":{"id":660,"type":"article-journal","abstract":"Objectives: This study presents a cost-effectiveness analysis of salt reduction policies to lower coronary heart disease in Syria.Methods: Costs and benefits of a health promotion campaign about salt reduction (HP); labeling of salt content on packaged foods (L); reformulation of salt content within packaged foods (R); and combinations of the three were estimated over a 10-year time frame. Policies were deemed cost-effective if their cost-effectiveness ratios were below the region’s established threshold of 38,997 purchasing power parity (PPP). Sensitivity analysis was conducted to account for the uncertainty in the reduction of salt intake.Results: HP, L, and R + HP + L were cost-saving using the best estimates. The remaining policies were cost-effective (CERs: R = 5,453 PPP/LYG; R + HP = 2,201 PPP/LYG; R + L = 2,125 PPP/LYG). R + HP + L provided the largest benefit with net savings using the best and maximum estimates, while R + L was cost-effective with the lowest marginal cost using the minimum estimates.Conclusions: This study demonstrated that all policies were cost-saving or cost effective, with the combination of reformulation plus labeling and a comprehensive policy involving all three approaches being the most promising salt reduction strategies to reduce CHD mortality in Syria.","container-title":"International Journal of Public Health","DOI":"10.1007/s00038-014-0577-3","ISSN":"1420911X","issue":"1","note":"PMID: 24972676","page":"23-30","title":"Cost-effectiveness analysis of salt reduction policies to reduce coronary heart disease in Syria, 2010–2020","volume":"60","author":[{"family":"Wilcox","given":"Meredith L."},{"family":"Mason","given":"Helen"},{"family":"Fouad","given":"Fouad M."},{"family":"Rastam","given":"Samer"},{"family":"Ali","given":"Radwan","dropping-particle":"al"},{"family":"Page","given":"Timothy F."},{"family":"Capewell","given":"Simon"},{"family":"O’Flaherty","given":"Martin"},{"family":"Maziak","given":"Wasim"}],"issued":{"date-parts":[["2014"]]}}}],"schema":"https://github.com/citation-style-language/schema/raw/master/csl-citation.json"}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124</w:t>
            </w:r>
            <w:r w:rsidRPr="00254090">
              <w:rPr>
                <w:rFonts w:ascii="Trebuchet MS" w:hAnsi="Trebuchet MS" w:cstheme="minorHAnsi"/>
                <w:sz w:val="20"/>
                <w:szCs w:val="20"/>
              </w:rPr>
              <w:fldChar w:fldCharType="end"/>
            </w:r>
          </w:p>
        </w:tc>
        <w:tc>
          <w:tcPr>
            <w:tcW w:w="1032" w:type="dxa"/>
            <w:shd w:val="clear" w:color="auto" w:fill="FFFFFF" w:themeFill="background1"/>
          </w:tcPr>
          <w:p w14:paraId="13427CFB"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Syria </w:t>
            </w:r>
          </w:p>
        </w:tc>
        <w:tc>
          <w:tcPr>
            <w:tcW w:w="1279" w:type="dxa"/>
            <w:shd w:val="clear" w:color="auto" w:fill="FFFFFF" w:themeFill="background1"/>
          </w:tcPr>
          <w:p w14:paraId="78C1601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IMPACT Model</w:t>
            </w:r>
          </w:p>
        </w:tc>
        <w:tc>
          <w:tcPr>
            <w:tcW w:w="2163" w:type="dxa"/>
            <w:shd w:val="clear" w:color="auto" w:fill="FFFFFF" w:themeFill="background1"/>
          </w:tcPr>
          <w:p w14:paraId="2D90CB1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Cost-effectiveness analysis of salt reduction policies</w:t>
            </w:r>
          </w:p>
          <w:p w14:paraId="26CD198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25597C3B"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Public/ private sector, healthcare</w:t>
            </w:r>
          </w:p>
          <w:p w14:paraId="74FFA6A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p w14:paraId="0EA8DF29"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657" w:type="dxa"/>
            <w:shd w:val="clear" w:color="auto" w:fill="FFFFFF" w:themeFill="background1"/>
          </w:tcPr>
          <w:p w14:paraId="7F85EBD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Cell-based model</w:t>
            </w:r>
          </w:p>
        </w:tc>
        <w:tc>
          <w:tcPr>
            <w:tcW w:w="1586" w:type="dxa"/>
            <w:shd w:val="clear" w:color="auto" w:fill="FFFFFF" w:themeFill="background1"/>
          </w:tcPr>
          <w:p w14:paraId="1446ED6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000EA91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death</w:t>
            </w:r>
          </w:p>
        </w:tc>
        <w:tc>
          <w:tcPr>
            <w:tcW w:w="1910" w:type="dxa"/>
            <w:shd w:val="clear" w:color="auto" w:fill="FFFFFF" w:themeFill="background1"/>
          </w:tcPr>
          <w:p w14:paraId="1B0BAC5C" w14:textId="57CC9C0E"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4103B90C" w14:textId="29DFFAB3"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2AD54F60"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5452D424"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Collins et al. (2015)</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{"citationID":"pmMEqoM7","properties":{"formattedCitation":"\\super 125\\nosupersub{}","plainCitation":"125","noteIndex":0},"citationItems":[{"id":659,"uris":["http://zotero.org/users/local/fKc2159l/items/LARBWW8N"],"itemData":{"id":659,"type":"article-journal","abstract":"Background: Increasing evidence associates excess refined sugar intakes with obesity, Type 2 diabetes and heart disease. Worryingly, the estimated volume of sugary drinks purchased in the UK has more than doubled between 1975 and 2007, from 510ml to 1140ml per person per week. We aimed to estimate the potential impact of a duty on sugar sweetened beverages (SSBs) at a local level in England, hypothesising that a duty could reduce obesity and related diseases. Methods and Findings: We modelled the potential impact of a 20% sugary drinks duty on local authorities in England between 2010 and 2030. We synthesised data obtained from the British National Diet and Nutrition Survey (NDNS), drinks manufacturers, Office for National Statistics, and from previous studies. This produced a modelled population of 41 million adults in 326 lower tier local authorities in England. This analysis suggests that a 20% SSB duty could result in approximately 2,400 fewer diabetes cases, 1,700 fewer stroke and coronary heart disease cases, 400 fewer cancer cases, and gain some 41,000 Quality Adjusted Life Years (QALYs) per year across England. The duty might have the biggest impact in urban areas with young populations. Conclusions: This study adds to the growing body of evidence suggesting health benefits for a duty on sugary drinks. It might also usefully provide results at an area level to inform local price interventions in England.","container-title":"PLoS ONE","DOI":"10.1371/journal.pone.0130770","ISSN":"19326203","issue":"6","note":"PMID: 26121677","page":"1-13","title":"Modelling the health impact of an English sugary drinks duty at national and local levels","volume":"10","author":[{"family":"Collins","given":"Brendan"},{"family":"Capewell","given":"Simon"},{"family":"O'Flaherty","given":"Martin"},{"family":"Timpson","given":"Hannah"},{"family":"Razzaq","given":"Abdul"},{"family":"Cheater","given":"Sylvia"},{"family":"Ireland","given":"Robin"},{"family":"Bromley","given":"Helen"}],"issued":{"date-parts":[["2015"]]}}}],"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125</w:t>
            </w:r>
            <w:r w:rsidRPr="00254090">
              <w:rPr>
                <w:rFonts w:ascii="Trebuchet MS" w:hAnsi="Trebuchet MS" w:cstheme="minorHAnsi"/>
                <w:sz w:val="20"/>
                <w:szCs w:val="20"/>
              </w:rPr>
              <w:fldChar w:fldCharType="end"/>
            </w:r>
          </w:p>
        </w:tc>
        <w:tc>
          <w:tcPr>
            <w:tcW w:w="1032" w:type="dxa"/>
            <w:shd w:val="clear" w:color="auto" w:fill="FFFFFF" w:themeFill="background1"/>
          </w:tcPr>
          <w:p w14:paraId="08A140B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England</w:t>
            </w:r>
          </w:p>
        </w:tc>
        <w:tc>
          <w:tcPr>
            <w:tcW w:w="1279" w:type="dxa"/>
            <w:shd w:val="clear" w:color="auto" w:fill="FFFFFF" w:themeFill="background1"/>
          </w:tcPr>
          <w:p w14:paraId="2D3DA6C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3134978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Projection of 20 % of sugary drinks duty impact on disease events</w:t>
            </w:r>
          </w:p>
          <w:p w14:paraId="49A70C4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289017D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Healthcare </w:t>
            </w:r>
          </w:p>
        </w:tc>
        <w:tc>
          <w:tcPr>
            <w:tcW w:w="1657" w:type="dxa"/>
            <w:shd w:val="clear" w:color="auto" w:fill="FFFFFF" w:themeFill="background1"/>
          </w:tcPr>
          <w:p w14:paraId="3AEFE84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Microsimulation</w:t>
            </w:r>
          </w:p>
        </w:tc>
        <w:tc>
          <w:tcPr>
            <w:tcW w:w="1586" w:type="dxa"/>
            <w:shd w:val="clear" w:color="auto" w:fill="FFFFFF" w:themeFill="background1"/>
          </w:tcPr>
          <w:p w14:paraId="62191A14"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20 years, annual</w:t>
            </w:r>
          </w:p>
        </w:tc>
        <w:tc>
          <w:tcPr>
            <w:tcW w:w="1910" w:type="dxa"/>
            <w:shd w:val="clear" w:color="auto" w:fill="FFFFFF" w:themeFill="background1"/>
          </w:tcPr>
          <w:p w14:paraId="780A5FA2"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Diabetes, stroke, CHD</w:t>
            </w:r>
          </w:p>
        </w:tc>
        <w:tc>
          <w:tcPr>
            <w:tcW w:w="1910" w:type="dxa"/>
            <w:shd w:val="clear" w:color="auto" w:fill="FFFFFF" w:themeFill="background1"/>
          </w:tcPr>
          <w:p w14:paraId="10A15E20" w14:textId="40C58E41"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w:t>
            </w:r>
            <w:r>
              <w:rPr>
                <w:rFonts w:ascii="Trebuchet MS" w:hAnsi="Trebuchet MS" w:cstheme="minorHAnsi"/>
                <w:sz w:val="20"/>
                <w:szCs w:val="20"/>
              </w:rPr>
              <w:t>PSA</w:t>
            </w:r>
            <w:r>
              <w:rPr>
                <w:rFonts w:ascii="Trebuchet MS" w:hAnsi="Trebuchet MS" w:cstheme="minorHAnsi"/>
                <w:sz w:val="20"/>
                <w:szCs w:val="20"/>
              </w:rPr>
              <w:t>)</w:t>
            </w:r>
          </w:p>
        </w:tc>
      </w:tr>
      <w:tr w:rsidR="00EF055A" w:rsidRPr="00986A43" w14:paraId="6A5C6983" w14:textId="19A4B4D7"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46DECA1D"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6BFCA2AF"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Lawson et al. (2016)</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{"citationID":"I19ao2eC","properties":{"formattedCitation":"\\super 55\\nosupersub{}","plainCitation":"55","noteIndex":0},"citationItems":[{"id":190,"uris":["http://zotero.org/users/local/fKc2159l/items/KZHANSAJ"],"itemData":{"id":190,"type":"article-journal","abstract":"Objectives This is the second of the two papers introducing a cardiovascular disease (CVD) policy model. The first paper described the structure and statistical underpinning of the state-transition model, demonstrating how life expectancy estimates are generated for individuals defined by ASSIGN risk factors. This second paper describes how the model is prepared to undertake economic evaluation.\nDesign To generate quality-adjusted life expectancy (QALE), the Scottish Health Survey was used to estimate background morbidity (health utilities) and the impact of CVD events (utility decrements). The SF-6D algorithm generated utilities and decrements were modelled using ordinary least squares (OLS). To generate lifetime hospital costs, the Scottish Heart Health Extended Cohort (SHHEC) was linked to the Scottish morbidity and death records (SMR) to cost each continuous inpatient stay (CIS). OLS and restricted cubic splines estimated annual costs before and after each of the first four events. A Kaplan-Meier sample average (KMSA) estimator was then used to weight expected health-related quality of life and costs by the probability of survival.\nResults The policy model predicts the change in QALE and lifetime hospital costs as a result of an intervention(s) modifying risk factors. Cost-effectiveness analysis and a full uncertainty analysis can be undertaken, including probabilistic sensitivity analysis. Notably, the impacts according to socioeconomic deprivation status can be made.\nConclusions The policy model can conduct cost-effectiveness analysis and decision analysis to inform approaches to primary prevention, including individually targeted and population interventions, and to assess impacts on health inequalities.","container-title":"Open Heart","DOI":"10.1136/openhrt-2014-000140","ISSN":"2053-3624","issue":"1","language":"en","license":"Published by the BMJ Publishing Group Limited. For permission to use (where not already granted under a licence) please go to http://www.bmj.com/company/products-services/rights-and-licensing/. This is an Open Access article distributed in accordance with the terms of the Creative Commons Attribution (CC BY 4.0) license, which permits others to distribute, remix, adapt and build upon this work, for commercial use, provided the original work is properly cited. See: http://creativecommons.org/licenses/by/4.0/","note":"publisher: Archives of Disease in childhood\nsection: Health care delivery, economics and global health care\nPMID: 27335653","page":"e000140","source":"openheart.bmj.com","title":"A cardiovascular disease policy model: part 2—preparing for economic evaluation and to assess health inequalities","title-short":"A cardiovascular disease policy model","volume":"3","author":[{"family":"Lawson","given":"K. D."},{"family":"Lewsey","given":"J. D."},{"family":"Ford","given":"I."},{"family":"Fox","given":"K."},{"family":"Ritchie","given":"L. D."},{"family":"Tunstall-Pedoe","given":"H."},{"family":"Watt","given":"G. C. M."},{"family":"Woodward","given":"M."},{"family":"Kent","given":"S."},{"family":"Neilson","given":"M."},{"family":"Briggs","given":"A. H."}],"issued":{"date-parts":[["2016",6,1]]}}}],"schema":"https://github.com/citation-style-language/schema/raw/master/csl-citation.json"} </w:instrText>
            </w:r>
            <w:r w:rsidRPr="00254090">
              <w:rPr>
                <w:rFonts w:ascii="Trebuchet MS" w:hAnsi="Trebuchet MS" w:cstheme="minorHAnsi"/>
                <w:sz w:val="20"/>
                <w:szCs w:val="20"/>
              </w:rPr>
              <w:fldChar w:fldCharType="separate"/>
            </w:r>
            <w:r w:rsidRPr="003C0051">
              <w:rPr>
                <w:rFonts w:ascii="Trebuchet MS" w:hAnsi="Trebuchet MS"/>
                <w:color w:val="000000"/>
                <w:sz w:val="20"/>
                <w:vertAlign w:val="superscript"/>
              </w:rPr>
              <w:t>55</w:t>
            </w:r>
            <w:r w:rsidRPr="00254090">
              <w:rPr>
                <w:rFonts w:ascii="Trebuchet MS" w:hAnsi="Trebuchet MS" w:cstheme="minorHAnsi"/>
                <w:sz w:val="20"/>
                <w:szCs w:val="20"/>
              </w:rPr>
              <w:fldChar w:fldCharType="end"/>
            </w:r>
          </w:p>
        </w:tc>
        <w:tc>
          <w:tcPr>
            <w:tcW w:w="1032" w:type="dxa"/>
            <w:shd w:val="clear" w:color="auto" w:fill="FFFFFF" w:themeFill="background1"/>
          </w:tcPr>
          <w:p w14:paraId="55F9FFD8"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Scotland </w:t>
            </w:r>
          </w:p>
        </w:tc>
        <w:tc>
          <w:tcPr>
            <w:tcW w:w="1279" w:type="dxa"/>
            <w:shd w:val="clear" w:color="auto" w:fill="FFFFFF" w:themeFill="background1"/>
          </w:tcPr>
          <w:p w14:paraId="72D8ED70"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Scottish CVD Policy Model</w:t>
            </w:r>
          </w:p>
        </w:tc>
        <w:tc>
          <w:tcPr>
            <w:tcW w:w="2163" w:type="dxa"/>
            <w:shd w:val="clear" w:color="auto" w:fill="FFFFFF" w:themeFill="background1"/>
          </w:tcPr>
          <w:p w14:paraId="0719D81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The development of model for conducting economic evaluation </w:t>
            </w:r>
          </w:p>
        </w:tc>
        <w:tc>
          <w:tcPr>
            <w:tcW w:w="1283" w:type="dxa"/>
            <w:shd w:val="clear" w:color="auto" w:fill="FFFFFF" w:themeFill="background1"/>
          </w:tcPr>
          <w:p w14:paraId="05832A7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14000D3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w:t>
            </w:r>
          </w:p>
        </w:tc>
        <w:tc>
          <w:tcPr>
            <w:tcW w:w="1586" w:type="dxa"/>
            <w:shd w:val="clear" w:color="auto" w:fill="FFFFFF" w:themeFill="background1"/>
          </w:tcPr>
          <w:p w14:paraId="008A4081"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Potentially lifetime, annual</w:t>
            </w:r>
          </w:p>
          <w:p w14:paraId="52D94857"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74B9034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lastRenderedPageBreak/>
              <w:t xml:space="preserve">CVD event free, non-fatal CHD, non-fatal CBVD, </w:t>
            </w:r>
            <w:r w:rsidRPr="00986A43">
              <w:rPr>
                <w:rFonts w:ascii="Trebuchet MS" w:hAnsi="Trebuchet MS" w:cstheme="minorHAnsi"/>
                <w:sz w:val="20"/>
                <w:szCs w:val="20"/>
              </w:rPr>
              <w:lastRenderedPageBreak/>
              <w:t>fatal CVD, fatal non-CVD, fatal all cause</w:t>
            </w:r>
          </w:p>
          <w:p w14:paraId="78BF9FA5"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5EBA4CF5" w14:textId="4C725FE2"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lastRenderedPageBreak/>
              <w:t>Yes (DSA and PSA)</w:t>
            </w:r>
          </w:p>
        </w:tc>
      </w:tr>
      <w:tr w:rsidR="00EF055A" w:rsidRPr="00986A43" w14:paraId="529F339C" w14:textId="2C273D54"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7648A812"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5C64A071"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Sa´nchez</w:t>
            </w:r>
            <w:proofErr w:type="spellEnd"/>
            <w:r w:rsidRPr="00254090">
              <w:rPr>
                <w:rFonts w:ascii="Trebuchet MS" w:hAnsi="Trebuchet MS" w:cstheme="minorHAnsi"/>
                <w:sz w:val="20"/>
                <w:szCs w:val="20"/>
              </w:rPr>
              <w:t>-Romero et al. (2016)</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{"citationID":"jqp8Lcav","properties":{"formattedCitation":"\\super 57\\nosupersub{}","plainCitation":"57","noteIndex":0},"citationItems":[{"id":206,"uris":["http://zotero.org/users/local/fKc2159l/items/W6YHCSNK"],"itemData":{"id":206,"type":"article-journal","abstract":"Using consumption trends following the implementation of Mexico's tax on sugar sweetened beverages, Kirsten Bibbins-Domingo and colleagues estimate the tax's impact on diabetes cases, cardiovascular events, mortality and healthcare costs over the next ten years.","container-title":"PLoS Medicine","DOI":"10.1371/journal.pmed.1002158","ISSN":"1549-1277","issue":"11","journalAbbreviation":"PLoS Med","note":"PMID: 27802278\nPMCID: PMC5089730","page":"e1002158","source":"PubMed Central","title":"Projected Impact of Mexico’s Sugar-Sweetened Beverage Tax Policy on Diabetes and Cardiovascular Disease: A Modeling Study","title-short":"Projected Impact of Mexico’s Sugar-Sweetened Beverage Tax Policy on Diabetes and Cardiovascular Disease","volume":"13","author":[{"family":"Sánchez-Romero","given":"Luz Maria"},{"family":"Penko","given":"Joanne"},{"family":"Coxson","given":"Pamela G."},{"family":"Fernández","given":"Alicia"},{"family":"Mason","given":"Antoinette"},{"family":"Moran","given":"Andrew E."},{"family":"Ávila-Burgos","given":"Leticia"},{"family":"Odden","given":"Michelle"},{"family":"Barquera","given":"Simón"},{"family":"Bibbins-Domingo","given":"Kirsten"}],"issued":{"date-parts":[["2016",11,1]]}}}],"schema":"https://github.com/citation-style-language/schema/raw/master/csl-citation.json"} </w:instrText>
            </w:r>
            <w:r w:rsidRPr="00254090">
              <w:rPr>
                <w:rFonts w:ascii="Trebuchet MS" w:hAnsi="Trebuchet MS" w:cstheme="minorHAnsi"/>
                <w:sz w:val="20"/>
                <w:szCs w:val="20"/>
              </w:rPr>
              <w:fldChar w:fldCharType="separate"/>
            </w:r>
            <w:r w:rsidRPr="003C0051">
              <w:rPr>
                <w:rFonts w:ascii="Trebuchet MS" w:hAnsi="Trebuchet MS"/>
                <w:color w:val="000000"/>
                <w:sz w:val="20"/>
                <w:vertAlign w:val="superscript"/>
              </w:rPr>
              <w:t>57</w:t>
            </w:r>
            <w:r w:rsidRPr="00254090">
              <w:rPr>
                <w:rFonts w:ascii="Trebuchet MS" w:hAnsi="Trebuchet MS" w:cstheme="minorHAnsi"/>
                <w:sz w:val="20"/>
                <w:szCs w:val="20"/>
              </w:rPr>
              <w:fldChar w:fldCharType="end"/>
            </w:r>
          </w:p>
        </w:tc>
        <w:tc>
          <w:tcPr>
            <w:tcW w:w="1032" w:type="dxa"/>
            <w:shd w:val="clear" w:color="auto" w:fill="FFFFFF" w:themeFill="background1"/>
          </w:tcPr>
          <w:p w14:paraId="1B6BEA1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Mexico </w:t>
            </w:r>
          </w:p>
        </w:tc>
        <w:tc>
          <w:tcPr>
            <w:tcW w:w="1279" w:type="dxa"/>
            <w:shd w:val="clear" w:color="auto" w:fill="FFFFFF" w:themeFill="background1"/>
          </w:tcPr>
          <w:p w14:paraId="1600426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Policy Model-Mexico</w:t>
            </w:r>
          </w:p>
        </w:tc>
        <w:tc>
          <w:tcPr>
            <w:tcW w:w="2163" w:type="dxa"/>
            <w:shd w:val="clear" w:color="auto" w:fill="FFFFFF" w:themeFill="background1"/>
          </w:tcPr>
          <w:p w14:paraId="23015A2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Projection of SSB tax policies</w:t>
            </w:r>
          </w:p>
        </w:tc>
        <w:tc>
          <w:tcPr>
            <w:tcW w:w="1283" w:type="dxa"/>
            <w:shd w:val="clear" w:color="auto" w:fill="FFFFFF" w:themeFill="background1"/>
          </w:tcPr>
          <w:p w14:paraId="05EBEB4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46AEA2B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665608F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0DA372E2"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No event, CVD event (MI, stroke, angina), death </w:t>
            </w:r>
          </w:p>
          <w:p w14:paraId="527AF89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78688FB0" w14:textId="5AD53E63"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2C65349B" w14:textId="5E5D3A69"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408BCC73"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4E2F3D61"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Nghiem et al. (2016)</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{"citationID":"IWEpmVTN","properties":{"formattedCitation":"\\super 126\\nosupersub{}","plainCitation":"126","noteIndex":0},"citationItems":[{"id":658,"uris":["http://zotero.org/users/local/fKc2159l/items/ZI8C7XKX"],"itemData":{"id":658,"type":"article-journal","abstract":"Background: A \"diet high in sodium\" is the second most important dietary risk factor for health loss identified in the Global Burden of Disease Study 2013. We therefore aimed to model health gains and costs (savings) of salt reduction interventions related to salt substitution and maximum levels in bread, including by ethnicity and age. We also ranked these four interventions compared to eight other modelled interventions. Methods: A Markov macro-simulation model was used to estimate QALYs gained and net health system costs for four dietary sodium reduction interventions, discounted at 3 % per annum. The setting was New Zealand (NZ) (2.3 million adults, aged 35+ years) which has detailed individual-level administrative cost data. Results: The health gain was greatest for an intervention where most (59 %) of the sodium in processed foods was replaced by potassium and magnesium salts. This intervention gained 294,000 QALYs over the remaining lifetime of the cohort (95 % UI: 238,000 to 359,000; 0.13 QALY per 35+ year old). Such salt substitution also produced the highest net cost-savings of NZ 1.5 billion (US 1.0 billion) (95 % UI: NZ$ 1.1 to 2.0 billion). All interventions generated relatively larger per capita QALYs for men vs women and for the indigenous Māori population vs non-Māori (e.g.; 0.16 vs 0.12 QALYs per adult for the 59 % salt substitution intervention). Of relevance to workforce productivity, in the first 10 years post-intervention, 22 % of the QALY gain was among those aged &lt;65 years (and 37 % for those aged &lt;70). Conclusions: The benefits are consistent with the international literature, with large health gains and cost savings possible from some, but not all, sodium reduction interventions. Health gain appears likely to occur among working-age adults and all interventions contributed to reducing health inequalities.","container-title":"BMC Public Health","DOI":"10.1186/s12889-016-3102-1","ISSN":"14712458","issue":"1","note":"ISBN: 1288901631021\npublisher: BMC Public Health\nPMID: 27216490","page":"1-13","title":"The health gains and cost savings of dietary salt reduction interventions, with equity and age distributional aspects","volume":"16","author":[{"family":"Nghiem","given":"Nhung"},{"family":"Blakely","given":"Tony"},{"family":"Cobiac","given":"Linda J."},{"family":"Cleghorn","given":"Christine L."},{"family":"Wilson","given":"Nick"}],"issued":{"date-parts":[["2016"]]}}}],"schema":"https://github.com/citation-style-language/schema/raw/master/csl-citation.json"}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126</w:t>
            </w:r>
            <w:r w:rsidRPr="00254090">
              <w:rPr>
                <w:rFonts w:ascii="Trebuchet MS" w:hAnsi="Trebuchet MS" w:cstheme="minorHAnsi"/>
                <w:sz w:val="20"/>
                <w:szCs w:val="20"/>
              </w:rPr>
              <w:fldChar w:fldCharType="end"/>
            </w:r>
          </w:p>
        </w:tc>
        <w:tc>
          <w:tcPr>
            <w:tcW w:w="1032" w:type="dxa"/>
            <w:shd w:val="clear" w:color="auto" w:fill="FFFFFF" w:themeFill="background1"/>
          </w:tcPr>
          <w:p w14:paraId="055297C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New Zealand</w:t>
            </w:r>
          </w:p>
        </w:tc>
        <w:tc>
          <w:tcPr>
            <w:tcW w:w="1279" w:type="dxa"/>
            <w:shd w:val="clear" w:color="auto" w:fill="FFFFFF" w:themeFill="background1"/>
          </w:tcPr>
          <w:p w14:paraId="4C9518C3"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0EE3D386"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Estimation of the cost and benefit from dietary sodium interventions</w:t>
            </w:r>
          </w:p>
          <w:p w14:paraId="5536779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2597F49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 system</w:t>
            </w:r>
          </w:p>
        </w:tc>
        <w:tc>
          <w:tcPr>
            <w:tcW w:w="1657" w:type="dxa"/>
            <w:shd w:val="clear" w:color="auto" w:fill="FFFFFF" w:themeFill="background1"/>
          </w:tcPr>
          <w:p w14:paraId="518F18E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3E7D370D"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64B5C576"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free, CHD, stroke, death</w:t>
            </w:r>
          </w:p>
        </w:tc>
        <w:tc>
          <w:tcPr>
            <w:tcW w:w="1910" w:type="dxa"/>
            <w:shd w:val="clear" w:color="auto" w:fill="FFFFFF" w:themeFill="background1"/>
          </w:tcPr>
          <w:p w14:paraId="3996C881" w14:textId="41C73B46"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50330035" w14:textId="6896C817"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419FF7FF"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30F9DBBD"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Veerman et al. (2016)</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{"citationID":"sVYiPMyo","properties":{"formattedCitation":"\\super 127\\nosupersub{}","plainCitation":"127","noteIndex":0},"citationItems":[{"id":675,"uris":["http://zotero.org/users/local/fKc2159l/items/Y5QIWG2N"],"itemData":{"id":675,"type":"article-journal","abstract":"This paper aims to estimate the consequences of an additional 20%tax on sugar-sweetened beverages (SSBs) on health and health care expenditure. Participants were adult (aged &gt; = 20) Australians alive in 2010, who were modelled over their remaining lifetime. We used lifetable- based epidemiological modelling to examine the potential impact of a 20%valoric tax on SSBs on total lifetime disability-adjusted life years (DALYs), incidence, prevalence, and mortality of obesity-related disease, and health care expenditure. Over the lifetime of adult Australian alive in 2010, seemingly modest estimated changes in average bodymass as a result of the SSB tax translated to gains of 112,000 health-adjusted life years for men (95%uncertainty interval [UI]: 73,000-155,000) and 56,000 (95%UI: 36,000-76,000) for women, and a reduction in overall health care expenditure of AUD609 million (95%UI: 368 million' 870 million). The tax is estimated to reduce the number of new type 2 diabetes cases by approximately 800 per year. Twenty-five years after the introduction of the tax, there would be 4,400 fewer prevalent cases of heart disease and 1,100 fewer persons living with the consequences of stroke, and an estimated 1606 extra people would be alive as a result of the tax. The tax would generate an estimated AUD400 million in revenue each year. Governments should consider increasing the tax on sugared drinks. This would improve population health, reduce health care costs, as well as bring in direct revenue.","container-title":"PLoS ONE","DOI":"10.1371/journal.pone.0151460","ISSN":"19326203","issue":"4","note":"PMID: 27073855","page":"1-10","title":"The impact of a tax on sugar-sweetened beverages on health and health care costs: A modelling study","volume":"11","author":[{"family":"Veerman","given":"J. Lennert"},{"family":"Sacks","given":"Gary"},{"family":"Antonopoulos","given":"Nicole"},{"family":"Martin","given":"Jane"}],"issued":{"date-parts":[["2016"]]}}}],"schema":"https://github.com/citation-style-language/schema/raw/master/csl-citation.json"}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127</w:t>
            </w:r>
            <w:r w:rsidRPr="00254090">
              <w:rPr>
                <w:rFonts w:ascii="Trebuchet MS" w:hAnsi="Trebuchet MS" w:cstheme="minorHAnsi"/>
                <w:sz w:val="20"/>
                <w:szCs w:val="20"/>
              </w:rPr>
              <w:fldChar w:fldCharType="end"/>
            </w:r>
          </w:p>
        </w:tc>
        <w:tc>
          <w:tcPr>
            <w:tcW w:w="1032" w:type="dxa"/>
            <w:shd w:val="clear" w:color="auto" w:fill="FFFFFF" w:themeFill="background1"/>
          </w:tcPr>
          <w:p w14:paraId="7C6F9CE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Australia</w:t>
            </w:r>
          </w:p>
        </w:tc>
        <w:tc>
          <w:tcPr>
            <w:tcW w:w="1279" w:type="dxa"/>
            <w:shd w:val="clear" w:color="auto" w:fill="FFFFFF" w:themeFill="background1"/>
          </w:tcPr>
          <w:p w14:paraId="60E423E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2B4380FC"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Estimation of the effect on 20% SSB tax on health and healthcare expenditure</w:t>
            </w:r>
          </w:p>
          <w:p w14:paraId="57B8125F" w14:textId="77777777" w:rsidR="00A34CE6" w:rsidRPr="00986A43" w:rsidRDefault="00A34CE6" w:rsidP="00072EA0">
            <w:pPr>
              <w:pStyle w:val="ListParagraph"/>
              <w:ind w:left="284"/>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4BA5A3A6"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Health sector </w:t>
            </w:r>
          </w:p>
        </w:tc>
        <w:tc>
          <w:tcPr>
            <w:tcW w:w="1657" w:type="dxa"/>
            <w:shd w:val="clear" w:color="auto" w:fill="FFFFFF" w:themeFill="background1"/>
          </w:tcPr>
          <w:p w14:paraId="2C83E8A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28FB764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51F5726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T2DM, heart disease, stroke</w:t>
            </w:r>
          </w:p>
        </w:tc>
        <w:tc>
          <w:tcPr>
            <w:tcW w:w="1910" w:type="dxa"/>
            <w:shd w:val="clear" w:color="auto" w:fill="FFFFFF" w:themeFill="background1"/>
          </w:tcPr>
          <w:p w14:paraId="7B870247" w14:textId="515F47DA"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4632F5C1" w14:textId="056F5B87"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4F9BD7D5"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28B3D368"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Wang et al., (2016)</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{"citationID":"WyZ5TzbU","properties":{"formattedCitation":"\\super 128\\nosupersub{}","plainCitation":"128","noteIndex":0},"citationItems":[{"id":662,"uris":["http://zotero.org/users/local/fKc2159l/items/TP9VHFGS"],"itemData":{"id":662,"type":"article-journal","abstract":"Objectives: To estimate the effects of achieving China's national goals for dietary salt (NaCl) reduction or implementing culturally-tailored dietary salt restriction strategies on cardiovascular disease (CVD) prevention. Methods: The CVD Policy Model was used to project blood pressure lowering and subsequent downstream prevented CVD that could be achieved by population-wide salt restriction in China. Outcomes were annual CVD events prevented, relative reductions in rates of CVD incidence and mortality, quality-adjusted life-years (QALYs) gained, and CVD treatment costs saved. Results: Reducing mean dietary salt intake to 9.0 g/day gradually over 10 years could prevent approximately 197 000 incident annual CVD events [95% uncertainty interval (UI): 173 000-219 000], reduce annual CVD mortality by approximately 2.5% (2.2-2.8%), gain 303 000 annual QALYs (278 000-329 000), and save approximately 1.4 billion international dollars (Int) in annual CVD costs (Int; 1.2-1.6 billion). Reducing mean salt intake to 6.0 g/day could approximately double these benefits. Implementing cooking salt-restriction spoons could prevent 183 000 fewer incident CVD cases (153 000-215 000) and avoid Int$1.4 billion in CVD treatment costs annually (1.2-1.7 billion). Implementing a cooking salt substitute strategy could lead to approximately three times the health benefits of the saltrestriction spoon program. More than three-quarters of benefits from any dietary salt reduction strategy would be realized in hypertensive adults. Conclusion: China could derive substantial health gains from implementation of population-wide dietary salt reduction policies. Most health benefits from any dietary salt reduction program would be realized in adults with hypertension.","container-title":"PLoS ONE","DOI":"10.1371/journal.pone.0146820","ISSN":"19326203","issue":"2","note":"PMID: 26840409","page":"1-16","title":"Projected impact of salt restriction on prevention of cardiovascular disease in China: A modeling study","volume":"11","author":[{"family":"Wang","given":"Miao"},{"family":"Moran","given":"Andrew E."},{"family":"Liu","given":"Jing"},{"family":"Coxson","given":"Pamela G."},{"family":"Penko","given":"Joanne"},{"family":"Goldman","given":"Lee"},{"family":"Bibbins-Domingo","given":"Kirsten"},{"family":"Zhao","given":"Dong"}],"issued":{"date-parts":[["2016"]]}}}],"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128</w:t>
            </w:r>
            <w:r w:rsidRPr="00254090">
              <w:rPr>
                <w:rFonts w:ascii="Trebuchet MS" w:hAnsi="Trebuchet MS" w:cstheme="minorHAnsi"/>
                <w:sz w:val="20"/>
                <w:szCs w:val="20"/>
              </w:rPr>
              <w:fldChar w:fldCharType="end"/>
            </w:r>
          </w:p>
        </w:tc>
        <w:tc>
          <w:tcPr>
            <w:tcW w:w="1032" w:type="dxa"/>
            <w:shd w:val="clear" w:color="auto" w:fill="FFFFFF" w:themeFill="background1"/>
          </w:tcPr>
          <w:p w14:paraId="15C20C2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China </w:t>
            </w:r>
          </w:p>
        </w:tc>
        <w:tc>
          <w:tcPr>
            <w:tcW w:w="1279" w:type="dxa"/>
            <w:shd w:val="clear" w:color="auto" w:fill="FFFFFF" w:themeFill="background1"/>
          </w:tcPr>
          <w:p w14:paraId="5058358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Policy Model-China</w:t>
            </w:r>
          </w:p>
        </w:tc>
        <w:tc>
          <w:tcPr>
            <w:tcW w:w="2163" w:type="dxa"/>
            <w:shd w:val="clear" w:color="auto" w:fill="FFFFFF" w:themeFill="background1"/>
          </w:tcPr>
          <w:p w14:paraId="630ACA0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Estimation of the effect of population-wide salt restriction in China</w:t>
            </w:r>
          </w:p>
        </w:tc>
        <w:tc>
          <w:tcPr>
            <w:tcW w:w="1283" w:type="dxa"/>
            <w:shd w:val="clear" w:color="auto" w:fill="FFFFFF" w:themeFill="background1"/>
          </w:tcPr>
          <w:p w14:paraId="2FF5085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 system payer’s</w:t>
            </w:r>
          </w:p>
        </w:tc>
        <w:tc>
          <w:tcPr>
            <w:tcW w:w="1657" w:type="dxa"/>
            <w:shd w:val="clear" w:color="auto" w:fill="FFFFFF" w:themeFill="background1"/>
          </w:tcPr>
          <w:p w14:paraId="664CF7D8"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w:t>
            </w:r>
          </w:p>
        </w:tc>
        <w:tc>
          <w:tcPr>
            <w:tcW w:w="1586" w:type="dxa"/>
            <w:shd w:val="clear" w:color="auto" w:fill="FFFFFF" w:themeFill="background1"/>
          </w:tcPr>
          <w:p w14:paraId="236A582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41C48837"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free, acute CVD events, chronic CVD states, fatal CHD or stroke, non-CVD death</w:t>
            </w:r>
          </w:p>
          <w:p w14:paraId="2BAA7AB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1C16F594" w14:textId="4F545428" w:rsidR="00A34CE6" w:rsidRPr="00986A43"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6C027D26" w14:textId="37D7F6B3"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2C0AD231"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362E7CEA"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Breeze et al. (2017)</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{"citationID":"6jDuEbnn","properties":{"formattedCitation":"\\super 129\\nosupersub{}","plainCitation":"129","noteIndex":0},"citationItems":[{"id":672,"uris":["http://zotero.org/users/local/fKc2159l/items/H6LA8FTL"],"itemData":{"id":672,"type":"article-journal","abstract":"Aim: To analyse the cost-effectiveness of different interventions for Type 2 diabetes prevention within a common framework. Methods: A micro-simulation model was developed to evaluate the cost-effectiveness of a range of diabetes prevention interventions including: (1) soft drinks taxation; (2) retail policy in socially deprived areas; (3) workplace intervention; (4) community-based intervention; and (5) screening and intensive lifestyle intervention in individuals with high diabetes risk. Within the model, individuals follow metabolic trajectories (for BMI, cholesterol, systolic blood pressure and glycaemia); individuals may develop diabetes, and some may exhibit complications of diabetes and related disorders, including cardiovascular disease, and eventually die. Lifetime healthcare costs, employment costs and quality-adjusted life-years are collected for each person. Results: All interventions generate more life-years and lifetime quality-adjusted life-years and reduce healthcare spending compared with doing nothing. Screening and intensive lifestyle intervention generates greatest lifetime net benefit (£37) but is costly to implement. In comparison, soft drinks taxation or retail policy generate lower net benefit (£11 and £11) but are cost-saving in a shorter time period, preferentially benefit individuals from deprived backgrounds and reduce employer costs. Conclusion: The model enables a wide range of diabetes prevention interventions to be evaluated according to cost-effectiveness, employment and equity impacts over the short and long term, allowing decision-makers to prioritize policies that maximize the expected benefits, as well as fulfilling other policy targets, such as addressing social inequalities.","container-title":"Diabetic Medicine","DOI":"10.1111/dme.13349","ISSN":"14645491","issue":"8","note":"PMID: 28294392","page":"1136-1144","title":"Cost-effectiveness of population-based, community, workplace and individual policies for diabetes prevention in the UK","volume":"34","author":[{"family":"Breeze","given":"P. R."},{"family":"Thomas","given":"C."},{"family":"Squires","given":"H."},{"family":"Brennan","given":"A."},{"family":"Greaves","given":"C."},{"family":"Diggle","given":"P."},{"family":"Brunner","given":"E."},{"family":"Tabak","given":"A."},{"family":"Preston","given":"L."},{"family":"Chilcott","given":"J."}],"issued":{"date-parts":[["2017"]]}}}],"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129</w:t>
            </w:r>
            <w:r w:rsidRPr="00254090">
              <w:rPr>
                <w:rFonts w:ascii="Trebuchet MS" w:hAnsi="Trebuchet MS" w:cstheme="minorHAnsi"/>
                <w:sz w:val="20"/>
                <w:szCs w:val="20"/>
              </w:rPr>
              <w:fldChar w:fldCharType="end"/>
            </w:r>
          </w:p>
        </w:tc>
        <w:tc>
          <w:tcPr>
            <w:tcW w:w="1032" w:type="dxa"/>
            <w:shd w:val="clear" w:color="auto" w:fill="FFFFFF" w:themeFill="background1"/>
          </w:tcPr>
          <w:p w14:paraId="307AF20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UK </w:t>
            </w:r>
          </w:p>
          <w:p w14:paraId="77A4BCC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79" w:type="dxa"/>
            <w:shd w:val="clear" w:color="auto" w:fill="FFFFFF" w:themeFill="background1"/>
          </w:tcPr>
          <w:p w14:paraId="05EB194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SPHR</w:t>
            </w:r>
          </w:p>
          <w:p w14:paraId="273488F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Model</w:t>
            </w:r>
          </w:p>
        </w:tc>
        <w:tc>
          <w:tcPr>
            <w:tcW w:w="2163" w:type="dxa"/>
            <w:shd w:val="clear" w:color="auto" w:fill="FFFFFF" w:themeFill="background1"/>
          </w:tcPr>
          <w:p w14:paraId="25762D1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Cost effectiveness analysis of different interventions for type 2 diabetes prevention</w:t>
            </w:r>
          </w:p>
        </w:tc>
        <w:tc>
          <w:tcPr>
            <w:tcW w:w="1283" w:type="dxa"/>
            <w:shd w:val="clear" w:color="auto" w:fill="FFFFFF" w:themeFill="background1"/>
          </w:tcPr>
          <w:p w14:paraId="41AD87C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NHS/P</w:t>
            </w:r>
            <w:r>
              <w:rPr>
                <w:rFonts w:ascii="Trebuchet MS" w:hAnsi="Trebuchet MS" w:cstheme="minorHAnsi"/>
                <w:sz w:val="20"/>
                <w:szCs w:val="20"/>
              </w:rPr>
              <w:t>S</w:t>
            </w:r>
            <w:r w:rsidRPr="00986A43">
              <w:rPr>
                <w:rFonts w:ascii="Trebuchet MS" w:hAnsi="Trebuchet MS" w:cstheme="minorHAnsi"/>
                <w:sz w:val="20"/>
                <w:szCs w:val="20"/>
              </w:rPr>
              <w:t xml:space="preserve">S </w:t>
            </w:r>
          </w:p>
        </w:tc>
        <w:tc>
          <w:tcPr>
            <w:tcW w:w="1657" w:type="dxa"/>
            <w:shd w:val="clear" w:color="auto" w:fill="FFFFFF" w:themeFill="background1"/>
          </w:tcPr>
          <w:p w14:paraId="393EB9C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Microsimulation </w:t>
            </w:r>
          </w:p>
        </w:tc>
        <w:tc>
          <w:tcPr>
            <w:tcW w:w="1586" w:type="dxa"/>
            <w:shd w:val="clear" w:color="auto" w:fill="FFFFFF" w:themeFill="background1"/>
          </w:tcPr>
          <w:p w14:paraId="7544EAB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6FEE565C"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Metabolic profile, no</w:t>
            </w:r>
            <w:r w:rsidRPr="00986A43">
              <w:rPr>
                <w:rFonts w:ascii="Trebuchet MS" w:hAnsi="Trebuchet MS" w:cstheme="minorHAnsi"/>
                <w:sz w:val="20"/>
                <w:szCs w:val="20"/>
              </w:rPr>
              <w:t xml:space="preserve"> diabetes, diabetes, complications, CVD, cancer, osteo, depression, mortality</w:t>
            </w:r>
          </w:p>
          <w:p w14:paraId="2573F173"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731FF2E3" w14:textId="6DDE9C56" w:rsidR="00A34CE6"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718BF1E0" w14:textId="2BB5E1B5"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368819BC"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1E500F99"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Cobiac</w:t>
            </w:r>
            <w:proofErr w:type="spellEnd"/>
            <w:r w:rsidRPr="00254090">
              <w:rPr>
                <w:rFonts w:ascii="Trebuchet MS" w:hAnsi="Trebuchet MS" w:cstheme="minorHAnsi"/>
                <w:sz w:val="20"/>
                <w:szCs w:val="20"/>
              </w:rPr>
              <w:t xml:space="preserve"> et al. (2017)</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{"citationID":"KTmXTYHH","properties":{"formattedCitation":"\\super 130\\nosupersub{}","plainCitation":"130","noteIndex":0},"citationItems":[{"id":673,"uris":["http://zotero.org/users/local/fKc2159l/items/BRC2UZYV"],"itemData":{"id":673,"type":"article-journal","abstract":"Background: An increasing number of countries are implementing taxes on unhealthy foods and drinks to address the growing burden of dietary-related disease, but the cost-effectiveness of combining taxes on unhealthy foods and subsidies on healthy foods is not well understood. Methods and Findings: Using a population model of dietary-related diseases and health care costs and food price elasticities, we simulated the effect of taxes on saturated fat, salt, sugar, and sugar-sweetened beverages and a subsidy on fruits and vegetables, over the lifetime of the Australian population. The sizes of the taxes and subsidy were set such that, when combined as a package, there would be a negligible effect on average weekly expenditure on food (&lt;1% change). We evaluated the cost-effectiveness of the interventions individually, then determined the optimal combination based on maximising net monetary benefit at a threshold of AU50,000 per disability-adjusted life year (DALY). The simulations suggested that the combination of taxes and subsidy might avert as many as 470,000 DALYs (95% uncertainty interval [UI]: 420,000 to 510,000) in the Australian population of 22 million, with a net cost-saving of AU3.4 billion (95% UI: AU2.4 billion to AU4.6 billion; US$2.3 billion) to the health sector. Of the taxes evaluated, the sugar tax produced the biggest estimates of health gain (270,000 [95% UI: 250,000 to 290,000] DALYs averted), followed by the salt tax (130,000 [95% UI: 120,000 to 140,000] DALYs), the saturated fat tax (97,000 [95% UI: 77,000 to 120,000] DALYs), and the sugar-sweetened beverage tax (12,000 [95% UI: 2,100 to 21,000] DALYs). The fruit and vegetable subsidy (−13,000 [95% UI: −44,000 to 18,000] DALYs) was a cost-effective addition to the package of taxes. However, it did not necessarily lead to a net health benefit for the population when modelled as an intervention on its own, because of the possible adverse cross-price elasticity effects on consumption of other foods (e.g., foods high in saturated fat and salt). The study suggests that taxes and subsidies on foods and beverages can potentially be combined to achieve substantial improvements in population health and cost-savings to the health sector. However, the magnitude of health benefits is sensitive to measures of price elasticity, and further work is needed to incorporate potential benefits or harms associated with changes in other foods and nutrients that are not currently modelled, such as red and processed meats and fibre. Conclusions: With potentially large health benefits for the Australian population and large benefits in reducing health sector spending on the treatment of non-communicable diseases, the formulation of a tax and subsidy package should be given a more prominent role in Australia’s public health nutrition strategy.","container-title":"PLoS Medicine","DOI":"10.1371/journal.pmed.1002232","ISSN":"15491676","issue":"2","note":"ISBN: 1111111111\nPMID: 28196089","page":"1-18","title":"Taxes and Subsidies for Improving Diet and Population Health in Australia: A Cost-Effectiveness Modelling Study","volume":"14","author":[{"family":"Cobiac","given":"Linda J."},{"family":"Tam","given":"King"},{"family":"Veerman","given":"Lennert"},{"family":"Blakely","given":"Tony"}],"issued":{"date-parts":[["2017"]]}}}],"schema":"https://github.com/citation-style-language/schema/raw/master/csl-citation.json"}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130</w:t>
            </w:r>
            <w:r w:rsidRPr="00254090">
              <w:rPr>
                <w:rFonts w:ascii="Trebuchet MS" w:hAnsi="Trebuchet MS" w:cstheme="minorHAnsi"/>
                <w:sz w:val="20"/>
                <w:szCs w:val="20"/>
              </w:rPr>
              <w:fldChar w:fldCharType="end"/>
            </w:r>
          </w:p>
        </w:tc>
        <w:tc>
          <w:tcPr>
            <w:tcW w:w="1032" w:type="dxa"/>
            <w:shd w:val="clear" w:color="auto" w:fill="FFFFFF" w:themeFill="background1"/>
          </w:tcPr>
          <w:p w14:paraId="0073334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Australia</w:t>
            </w:r>
          </w:p>
        </w:tc>
        <w:tc>
          <w:tcPr>
            <w:tcW w:w="1279" w:type="dxa"/>
            <w:shd w:val="clear" w:color="auto" w:fill="FFFFFF" w:themeFill="background1"/>
          </w:tcPr>
          <w:p w14:paraId="5E83FF31"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08E1DC10"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Estimation of the potential impact of dietary policies </w:t>
            </w:r>
          </w:p>
        </w:tc>
        <w:tc>
          <w:tcPr>
            <w:tcW w:w="1283" w:type="dxa"/>
            <w:shd w:val="clear" w:color="auto" w:fill="FFFFFF" w:themeFill="background1"/>
          </w:tcPr>
          <w:p w14:paraId="5BC407E9"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 sector</w:t>
            </w:r>
          </w:p>
        </w:tc>
        <w:tc>
          <w:tcPr>
            <w:tcW w:w="1657" w:type="dxa"/>
            <w:shd w:val="clear" w:color="auto" w:fill="FFFFFF" w:themeFill="background1"/>
          </w:tcPr>
          <w:p w14:paraId="0A705508"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Markov-multi state lifetable</w:t>
            </w:r>
          </w:p>
        </w:tc>
        <w:tc>
          <w:tcPr>
            <w:tcW w:w="1586" w:type="dxa"/>
            <w:shd w:val="clear" w:color="auto" w:fill="FFFFFF" w:themeFill="background1"/>
          </w:tcPr>
          <w:p w14:paraId="0C901D2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0FBAD808"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Healthy, diseased, death (disease), death (other)</w:t>
            </w:r>
          </w:p>
          <w:p w14:paraId="0DFE583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7BA09E2A" w14:textId="0128AC6B" w:rsidR="00A34CE6" w:rsidRPr="00986A43"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1159F7AE" w14:textId="5BE0A10D"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20CB16C9"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2A35F2F7"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Pandya et al. (2017)</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{"citationID":"BkYQwH5l","properties":{"formattedCitation":"\\super 131\\nosupersub{}","plainCitation":"131","noteIndex":0},"citationItems":[{"id":682,"uris":["http://zotero.org/users/local/fKc2159l/items/T2D3F76W"],"itemData":{"id":682,"type":"article-journal","abstract":"Background. Despite some advances, cardiovascular disease (CVD) remains the leading cause of death and healthcare costs in the United States. We therefore developed a comprehensive CVD policy simulation model that identifies cost-effective approaches for reducing CVD burden. This paper aims to: 1) describe our model in detail; and 2) perform model validation analyses. Methods. The model simulates 1,000,000 adults (ages 35 to 80 years) using a variety of CVD-related epidemiological data, including previously calibrated Framingham-based risk scores for coronary heart disease and stroke. We validated our microsimulation model using recent National Health and Nutrition Examination Survey (NHANES) data, with baseline values collected in 1999-2000 and cause-specific mortality follow-up through 2011. Model-based (simulated) results were compared to observed all-cause and CVD-specific mortality data (from NHANES) for the same starting population using survival curves and, in a method not typically used for disease model validation, receiver operating characteristic (ROC) curves. Results. Observed 10-year all-cause mortality in NHANES v. the simulation model was 11.2% (95% CI, 10.3% to 12.2%) v. 10.9%; corresponding results for CVD mortality were 2.2% (1.8% to 2.7%) v. 2.6%. Areas under the ROC curves for model-predicted 10-year all-cause and CVD mortality risks were 0.83 (0.81 to 0.85) and 0.84 (0.81 to 0.88), respectively; corresponding results for 5-year risks were 0.80 (0.77 to 0.83) and 0.81 (0.75 to 0.87), respectively. Limitations. The model is limited by the uncertainties in the data used to estimate its input parameters. Additionally, our validation analyses did not include non-fatal CVD outcomes due to NHANES data limitations. Conclusions. The simulation model performed well in matching to observed nationally representative longitudinal mortality data. ROC curve analysis, which has been traditionally used for risk prediction models, can also be used to assess discrimination for disease simulation models.","container-title":"Medical Decision Making","DOI":"10.1177/0272989X17706081","ISSN":"1552681X","issue":"7","note":"publisher: SAGE Publications Inc.\nPMID: 28490271","page":"802-814","title":"Validation of a Cardiovascular Disease Policy Microsimulation Model Using Both Survival and Receiver Operating Characteristic Curves","volume":"37","author":[{"family":"Pandya","given":"Ankur"},{"family":"Sy","given":"Stephen"},{"family":"Cho","given":"Sylvia"},{"family":"Alam","given":"Sartaj"},{"family":"Weinstein","given":"Milton C."},{"family":"Gaziano","given":"Thomas A."}],"issued":{"date-parts":[["2017",10]]}}}],"schema":"https://github.com/citation-style-language/schema/raw/master/csl-citation.json"}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131</w:t>
            </w:r>
            <w:r w:rsidRPr="00254090">
              <w:rPr>
                <w:rFonts w:ascii="Trebuchet MS" w:hAnsi="Trebuchet MS" w:cstheme="minorHAnsi"/>
                <w:sz w:val="20"/>
                <w:szCs w:val="20"/>
              </w:rPr>
              <w:fldChar w:fldCharType="end"/>
            </w:r>
          </w:p>
        </w:tc>
        <w:tc>
          <w:tcPr>
            <w:tcW w:w="1032" w:type="dxa"/>
            <w:shd w:val="clear" w:color="auto" w:fill="FFFFFF" w:themeFill="background1"/>
          </w:tcPr>
          <w:p w14:paraId="72B6AE5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654A494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PREDICT</w:t>
            </w:r>
          </w:p>
        </w:tc>
        <w:tc>
          <w:tcPr>
            <w:tcW w:w="2163" w:type="dxa"/>
            <w:shd w:val="clear" w:color="auto" w:fill="FFFFFF" w:themeFill="background1"/>
          </w:tcPr>
          <w:p w14:paraId="6DEAA36D" w14:textId="77777777" w:rsidR="00A34CE6"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 xml:space="preserve">Description of </w:t>
            </w:r>
            <w:r w:rsidRPr="002E2149">
              <w:rPr>
                <w:rFonts w:ascii="Trebuchet MS" w:hAnsi="Trebuchet MS" w:cstheme="minorHAnsi"/>
                <w:sz w:val="20"/>
                <w:szCs w:val="20"/>
              </w:rPr>
              <w:t>the CVD model in detail; and perform</w:t>
            </w:r>
            <w:r>
              <w:rPr>
                <w:rFonts w:ascii="Trebuchet MS" w:hAnsi="Trebuchet MS" w:cstheme="minorHAnsi"/>
                <w:sz w:val="20"/>
                <w:szCs w:val="20"/>
              </w:rPr>
              <w:t>ed</w:t>
            </w:r>
            <w:r w:rsidRPr="002E2149">
              <w:rPr>
                <w:rFonts w:ascii="Trebuchet MS" w:hAnsi="Trebuchet MS" w:cstheme="minorHAnsi"/>
                <w:sz w:val="20"/>
                <w:szCs w:val="20"/>
              </w:rPr>
              <w:t xml:space="preserve"> model validation analyses</w:t>
            </w:r>
          </w:p>
          <w:p w14:paraId="5D8C7CFD" w14:textId="77777777" w:rsidR="00A34CE6" w:rsidRPr="002E2149"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71A3E16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370C2BE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Microsimulation </w:t>
            </w:r>
          </w:p>
        </w:tc>
        <w:tc>
          <w:tcPr>
            <w:tcW w:w="1586" w:type="dxa"/>
            <w:shd w:val="clear" w:color="auto" w:fill="FFFFFF" w:themeFill="background1"/>
          </w:tcPr>
          <w:p w14:paraId="4E483A3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P</w:t>
            </w:r>
            <w:r w:rsidRPr="00986A43">
              <w:rPr>
                <w:rFonts w:ascii="Trebuchet MS" w:hAnsi="Trebuchet MS" w:cstheme="minorHAnsi"/>
                <w:sz w:val="20"/>
                <w:szCs w:val="20"/>
              </w:rPr>
              <w:t>otentially lifetime</w:t>
            </w:r>
          </w:p>
        </w:tc>
        <w:tc>
          <w:tcPr>
            <w:tcW w:w="1910" w:type="dxa"/>
            <w:shd w:val="clear" w:color="auto" w:fill="FFFFFF" w:themeFill="background1"/>
          </w:tcPr>
          <w:p w14:paraId="43EDB58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Disease free, CHD, stroke, death</w:t>
            </w:r>
          </w:p>
        </w:tc>
        <w:tc>
          <w:tcPr>
            <w:tcW w:w="1910" w:type="dxa"/>
            <w:shd w:val="clear" w:color="auto" w:fill="FFFFFF" w:themeFill="background1"/>
          </w:tcPr>
          <w:p w14:paraId="538F49DC" w14:textId="06E454D2"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N/R</w:t>
            </w:r>
          </w:p>
        </w:tc>
      </w:tr>
      <w:tr w:rsidR="00EF055A" w:rsidRPr="00986A43" w14:paraId="31EC459B" w14:textId="3B116A78"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437F7673"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0BEFE203"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Choi et al. (2017)</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{"citationID":"TxDNgbL9","properties":{"formattedCitation":"\\super 132\\nosupersub{}","plainCitation":"132","noteIndex":0},"citationItems":[{"id":708,"uris":["http://zotero.org/users/local/fKc2159l/items/YQSRUKSZ"],"itemData":{"id":708,"type":"article-journal","abstract":"INTRODUCTION: A diet high in fruits and vegetables (FV) is associated with reduced risk of chronic disease. One strategy to incentivize FV consumption among low-income households is to make them more affordable through the Supplemental Nutrition Assistance Program (SNAP). This study aims to identify the cost effectiveness of subsidizing FV purchases among the one in seven Americans who participate in SNAP.\nMETHODS: A cost-effectiveness analysis was conducted from a societal perspective to estimate lifetime costs and health gains associated with subsidizing FV purchases. A stochastic microsimulation model of obesity, type 2 diabetes, myocardial infarction, and stroke in the 2015 U.S. population was used. Model parameters were based on nationally representative SNAP participation and dietary consumption data from the National Health and Nutrition Examination Survey (2003-2012), and data from a randomized trial of FV subsidies among SNAP users.\nRESULTS: Despite cycling of participants in and out of SNAP, expanding an FV subsidy nationwide through SNAP would be expected to reduce incidence of type 2 diabetes by 1.7% (95% CI=1.2, 2.2), myocardial infarction by 1.4% (95% CI=0.9, 1.9), stroke by 1.2% (95% CI=0.8, 1.6), and obesity by 0.2% (95% CI=0.1, 0.3), and be cost saving from a societal perspective. The saved costs would be largely attributable to long-term reductions in type 2 diabetes and cardiovascular diseases.\nCONCLUSIONS: The model suggests nationwide SNAP FV subsidies would reduce chronic disease morbidity, mortality, and costs over long time horizons that are unlikely to be observed in short-term community-based trials.","container-title":"American Journal of Preventive Medicine","DOI":"10.1016/j.amepre.2016.12.013","ISSN":"1873-2607","issue":"5","journalAbbreviation":"Am J Prev Med","language":"eng","note":"PMID: 28153648\nPMCID: PMC5401647","page":"e147-e155","source":"PubMed","title":"Cost Effectiveness of Subsidizing Fruit and Vegetable Purchases Through the Supplemental Nutrition Assistance Program","volume":"52","author":[{"family":"Choi","given":"Sung Eun"},{"family":"Seligman","given":"Hilary"},{"family":"Basu","given":"Sanjay"}],"issued":{"date-parts":[["2017",5]]}}}],"schema":"https://github.com/citation-style-language/schema/raw/master/csl-citation.json"}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132</w:t>
            </w:r>
            <w:r w:rsidRPr="00254090">
              <w:rPr>
                <w:rFonts w:ascii="Trebuchet MS" w:hAnsi="Trebuchet MS" w:cstheme="minorHAnsi"/>
                <w:sz w:val="20"/>
                <w:szCs w:val="20"/>
              </w:rPr>
              <w:fldChar w:fldCharType="end"/>
            </w:r>
          </w:p>
          <w:p w14:paraId="0CBE4477"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032" w:type="dxa"/>
            <w:shd w:val="clear" w:color="auto" w:fill="FFFFFF" w:themeFill="background1"/>
          </w:tcPr>
          <w:p w14:paraId="7A55459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345CCE09"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6759110D"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000000"/>
                <w:sz w:val="20"/>
                <w:szCs w:val="20"/>
              </w:rPr>
            </w:pPr>
            <w:r>
              <w:rPr>
                <w:rFonts w:ascii="Trebuchet MS" w:hAnsi="Trebuchet MS" w:cstheme="minorHAnsi"/>
                <w:color w:val="000000"/>
                <w:sz w:val="20"/>
                <w:szCs w:val="20"/>
              </w:rPr>
              <w:t>Cost-effectiveness analysis</w:t>
            </w:r>
            <w:r w:rsidRPr="00986A43">
              <w:rPr>
                <w:rFonts w:ascii="Trebuchet MS" w:hAnsi="Trebuchet MS" w:cstheme="minorHAnsi"/>
                <w:color w:val="000000"/>
                <w:sz w:val="20"/>
                <w:szCs w:val="20"/>
              </w:rPr>
              <w:t xml:space="preserve"> of subsidizing FV purchases </w:t>
            </w:r>
          </w:p>
          <w:p w14:paraId="5EEFFB22" w14:textId="77777777" w:rsidR="00A34CE6" w:rsidRPr="00986A43" w:rsidRDefault="00A34CE6" w:rsidP="00072EA0">
            <w:pPr>
              <w:pStyle w:val="ListParagraph"/>
              <w:ind w:left="186"/>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3782384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Societal </w:t>
            </w:r>
          </w:p>
        </w:tc>
        <w:tc>
          <w:tcPr>
            <w:tcW w:w="1657" w:type="dxa"/>
            <w:shd w:val="clear" w:color="auto" w:fill="FFFFFF" w:themeFill="background1"/>
          </w:tcPr>
          <w:p w14:paraId="19B57EA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Microsimulation</w:t>
            </w:r>
          </w:p>
        </w:tc>
        <w:tc>
          <w:tcPr>
            <w:tcW w:w="1586" w:type="dxa"/>
            <w:shd w:val="clear" w:color="auto" w:fill="FFFFFF" w:themeFill="background1"/>
          </w:tcPr>
          <w:p w14:paraId="34D9A803"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000000"/>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1D0F3C5B" w14:textId="293F56CA"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Demographic</w:t>
            </w:r>
            <w:r w:rsidRPr="00986A43">
              <w:rPr>
                <w:rFonts w:ascii="Trebuchet MS" w:hAnsi="Trebuchet MS" w:cstheme="minorHAnsi"/>
                <w:sz w:val="20"/>
                <w:szCs w:val="20"/>
              </w:rPr>
              <w:t xml:space="preserve"> status, daily food consumption, disease risk in BMI, diabetes, MI, stroke, lung cancer</w:t>
            </w:r>
          </w:p>
          <w:p w14:paraId="6C8B2A8D"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000000"/>
                <w:sz w:val="20"/>
                <w:szCs w:val="20"/>
              </w:rPr>
            </w:pPr>
          </w:p>
        </w:tc>
        <w:tc>
          <w:tcPr>
            <w:tcW w:w="1910" w:type="dxa"/>
            <w:shd w:val="clear" w:color="auto" w:fill="FFFFFF" w:themeFill="background1"/>
          </w:tcPr>
          <w:p w14:paraId="262E4680" w14:textId="261AF98F" w:rsidR="00A34CE6" w:rsidRPr="00986A43"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365F15C9" w14:textId="58536C39"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503711D1"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6BB355D7"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Mozaffarian</w:t>
            </w:r>
            <w:proofErr w:type="spellEnd"/>
            <w:r w:rsidRPr="00254090">
              <w:rPr>
                <w:rFonts w:ascii="Trebuchet MS" w:hAnsi="Trebuchet MS" w:cstheme="minorHAnsi"/>
                <w:sz w:val="20"/>
                <w:szCs w:val="20"/>
              </w:rPr>
              <w:t xml:space="preserve"> et al. (2018)</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{"citationID":"UXvdxGDC","properties":{"formattedCitation":"\\super 133\\nosupersub{}","plainCitation":"133","noteIndex":0},"citationItems":[{"id":669,"uris":["http://zotero.org/users/local/fKc2159l/items/Y7667Q8X"],"itemData":{"id":669,"type":"article-journal","abstract":"Background: The Supplemental Nutrition Assistance Program (SNAP) provides approximately US70 billion annually to support food purchases by low-income households, supporting approximately 1 in 7 Americans. In the 2018 Farm Bill, potential SNAP revisions to improve diets and health could include financial incentives, disincentives, or restrictions for certain foods. However, the overall and comparative impacts on health outcomes and costs are not established. We aimed to estimate the health impact, program and healthcare costs, and cost-effectiveness of food incentives, disincentives, or restrictions in SNAP. Methods and findings: We used a validated microsimulation model (CVD-PREDICT), populated with national data on adult SNAP participants from the National Health and Nutrition Examination Survey (NHANES) 2009–2014, policy effects from SNAP pilots and food pricing meta-analyses, diet–disease effects from meta-analyses, and policy, food, and healthcare costs from published literature to estimate the overall and comparative impacts of 3 dietary policy interventions: (1) a 30% incentive for fruits and vegetables (F&amp;V), (2) a 30% F&amp;V incentive with a restriction of sugar-sweetened beverages (SSBs), and (3) a broader incentive/disincentive program for multiple foods that also preserves choice (SNAP-plus), combining 30% incentives for F&amp;V, nuts, whole grains, fish, and plant-based oils and 30% disincentives for SSBs, junk food, and processed meats. Among approximately 14.5 million adults on SNAP at baseline with mean age 52 years, our simulation estimates that the F&amp;V incentive over 5 years would prevent 38,782 cardiovascular disease (CVD) events, gain 18,928 quality-adjusted life years (QALYs), and save 1.21 billion in healthcare costs. Adding SSB restriction increased gains to 93,933 CVD events prevented, 45,864 QALYs gained, and 4.33 billion saved. For SNAP-plus, corresponding gains were 116,875 CVD events prevented, 56,056 QALYs gained, and 5.28 billion saved. Over a lifetime, the F&amp;V incentive would prevent approximately 303,900 CVD events, gain 649,000 QALYs, and save 6.77 billion in healthcare costs. Adding SSB restriction increased gains to approximately 797,900 CVD events prevented, 2.11 million QALYs gained, and 39.16 billion in healthcare costs saved. For SNAP-plus, corresponding gains were approximately 940,000 CVD events prevented, 2.47 million QALYs gained, and 41.93 billion saved. From a societal perspective (including programmatic costs but excluding food subsidy costs as an intra-societal transfer), all 3 scenarios were cost-saving. From a government affordability perspective (i.e., incorporating food subsidy costs, including for children and young adults for whom no health gains were modeled), the F&amp;V incentive was of low cost-effectiveness at 5 years (incremental cost-effectiveness ratio: 548,053/QALY) but achieved cost-effectiveness (66,525/QALY) over a lifetime. Adding SSB restriction, the intervention was cost-effective at 10 years (68,857/QALY) and very cost-effective at 20 years (26,435/QALY) and over a lifetime (5,216/QALY). The combined incentive/disincentive program produced the largest health gains and reduced both healthcare and food costs, with net cost-savings of 10.16 billion at 5 years and 63.33 billion over a lifetime. Results were consistent in probabilistic sensitivity analyses: for example, from a societal perspective, 1,000 of 1,000 iterations (100%) were cost-saving for all 3 interventions. Due to the nature of simulation studies, the findings cannot prove the health and cost impacts of national SNAP interventions. Conclusions: Leveraging healthier eating through SNAP could generate substantial health benefits and be cost-effective or cost-saving. A combined food incentive/disincentive program appears most effective and may be most attractive to policy-makers.","container-title":"PLoS Medicine","DOI":"10.1371/journal.pmed.1002661","ISSN":"15491676","issue":"10","note":"ISBN: 1111111111\nPMID: 30278053","page":"1-25","title":"Cost-effectiveness of financial incentives and disincentives for improving food purchases and health through the US Supplemental Nutrition Assistance Program (SNAP): A microsimulation study","volume":"15","author":[{"family":"Mozaffarian","given":"Dariush"},{"family":"Liu","given":"Junxiu"},{"family":"Sy","given":"Stephen"},{"family":"Huang","given":"Yue"},{"family":"Rehm","given":"Colin"},{"family":"Lee","given":"Yujin"},{"family":"Wilde","given":"Parke"},{"family":"Abrahams-Gessel","given":"Shafika"},{"family":"Jardim","given":"Thiago de Souza Veiga"},{"family":"Gaziano","given":"Tom"},{"family":"Micha","given":"Renata"}],"issued":{"date-parts":[["2018"]]}}}],"schema":"https://github.com/citation-style-language/schema/raw/master/csl-citation.json"}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133</w:t>
            </w:r>
            <w:r w:rsidRPr="00254090">
              <w:rPr>
                <w:rFonts w:ascii="Trebuchet MS" w:hAnsi="Trebuchet MS" w:cstheme="minorHAnsi"/>
                <w:sz w:val="20"/>
                <w:szCs w:val="20"/>
              </w:rPr>
              <w:fldChar w:fldCharType="end"/>
            </w:r>
          </w:p>
        </w:tc>
        <w:tc>
          <w:tcPr>
            <w:tcW w:w="1032" w:type="dxa"/>
            <w:shd w:val="clear" w:color="auto" w:fill="FFFFFF" w:themeFill="background1"/>
          </w:tcPr>
          <w:p w14:paraId="59F10DE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0FAFD11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CVD-PREDICT</w:t>
            </w:r>
          </w:p>
        </w:tc>
        <w:tc>
          <w:tcPr>
            <w:tcW w:w="2163" w:type="dxa"/>
            <w:shd w:val="clear" w:color="auto" w:fill="FFFFFF" w:themeFill="background1"/>
          </w:tcPr>
          <w:p w14:paraId="66F5BF64" w14:textId="77777777" w:rsidR="00A34CE6" w:rsidRPr="002E2149"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Estimation of the</w:t>
            </w:r>
            <w:r w:rsidRPr="002E2149">
              <w:rPr>
                <w:rFonts w:ascii="Trebuchet MS" w:hAnsi="Trebuchet MS" w:cstheme="minorHAnsi"/>
                <w:sz w:val="20"/>
                <w:szCs w:val="20"/>
              </w:rPr>
              <w:t xml:space="preserve"> health impact and cost-effectiveness in SNAP program</w:t>
            </w:r>
          </w:p>
        </w:tc>
        <w:tc>
          <w:tcPr>
            <w:tcW w:w="1283" w:type="dxa"/>
            <w:shd w:val="clear" w:color="auto" w:fill="FFFFFF" w:themeFill="background1"/>
          </w:tcPr>
          <w:p w14:paraId="7CBC3D36"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Societal and government</w:t>
            </w:r>
          </w:p>
        </w:tc>
        <w:tc>
          <w:tcPr>
            <w:tcW w:w="1657" w:type="dxa"/>
            <w:shd w:val="clear" w:color="auto" w:fill="FFFFFF" w:themeFill="background1"/>
          </w:tcPr>
          <w:p w14:paraId="5C85314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w:t>
            </w:r>
            <w:r>
              <w:rPr>
                <w:rFonts w:ascii="Trebuchet MS" w:hAnsi="Trebuchet MS" w:cstheme="minorHAnsi"/>
                <w:sz w:val="20"/>
                <w:szCs w:val="20"/>
              </w:rPr>
              <w:t>icrosimulation</w:t>
            </w:r>
          </w:p>
        </w:tc>
        <w:tc>
          <w:tcPr>
            <w:tcW w:w="1586" w:type="dxa"/>
            <w:shd w:val="clear" w:color="auto" w:fill="FFFFFF" w:themeFill="background1"/>
          </w:tcPr>
          <w:p w14:paraId="270DDC6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5-20 years and lifetime, annual</w:t>
            </w:r>
          </w:p>
        </w:tc>
        <w:tc>
          <w:tcPr>
            <w:tcW w:w="1910" w:type="dxa"/>
            <w:shd w:val="clear" w:color="auto" w:fill="FFFFFF" w:themeFill="background1"/>
          </w:tcPr>
          <w:p w14:paraId="59CCB5BA"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No CVD, acute CHD, chronic CHD, repeat MI or CVA, acute CVA, chronic CVA, CVD or non-CVD death</w:t>
            </w:r>
          </w:p>
          <w:p w14:paraId="1D6492C3"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136BAABD" w14:textId="73E4AA3E"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4BB8FDE3" w14:textId="2481DAF2"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78D39CC7"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6932798C"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Riveros</w:t>
            </w:r>
            <w:proofErr w:type="spellEnd"/>
            <w:r w:rsidRPr="00254090">
              <w:rPr>
                <w:rFonts w:ascii="Trebuchet MS" w:hAnsi="Trebuchet MS" w:cstheme="minorHAnsi"/>
                <w:sz w:val="20"/>
                <w:szCs w:val="20"/>
              </w:rPr>
              <w:t xml:space="preserve"> et al. (2018)</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{"citationID":"xioZv0E8","properties":{"formattedCitation":"\\super 134\\nosupersub{}","plainCitation":"134","noteIndex":0},"citationItems":[{"id":"1na826qi/38HGTYqb","uris":["http://zotero.org/users/local/fKc2159l/items/YQ59WJ89"],"itemData":{"id":200,"type":"article-journal","abstract":"Introduction\nDespite the significant impact of cardiovascular disease (CVD), there is not yet an analytical decision tool for assessing efficiency of interventions to prevent primary CVD events in Brazil. Therefore, we sought to adapt a Scottish CVD Policy Model to be used in the proposed population.\nMethods\nCalibration consisted of identifying multiplicative factors for linear predictors of existing survival analysis models to produce predictions that closely match observed data (Life-table and Brazilian cohort study). Target data were life expectancy (LE) and cumulative incidence of coronary heart disease (CHD), cerebrovascular disease (CBVD), fatal CVD and fatal non-CVD. Root-Mean-Square-Error (RMSE) was used to estimate differences between predictions and observations. Acceptance criteria were defined as a fit of less than one year for LE and 1% for cumulative incidence. Male and female models were built separately.\nResults\nThe original model underestimated LE (RMSE=2.85 for men and 1.91 for women), CHD and CBVD for women (RMSE=0.044 and 0.041, respectively). The calibration process identified multiplicative factors to reach acceptance criteria for the four target data mentioned above (RMSE=0.61, 0.21, 0.016 and 0.017, respectively). Over prediction was identified only for CHD events in men (RMSE=0.031) being further calibrated (RMSE=0.008). All other target data met the acceptance criteria. Overall, the calibrated model predicts properly to individuals aging 35-80 years old, diabetics or not, smokers or not, with or without family history of CVD, and presenting at least one of the risk factors uncontrolled: Systolic Blood Pressure, Total Cholesterol or HDL-Cholesterol.\nDiscussion\nThis is the first decision analytic model capable of assessing efficiency of interventions that prevent primary CVD events in Brazil. In future research, independent external validation should be carried out to corroborate the reliability of the model outputs.","container-title":"Value in Health Regional Issues","DOI":"10.1016/j.vhri.2018.01.002","ISSN":"2212-1099","journalAbbreviation":"Value in Health Regional Issues","page":"210-216","source":"ScienceDirect","title":"Brazilian Analytical Decision Model for Cardiovascular Disease: An Adaptation of the Scottish Cardiovascular Disease Policy Model","title-short":"Brazilian Analytical Decision Model for Cardiovascular Disease","volume":"17","author":[{"family":"Riveros","given":"Bruno Salgado"},{"family":"Torelli Reis","given":"Walleri Christini"},{"family":"Lucchetta","given":"Rosa Camila"},{"family":"Moreira","given":"Leila Beltrami"},{"family":"Lewsey","given":"James"},{"family":"Correr","given":"Cassyano J."},{"family":"Wu","given":"Olivia"}],"issued":{"date-parts":[["2018",12,1]]}}}],"schema":"https://github.com/citation-style-language/schema/raw/master/csl-citation.json"}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134</w:t>
            </w:r>
            <w:r w:rsidRPr="00254090">
              <w:rPr>
                <w:rFonts w:ascii="Trebuchet MS" w:hAnsi="Trebuchet MS" w:cstheme="minorHAnsi"/>
                <w:sz w:val="20"/>
                <w:szCs w:val="20"/>
              </w:rPr>
              <w:fldChar w:fldCharType="end"/>
            </w:r>
          </w:p>
        </w:tc>
        <w:tc>
          <w:tcPr>
            <w:tcW w:w="1032" w:type="dxa"/>
            <w:shd w:val="clear" w:color="auto" w:fill="FFFFFF" w:themeFill="background1"/>
          </w:tcPr>
          <w:p w14:paraId="506DE86B"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Brazil </w:t>
            </w:r>
          </w:p>
        </w:tc>
        <w:tc>
          <w:tcPr>
            <w:tcW w:w="1279" w:type="dxa"/>
            <w:shd w:val="clear" w:color="auto" w:fill="FFFFFF" w:themeFill="background1"/>
          </w:tcPr>
          <w:p w14:paraId="237A34A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Adaptation of Scottish CVD Policy Model</w:t>
            </w:r>
          </w:p>
        </w:tc>
        <w:tc>
          <w:tcPr>
            <w:tcW w:w="2163" w:type="dxa"/>
            <w:shd w:val="clear" w:color="auto" w:fill="FFFFFF" w:themeFill="background1"/>
          </w:tcPr>
          <w:p w14:paraId="2243A897" w14:textId="77777777" w:rsidR="00A34CE6" w:rsidRPr="002E2149"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Ca</w:t>
            </w:r>
            <w:r w:rsidRPr="002E2149">
              <w:rPr>
                <w:rFonts w:ascii="Trebuchet MS" w:hAnsi="Trebuchet MS" w:cstheme="minorHAnsi"/>
                <w:sz w:val="20"/>
                <w:szCs w:val="20"/>
              </w:rPr>
              <w:t xml:space="preserve">libration of Brazilian CVD model </w:t>
            </w:r>
          </w:p>
        </w:tc>
        <w:tc>
          <w:tcPr>
            <w:tcW w:w="1283" w:type="dxa"/>
            <w:shd w:val="clear" w:color="auto" w:fill="FFFFFF" w:themeFill="background1"/>
          </w:tcPr>
          <w:p w14:paraId="18A7773C"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6B95EC1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w:t>
            </w:r>
            <w:r w:rsidRPr="00986A43">
              <w:rPr>
                <w:rFonts w:ascii="Trebuchet MS" w:hAnsi="Trebuchet MS" w:cstheme="minorHAnsi"/>
                <w:sz w:val="20"/>
                <w:szCs w:val="20"/>
              </w:rPr>
              <w:t xml:space="preserve"> </w:t>
            </w:r>
          </w:p>
        </w:tc>
        <w:tc>
          <w:tcPr>
            <w:tcW w:w="1586" w:type="dxa"/>
            <w:shd w:val="clear" w:color="auto" w:fill="FFFFFF" w:themeFill="background1"/>
          </w:tcPr>
          <w:p w14:paraId="47A7EA0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N/R</w:t>
            </w:r>
          </w:p>
        </w:tc>
        <w:tc>
          <w:tcPr>
            <w:tcW w:w="1910" w:type="dxa"/>
            <w:shd w:val="clear" w:color="auto" w:fill="FFFFFF" w:themeFill="background1"/>
          </w:tcPr>
          <w:p w14:paraId="0FCAE8A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event free, non-fatal CHD, non-fatal CBVD, fatal CVD, fatal non-CVD, fatal all cause</w:t>
            </w:r>
          </w:p>
          <w:p w14:paraId="764B8EF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24B937EE" w14:textId="01A91D2E" w:rsidR="00A34CE6" w:rsidRPr="00986A43"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r>
      <w:tr w:rsidR="00EF055A" w:rsidRPr="00986A43" w14:paraId="5D8F85EA" w14:textId="70A359E8"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12F0CB0E" w14:textId="77777777" w:rsidR="00A34CE6" w:rsidRPr="00947A0E"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3AAA868B" w14:textId="77777777" w:rsidR="00A34CE6" w:rsidRPr="00947A0E"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47A0E">
              <w:rPr>
                <w:rFonts w:ascii="Trebuchet MS" w:hAnsi="Trebuchet MS" w:cstheme="minorHAnsi"/>
                <w:sz w:val="20"/>
                <w:szCs w:val="20"/>
              </w:rPr>
              <w:t>Jones (2018)</w:t>
            </w:r>
            <w:r w:rsidRPr="00947A0E">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{"citationID":"4LP532Ij","properties":{"formattedCitation":"\\super 135\\nosupersub{}","plainCitation":"135","noteIndex":0},"citationItems":[{"id":664,"uris":["http://zotero.org/users/local/fKc2159l/items/KEYRGXCR"],"itemData":{"id":664,"type":"article-journal","abstract":"BACKGROUND Consistent with global trends, high body mass index (BMI) and high blood glucose have risen at rapid rates among Canadians. The consumption of sugar-sweetened beverages (SSBs) is a well-established and important dietary risk factor for these conditions. A growing body of research suggests that SSB taxes can achieve meaningful health impacts by shifting dietary preferences. However, there are several key literature gaps, including no estimations of the potential benefit of taxing ‘sugary drinks’, a beverage category that includes both SSBs and 100% juice, which is high in sugar. In addition, no published studies have simulated a tax on SSBs or sugary drinks for the Canadian population.","page":"198","title":"Predicting the potential health and economic impact of a sugary drink tax in Canada: a modelling study","author":[{"family":"Jones","given":"Amanda Clarisse"}],"issued":{"date-parts":[["2018"]]}}}],"schema":"https://github.com/citation-style-language/schema/raw/master/csl-citation.json"} </w:instrText>
            </w:r>
            <w:r w:rsidRPr="00947A0E">
              <w:rPr>
                <w:rFonts w:ascii="Trebuchet MS" w:hAnsi="Trebuchet MS" w:cstheme="minorHAnsi"/>
                <w:sz w:val="20"/>
                <w:szCs w:val="20"/>
              </w:rPr>
              <w:fldChar w:fldCharType="separate"/>
            </w:r>
            <w:r w:rsidRPr="008B235A">
              <w:rPr>
                <w:rFonts w:ascii="Trebuchet MS" w:hAnsi="Trebuchet MS"/>
                <w:color w:val="000000"/>
                <w:sz w:val="20"/>
                <w:vertAlign w:val="superscript"/>
              </w:rPr>
              <w:t>135</w:t>
            </w:r>
            <w:r w:rsidRPr="00947A0E">
              <w:rPr>
                <w:rFonts w:ascii="Trebuchet MS" w:hAnsi="Trebuchet MS" w:cstheme="minorHAnsi"/>
                <w:sz w:val="20"/>
                <w:szCs w:val="20"/>
              </w:rPr>
              <w:fldChar w:fldCharType="end"/>
            </w:r>
          </w:p>
        </w:tc>
        <w:tc>
          <w:tcPr>
            <w:tcW w:w="1032" w:type="dxa"/>
            <w:shd w:val="clear" w:color="auto" w:fill="FFFFFF" w:themeFill="background1"/>
          </w:tcPr>
          <w:p w14:paraId="3AF84DA6"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Canada</w:t>
            </w:r>
          </w:p>
        </w:tc>
        <w:tc>
          <w:tcPr>
            <w:tcW w:w="1279" w:type="dxa"/>
            <w:shd w:val="clear" w:color="auto" w:fill="FFFFFF" w:themeFill="background1"/>
          </w:tcPr>
          <w:p w14:paraId="62C7BA43"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N/A</w:t>
            </w:r>
          </w:p>
        </w:tc>
        <w:tc>
          <w:tcPr>
            <w:tcW w:w="2163" w:type="dxa"/>
            <w:shd w:val="clear" w:color="auto" w:fill="FFFFFF" w:themeFill="background1"/>
          </w:tcPr>
          <w:p w14:paraId="234177D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 xml:space="preserve">Estimation of the </w:t>
            </w:r>
            <w:r w:rsidRPr="00986A43">
              <w:rPr>
                <w:rFonts w:ascii="Trebuchet MS" w:hAnsi="Trebuchet MS" w:cstheme="minorHAnsi"/>
                <w:sz w:val="20"/>
                <w:szCs w:val="20"/>
              </w:rPr>
              <w:t xml:space="preserve">impact of interventions to reduce high sugar </w:t>
            </w:r>
            <w:r w:rsidRPr="00986A43">
              <w:rPr>
                <w:rFonts w:ascii="Trebuchet MS" w:hAnsi="Trebuchet MS" w:cstheme="minorHAnsi"/>
                <w:sz w:val="20"/>
                <w:szCs w:val="20"/>
              </w:rPr>
              <w:lastRenderedPageBreak/>
              <w:t>beverages consumptions</w:t>
            </w:r>
          </w:p>
          <w:p w14:paraId="219ED18A" w14:textId="77777777" w:rsidR="00A34CE6" w:rsidRPr="00986A43" w:rsidRDefault="00A34CE6" w:rsidP="00072EA0">
            <w:pPr>
              <w:ind w:left="183"/>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64D96695"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lastRenderedPageBreak/>
              <w:t xml:space="preserve">Health sector </w:t>
            </w:r>
          </w:p>
        </w:tc>
        <w:tc>
          <w:tcPr>
            <w:tcW w:w="1657" w:type="dxa"/>
            <w:shd w:val="clear" w:color="auto" w:fill="FFFFFF" w:themeFill="background1"/>
          </w:tcPr>
          <w:p w14:paraId="03415EF7"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r>
              <w:rPr>
                <w:rFonts w:ascii="Trebuchet MS" w:hAnsi="Trebuchet MS" w:cstheme="minorHAnsi"/>
                <w:sz w:val="20"/>
                <w:szCs w:val="20"/>
              </w:rPr>
              <w:t xml:space="preserve"> (</w:t>
            </w:r>
            <w:r w:rsidRPr="00986A43">
              <w:rPr>
                <w:rFonts w:ascii="Trebuchet MS" w:hAnsi="Trebuchet MS" w:cstheme="minorHAnsi"/>
                <w:sz w:val="20"/>
                <w:szCs w:val="20"/>
              </w:rPr>
              <w:t>multi state lifetable</w:t>
            </w:r>
            <w:r>
              <w:rPr>
                <w:rFonts w:ascii="Trebuchet MS" w:hAnsi="Trebuchet MS" w:cstheme="minorHAnsi"/>
                <w:sz w:val="20"/>
                <w:szCs w:val="20"/>
              </w:rPr>
              <w:t>)</w:t>
            </w:r>
          </w:p>
        </w:tc>
        <w:tc>
          <w:tcPr>
            <w:tcW w:w="1586" w:type="dxa"/>
            <w:shd w:val="clear" w:color="auto" w:fill="FFFFFF" w:themeFill="background1"/>
          </w:tcPr>
          <w:p w14:paraId="4DCDE58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25 years, annual</w:t>
            </w:r>
          </w:p>
        </w:tc>
        <w:tc>
          <w:tcPr>
            <w:tcW w:w="1910" w:type="dxa"/>
            <w:shd w:val="clear" w:color="auto" w:fill="FFFFFF" w:themeFill="background1"/>
          </w:tcPr>
          <w:p w14:paraId="6EEB8D1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Healthy, diseased, death (disease), death (other)</w:t>
            </w:r>
          </w:p>
        </w:tc>
        <w:tc>
          <w:tcPr>
            <w:tcW w:w="1910" w:type="dxa"/>
            <w:shd w:val="clear" w:color="auto" w:fill="FFFFFF" w:themeFill="background1"/>
          </w:tcPr>
          <w:p w14:paraId="45BD1F2E" w14:textId="4853B8BC"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0F5C9511" w14:textId="0361F1F8"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66113972" w14:textId="77777777" w:rsidR="00A34CE6" w:rsidRPr="00947A0E"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3DD5C9A5" w14:textId="77777777" w:rsidR="00A34CE6" w:rsidRPr="00947A0E"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roofErr w:type="spellStart"/>
            <w:r w:rsidRPr="00947A0E">
              <w:rPr>
                <w:rFonts w:ascii="Trebuchet MS" w:hAnsi="Trebuchet MS"/>
                <w:sz w:val="20"/>
                <w:szCs w:val="20"/>
              </w:rPr>
              <w:t>Schönbach</w:t>
            </w:r>
            <w:proofErr w:type="spellEnd"/>
            <w:r w:rsidRPr="00947A0E">
              <w:rPr>
                <w:rFonts w:ascii="Trebuchet MS" w:hAnsi="Trebuchet MS" w:cstheme="minorHAnsi"/>
                <w:sz w:val="20"/>
                <w:szCs w:val="20"/>
              </w:rPr>
              <w:t xml:space="preserve"> et al. (2018)</w:t>
            </w:r>
            <w:r w:rsidRPr="00947A0E">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{"citationID":"MoNDeIrA","properties":{"formattedCitation":"\\super 136\\nosupersub{}","plainCitation":"136","noteIndex":0},"citationItems":[{"id":561,"uris":["http://zotero.org/users/local/fKc2159l/items/AJIPWKEB"],"itemData":{"id":561,"type":"article-journal","abstract":"The International Agency for Research on Cancer considers processed meat to be carcinogenic. Further, processed meat is associated with diabetes, ischemic heart disease (IHD) and all-cause mortality. We aimed to assess health gains of four processed meat taxation scenarios in comparison to the reference and a minimum-risk-exposure-scenario. To estimate the shift in processed meat intake following respective taxes, we calculated price elasticities for processed meat. DYNAMO-HIA was used to dynamically project policy-attributable differences in the prevalence of diseases and deaths. In projection year 10, an extra 9300 males and 4500 females would be alive under the lowest tax scenario (4% tax), compared to the reference scenario. Prevalent IHD, diabetes and colorectal cancer cases in males would be 8400, 9500 and 500 lower, respectively, and there would be 4600, 7800 and 300 less cases in females. Of the respective death and disease reduction that would be achieved under the minimum-risk-exposure-scenario, the lowest tax reaches 2.84% (colorectal cancer in males) to 6.02% (diabetes in females). Under the highest tax scenario (33.3% tax), an extra 76,700 males and 37,100 females would be alive, compared to the reference scenario. Prevalent IHD, diabetes and colorectal cancer cases would be 70,800, 77,900 and 4900 lower in males and 29,900, 48,900 and 2300 lower in females, which represents 27.84% (colorectal cancer in males) to 37.76% (diabetes in females) of the maximal preventable death and disease burden. Further research needs to examine to what extent these health benefits are outweighed by a simultaneous tax-induced decrease in fish intake.","container-title":"Preventive Medicine","DOI":"10.1016/j.ypmed.2018.11.011","ISSN":"0091-7435","journalAbbreviation":"Preventive Medicine","page":"325-331","source":"ScienceDirect","title":"What are the potential preventive population-health effects of a tax on processed meat? A quantitative health impact assessment for Germany","title-short":"What are the potential preventive population-health effects of a tax on processed meat?","volume":"118","author":[{"family":"Schönbach","given":"Johanna-Katharina"},{"family":"Thiele","given":"Silke"},{"family":"Lhachimi","given":"Stefan K."}],"issued":{"date-parts":[["2019",1,1]]}}}],"schema":"https://github.com/citation-style-language/schema/raw/master/csl-citation.json"} </w:instrText>
            </w:r>
            <w:r w:rsidRPr="00947A0E">
              <w:rPr>
                <w:rFonts w:ascii="Trebuchet MS" w:hAnsi="Trebuchet MS" w:cstheme="minorHAnsi"/>
                <w:sz w:val="20"/>
                <w:szCs w:val="20"/>
              </w:rPr>
              <w:fldChar w:fldCharType="separate"/>
            </w:r>
            <w:r w:rsidRPr="008B235A">
              <w:rPr>
                <w:rFonts w:ascii="Trebuchet MS" w:hAnsi="Trebuchet MS"/>
                <w:color w:val="000000"/>
                <w:sz w:val="20"/>
                <w:vertAlign w:val="superscript"/>
              </w:rPr>
              <w:t>136</w:t>
            </w:r>
            <w:r w:rsidRPr="00947A0E">
              <w:rPr>
                <w:rFonts w:ascii="Trebuchet MS" w:hAnsi="Trebuchet MS" w:cstheme="minorHAnsi"/>
                <w:sz w:val="20"/>
                <w:szCs w:val="20"/>
              </w:rPr>
              <w:fldChar w:fldCharType="end"/>
            </w:r>
          </w:p>
          <w:p w14:paraId="4DA582C0" w14:textId="77777777" w:rsidR="00A34CE6" w:rsidRPr="00947A0E"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032" w:type="dxa"/>
            <w:shd w:val="clear" w:color="auto" w:fill="FFFFFF" w:themeFill="background1"/>
          </w:tcPr>
          <w:p w14:paraId="6195E859"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Germany</w:t>
            </w:r>
          </w:p>
        </w:tc>
        <w:tc>
          <w:tcPr>
            <w:tcW w:w="1279" w:type="dxa"/>
            <w:shd w:val="clear" w:color="auto" w:fill="FFFFFF" w:themeFill="background1"/>
          </w:tcPr>
          <w:p w14:paraId="4EFF8E0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DYNAMO-HIA</w:t>
            </w:r>
          </w:p>
        </w:tc>
        <w:tc>
          <w:tcPr>
            <w:tcW w:w="2163" w:type="dxa"/>
            <w:shd w:val="clear" w:color="auto" w:fill="FFFFFF" w:themeFill="background1"/>
          </w:tcPr>
          <w:p w14:paraId="3CF95BE5"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Estimation of health impact of tax on processed meat</w:t>
            </w:r>
          </w:p>
        </w:tc>
        <w:tc>
          <w:tcPr>
            <w:tcW w:w="1283" w:type="dxa"/>
            <w:shd w:val="clear" w:color="auto" w:fill="FFFFFF" w:themeFill="background1"/>
          </w:tcPr>
          <w:p w14:paraId="45472B7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N/A</w:t>
            </w:r>
          </w:p>
        </w:tc>
        <w:tc>
          <w:tcPr>
            <w:tcW w:w="1657" w:type="dxa"/>
            <w:shd w:val="clear" w:color="auto" w:fill="FFFFFF" w:themeFill="background1"/>
          </w:tcPr>
          <w:p w14:paraId="565C6FAB"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 (extend to microsimulation)</w:t>
            </w:r>
          </w:p>
          <w:p w14:paraId="3334C65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586" w:type="dxa"/>
            <w:shd w:val="clear" w:color="auto" w:fill="FFFFFF" w:themeFill="background1"/>
          </w:tcPr>
          <w:p w14:paraId="56F0B1A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10 years, annual</w:t>
            </w:r>
          </w:p>
        </w:tc>
        <w:tc>
          <w:tcPr>
            <w:tcW w:w="1910" w:type="dxa"/>
            <w:shd w:val="clear" w:color="auto" w:fill="FFFFFF" w:themeFill="background1"/>
          </w:tcPr>
          <w:p w14:paraId="6ADBDA8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Prevalence in CHD, diabetes, cancer</w:t>
            </w:r>
          </w:p>
        </w:tc>
        <w:tc>
          <w:tcPr>
            <w:tcW w:w="1910" w:type="dxa"/>
            <w:shd w:val="clear" w:color="auto" w:fill="FFFFFF" w:themeFill="background1"/>
          </w:tcPr>
          <w:p w14:paraId="5F8C6ACB" w14:textId="6370897F" w:rsidR="00A34CE6"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028F89B4" w14:textId="28E9D453"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6DCF5D0D"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4731BE8C"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Huang et al. (2019)</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{"citationID":"2iMrPAT5","properties":{"formattedCitation":"\\super 137\\nosupersub{}","plainCitation":"137","noteIndex":0},"citationItems":[{"id":734,"uris":["http://zotero.org/users/local/fKc2159l/items/VFNFFAFH"],"itemData":{"id":734,"type":"article-journal","abstract":"Background.\nExcess added sugars, particularly from sugar-sweetened beverages, are a major risk factor for cardiometabolic diseases including cardiovascular disease (CVD) and type 2 diabetes. In 2016, FDA mandated the labeling of added sugar content on all packaged foods and beverages. Yet, potential health impacts and cost-effectiveness of this policy remain unclear.\n\nMethods.\nA validated microsimulation model (IMPACT) was used to estimate CVD and type 2 diabetes cases averted, quality-adjusted life-years (QALYs), policy costs, healthcare, informal care and lost productivity {health-related) savings and cost-effectiveness of two policy scenarios: (1) implementation of the FDA added sugar labeling policy (sugar label), and (2) further accounting for corresponding industry reformulation (sugar label+reformulation). The model utilized nationally representative demographic and disease data from CDC Wonder Database, dietary intake from NHANES, policy effects and diet-disease effects from meta-analyses, policy and health-related costs from established sources. Probabilistic sensitivity analysis accounted for model parameter uncertainties and population heterogeneity.\n\nResults.\nBetween 2018 and 2037, the sugar label would prevent 354,400 CVD (95% UIs: 167,000-673,500) and 599,300 (302,400–957,400) diabetes cases, gain 727,000 (401,300-1,138,000) QALYs, and save $31B (15.7-54.5) in net healthcare costs or $61.9B (33.1-103.3) societal costs (incorporating reduced lost productivity and informal care costs). For the sugar label+reformulation scenario, corresponding gains were 708,800 (369,200-1,252,000) CVD cases, 1.2M (0.7-1.7) diabetes cases, 1.3M (0.8-1.9) QALYs, and $57.6B (31.9-92.4) and $113.2B (67.3-175.2), respectively. Both scenarios were estimated with &gt;80% probability to be cost-saving by 2023.\n\nConclusions:\nImplementing the FDA added sugar labeling policy could generate substantial health gains and cost-savings for the U.S. population.","container-title":"Circulation","DOI":"10.1161/CIRCULATIONAHA.118.036751","ISSN":"0009-7322","issue":"23","journalAbbreviation":"Circulation","note":"PMID: 30982338\nPMCID: PMC6546520","page":"2613-2624","source":"PubMed Central","title":"Cost-Effectiveness of the U.S. FDA Added Sugar Labeling Policy for Improving Diet and Health","volume":"139","author":[{"family":"Huang","given":"Yue"},{"family":"Kypridemos","given":"Chris"},{"family":"Liu","given":"Junxiu"},{"family":"Lee","given":"Yujin"},{"family":"Pearson-Stuttard","given":"Jonathan"},{"family":"Collins","given":"Brendan"},{"family":"Bandosz","given":"Piotr"},{"family":"Capewell","given":"Simon"},{"family":"Whitsel","given":"Laurie"},{"family":"Wilde","given":"Parke"},{"family":"Mozaffarian","given":"Dariush"},{"family":"O’Flaherty","given":"Martin"},{"family":"Micha","given":"Renata"}],"issued":{"date-parts":[["2019",6,4]]}}}],"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137</w:t>
            </w:r>
            <w:r w:rsidRPr="00254090">
              <w:rPr>
                <w:rFonts w:ascii="Trebuchet MS" w:hAnsi="Trebuchet MS" w:cstheme="minorHAnsi"/>
                <w:sz w:val="20"/>
                <w:szCs w:val="20"/>
              </w:rPr>
              <w:fldChar w:fldCharType="end"/>
            </w:r>
          </w:p>
        </w:tc>
        <w:tc>
          <w:tcPr>
            <w:tcW w:w="1032" w:type="dxa"/>
            <w:shd w:val="clear" w:color="auto" w:fill="FFFFFF" w:themeFill="background1"/>
          </w:tcPr>
          <w:p w14:paraId="5A67E03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p w14:paraId="5E128D2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79" w:type="dxa"/>
            <w:shd w:val="clear" w:color="auto" w:fill="FFFFFF" w:themeFill="background1"/>
          </w:tcPr>
          <w:p w14:paraId="08BD065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IMPACT model</w:t>
            </w:r>
          </w:p>
        </w:tc>
        <w:tc>
          <w:tcPr>
            <w:tcW w:w="2163" w:type="dxa"/>
            <w:shd w:val="clear" w:color="auto" w:fill="FFFFFF" w:themeFill="background1"/>
          </w:tcPr>
          <w:p w14:paraId="56A8881A"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Estimation of the</w:t>
            </w:r>
            <w:r w:rsidRPr="002E2149">
              <w:rPr>
                <w:rFonts w:ascii="Trebuchet MS" w:hAnsi="Trebuchet MS" w:cstheme="minorHAnsi"/>
                <w:sz w:val="20"/>
                <w:szCs w:val="20"/>
              </w:rPr>
              <w:t xml:space="preserve"> health impact and cost-effectiveness </w:t>
            </w:r>
            <w:r w:rsidRPr="00986A43">
              <w:rPr>
                <w:rFonts w:ascii="Trebuchet MS" w:hAnsi="Trebuchet MS" w:cstheme="minorHAnsi"/>
                <w:sz w:val="20"/>
                <w:szCs w:val="20"/>
              </w:rPr>
              <w:t>added sugar labelling on all packaged food and beverages</w:t>
            </w:r>
          </w:p>
          <w:p w14:paraId="1A7A2125" w14:textId="77777777" w:rsidR="00A34CE6" w:rsidRPr="002E2149"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5A5637C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 and societal</w:t>
            </w:r>
          </w:p>
        </w:tc>
        <w:tc>
          <w:tcPr>
            <w:tcW w:w="1657" w:type="dxa"/>
            <w:shd w:val="clear" w:color="auto" w:fill="FFFFFF" w:themeFill="background1"/>
          </w:tcPr>
          <w:p w14:paraId="38A75F2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Cell-based model</w:t>
            </w:r>
          </w:p>
        </w:tc>
        <w:tc>
          <w:tcPr>
            <w:tcW w:w="1586" w:type="dxa"/>
            <w:shd w:val="clear" w:color="auto" w:fill="FFFFFF" w:themeFill="background1"/>
          </w:tcPr>
          <w:p w14:paraId="29F7C40A"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20 years, annual</w:t>
            </w:r>
          </w:p>
        </w:tc>
        <w:tc>
          <w:tcPr>
            <w:tcW w:w="1910" w:type="dxa"/>
            <w:shd w:val="clear" w:color="auto" w:fill="FFFFFF" w:themeFill="background1"/>
          </w:tcPr>
          <w:p w14:paraId="21288143"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CHD incidence, stroke incidence, T2DM incidence</w:t>
            </w:r>
          </w:p>
          <w:p w14:paraId="29F3A1B6"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2D83412E" w14:textId="3117CE87"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303530ED" w14:textId="1F685110"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57A275E9"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0E925C58"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Salgado et al. (2019)</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{"citationID":"xKSkpPIB","properties":{"formattedCitation":"\\super 138\\nosupersub{}","plainCitation":"138","noteIndex":0},"citationItems":[{"id":683,"uris":["http://zotero.org/users/local/fKc2159l/items/E85DTIWA"],"itemData":{"id":683,"type":"article-journal","abstract":"Cardiovascular disease (CVD) is the leading cause of death in Argentina. Computer simulation models allow to extrapolate evidence to broader populations than the originally studied, over longer timeframes, and to compare different subpopulations. The Cardiovascular Disease Policy Model (CVDPM) is a computer simulation state transition model used to represent and project future CVD mortality and morbidity in the population 35 years-old and older. The objective of this study was to update Argentina's version of the CVDPM. For this purpose, information from the 2010 National Census, the 2013 National Risk Factor Survey, CESCAS I study, and PrEViSTA study were used to update the dynamics of population size, demographics, and CVD risk factor distributions over time. Model projections were later calibrated by comparing them to actual data on CVD events and mortality in the year 2010 (baseline year) in Argentina. Country statistics for people 35 years-old and older reported for 2010 a total of 41 219 myocardial infarctions (MIs), 58 658 strokes, and 281 710 total deaths. The CVDPM, in turn, predicted 41 265 MIs (difference: 0.11%), 58 584 strokes (difference: 0.13%), and 280 707 total deaths (difference: 0.36%) in the same population. In all cases, the final version of the model predicted the actual number of events with an accuracy superior to 99.5%, and could be used to forecast the changes in CVD incidence and mortality after the implementation of public policies. Resumen Actualización del modelo de políticas en enfermedad cardiovascular en Argentina. La en-fermedad cardiovascular (ECV) es la principal causa de muerte en Argentina. Los modelos de simula-ción por computadora permiten extrapolar evidencia a poblaciones más amplias que las originalmente estudiadas, a lo largo de períodos prolongados, y comparar diferentes subpoblaciones. El Cardiovascular Disease Policy Model (CVDPM, por sus siglas en inglés) es un modelo de simulación utilizado para representar y proyectar la mortalidad y morbilidad por ECV en la población de 35 o más años. El objetivo de este trabajo fue actualizar la versión argentina del CVDPM. Para esto, se utilizó información del Censo Nacional 2010, la Encuesta Nacional de Factores de Riesgo 2013, el estudio CESCAS I, y el estudio PrEViSTA, para actualizar la dinámica del tama-ño de la población, sus características demográficas, y la distribución de factores de riesgo cardiovasculares a lo largo del tiempo. Las proyecciones del modelo se calibraron comparándolas con información sobre eventos de ECV y mortalidad en el año 2010 (año de referencia) en Argentina. Las estadísticas argentinas informaron que en 2010 la población de 35 o más años sufrió un total de 41 219 infartos de miocardio (IM), 58 658 acci-dentes cerebrovasculares y 281 710 muertes totales. El CVDPM predijo 41 265 IM (diferencia: 0.11%), 58 584 accidentes cerebrovasculares (diferencia: 0.13%) y 280 707 muertes totales (diferencia: 0.36%). En todos los casos, la versión final del modelo predijo el número real de eventos cardiovasculares con una precisión superior al 99.5%, pudiendo ser utilizado para pronosticar cambios en la incidencia y mortalidad de ECV debidos de la implementación de políticas públicas. Palabras clave: modelos de simulación por computadora, enfermedad cardiovascular, Argentina, salud pública, políticas de salud","ISSN":"1669-9106","title":"UPDATE OF THE CARDIOVASCULAR DISEASE POLICY MODEL TO PREDICT CARDIOVASCULAR EVENTS IN ARGENTINA","author":[{"family":"Salgado","given":"M. Victoria"},{"family":"Coxson","given":"Pam"},{"family":"Konfino","given":"Jonatan"},{"family":"Penko","given":"Joanne"},{"family":"Irazola","given":"Vilma E."},{"family":"Gutiérrez","given":"Laura"},{"family":"Fernández","given":"Alicia"},{"family":"Mejía","given":"Raúl"}]}}],"schema":"https://github.com/citation-style-language/schema/raw/master/csl-citation.json"}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138</w:t>
            </w:r>
            <w:r w:rsidRPr="00254090">
              <w:rPr>
                <w:rFonts w:ascii="Trebuchet MS" w:hAnsi="Trebuchet MS" w:cstheme="minorHAnsi"/>
                <w:sz w:val="20"/>
                <w:szCs w:val="20"/>
              </w:rPr>
              <w:fldChar w:fldCharType="end"/>
            </w:r>
            <w:r w:rsidRPr="00254090">
              <w:rPr>
                <w:rFonts w:ascii="Trebuchet MS" w:hAnsi="Trebuchet MS" w:cstheme="minorHAnsi"/>
                <w:sz w:val="20"/>
                <w:szCs w:val="20"/>
              </w:rPr>
              <w:t xml:space="preserve"> </w:t>
            </w:r>
          </w:p>
        </w:tc>
        <w:tc>
          <w:tcPr>
            <w:tcW w:w="1032" w:type="dxa"/>
            <w:shd w:val="clear" w:color="auto" w:fill="FFFFFF" w:themeFill="background1"/>
          </w:tcPr>
          <w:p w14:paraId="1FED4748"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Argentina </w:t>
            </w:r>
          </w:p>
        </w:tc>
        <w:tc>
          <w:tcPr>
            <w:tcW w:w="1279" w:type="dxa"/>
            <w:shd w:val="clear" w:color="auto" w:fill="FFFFFF" w:themeFill="background1"/>
          </w:tcPr>
          <w:p w14:paraId="6CD4482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Policy Model-Argentina</w:t>
            </w:r>
          </w:p>
          <w:p w14:paraId="26E2014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2163" w:type="dxa"/>
            <w:shd w:val="clear" w:color="auto" w:fill="FFFFFF" w:themeFill="background1"/>
          </w:tcPr>
          <w:p w14:paraId="4758B2BA" w14:textId="77777777" w:rsidR="00A34CE6" w:rsidRPr="002E2149"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E2149">
              <w:rPr>
                <w:rFonts w:ascii="Trebuchet MS" w:hAnsi="Trebuchet MS" w:cstheme="minorHAnsi"/>
                <w:sz w:val="20"/>
                <w:szCs w:val="20"/>
              </w:rPr>
              <w:t>The update Argentina CVD Policy Model</w:t>
            </w:r>
          </w:p>
        </w:tc>
        <w:tc>
          <w:tcPr>
            <w:tcW w:w="1283" w:type="dxa"/>
            <w:shd w:val="clear" w:color="auto" w:fill="FFFFFF" w:themeFill="background1"/>
          </w:tcPr>
          <w:p w14:paraId="30CD558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5057BCB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393F3F2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4A661328"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free, acute CVD events, chronic CVD states, fatal CHD or stroke, non-CVD death</w:t>
            </w:r>
          </w:p>
          <w:p w14:paraId="48F9BF8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7FFA93FF" w14:textId="0BB478C1" w:rsidR="00A34CE6" w:rsidRPr="00986A43"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N/R</w:t>
            </w:r>
          </w:p>
        </w:tc>
      </w:tr>
      <w:tr w:rsidR="00EF055A" w:rsidRPr="00986A43" w14:paraId="69EB743A" w14:textId="4B0C9EE3"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03A2C540"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1675D0DD"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Wilde et al. (2019)</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{"citationID":"OLzw8TAV","properties":{"formattedCitation":"\\super 139\\nosupersub{}","plainCitation":"139","noteIndex":0},"citationItems":[{"id":670,"uris":["http://zotero.org/users/local/fKc2159l/items/AJJI88QB"],"itemData":{"id":670,"type":"article-journal","abstract":"Objectives: To estimate the health impact and cost-effectiveness of a national pennyper-ounce sugar-sweetened beverage (SSB) tax, overall and with stratified costs and benefits for 9 distinct stakeholder groups. Methods: We used a validated microsimulation model (CVD PREDICT) to estimate cardiovascular disease reductions, quality-adjusted life years gained, and cost-effectiveness for US adults aged 35 to 85 years, evaluating full and partial consumer price pass-through. Results: From health care and societal perspectives, the SSB tax was highly cost-saving. When we evaluated health gains, taxes paid, and out-of-pocket health care savings for 6 distinct consumer categories, incremental cost-effectiveness ratios ranged from 20 247 to 42 662 per quality-adjusted life year for 100% price pass-through (incremental cost-effectiveness ratios similar with 50% pass-through). For the beverage industry, net costs were 0.92 billion with 100% pass-through (largely tax-implementation costs) and 49.75 billion with 50% pass-through (largely because of partial industry coverage of the tax). For government, the SSB tax positively affected both tax revenues and health care cost savings. Conclusions: This stratified analysis improves on unitary approaches, illuminating distinct costs and benefits for stakeholders with political influence over SSB tax decisions.","container-title":"American Journal of Public Health","DOI":"10.2105/AJPH.2018.304803","ISSN":"15410048","issue":"2","note":"PMID: 30571305","page":"276-284","title":"Cost-effectiveness of a US national sugar-sweetened beverage tax with a multistakeholder approach: Who pays and who benefits","volume":"109","author":[{"family":"Wilde","given":"Parke"},{"family":"Huang","given":"Yue"},{"family":"Sy","given":"Stephen"},{"family":"Abrahams-Gessel","given":"Shafika"},{"family":"Jardim","given":"Thiago Veiga"},{"family":"Paarlberg","given":"Robert"},{"family":"Mozaffarian","given":"Dariush"},{"family":"Micha","given":"Renata"},{"family":"Gaziano","given":"Thomas"}],"issued":{"date-parts":[["2019"]]}}}],"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139</w:t>
            </w:r>
            <w:r w:rsidRPr="00254090">
              <w:rPr>
                <w:rFonts w:ascii="Trebuchet MS" w:hAnsi="Trebuchet MS" w:cstheme="minorHAnsi"/>
                <w:sz w:val="20"/>
                <w:szCs w:val="20"/>
              </w:rPr>
              <w:fldChar w:fldCharType="end"/>
            </w:r>
          </w:p>
        </w:tc>
        <w:tc>
          <w:tcPr>
            <w:tcW w:w="1032" w:type="dxa"/>
            <w:shd w:val="clear" w:color="auto" w:fill="FFFFFF" w:themeFill="background1"/>
          </w:tcPr>
          <w:p w14:paraId="40DA72F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177A69C5"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CVD-PREDICT</w:t>
            </w:r>
          </w:p>
        </w:tc>
        <w:tc>
          <w:tcPr>
            <w:tcW w:w="2163" w:type="dxa"/>
            <w:shd w:val="clear" w:color="auto" w:fill="FFFFFF" w:themeFill="background1"/>
          </w:tcPr>
          <w:p w14:paraId="4E3868D5" w14:textId="77777777" w:rsidR="00A34CE6" w:rsidRPr="002E2149"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E2149">
              <w:rPr>
                <w:rFonts w:ascii="Trebuchet MS" w:hAnsi="Trebuchet MS" w:cstheme="minorHAnsi"/>
                <w:sz w:val="20"/>
                <w:szCs w:val="20"/>
              </w:rPr>
              <w:t xml:space="preserve">Estimation of the health impact and cost-effectiveness of a national penny per-ounce SSBs tax </w:t>
            </w:r>
          </w:p>
          <w:p w14:paraId="651A8B0B" w14:textId="77777777" w:rsidR="00A34CE6" w:rsidRPr="00986A43" w:rsidRDefault="00A34CE6" w:rsidP="00072EA0">
            <w:pPr>
              <w:pStyle w:val="ListParagraph"/>
              <w:ind w:left="470" w:hanging="284"/>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465512C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 and societal</w:t>
            </w:r>
          </w:p>
        </w:tc>
        <w:tc>
          <w:tcPr>
            <w:tcW w:w="1657" w:type="dxa"/>
            <w:shd w:val="clear" w:color="auto" w:fill="FFFFFF" w:themeFill="background1"/>
          </w:tcPr>
          <w:p w14:paraId="48BDC703"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Microsimulation</w:t>
            </w:r>
          </w:p>
        </w:tc>
        <w:tc>
          <w:tcPr>
            <w:tcW w:w="1586" w:type="dxa"/>
            <w:shd w:val="clear" w:color="auto" w:fill="FFFFFF" w:themeFill="background1"/>
          </w:tcPr>
          <w:p w14:paraId="1C9ABBB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77203D8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Disease free, CHD, stroke, death</w:t>
            </w:r>
          </w:p>
          <w:p w14:paraId="2AE68E3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3E38510B" w14:textId="61A245EE"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2EA66D01" w14:textId="1189E007"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08D6CC82"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33705F3C"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roofErr w:type="spellStart"/>
            <w:r w:rsidRPr="00254090">
              <w:rPr>
                <w:rFonts w:ascii="Trebuchet MS" w:hAnsi="Trebuchet MS" w:cstheme="minorHAnsi"/>
                <w:sz w:val="20"/>
                <w:szCs w:val="20"/>
              </w:rPr>
              <w:t>Broeks</w:t>
            </w:r>
            <w:proofErr w:type="spellEnd"/>
            <w:r w:rsidRPr="00254090">
              <w:rPr>
                <w:rFonts w:ascii="Trebuchet MS" w:hAnsi="Trebuchet MS" w:cstheme="minorHAnsi"/>
                <w:sz w:val="20"/>
                <w:szCs w:val="20"/>
              </w:rPr>
              <w:t xml:space="preserve"> et al. (2020)</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{"citationID":"8bHJtdvd","properties":{"formattedCitation":"\\super 140\\nosupersub{}","plainCitation":"140","noteIndex":0},"citationItems":[{"id":719,"uris":["http://zotero.org/users/local/fKc2159l/items/XNPNXSKV"],"itemData":{"id":719,"type":"article-journal","abstract":"Implementation of food taxes or subsidies may promote healthier and a more sustainable diet in a society. This study estimates the effects of a tax (15% or 30%) on meat and a subsidy (10%) on fruit and vegetables (F&amp;V) consumption in the Netherlands using a social cost-benefit analysis with a 30-year time horizon. Calculations with the representative Dutch National Food Consumption Survey (2012–2014) served as the reference. Price elasticities were applied to calculate changes in consumption and consumer surplus. Future food consumption and health effects were estimated using the DYNAMO-HIA model and environmental impacts were estimated using Life Cycle Analysis. The time horizon of all calculations is 30 year. All effects were monetarized and discounted to 2018 euros. Over 30-years, a 15% or 30% meat tax or 10% F&amp;V subsidy could result in reduced healthcare costs, increased quality of life, and higher productivity levels. Benefits to the environment of a meat tax are an estimated €3400 million or €6300 million in the 15% or 30% scenario respectively, whereas the increased F&amp;V consumption could result in €100 million costs for the environment. While consumers benefit from a subsidy, a consumer surplus of €10,000 million, the tax scenarios demonstrate large experienced costs of respectively €21,000 and €41,000 million. Overall, a 15% or 30% price increase in meat could lead to a net benefit for society between €3100–7400 million or €4100–12,300 million over 30 years respectively. A 10% F&amp;V subsidy could lead to a net benefit to society of €1800–3300 million. Sensitivity analyses did not change the main findings. The studied meat taxes and F&amp;V subsidy showed net total welfare benefits for the Dutch society over a 30-year time horizon.","container-title":"BMC Public Health","DOI":"10.1186/s12889-020-08590-z","ISSN":"1471-2458","issue":"1","journalAbbreviation":"BMC Public Health","language":"en","license":"2020 The Author(s)","note":"number: 1\npublisher: BioMed Central","page":"1-12","source":"bmcpublichealth.biomedcentral.com","title":"A social cost-benefit analysis of meat taxation and a fruit and vegetables subsidy for a healthy and sustainable food consumption in the Netherlands","volume":"20","author":[{"family":"Broeks","given":"Marlin J."},{"family":"Biesbroek","given":"Sander"},{"family":"Over","given":"Eelco A. B."},{"family":"Gils","given":"Paul F.","non-dropping-particle":"van"},{"family":"Toxopeus","given":"Ido"},{"family":"Beukers","given":"Marja H."},{"family":"Temme","given":"Elisabeth H. M."}],"issued":{"date-parts":[["2020",12]]}}}],"schema":"https://github.com/citation-style-language/schema/raw/master/csl-citation.json"}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140</w:t>
            </w:r>
            <w:r w:rsidRPr="00254090">
              <w:rPr>
                <w:rFonts w:ascii="Trebuchet MS" w:hAnsi="Trebuchet MS" w:cstheme="minorHAnsi"/>
                <w:sz w:val="20"/>
                <w:szCs w:val="20"/>
              </w:rPr>
              <w:fldChar w:fldCharType="end"/>
            </w:r>
          </w:p>
        </w:tc>
        <w:tc>
          <w:tcPr>
            <w:tcW w:w="1032" w:type="dxa"/>
            <w:shd w:val="clear" w:color="auto" w:fill="FFFFFF" w:themeFill="background1"/>
          </w:tcPr>
          <w:p w14:paraId="790249A0"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Netherlands</w:t>
            </w:r>
          </w:p>
          <w:p w14:paraId="67CF6E3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79" w:type="dxa"/>
            <w:shd w:val="clear" w:color="auto" w:fill="FFFFFF" w:themeFill="background1"/>
          </w:tcPr>
          <w:p w14:paraId="1BC528C0"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DYNAMO-HIA</w:t>
            </w:r>
          </w:p>
        </w:tc>
        <w:tc>
          <w:tcPr>
            <w:tcW w:w="2163" w:type="dxa"/>
            <w:shd w:val="clear" w:color="auto" w:fill="FFFFFF" w:themeFill="background1"/>
          </w:tcPr>
          <w:p w14:paraId="75B91AA0" w14:textId="77777777" w:rsidR="00A34CE6"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131413"/>
                <w:sz w:val="20"/>
                <w:szCs w:val="20"/>
              </w:rPr>
            </w:pPr>
            <w:r>
              <w:rPr>
                <w:rFonts w:ascii="Trebuchet MS" w:hAnsi="Trebuchet MS" w:cstheme="minorHAnsi"/>
                <w:color w:val="131413"/>
                <w:sz w:val="20"/>
                <w:szCs w:val="20"/>
              </w:rPr>
              <w:t>Estimation of</w:t>
            </w:r>
            <w:r w:rsidRPr="00986A43">
              <w:rPr>
                <w:rFonts w:ascii="Trebuchet MS" w:hAnsi="Trebuchet MS" w:cstheme="minorHAnsi"/>
                <w:color w:val="131413"/>
                <w:sz w:val="20"/>
                <w:szCs w:val="20"/>
              </w:rPr>
              <w:t xml:space="preserve"> the effects of a tax on meat and a subsidy on fruit and vegetables</w:t>
            </w:r>
            <w:r>
              <w:rPr>
                <w:rFonts w:ascii="Trebuchet MS" w:hAnsi="Trebuchet MS" w:cstheme="minorHAnsi"/>
                <w:color w:val="131413"/>
                <w:sz w:val="20"/>
                <w:szCs w:val="20"/>
              </w:rPr>
              <w:t xml:space="preserve"> </w:t>
            </w:r>
            <w:r w:rsidRPr="002E2149">
              <w:rPr>
                <w:rFonts w:ascii="Trebuchet MS" w:hAnsi="Trebuchet MS" w:cstheme="minorHAnsi"/>
                <w:color w:val="131413"/>
                <w:sz w:val="20"/>
                <w:szCs w:val="20"/>
              </w:rPr>
              <w:t xml:space="preserve">(F&amp;V) consumption </w:t>
            </w:r>
          </w:p>
          <w:p w14:paraId="593F53E6" w14:textId="77777777" w:rsidR="00A34CE6" w:rsidRPr="002E2149"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131413"/>
                <w:sz w:val="20"/>
                <w:szCs w:val="20"/>
              </w:rPr>
            </w:pPr>
          </w:p>
        </w:tc>
        <w:tc>
          <w:tcPr>
            <w:tcW w:w="1283" w:type="dxa"/>
            <w:shd w:val="clear" w:color="auto" w:fill="FFFFFF" w:themeFill="background1"/>
          </w:tcPr>
          <w:p w14:paraId="6D828E6C"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Societal</w:t>
            </w:r>
          </w:p>
        </w:tc>
        <w:tc>
          <w:tcPr>
            <w:tcW w:w="1657" w:type="dxa"/>
            <w:shd w:val="clear" w:color="auto" w:fill="FFFFFF" w:themeFill="background1"/>
          </w:tcPr>
          <w:p w14:paraId="449EA65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Markov </w:t>
            </w:r>
          </w:p>
        </w:tc>
        <w:tc>
          <w:tcPr>
            <w:tcW w:w="1586" w:type="dxa"/>
            <w:shd w:val="clear" w:color="auto" w:fill="FFFFFF" w:themeFill="background1"/>
          </w:tcPr>
          <w:p w14:paraId="28AB9930"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131413"/>
                <w:sz w:val="20"/>
                <w:szCs w:val="20"/>
              </w:rPr>
            </w:pPr>
            <w:r w:rsidRPr="00986A43">
              <w:rPr>
                <w:rFonts w:ascii="Trebuchet MS" w:hAnsi="Trebuchet MS" w:cstheme="minorHAnsi"/>
                <w:sz w:val="20"/>
                <w:szCs w:val="20"/>
              </w:rPr>
              <w:t>30 years, annual</w:t>
            </w:r>
          </w:p>
        </w:tc>
        <w:tc>
          <w:tcPr>
            <w:tcW w:w="1910" w:type="dxa"/>
            <w:shd w:val="clear" w:color="auto" w:fill="FFFFFF" w:themeFill="background1"/>
          </w:tcPr>
          <w:p w14:paraId="5A2092A3"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color w:val="131413"/>
                <w:sz w:val="20"/>
                <w:szCs w:val="20"/>
              </w:rPr>
            </w:pPr>
            <w:r w:rsidRPr="00986A43">
              <w:rPr>
                <w:rFonts w:ascii="Trebuchet MS" w:hAnsi="Trebuchet MS" w:cstheme="minorHAnsi"/>
                <w:sz w:val="20"/>
                <w:szCs w:val="20"/>
              </w:rPr>
              <w:t>Healthy, disease, death</w:t>
            </w:r>
          </w:p>
        </w:tc>
        <w:tc>
          <w:tcPr>
            <w:tcW w:w="1910" w:type="dxa"/>
            <w:shd w:val="clear" w:color="auto" w:fill="FFFFFF" w:themeFill="background1"/>
          </w:tcPr>
          <w:p w14:paraId="71641587" w14:textId="7D8B3CA3" w:rsidR="00A34CE6" w:rsidRPr="00986A43" w:rsidRDefault="00EF055A"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3853745C" w14:textId="279AC398"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41B08785"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2C4BD016" w14:textId="77777777" w:rsidR="00A34CE6" w:rsidRPr="00254090"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Lee et al. (2020)</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{"citationID":"9mKVAqt1","properties":{"formattedCitation":"\\super 141\\nosupersub{}","plainCitation":"141","noteIndex":0},"citationItems":[{"id":649,"uris":["http://zotero.org/users/local/fKc2159l/items/EK7TGVZ8"],"itemData":{"id":649,"type":"article-journal","abstract":"Background: Sugar-sweetened beverage taxes are a rapidly growing policy tool and can be based on absolute volume, sugar content tiers, or absolute sugar content. Yet, their comparative health and economic impacts have not been quantified, in particular, tiered or sugar content taxes that provide industry incentives for sugar reduction. Methods: We estimated incremental changes in diabetes mellitus and cardiovascular disease, quality-adjusted life-years, costs, and cost-effectiveness of 3 sugar-sweetened beverage tax designs in the United States, on the basis of (1) volume (0.01/oz), (2) tiers (&lt;5 g of added sugar/8 oz: no tax; 5-20 g/8 oz: 0.01/oz; and &gt;20 g/8 oz: 0.02/oz), and (3) absolute sugar content (0.01 per teaspoon added sugar), each compared with a base case of modest ongoing voluntary industry reformulation. A validated microsimulation model, CVD-PREDICT (Cardiovascular Disease Policy Model for Risk, Events, Detection, Interventions, Costs, and Trends), incorporated national demographic and dietary data from the National Health and Nutrition Examination Survey, policy effects and sugar-sweetened beverage-related diseases from meta-analyses, and industry reformulation and health-related costs from established sources. Results: Over a lifetime, the volume, tiered, and absolute sugar content taxes would generate 80.4 billion, 142 billion, and 41.7 billion in tax revenue, respectively. From a healthcare perspective, the volume tax would prevent 850 000 cardiovascular disease (95% CI, 836 000-864 000) and 269 000 diabetes mellitus (265 000-274 000) cases, gain 2.44 million quality-adjusted life-years (2.40-2.48), and save 53.2 billion net costs (52.3-54.1). Health gains and savings were approximately doubled for the tiered and absolute sugar content taxes. Results were robust for societal and government perspectives, at 10 years follow-up, and with lower (50%) tax pass-through. Health gains were largest in young adults, blacks and Hispanics, and lower-income Americans. Conclusions: All sugar-sweetened beverage tax designs would generate substantial health gains and savings. Tiered and absolute sugar content taxes should be considered and evaluated for maximal potential gains.","container-title":"Circulation","DOI":"10.1161/CIRCULATIONAHA.119.042956","ISSN":"15244539","issue":"6","note":"PMID: 32564614","page":"523-534","title":"Health impact and cost-effectiveness of volume, tiered, and absolute sugar content sugar-sweetened beverage tax policies in the United States: A microsimulation study","volume":"142","author":[{"family":"Lee","given":"Yujin"},{"family":"Mozaffarian","given":"Dariush"},{"family":"Sy","given":"Stephen"},{"family":"Liu","given":"Junxiu"},{"family":"Wilde","given":"Parke E."},{"family":"Marklund","given":"Matti"},{"family":"Abrahams-Gessel","given":"Shafika"},{"family":"Gaziano","given":"Thomas A."},{"family":"Micha","given":"Renata"}],"issued":{"date-parts":[["2020"]]}}}],"schema":"https://github.com/citation-style-language/schema/raw/master/csl-citation.json"}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141</w:t>
            </w:r>
            <w:r w:rsidRPr="00254090">
              <w:rPr>
                <w:rFonts w:ascii="Trebuchet MS" w:hAnsi="Trebuchet MS" w:cstheme="minorHAnsi"/>
                <w:sz w:val="20"/>
                <w:szCs w:val="20"/>
              </w:rPr>
              <w:fldChar w:fldCharType="end"/>
            </w:r>
          </w:p>
        </w:tc>
        <w:tc>
          <w:tcPr>
            <w:tcW w:w="1032" w:type="dxa"/>
            <w:shd w:val="clear" w:color="auto" w:fill="FFFFFF" w:themeFill="background1"/>
          </w:tcPr>
          <w:p w14:paraId="737A9C8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41D2E9C3"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CVD-PREDICT</w:t>
            </w:r>
          </w:p>
        </w:tc>
        <w:tc>
          <w:tcPr>
            <w:tcW w:w="2163" w:type="dxa"/>
            <w:shd w:val="clear" w:color="auto" w:fill="FFFFFF" w:themeFill="background1"/>
          </w:tcPr>
          <w:p w14:paraId="535EC311" w14:textId="77777777" w:rsidR="00A34CE6"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E2149">
              <w:rPr>
                <w:rFonts w:ascii="Trebuchet MS" w:hAnsi="Trebuchet MS" w:cstheme="minorHAnsi"/>
                <w:sz w:val="20"/>
                <w:szCs w:val="20"/>
              </w:rPr>
              <w:t xml:space="preserve">Estimation of the health impact and cost-effectiveness </w:t>
            </w:r>
            <w:r>
              <w:rPr>
                <w:rFonts w:ascii="Trebuchet MS" w:hAnsi="Trebuchet MS" w:cstheme="minorHAnsi"/>
                <w:sz w:val="20"/>
                <w:szCs w:val="20"/>
              </w:rPr>
              <w:t xml:space="preserve">of </w:t>
            </w:r>
            <w:r w:rsidRPr="002E2149">
              <w:rPr>
                <w:rFonts w:ascii="Trebuchet MS" w:hAnsi="Trebuchet MS" w:cstheme="minorHAnsi"/>
                <w:sz w:val="20"/>
                <w:szCs w:val="20"/>
              </w:rPr>
              <w:t>three SSBs tax designs</w:t>
            </w:r>
          </w:p>
          <w:p w14:paraId="756E4C39" w14:textId="77777777" w:rsidR="00A34CE6" w:rsidRPr="002E2149"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236F19E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 government, societal</w:t>
            </w:r>
          </w:p>
        </w:tc>
        <w:tc>
          <w:tcPr>
            <w:tcW w:w="1657" w:type="dxa"/>
            <w:shd w:val="clear" w:color="auto" w:fill="FFFFFF" w:themeFill="background1"/>
          </w:tcPr>
          <w:p w14:paraId="784060E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w:t>
            </w:r>
            <w:r>
              <w:rPr>
                <w:rFonts w:ascii="Trebuchet MS" w:hAnsi="Trebuchet MS" w:cstheme="minorHAnsi"/>
                <w:sz w:val="20"/>
                <w:szCs w:val="20"/>
              </w:rPr>
              <w:t>icrosimulation</w:t>
            </w:r>
          </w:p>
        </w:tc>
        <w:tc>
          <w:tcPr>
            <w:tcW w:w="1586" w:type="dxa"/>
            <w:shd w:val="clear" w:color="auto" w:fill="FFFFFF" w:themeFill="background1"/>
          </w:tcPr>
          <w:p w14:paraId="0C31ECC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7254BFEA"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Disease free, CHD, stroke, death</w:t>
            </w:r>
          </w:p>
        </w:tc>
        <w:tc>
          <w:tcPr>
            <w:tcW w:w="1910" w:type="dxa"/>
            <w:shd w:val="clear" w:color="auto" w:fill="FFFFFF" w:themeFill="background1"/>
          </w:tcPr>
          <w:p w14:paraId="774E791B" w14:textId="795AD466"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3E3811F8" w14:textId="1888E750"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74A3CD1A"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4B005CED"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Kao et al. (2020)</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{"citationID":"4PAaTdHn","properties":{"formattedCitation":"\\super 142\\nosupersub{}","plainCitation":"142","noteIndex":0},"citationItems":[{"id":651,"uris":["http://zotero.org/users/local/fKc2159l/items/7Q3GVRPA"],"itemData":{"id":651,"type":"article-journal","abstract":"Background: Overconsumption of sugar-sweetened beverages (SSBs) contributes to childhood and adult obesity and numerous related diseases, including heart disease, strokes, cancers, and type 2 diabetes. It also increases healthcare costs. Sugary drink taxes have been implemented in several countries to curb sugar intake. However, there is a concern that sugary drink taxes are regressive. This study assessed the health and financial impacts of a simulated sugary drink tax across different income groups in Canada. Methods: A proportional multi-state life table-based Markov model simulated the 2016 Canadian population by income quintile. The model applied a 20 % tax on sugary drinks and determined the effects on type 2 diabetes and BMI-related diseases compared to no intervention. The income-specific parameters modelled included: population demographics; cross- and own-price elasticities; mean BMI; sugary drink consumption; mortality; and disease epidemiology. Results: A 20 % sugary drink tax was estimated to reduce the consumption of sugary drinks by an average of around 15 %, with a greater reduction in the lowest income quintile. The estimated mean reduction in BMI ranged from 0.21 to 0.33, dependent upon sex and income quintile; these reductions were greater among the lower income quintiles for both females and males. The 20 % sugary drink tax was estimated to avert approximately 690,000 DALYs over a lifetime among the 2016 Canadian adult population; estimated DALYs averted were approximately 156,000, 140,000, 137,000, 134,000, and 125,000 for the lowest through to the highest income quintile, respectively. Lifetime health care savings were estimated to be 2.27bn, 2.16bn, 2.17bn, 2.12bn, and 1.98bn for the lowest through to the highest income quintile, respectively. The estimated annual tax burden for the 2016 Canadian population was 1.4bn. The average absolute tax burden was estimated to be 39.00 to 44.30 per person, with the middle-income quintile bearing the heaviest absolute tax burden. The lowest income quintile would pay the highest proportion of income in tax, implying that the tax is regressive. Conclusions: Low-income Canadians would gain the most health benefit from a sugary drinks tax. However, the lowest income quintile would also pay the largest proportion of income in tax. A tax on sugary drinks is therefore financially regressive but forecast to reduce health disparities across Canada.","container-title":"Economics and Human Biology","DOI":"10.1016/j.ehb.2020.100869","ISSN":"18736130","note":"publisher: Elsevier B.V.\nPMID: 32442926","page":"100869","title":"The health and financial impacts of a sugary drink tax across different income groups in Canada","volume":"38","author":[{"family":"Kao","given":"Kai Erh"},{"family":"Jones","given":"Amanda C."},{"family":"Ohinmaa","given":"Arto"},{"family":"Paulden","given":"Mike"}],"issued":{"date-parts":[["2020"]]}}}],"schema":"https://github.com/citation-style-language/schema/raw/master/csl-citation.json"}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142</w:t>
            </w:r>
            <w:r w:rsidRPr="00254090">
              <w:rPr>
                <w:rFonts w:ascii="Trebuchet MS" w:hAnsi="Trebuchet MS" w:cstheme="minorHAnsi"/>
                <w:sz w:val="20"/>
                <w:szCs w:val="20"/>
              </w:rPr>
              <w:fldChar w:fldCharType="end"/>
            </w:r>
          </w:p>
        </w:tc>
        <w:tc>
          <w:tcPr>
            <w:tcW w:w="1032" w:type="dxa"/>
            <w:shd w:val="clear" w:color="auto" w:fill="FFFFFF" w:themeFill="background1"/>
          </w:tcPr>
          <w:p w14:paraId="67F9BAF3"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Canada</w:t>
            </w:r>
          </w:p>
        </w:tc>
        <w:tc>
          <w:tcPr>
            <w:tcW w:w="1279" w:type="dxa"/>
            <w:shd w:val="clear" w:color="auto" w:fill="FFFFFF" w:themeFill="background1"/>
          </w:tcPr>
          <w:p w14:paraId="7285E7B9"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1617902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E2149">
              <w:rPr>
                <w:rFonts w:ascii="Trebuchet MS" w:hAnsi="Trebuchet MS" w:cstheme="minorHAnsi"/>
                <w:sz w:val="20"/>
                <w:szCs w:val="20"/>
              </w:rPr>
              <w:t xml:space="preserve">Estimation of the health </w:t>
            </w:r>
            <w:r w:rsidRPr="00986A43">
              <w:rPr>
                <w:rFonts w:ascii="Trebuchet MS" w:hAnsi="Trebuchet MS" w:cstheme="minorHAnsi"/>
                <w:sz w:val="20"/>
                <w:szCs w:val="20"/>
              </w:rPr>
              <w:t xml:space="preserve">and financial impact of sugary drink tax across different income group </w:t>
            </w:r>
          </w:p>
          <w:p w14:paraId="210304D0" w14:textId="77777777" w:rsidR="00A34CE6" w:rsidRPr="00986A43" w:rsidRDefault="00A34CE6" w:rsidP="00072EA0">
            <w:pPr>
              <w:pStyle w:val="ListParagraph"/>
              <w:ind w:left="864" w:hanging="567"/>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0BDC59B6"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Health system </w:t>
            </w:r>
          </w:p>
        </w:tc>
        <w:tc>
          <w:tcPr>
            <w:tcW w:w="1657" w:type="dxa"/>
            <w:shd w:val="clear" w:color="auto" w:fill="FFFFFF" w:themeFill="background1"/>
          </w:tcPr>
          <w:p w14:paraId="1F6A4CCC"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Markov-multi state life table</w:t>
            </w:r>
          </w:p>
          <w:p w14:paraId="4C10F1F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586" w:type="dxa"/>
            <w:shd w:val="clear" w:color="auto" w:fill="FFFFFF" w:themeFill="background1"/>
          </w:tcPr>
          <w:p w14:paraId="18C7FFB5"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4BA96FE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Healthy, diseased, death (disease), death (other)</w:t>
            </w:r>
          </w:p>
        </w:tc>
        <w:tc>
          <w:tcPr>
            <w:tcW w:w="1910" w:type="dxa"/>
            <w:shd w:val="clear" w:color="auto" w:fill="FFFFFF" w:themeFill="background1"/>
          </w:tcPr>
          <w:p w14:paraId="571EAE1F" w14:textId="00D29C83" w:rsidR="00A34CE6" w:rsidRPr="00986A43"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tr w:rsidR="00EF055A" w:rsidRPr="00986A43" w14:paraId="55B6DAF3" w14:textId="4F0AAEBB"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08163163" w14:textId="77777777" w:rsidR="00A34CE6" w:rsidRPr="0033245C"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567151B8" w14:textId="77777777" w:rsidR="00A34CE6" w:rsidRPr="0033245C"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33245C">
              <w:rPr>
                <w:rFonts w:ascii="Trebuchet MS" w:hAnsi="Trebuchet MS" w:cstheme="minorHAnsi"/>
                <w:sz w:val="20"/>
                <w:szCs w:val="20"/>
              </w:rPr>
              <w:t xml:space="preserve">Liu et al. (2020) </w:t>
            </w:r>
            <w:r w:rsidRPr="0033245C">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{"citationID":"6wAPfDLJ","properties":{"formattedCitation":"\\super 143\\nosupersub{}","plainCitation":"143","noteIndex":0},"citationItems":[{"id":698,"uris":["http://zotero.org/users/local/fKc2159l/items/E9XLRVXM"],"itemData":{"id":698,"type":"article-journal","abstract":"BACKGROUND: Excess caloric intake is linked to weight gain, obesity, and related diseases, including type 2 diabetes mellitus and cardiovascular disease (CVD). Obesity incidence is rising, with nearly 3 in 4 US adults being overweight or obese. In 2018, the US federal government finalized the implementation of mandatory labeling of calorie content on all menu items across major chain restaurants nationally as a strategy to support informed consumer choice, reduce caloric intake, and potentially encourage restaurant reformulations. Yet, the potential health and economic impacts of this policy remain unclear.\nMETHODS AND RESULTS: We used a validated microsimulation model (CVD-PREDICT) to estimate reductions in CVD events, diabetes mellitus cases, gains in quality-adjusted life years, costs, and cost-effectiveness of the menu calorie labeling intervention, based on consumer responses alone, and further accounting for potential industry reformulation. The model incorporated nationally representative demographic and dietary data from National Health and Nutrition Examination Surveys 2009 to 2016; policy effects on consumer diets and body mass index-disease effects from published meta-analyses; and policy effects on industry reformulation, policy costs (policy administration, industry compliance, and reformulation), and health-related costs (formal and informal healthcare costs, productivity costs) from established sources or reasonable assumptions. We modeled change in calories to change in weight using an established dynamic weight-change model, assuming 50% of expected calorie reductions would translate to long-term reductions. Findings were evaluated over 5 years and a lifetime from healthcare and societal perspectives, with uncertainty incorporated in both 1-way and probabilistic sensitivity analyses. Between 2018 and 2023, implementation of the restaurant menu calorie labeling law was estimated, based on consumer response alone, to prevent 14</w:instrText>
            </w:r>
            <w:r>
              <w:rPr>
                <w:rFonts w:ascii="Arial" w:hAnsi="Arial" w:cs="Arial"/>
                <w:sz w:val="20"/>
                <w:szCs w:val="20"/>
              </w:rPr>
              <w:instrText> </w:instrText>
            </w:r>
            <w:r>
              <w:rPr>
                <w:rFonts w:ascii="Trebuchet MS" w:hAnsi="Trebuchet MS" w:cstheme="minorHAnsi"/>
                <w:sz w:val="20"/>
                <w:szCs w:val="20"/>
              </w:rPr>
              <w:instrText>698 new CVD cases (including 1575 CVD deaths) and 21</w:instrText>
            </w:r>
            <w:r>
              <w:rPr>
                <w:rFonts w:ascii="Arial" w:hAnsi="Arial" w:cs="Arial"/>
                <w:sz w:val="20"/>
                <w:szCs w:val="20"/>
              </w:rPr>
              <w:instrText> </w:instrText>
            </w:r>
            <w:r>
              <w:rPr>
                <w:rFonts w:ascii="Trebuchet MS" w:hAnsi="Trebuchet MS" w:cstheme="minorHAnsi"/>
                <w:sz w:val="20"/>
                <w:szCs w:val="20"/>
              </w:rPr>
              <w:instrText>522 new type 2 diabetes mellitus cases, gaining 8749 quality-adjusted life years. Over a lifetime, corresponding values were 135</w:instrText>
            </w:r>
            <w:r>
              <w:rPr>
                <w:rFonts w:ascii="Arial" w:hAnsi="Arial" w:cs="Arial"/>
                <w:sz w:val="20"/>
                <w:szCs w:val="20"/>
              </w:rPr>
              <w:instrText> </w:instrText>
            </w:r>
            <w:r>
              <w:rPr>
                <w:rFonts w:ascii="Trebuchet MS" w:hAnsi="Trebuchet MS" w:cstheme="minorHAnsi"/>
                <w:sz w:val="20"/>
                <w:szCs w:val="20"/>
              </w:rPr>
              <w:instrText>781 new CVD cases (including 27</w:instrText>
            </w:r>
            <w:r>
              <w:rPr>
                <w:rFonts w:ascii="Arial" w:hAnsi="Arial" w:cs="Arial"/>
                <w:sz w:val="20"/>
                <w:szCs w:val="20"/>
              </w:rPr>
              <w:instrText> </w:instrText>
            </w:r>
            <w:r>
              <w:rPr>
                <w:rFonts w:ascii="Trebuchet MS" w:hAnsi="Trebuchet MS" w:cstheme="minorHAnsi"/>
                <w:sz w:val="20"/>
                <w:szCs w:val="20"/>
              </w:rPr>
              <w:instrText>646 CVD deaths), 99</w:instrText>
            </w:r>
            <w:r>
              <w:rPr>
                <w:rFonts w:ascii="Arial" w:hAnsi="Arial" w:cs="Arial"/>
                <w:sz w:val="20"/>
                <w:szCs w:val="20"/>
              </w:rPr>
              <w:instrText> </w:instrText>
            </w:r>
            <w:r>
              <w:rPr>
                <w:rFonts w:ascii="Trebuchet MS" w:hAnsi="Trebuchet MS" w:cstheme="minorHAnsi"/>
                <w:sz w:val="20"/>
                <w:szCs w:val="20"/>
              </w:rPr>
              <w:instrText>736 type 2 diabetes mellitus cases, and 367</w:instrText>
            </w:r>
            <w:r>
              <w:rPr>
                <w:rFonts w:ascii="Arial" w:hAnsi="Arial" w:cs="Arial"/>
                <w:sz w:val="20"/>
                <w:szCs w:val="20"/>
              </w:rPr>
              <w:instrText> </w:instrText>
            </w:r>
            <w:r>
              <w:rPr>
                <w:rFonts w:ascii="Trebuchet MS" w:hAnsi="Trebuchet MS" w:cstheme="minorHAnsi"/>
                <w:sz w:val="20"/>
                <w:szCs w:val="20"/>
              </w:rPr>
              <w:instrText xml:space="preserve">450 quality-adjusted life years. Assuming modest restaurant item reformulation, both health and economic benefits were estimated to be about 2-fold larger than based on consumer response alone. The consumer response alone was estimated to be cost-saving by 2023, with net lifetime savings of $10.42B from a healthcare perspective and $12.71B from a societal perspective. Findings were robust in a range of sensitivity analyses.\nCONCLUSIONS: Our national model suggests that the full implementation of the US calorie menu labeling law will generate significant health gains and healthcare and societal cost-savings. Industry responses to modestly reformulate menu items would provide even larger additional benefits.","container-title":"Circulation. Cardiovascular Quality and Outcomes","DOI":"10.1161/CIRCOUTCOMES.119.006313","ISSN":"1941-7705","issue":"6","journalAbbreviation":"Circ Cardiovasc Qual Outcomes","language":"eng","note":"PMID: 32493057\nPMCID: PMC7299757","page":"e006313","source":"PubMed","title":"Health and Economic Impacts of the National Menu Calorie Labeling Law in the United States: A Microsimulation Study","title-short":"Health and Economic Impacts of the National Menu Calorie Labeling Law in the United States","volume":"13","author":[{"family":"Liu","given":"Junxiu"},{"family":"Mozaffarian","given":"Dariush"},{"family":"Sy","given":"Stephen"},{"family":"Lee","given":"Yujin"},{"family":"Wilde","given":"Parke E."},{"family":"Abrahams-Gessel","given":"Shafika"},{"family":"Gaziano","given":"Tom"},{"family":"Micha","given":"Renata"},{"literal":"FOOD-PRICE (Policy Review and Intervention Cost-Effectiveness) Project"}],"issued":{"date-parts":[["2020",6]]}}}],"schema":"https://github.com/citation-style-language/schema/raw/master/csl-citation.json"} </w:instrText>
            </w:r>
            <w:r w:rsidRPr="0033245C">
              <w:rPr>
                <w:rFonts w:ascii="Trebuchet MS" w:hAnsi="Trebuchet MS" w:cstheme="minorHAnsi"/>
                <w:sz w:val="20"/>
                <w:szCs w:val="20"/>
              </w:rPr>
              <w:fldChar w:fldCharType="separate"/>
            </w:r>
            <w:r w:rsidRPr="008B235A">
              <w:rPr>
                <w:rFonts w:ascii="Trebuchet MS" w:hAnsi="Trebuchet MS"/>
                <w:color w:val="000000"/>
                <w:sz w:val="20"/>
                <w:vertAlign w:val="superscript"/>
              </w:rPr>
              <w:t>143</w:t>
            </w:r>
            <w:r w:rsidRPr="0033245C">
              <w:rPr>
                <w:rFonts w:ascii="Trebuchet MS" w:hAnsi="Trebuchet MS" w:cstheme="minorHAnsi"/>
                <w:sz w:val="20"/>
                <w:szCs w:val="20"/>
              </w:rPr>
              <w:fldChar w:fldCharType="end"/>
            </w:r>
          </w:p>
        </w:tc>
        <w:tc>
          <w:tcPr>
            <w:tcW w:w="1032" w:type="dxa"/>
            <w:shd w:val="clear" w:color="auto" w:fill="FFFFFF" w:themeFill="background1"/>
          </w:tcPr>
          <w:p w14:paraId="5458E6D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719DC97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CVD-PREDICT</w:t>
            </w:r>
          </w:p>
        </w:tc>
        <w:tc>
          <w:tcPr>
            <w:tcW w:w="2163" w:type="dxa"/>
            <w:shd w:val="clear" w:color="auto" w:fill="FFFFFF" w:themeFill="background1"/>
          </w:tcPr>
          <w:p w14:paraId="4D47770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2E2149">
              <w:rPr>
                <w:rFonts w:ascii="Trebuchet MS" w:hAnsi="Trebuchet MS" w:cstheme="minorHAnsi"/>
                <w:sz w:val="20"/>
                <w:szCs w:val="20"/>
              </w:rPr>
              <w:t xml:space="preserve">Estimation of the health impact and cost-effectiveness </w:t>
            </w:r>
            <w:r w:rsidRPr="00986A43">
              <w:rPr>
                <w:rFonts w:ascii="Trebuchet MS" w:hAnsi="Trebuchet MS" w:cstheme="minorHAnsi"/>
                <w:sz w:val="20"/>
                <w:szCs w:val="20"/>
              </w:rPr>
              <w:t>of federal restaurant menu calorie labelling policy</w:t>
            </w:r>
          </w:p>
          <w:p w14:paraId="49AE57C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406A6062"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 and societal</w:t>
            </w:r>
          </w:p>
        </w:tc>
        <w:tc>
          <w:tcPr>
            <w:tcW w:w="1657" w:type="dxa"/>
            <w:shd w:val="clear" w:color="auto" w:fill="FFFFFF" w:themeFill="background1"/>
          </w:tcPr>
          <w:p w14:paraId="4C00697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Microsimulation </w:t>
            </w:r>
          </w:p>
        </w:tc>
        <w:tc>
          <w:tcPr>
            <w:tcW w:w="1586" w:type="dxa"/>
            <w:shd w:val="clear" w:color="auto" w:fill="FFFFFF" w:themeFill="background1"/>
          </w:tcPr>
          <w:p w14:paraId="304EC39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58B292CE"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Disease free, CHD, stroke, death</w:t>
            </w:r>
          </w:p>
        </w:tc>
        <w:tc>
          <w:tcPr>
            <w:tcW w:w="1910" w:type="dxa"/>
            <w:shd w:val="clear" w:color="auto" w:fill="FFFFFF" w:themeFill="background1"/>
          </w:tcPr>
          <w:p w14:paraId="67DE231C" w14:textId="2C935893"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707E09C7" w14:textId="4FF5C795"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62FA8E9E" w14:textId="77777777" w:rsidR="00A34CE6" w:rsidRPr="00254090"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413E2448" w14:textId="77777777" w:rsidR="00A34CE6" w:rsidRPr="00254090"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54090">
              <w:rPr>
                <w:rFonts w:ascii="Trebuchet MS" w:hAnsi="Trebuchet MS" w:cstheme="minorHAnsi"/>
                <w:sz w:val="20"/>
                <w:szCs w:val="20"/>
              </w:rPr>
              <w:t>Salgado et al. (2020)</w:t>
            </w:r>
            <w:r w:rsidRPr="00254090">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{"citationID":"WKqqyB5S","properties":{"formattedCitation":"\\super 144\\nosupersub{}","plainCitation":"144","noteIndex":0},"citationItems":[{"id":681,"uris":["http://zotero.org/users/local/fKc2159l/items/BSHD9TM3"],"itemData":{"id":681,"type":"article-journal","abstract":"Background Sugar-sweetened beverage (SSB) consumption is associated with obesity, diabetes, and hypertension. Argentina is one of the major consumers of SSBs per capita worldwide. Determining the impact of SSB reduction on health will inform policy debates. Methods and findings We used the Cardiovascular Disease Policy Model-Argentina (CVD Policy Model-Argentina), a local adaptation of a well-established computer simulation model that projects cardiovascular and mortality events for the population 35–94 years old, to estimate the impact of reducing SSB consumption on diabetes incidence, cardiovascular events, and mortality in Argentina during the period 2015–2024, using local demographic and consumption data. Given uncertainty regarding the exact amount of SSBs consumed by different age groups, we modeled 2 estimates of baseline consumption (low and high) under 2 different scenarios: a 10% and a 20% decrease in SSB consumption. We also included a range of caloric compensation in the model (0%, 39%, and 100%). We used Monte Carlo simulations to generate 95% uncertainty intervals (UIs) around our primary outcome measures for each intervention scenario. Over the 2015–2024 period, a 10% reduction in SSBs with a caloric compensation of 39% is projected to reduce incident diabetes cases by 13,300 (95% UI 10,800–15,600 [low SSB consumption estimate]) to 27,700 cases (95% UI 22,400–32,400 [high SSB consumption estimate]), i.e., 1.7% and 3.6% fewer cases, respectively, compared to a scenario of no change in SSB consumption. It would also reduce myocardial infarctions by 2,500 (95% UI 2,200–2,800) to 5,100 (95% UI 4,500–5,700) events and all-cause deaths by 2,700 (95% UI 2,200–3,200) to 5,600 (95% UI 4,600–6,600) for “low” and “high” estimates of SSB intake, respectively. A 20% reduction in SSB consumption with 39% caloric compensation is projected to result in 26,200 (95% UI 21,200–30,600) to 53,800 (95% UI 43,900–62,700) fewer cases of diabetes, 4,800 (95% UI 4,200–5,300) to 10,000 (95% UI 8,800–11,200) fewer myocardial infarctions, and 5,200 (95% UI 4,300–6,200) to 11,000 (95% UI 9,100–13,100) fewer deaths. The largest reductions in diabetes and cardiovascular events were observed in the youngest age group modeled (35–44 years) for both men and women; additionally, more events could be avoided in men compared to women in all age groups. The main limitations of our study are the limited availability of SSB consumption data in Argentina and the fact that we were only able to model the possible benefits of the interventions for the population older than 34 years. Conclusions Our study finds that, even under conservative assumptions, a relatively small reduction in SSB consumption could lead to a substantial decrease in diabetes incidence, cardiovascular events, and mortality in Argentina.","container-title":"PLoS Medicine","DOI":"10.1371/journal.pmed.1003224","ISSN":"15491676","issue":"7","note":"publisher: Public Library of Science\nPMID: 32722677","title":"Projected impact of a reduction in sugar-sweetened beverage consumption on diabetes and cardiovascular disease in Argentina: A modeling study","volume":"17","author":[{"family":"Salgado","given":"M. Victoria"},{"family":"Penko","given":"Joanne"},{"family":"Fernandez","given":"Alicia"},{"family":"Konfino","given":"Jonatan"},{"family":"Coxson","given":"Pamela G."},{"family":"Bibbins-Domingo","given":"Kirsten"},{"family":"Mejia","given":"Raul"}],"issued":{"date-parts":[["2020",7]]}}}],"schema":"https://github.com/citation-style-language/schema/raw/master/csl-citation.json"} </w:instrText>
            </w:r>
            <w:r w:rsidRPr="00254090">
              <w:rPr>
                <w:rFonts w:ascii="Trebuchet MS" w:hAnsi="Trebuchet MS" w:cstheme="minorHAnsi"/>
                <w:sz w:val="20"/>
                <w:szCs w:val="20"/>
              </w:rPr>
              <w:fldChar w:fldCharType="separate"/>
            </w:r>
            <w:r w:rsidRPr="008B235A">
              <w:rPr>
                <w:rFonts w:ascii="Trebuchet MS" w:hAnsi="Trebuchet MS"/>
                <w:color w:val="000000"/>
                <w:sz w:val="20"/>
                <w:vertAlign w:val="superscript"/>
              </w:rPr>
              <w:t>144</w:t>
            </w:r>
            <w:r w:rsidRPr="00254090">
              <w:rPr>
                <w:rFonts w:ascii="Trebuchet MS" w:hAnsi="Trebuchet MS" w:cstheme="minorHAnsi"/>
                <w:sz w:val="20"/>
                <w:szCs w:val="20"/>
              </w:rPr>
              <w:fldChar w:fldCharType="end"/>
            </w:r>
            <w:r w:rsidRPr="00254090">
              <w:rPr>
                <w:rFonts w:ascii="Trebuchet MS" w:hAnsi="Trebuchet MS" w:cstheme="minorHAnsi"/>
                <w:sz w:val="20"/>
                <w:szCs w:val="20"/>
              </w:rPr>
              <w:t xml:space="preserve"> </w:t>
            </w:r>
          </w:p>
        </w:tc>
        <w:tc>
          <w:tcPr>
            <w:tcW w:w="1032" w:type="dxa"/>
            <w:shd w:val="clear" w:color="auto" w:fill="FFFFFF" w:themeFill="background1"/>
          </w:tcPr>
          <w:p w14:paraId="0802B2A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Argentina </w:t>
            </w:r>
          </w:p>
        </w:tc>
        <w:tc>
          <w:tcPr>
            <w:tcW w:w="1279" w:type="dxa"/>
            <w:shd w:val="clear" w:color="auto" w:fill="FFFFFF" w:themeFill="background1"/>
          </w:tcPr>
          <w:p w14:paraId="6A8D6C7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Policy Model-Argentina</w:t>
            </w:r>
          </w:p>
          <w:p w14:paraId="4E87E8D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2163" w:type="dxa"/>
            <w:shd w:val="clear" w:color="auto" w:fill="FFFFFF" w:themeFill="background1"/>
          </w:tcPr>
          <w:p w14:paraId="4EFCCD2F"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Estimation of</w:t>
            </w:r>
            <w:r w:rsidRPr="00986A43">
              <w:rPr>
                <w:rFonts w:ascii="Trebuchet MS" w:hAnsi="Trebuchet MS" w:cstheme="minorHAnsi"/>
                <w:sz w:val="20"/>
                <w:szCs w:val="20"/>
              </w:rPr>
              <w:t xml:space="preserve"> the impact of reducing SSB consumption</w:t>
            </w:r>
          </w:p>
          <w:p w14:paraId="535863AF" w14:textId="77777777" w:rsidR="00A34CE6" w:rsidRPr="00986A43" w:rsidRDefault="00A34CE6" w:rsidP="00072EA0">
            <w:pPr>
              <w:pStyle w:val="ListParagraph"/>
              <w:ind w:left="722" w:hanging="425"/>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00F501B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N/</w:t>
            </w:r>
            <w:r>
              <w:rPr>
                <w:rFonts w:ascii="Trebuchet MS" w:hAnsi="Trebuchet MS" w:cstheme="minorHAnsi"/>
                <w:sz w:val="20"/>
                <w:szCs w:val="20"/>
              </w:rPr>
              <w:t>A</w:t>
            </w:r>
          </w:p>
        </w:tc>
        <w:tc>
          <w:tcPr>
            <w:tcW w:w="1657" w:type="dxa"/>
            <w:shd w:val="clear" w:color="auto" w:fill="FFFFFF" w:themeFill="background1"/>
          </w:tcPr>
          <w:p w14:paraId="524FE52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w:t>
            </w:r>
            <w:r w:rsidRPr="00986A43">
              <w:rPr>
                <w:rFonts w:ascii="Trebuchet MS" w:hAnsi="Trebuchet MS" w:cstheme="minorHAnsi"/>
                <w:sz w:val="20"/>
                <w:szCs w:val="20"/>
              </w:rPr>
              <w:t xml:space="preserve"> </w:t>
            </w:r>
          </w:p>
        </w:tc>
        <w:tc>
          <w:tcPr>
            <w:tcW w:w="1586" w:type="dxa"/>
            <w:shd w:val="clear" w:color="auto" w:fill="FFFFFF" w:themeFill="background1"/>
          </w:tcPr>
          <w:p w14:paraId="59E2F39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72A8AAA5"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free, acute CVD events, chronic CVD states, fatal CHD or stroke, non-CVD death</w:t>
            </w:r>
          </w:p>
          <w:p w14:paraId="4BA76943"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22F673E0" w14:textId="4264EC4D" w:rsidR="00A34CE6" w:rsidRPr="00986A43"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6216E549" w14:textId="63C81C8F"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2E49FA59" w14:textId="77777777" w:rsidR="00A34CE6" w:rsidRPr="00986A43"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6716071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roofErr w:type="spellStart"/>
            <w:r>
              <w:rPr>
                <w:rFonts w:ascii="Trebuchet MS" w:hAnsi="Trebuchet MS" w:cstheme="minorHAnsi"/>
                <w:sz w:val="20"/>
                <w:szCs w:val="20"/>
              </w:rPr>
              <w:t>Marklund</w:t>
            </w:r>
            <w:proofErr w:type="spellEnd"/>
            <w:r>
              <w:rPr>
                <w:rFonts w:ascii="Trebuchet MS" w:hAnsi="Trebuchet MS" w:cstheme="minorHAnsi"/>
                <w:sz w:val="20"/>
                <w:szCs w:val="20"/>
              </w:rPr>
              <w:t xml:space="preserve"> et al. (2020)</w:t>
            </w:r>
            <w:r>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{"citationID":"4h4UoH42","properties":{"formattedCitation":"\\super 145\\nosupersub{}","plainCitation":"145","noteIndex":0},"citationItems":[{"id":558,"uris":["http://zotero.org/users/local/fKc2159l/items/M6QBERFV"],"itemData":{"id":558,"type":"article-journal","abstract":"Background\ntrans-fatty acids (TFAs) are a well-known risk factor of ischemic heart disease (IHD). In Australia, the highest TFA intake is concentrated to the most socioeconomically disadvantaged groups. Elimination of industrial TFA (iTFA) from the Australian food supply could result in reduced IHD mortality and morbidity while improving health equity. However, such legislation could lead to additional costs for both government and food industry. Thus, we assessed the potential cost-effectiveness, health gains, and effects on health equality of an iTFA ban from the Australian food supply.\n\nMethods and findings\nMarkov cohort models were used to estimate the impact on IHD burden and health equity, as well as the cost-effectiveness of a national ban of iTFA in Australia. Intake of TFA was assessed using the 2011–2012 Australian National Nutrition and Physical Activity Survey. The IHD burden attributable to TFA was calculated by comparing the current level of TFA intake to a counterfactual setting where consumption was lowered to a theoretical minimum distribution with a mean of 0.5% energy per day (corresponding to TFA intake only from nonindustrial sources, e.g., dairy foods). Policy costs, avoided IHD events and deaths, health-adjusted life years (HALYs) gained, and changes in IHD-related healthcare costs saved were estimated over 10 years and lifetime of the adult Australian population. Cost-effectiveness was assessed by calculation of incremental cost-effectiveness ratios (ICERs) using net policy cost and HALYs gained. Health benefits and healthcare cost changes were also assessed in subgroups based on socioeconomic status, defined by Socio-Economic Indexes for Areas (SEIFA) quintile, and remoteness. Compared to a base case of no ban and current TFA intakes, elimination of iTFA was estimated to prevent 2,294 (95% uncertainty interval [UI]: 1,765; 2,851) IHD deaths and 9,931 (95% UI: 8,429; 11,532) IHD events over the first 10 years. The greatest health benefits were accrued to the most socioeconomically disadvantaged quintiles and among Australians living outside of major cities. The intervention was estimated to be cost saving (net cost &lt;0 AUD) or cost-effective (i.e., ICER &lt; AUD 169,361/HALY) regardless of the time horizon, with ICERs of 1,073 (95% UI: dominant; 3,503) and 1,956 (95% UI: 1,010; 2,750) AUD/HALY over 10 years and lifetime, respectively. Findings were robust across several sensitivity analyses. Key limitations of the study include the lack of recent data of TFA intake and the small sample sizes used to estimate intakes in subgroups. As with all simulation models, our study does not prove that a ban of iTFA will prevent IHD, rather, it provides the best quantitative estimates and corresponding uncertainty of a potential effect in the absence of stronger direct evidence.\n\nConclusions\nOur model estimates that a ban of iTFAs could avert substantial numbers of IHD events and deaths in Australia and would likely be a highly cost-effective strategy to reduce social–economic and urban–rural inequalities in health. These findings suggest that elimination of iTFA can cost-effectively improve health and health equality even in countries with low iTFA intake.\n\nWhy was this study done?\nnull\n\nWhat did the researchers do and find?\nnull\n\nWhat do these findings mean?\nnull","container-title":"PLoS Medicine","DOI":"10.1371/journal.pmed.1003407","ISSN":"1549-1277","issue":"11","journalAbbreviation":"PLoS Med","note":"PMID: 33137090\nPMCID: PMC7605626","page":"e1003407","source":"PubMed Central","title":"Estimated health benefits, costs, and cost-effectiveness of eliminating industrial trans-fatty acids in Australia: A modelling study","title-short":"Estimated health benefits, costs, and cost-effectiveness of eliminating industrial trans-fatty acids in Australia","volume":"17","author":[{"family":"Marklund","given":"Matti"},{"family":"Zheng","given":"Miaobing"},{"family":"Veerman","given":"J. Lennert"},{"family":"Wu","given":"Jason H. Y."}],"issued":{"date-parts":[["2020",11,2]]}}}],"schema":"https://github.com/citation-style-language/schema/raw/master/csl-citation.json"} </w:instrText>
            </w:r>
            <w:r>
              <w:rPr>
                <w:rFonts w:ascii="Trebuchet MS" w:hAnsi="Trebuchet MS" w:cstheme="minorHAnsi"/>
                <w:sz w:val="20"/>
                <w:szCs w:val="20"/>
              </w:rPr>
              <w:fldChar w:fldCharType="separate"/>
            </w:r>
            <w:r w:rsidRPr="008B235A">
              <w:rPr>
                <w:rFonts w:ascii="Trebuchet MS" w:hAnsi="Trebuchet MS"/>
                <w:color w:val="000000"/>
                <w:sz w:val="20"/>
                <w:vertAlign w:val="superscript"/>
              </w:rPr>
              <w:t>145</w:t>
            </w:r>
            <w:r>
              <w:rPr>
                <w:rFonts w:ascii="Trebuchet MS" w:hAnsi="Trebuchet MS" w:cstheme="minorHAnsi"/>
                <w:sz w:val="20"/>
                <w:szCs w:val="20"/>
              </w:rPr>
              <w:fldChar w:fldCharType="end"/>
            </w:r>
          </w:p>
        </w:tc>
        <w:tc>
          <w:tcPr>
            <w:tcW w:w="1032" w:type="dxa"/>
            <w:shd w:val="clear" w:color="auto" w:fill="FFFFFF" w:themeFill="background1"/>
          </w:tcPr>
          <w:p w14:paraId="531BDB1F"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Australia</w:t>
            </w:r>
          </w:p>
        </w:tc>
        <w:tc>
          <w:tcPr>
            <w:tcW w:w="1279" w:type="dxa"/>
            <w:shd w:val="clear" w:color="auto" w:fill="FFFFFF" w:themeFill="background1"/>
          </w:tcPr>
          <w:p w14:paraId="6EB20A34"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3F3E53D8" w14:textId="77777777" w:rsidR="00A34CE6"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Simulate the impact of eliminating trans-fatty acid on the health outcomes</w:t>
            </w:r>
          </w:p>
          <w:p w14:paraId="55234EF9" w14:textId="77777777" w:rsidR="00A34CE6"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4699879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Health sector</w:t>
            </w:r>
          </w:p>
        </w:tc>
        <w:tc>
          <w:tcPr>
            <w:tcW w:w="1657" w:type="dxa"/>
            <w:shd w:val="clear" w:color="auto" w:fill="FFFFFF" w:themeFill="background1"/>
          </w:tcPr>
          <w:p w14:paraId="0AF288B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Markov</w:t>
            </w:r>
          </w:p>
        </w:tc>
        <w:tc>
          <w:tcPr>
            <w:tcW w:w="1586" w:type="dxa"/>
            <w:shd w:val="clear" w:color="auto" w:fill="FFFFFF" w:themeFill="background1"/>
          </w:tcPr>
          <w:p w14:paraId="31F680C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58B63B8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Healthy, IHD, post IHD, death</w:t>
            </w:r>
          </w:p>
        </w:tc>
        <w:tc>
          <w:tcPr>
            <w:tcW w:w="1910" w:type="dxa"/>
            <w:shd w:val="clear" w:color="auto" w:fill="FFFFFF" w:themeFill="background1"/>
          </w:tcPr>
          <w:p w14:paraId="0EFC7F08" w14:textId="754B25C2" w:rsidR="00A34CE6"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1BF077F4" w14:textId="07A20AA9"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23671EA7" w14:textId="77777777" w:rsidR="00A34CE6" w:rsidRPr="00986A43"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460FAD2E"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roofErr w:type="spellStart"/>
            <w:r>
              <w:rPr>
                <w:rFonts w:ascii="Trebuchet MS" w:hAnsi="Trebuchet MS" w:cstheme="minorHAnsi"/>
                <w:sz w:val="20"/>
                <w:szCs w:val="20"/>
              </w:rPr>
              <w:t>Dehmer</w:t>
            </w:r>
            <w:proofErr w:type="spellEnd"/>
            <w:r>
              <w:rPr>
                <w:rFonts w:ascii="Trebuchet MS" w:hAnsi="Trebuchet MS" w:cstheme="minorHAnsi"/>
                <w:sz w:val="20"/>
                <w:szCs w:val="20"/>
              </w:rPr>
              <w:t xml:space="preserve"> et al. (2020)</w:t>
            </w:r>
            <w:r>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{"citationID":"zMwlYS4e","properties":{"formattedCitation":"\\super 146\\nosupersub{}","plainCitation":"146","noteIndex":0},"citationItems":[{"id":727,"uris":["http://zotero.org/users/local/fKc2159l/items/VFI89WRN"],"itemData":{"id":727,"type":"article-journal","language":"en","source":"stacks.cdc.gov","title":"Health and Budgetary Impact of Achieving 10-Year U.S. Sodium Reduction Targets","URL":"https://stacks.cdc.gov/view/cdc/99828","author":[{"family":"Dehmer","given":"Steven P."},{"family":"Cogswell","given":"Mary E."},{"family":"Ritchey","given":"Matthew D."},{"family":"Hong","given":"Yuling"},{"family":"Maciosek","given":"Michael V."},{"family":"LaFrance","given":"Amy B."},{"family":"Roy","given":"Kakoli"}],"accessed":{"date-parts":[["2024",7,18]]}}}],"schema":"https://github.com/citation-style-language/schema/raw/master/csl-citation.json"} </w:instrText>
            </w:r>
            <w:r>
              <w:rPr>
                <w:rFonts w:ascii="Trebuchet MS" w:hAnsi="Trebuchet MS" w:cstheme="minorHAnsi"/>
                <w:sz w:val="20"/>
                <w:szCs w:val="20"/>
              </w:rPr>
              <w:fldChar w:fldCharType="separate"/>
            </w:r>
            <w:r w:rsidRPr="008B235A">
              <w:rPr>
                <w:rFonts w:ascii="Trebuchet MS" w:hAnsi="Trebuchet MS"/>
                <w:color w:val="000000"/>
                <w:sz w:val="20"/>
                <w:vertAlign w:val="superscript"/>
              </w:rPr>
              <w:t>146</w:t>
            </w:r>
            <w:r>
              <w:rPr>
                <w:rFonts w:ascii="Trebuchet MS" w:hAnsi="Trebuchet MS" w:cstheme="minorHAnsi"/>
                <w:sz w:val="20"/>
                <w:szCs w:val="20"/>
              </w:rPr>
              <w:fldChar w:fldCharType="end"/>
            </w:r>
          </w:p>
        </w:tc>
        <w:tc>
          <w:tcPr>
            <w:tcW w:w="1032" w:type="dxa"/>
            <w:shd w:val="clear" w:color="auto" w:fill="FFFFFF" w:themeFill="background1"/>
          </w:tcPr>
          <w:p w14:paraId="6273A69C"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US</w:t>
            </w:r>
          </w:p>
        </w:tc>
        <w:tc>
          <w:tcPr>
            <w:tcW w:w="1279" w:type="dxa"/>
            <w:shd w:val="clear" w:color="auto" w:fill="FFFFFF" w:themeFill="background1"/>
          </w:tcPr>
          <w:p w14:paraId="09CB93E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61F5C79A"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Evaluate prospective CVD related sodium reduction targets</w:t>
            </w:r>
          </w:p>
          <w:p w14:paraId="2CF7521D" w14:textId="77777777" w:rsidR="00A34CE6"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2715DCFB"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Healthcare</w:t>
            </w:r>
          </w:p>
        </w:tc>
        <w:tc>
          <w:tcPr>
            <w:tcW w:w="1657" w:type="dxa"/>
            <w:shd w:val="clear" w:color="auto" w:fill="FFFFFF" w:themeFill="background1"/>
          </w:tcPr>
          <w:p w14:paraId="0CCB56BD"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Microsimulation</w:t>
            </w:r>
          </w:p>
        </w:tc>
        <w:tc>
          <w:tcPr>
            <w:tcW w:w="1586" w:type="dxa"/>
            <w:shd w:val="clear" w:color="auto" w:fill="FFFFFF" w:themeFill="background1"/>
          </w:tcPr>
          <w:p w14:paraId="63FEE484"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4491798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Disease free, hypertension, CVD, post-CVD, death</w:t>
            </w:r>
          </w:p>
        </w:tc>
        <w:tc>
          <w:tcPr>
            <w:tcW w:w="1910" w:type="dxa"/>
            <w:shd w:val="clear" w:color="auto" w:fill="FFFFFF" w:themeFill="background1"/>
          </w:tcPr>
          <w:p w14:paraId="6E7FA413" w14:textId="7BC5D084" w:rsidR="00A34CE6"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r>
              <w:rPr>
                <w:rFonts w:ascii="Trebuchet MS" w:hAnsi="Trebuchet MS" w:cstheme="minorHAnsi"/>
                <w:sz w:val="20"/>
                <w:szCs w:val="20"/>
              </w:rPr>
              <w:t>)</w:t>
            </w:r>
          </w:p>
        </w:tc>
      </w:tr>
      <w:tr w:rsidR="00EF055A" w:rsidRPr="00986A43" w14:paraId="257C0A14" w14:textId="31C64CF6"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733696CA" w14:textId="77777777" w:rsidR="00A34CE6" w:rsidRPr="00986A43"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1043CAB5"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roofErr w:type="spellStart"/>
            <w:r w:rsidRPr="00986A43">
              <w:rPr>
                <w:rFonts w:ascii="Trebuchet MS" w:hAnsi="Trebuchet MS" w:cstheme="minorHAnsi"/>
                <w:sz w:val="20"/>
                <w:szCs w:val="20"/>
              </w:rPr>
              <w:t>Shangguan</w:t>
            </w:r>
            <w:proofErr w:type="spellEnd"/>
            <w:r w:rsidRPr="00986A43">
              <w:rPr>
                <w:rFonts w:ascii="Trebuchet MS" w:hAnsi="Trebuchet MS" w:cstheme="minorHAnsi"/>
                <w:sz w:val="20"/>
                <w:szCs w:val="20"/>
              </w:rPr>
              <w:t xml:space="preserve"> et al. (2021)</w:t>
            </w:r>
            <w:r>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{"citationID":"rDQkP8I1","properties":{"formattedCitation":"\\super 147\\nosupersub{}","plainCitation":"147","noteIndex":0},"citationItems":[{"id":668,"uris":["http://zotero.org/users/local/fKc2159l/items/YA25JJ8L"],"itemData":{"id":668,"type":"article-journal","abstract":"BACKGROUND: High intake of added sugar is linked to weight gain and cardiometabolic risk. In 2018, the US National Salt and Sugar Reduction Initiative proposed government-supported voluntary national sugar reduction targets. This intervention's potential effects and cost-effectiveness are unclear. METHODS: A validated microsimulation model, CVD-PREDICT (Cardiovascular Disease Policy Model for Risk, Events, Detection, Interventions, Costs, and Trends), coded in C++, was used to estimate incremental changes in type 2 diabetes, cardiovascular disease (CVD), quality-adjusted life-years (QALYs), costs, and cost-effectiveness of the US National Salt and Sugar Reduction Initiative policy. The model was run at the individual level, incorporating the annual probability of each person's transition between health statuses on the basis of risk factors. The model incorporated national demographic and dietary data from the National Health and Nutrition Examination Survey across 3 cycles (2011 through 2016), added sugar-related diseases from meta-analyses, and policy costs and health-related costs from established sources. A simulated nationally representative US population was created and followed until age 100 years or death, with 2019 as the year of intervention start. Findings were evaluated over 10 years and a lifetime from health care and societal perspectives. Uncertainty was evaluated in a 1-way analysis by assuming 50% industry compliance and probabilistic sensitivity analyses through a second-order Monte Carlo approach. Model outputs included averted diabetes cases, CVD events and CVD deaths, QALYs gained, and formal health care cost savings, stratified by age, race, income, and education. RESULTS: Achieving the US National Salt and Sugar Reduction Initiative sugar reduction targets could prevent 2.48 million CVD events, 0.49 million CVD deaths, and 0.75 million diabetes cases; gain 6.67 million QALYs; and save $160.88 billion net costs from a societal perspective over a lifetime. The policy became cost-effective (&lt;150 000/QALYs) at 6 years, highly costeffective (&lt;50 000/QALYs) at 7 years, and cost-saving at 9 years. Results were robust from a health care perspective, with lower (50%) industry compliance, and in probabilistic sensitivity analyses. The policy could also reduce disparities, with greatest estimated health gains per million adults among Black or Hispanic individuals, lower income, and less educated Americans. CONCLUSIONS: Implementing and achieving the US National Salt and Sugar Reduction Initiative sugar reformation targets could generate substantial health gains, equity gains, and cost savings.","container-title":"Circulation","DOI":"10.1161/circulationaha.121.053678","ISSN":"0009-7322","note":"PMID: 34445886","page":"1362-1376","title":"Health Impact and Cost-Effectiveness of Achieving the National Salt and Sugar Reduction Initiative Voluntary Sugar Reduction Targets in the United States: A Micro-Simulation Study","author":[{"family":"Shangguan","given":"Siyi"},{"family":"Mozaffarian","given":"Dariush"},{"family":"Sy","given":"Stephen"},{"family":"Lee","given":"Yujin"},{"family":"Liu","given":"Junxiu"},{"family":"Wilde","given":"Parke E."},{"family":"Sharkey","given":"Andrea L."},{"family":"Dowling","given":"Erin A."},{"family":"Marklund","given":"Matti"},{"family":"Abrahams-Gessel","given":"Shafika"},{"family":"Gaziano","given":"Thomas A."},{"family":"Micha","given":"Renata"}],"issued":{"date-parts":[["2021"]]}}}],"schema":"https://github.com/citation-style-language/schema/raw/master/csl-citation.json"} </w:instrText>
            </w:r>
            <w:r>
              <w:rPr>
                <w:rFonts w:ascii="Trebuchet MS" w:hAnsi="Trebuchet MS" w:cstheme="minorHAnsi"/>
                <w:sz w:val="20"/>
                <w:szCs w:val="20"/>
              </w:rPr>
              <w:fldChar w:fldCharType="separate"/>
            </w:r>
            <w:r w:rsidRPr="008B235A">
              <w:rPr>
                <w:rFonts w:ascii="Trebuchet MS" w:hAnsi="Trebuchet MS"/>
                <w:color w:val="000000"/>
                <w:sz w:val="20"/>
                <w:vertAlign w:val="superscript"/>
              </w:rPr>
              <w:t>147</w:t>
            </w:r>
            <w:r>
              <w:rPr>
                <w:rFonts w:ascii="Trebuchet MS" w:hAnsi="Trebuchet MS" w:cstheme="minorHAnsi"/>
                <w:sz w:val="20"/>
                <w:szCs w:val="20"/>
              </w:rPr>
              <w:fldChar w:fldCharType="end"/>
            </w:r>
          </w:p>
        </w:tc>
        <w:tc>
          <w:tcPr>
            <w:tcW w:w="1032" w:type="dxa"/>
            <w:shd w:val="clear" w:color="auto" w:fill="FFFFFF" w:themeFill="background1"/>
          </w:tcPr>
          <w:p w14:paraId="13C436E2"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US</w:t>
            </w:r>
          </w:p>
        </w:tc>
        <w:tc>
          <w:tcPr>
            <w:tcW w:w="1279" w:type="dxa"/>
            <w:shd w:val="clear" w:color="auto" w:fill="FFFFFF" w:themeFill="background1"/>
          </w:tcPr>
          <w:p w14:paraId="697A2742"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CVD-PREDICT</w:t>
            </w:r>
          </w:p>
        </w:tc>
        <w:tc>
          <w:tcPr>
            <w:tcW w:w="2163" w:type="dxa"/>
            <w:shd w:val="clear" w:color="auto" w:fill="FFFFFF" w:themeFill="background1"/>
          </w:tcPr>
          <w:p w14:paraId="0E4100CC" w14:textId="77777777" w:rsidR="00A34CE6"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 xml:space="preserve">Assessment of the </w:t>
            </w:r>
            <w:r w:rsidRPr="008D2334">
              <w:rPr>
                <w:rFonts w:ascii="Trebuchet MS" w:hAnsi="Trebuchet MS" w:cstheme="minorHAnsi"/>
                <w:sz w:val="20"/>
                <w:szCs w:val="20"/>
              </w:rPr>
              <w:t>effect of NSSRI (National Salt and Sugar Initiative) sugar reformulation policy</w:t>
            </w:r>
          </w:p>
          <w:p w14:paraId="6EC84236" w14:textId="77777777" w:rsidR="00A34CE6" w:rsidRPr="008D2334"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13A102FD"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 and societal</w:t>
            </w:r>
          </w:p>
        </w:tc>
        <w:tc>
          <w:tcPr>
            <w:tcW w:w="1657" w:type="dxa"/>
            <w:shd w:val="clear" w:color="auto" w:fill="FFFFFF" w:themeFill="background1"/>
          </w:tcPr>
          <w:p w14:paraId="22FC50A5"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Microsimulation</w:t>
            </w:r>
          </w:p>
        </w:tc>
        <w:tc>
          <w:tcPr>
            <w:tcW w:w="1586" w:type="dxa"/>
            <w:shd w:val="clear" w:color="auto" w:fill="FFFFFF" w:themeFill="background1"/>
          </w:tcPr>
          <w:p w14:paraId="7795067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Lifetime, annual</w:t>
            </w:r>
          </w:p>
        </w:tc>
        <w:tc>
          <w:tcPr>
            <w:tcW w:w="1910" w:type="dxa"/>
            <w:shd w:val="clear" w:color="auto" w:fill="FFFFFF" w:themeFill="background1"/>
          </w:tcPr>
          <w:p w14:paraId="2B251649"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Sugar intake, acute CVD, diabetes, chronic CVD, CVD or non-CVD death</w:t>
            </w:r>
          </w:p>
          <w:p w14:paraId="48D4C450"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1F834DF7" w14:textId="61E3049E"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4AC712A3" w14:textId="0B52B2FB"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229B7304" w14:textId="77777777" w:rsidR="00A34CE6" w:rsidRPr="00986A43" w:rsidRDefault="00A34CE6" w:rsidP="00A34CE6">
            <w:pPr>
              <w:pStyle w:val="ListParagraph"/>
              <w:numPr>
                <w:ilvl w:val="0"/>
                <w:numId w:val="2"/>
              </w:numPr>
              <w:rPr>
                <w:rFonts w:ascii="Trebuchet MS" w:hAnsi="Trebuchet MS" w:cstheme="minorHAnsi"/>
                <w:sz w:val="20"/>
                <w:szCs w:val="20"/>
              </w:rPr>
            </w:pPr>
            <w:bookmarkStart w:id="1" w:name="_Hlk137166120"/>
          </w:p>
        </w:tc>
        <w:tc>
          <w:tcPr>
            <w:tcW w:w="1162" w:type="dxa"/>
            <w:shd w:val="clear" w:color="auto" w:fill="FFFFFF" w:themeFill="background1"/>
          </w:tcPr>
          <w:p w14:paraId="40981A73" w14:textId="77777777" w:rsidR="00A34CE6" w:rsidRPr="005464BB"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5464BB">
              <w:rPr>
                <w:rFonts w:ascii="Trebuchet MS" w:hAnsi="Trebuchet MS" w:cstheme="minorHAnsi"/>
                <w:sz w:val="20"/>
                <w:szCs w:val="20"/>
              </w:rPr>
              <w:t>Ikeda et al. (2022)</w:t>
            </w:r>
            <w:r w:rsidRPr="005464BB">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{"citationID":"kbCFmy9m","properties":{"formattedCitation":"\\super 148\\nosupersub{}","plainCitation":"148","noteIndex":0},"citationItems":[{"id":721,"uris":["http://zotero.org/users/local/fKc2159l/items/Q7U4UY53"],"itemData":{"id":721,"type":"article-journal","abstract":"Reducing population dietary salt intake is expected to help prevent cardiovascular disease and thus constrain increasing national healthcare expenditures in Japan’s super-aged society. We aimed to estimate the impact of achieving global and national salt-reduction targets (8, &lt;6, and &lt;5 grams/day) on cardiovascular events and national healthcare spending in Japan. Using published data including mean salt intake and systolic blood pressure from the 2019 National Health and Nutrition Survey, we developed a Markov model of a closed cohort of adults aged 40−79 years in 2019 (n = 66,955,000) transitioning among six health states based on the disease course of ischemic heart disease (IHD) and stroke. If mean salt intake were to remain at 2019 levels over 10 years, cumulative incident cases in the cohort would be approximately 2.0 million for IHD and 2.6 million for stroke, costing USD 61.6 billion for IHD and USD 104.6 billion for stroke. Compared with the status quo, reducing mean salt intake towards the targets over 10 years would avert 1−3% of IHD and stroke events and save up to 2% of related national healthcare costs. Attaining dietary salt-reduction goals among adults would yield moderate health economic benefits in Japan.","container-title":"Nutrients","DOI":"10.3390/nu14173606","ISSN":"2072-6643","issue":"17","journalAbbreviation":"Nutrients","language":"eng","note":"PMID: 36079865\nPMCID: PMC9460310","page":"3606","source":"PubMed","title":"Reduction of Cardiovascular Events and Related Healthcare Expenditures through Achieving Population-Level Targets of Dietary Salt Intake in Japan: A Simulation Model Based on the National Health and Nutrition Survey","title-short":"Reduction of Cardiovascular Events and Related Healthcare Expenditures through Achieving Population-Level Targets of Dietary Salt Intake in Japan","volume":"14","author":[{"family":"Ikeda","given":"Nayu"},{"family":"Yamashita","given":"Hitomi"},{"family":"Hattori","given":"Jun"},{"family":"Kato","given":"Hiroki"},{"family":"Yoshita","given":"Katsushi"},{"family":"Nishi","given":"Nobuo"}],"issued":{"date-parts":[["2022",8,31]]}}}],"schema":"https://github.com/citation-style-language/schema/raw/master/csl-citation.json"} </w:instrText>
            </w:r>
            <w:r w:rsidRPr="005464BB">
              <w:rPr>
                <w:rFonts w:ascii="Trebuchet MS" w:hAnsi="Trebuchet MS" w:cstheme="minorHAnsi"/>
                <w:sz w:val="20"/>
                <w:szCs w:val="20"/>
              </w:rPr>
              <w:fldChar w:fldCharType="separate"/>
            </w:r>
            <w:r w:rsidRPr="008B235A">
              <w:rPr>
                <w:rFonts w:ascii="Trebuchet MS" w:hAnsi="Trebuchet MS"/>
                <w:color w:val="000000"/>
                <w:sz w:val="20"/>
                <w:vertAlign w:val="superscript"/>
              </w:rPr>
              <w:t>148</w:t>
            </w:r>
            <w:r w:rsidRPr="005464BB">
              <w:rPr>
                <w:rFonts w:ascii="Trebuchet MS" w:hAnsi="Trebuchet MS" w:cstheme="minorHAnsi"/>
                <w:sz w:val="20"/>
                <w:szCs w:val="20"/>
              </w:rPr>
              <w:fldChar w:fldCharType="end"/>
            </w:r>
          </w:p>
        </w:tc>
        <w:tc>
          <w:tcPr>
            <w:tcW w:w="1032" w:type="dxa"/>
            <w:shd w:val="clear" w:color="auto" w:fill="FFFFFF" w:themeFill="background1"/>
          </w:tcPr>
          <w:p w14:paraId="263B77E2"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Japan</w:t>
            </w:r>
          </w:p>
        </w:tc>
        <w:tc>
          <w:tcPr>
            <w:tcW w:w="1279" w:type="dxa"/>
            <w:shd w:val="clear" w:color="auto" w:fill="FFFFFF" w:themeFill="background1"/>
          </w:tcPr>
          <w:p w14:paraId="5272E53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1CD0D0E4"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Projection of</w:t>
            </w:r>
            <w:r w:rsidRPr="00986A43">
              <w:rPr>
                <w:rFonts w:ascii="Trebuchet MS" w:hAnsi="Trebuchet MS" w:cstheme="minorHAnsi"/>
                <w:sz w:val="20"/>
                <w:szCs w:val="20"/>
              </w:rPr>
              <w:t xml:space="preserve"> health</w:t>
            </w:r>
          </w:p>
          <w:p w14:paraId="11EA871C" w14:textId="77777777" w:rsidR="00A34CE6" w:rsidRPr="002E2149"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2E2149">
              <w:rPr>
                <w:rFonts w:ascii="Trebuchet MS" w:hAnsi="Trebuchet MS" w:cstheme="minorHAnsi"/>
                <w:sz w:val="20"/>
                <w:szCs w:val="20"/>
              </w:rPr>
              <w:t>and economic benefits of dietary salt reduction policies in Japan</w:t>
            </w:r>
          </w:p>
        </w:tc>
        <w:tc>
          <w:tcPr>
            <w:tcW w:w="1283" w:type="dxa"/>
            <w:shd w:val="clear" w:color="auto" w:fill="FFFFFF" w:themeFill="background1"/>
          </w:tcPr>
          <w:p w14:paraId="6D4DED33"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w:t>
            </w:r>
          </w:p>
        </w:tc>
        <w:tc>
          <w:tcPr>
            <w:tcW w:w="1657" w:type="dxa"/>
            <w:shd w:val="clear" w:color="auto" w:fill="FFFFFF" w:themeFill="background1"/>
          </w:tcPr>
          <w:p w14:paraId="6191A7EC"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65D03583"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7FA1DD3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Healthy, chronic</w:t>
            </w:r>
          </w:p>
          <w:p w14:paraId="7FB1A0FC"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IHD, chronic stroke, death from IHD, death from stroke, and death from other causes</w:t>
            </w:r>
          </w:p>
          <w:p w14:paraId="5C79E15A"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7EA90E23" w14:textId="2185EFEF" w:rsidR="00A34CE6" w:rsidRPr="00986A43"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r>
              <w:rPr>
                <w:rFonts w:ascii="Trebuchet MS" w:hAnsi="Trebuchet MS" w:cstheme="minorHAnsi"/>
                <w:sz w:val="20"/>
                <w:szCs w:val="20"/>
              </w:rPr>
              <w:t>)</w:t>
            </w:r>
          </w:p>
        </w:tc>
      </w:tr>
      <w:tr w:rsidR="00EF055A" w:rsidRPr="00986A43" w14:paraId="15215E83" w14:textId="36905571"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5222C1FE" w14:textId="77777777" w:rsidR="00A34CE6" w:rsidRPr="00986A43"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1A7911C1" w14:textId="77777777" w:rsidR="00A34CE6" w:rsidRPr="005464BB"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roofErr w:type="spellStart"/>
            <w:r w:rsidRPr="005464BB">
              <w:rPr>
                <w:rFonts w:ascii="Trebuchet MS" w:hAnsi="Trebuchet MS" w:cstheme="minorHAnsi"/>
                <w:sz w:val="20"/>
                <w:szCs w:val="20"/>
              </w:rPr>
              <w:t>Marquina</w:t>
            </w:r>
            <w:proofErr w:type="spellEnd"/>
            <w:r w:rsidRPr="005464BB">
              <w:rPr>
                <w:rFonts w:ascii="Trebuchet MS" w:hAnsi="Trebuchet MS" w:cstheme="minorHAnsi"/>
                <w:sz w:val="20"/>
                <w:szCs w:val="20"/>
              </w:rPr>
              <w:t xml:space="preserve"> et al. (2022)</w:t>
            </w:r>
            <w:r w:rsidRPr="005464BB">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{"citationID":"HntRWC1j","properties":{"formattedCitation":"\\super 149\\nosupersub{}","plainCitation":"149","noteIndex":0},"citationItems":[{"id":705,"uris":["http://zotero.org/users/local/fKc2159l/items/PG8DXYYT"],"itemData":{"id":705,"type":"article-journal","abstract":"AIMS: To estimate the health and economic burden of new and established cardiovascular disease from 2020 to 2029 in Australia.\nMETHODS AND RESULTS: A two-stage multistate dynamic model was developed to predict the burden of the incident and prevalent cardiovascular disease, for Australians 40-90</w:instrText>
            </w:r>
            <w:r>
              <w:rPr>
                <w:rFonts w:ascii="Arial" w:hAnsi="Arial" w:cs="Arial"/>
                <w:sz w:val="20"/>
                <w:szCs w:val="20"/>
              </w:rPr>
              <w:instrText> </w:instrText>
            </w:r>
            <w:r>
              <w:rPr>
                <w:rFonts w:ascii="Trebuchet MS" w:hAnsi="Trebuchet MS" w:cstheme="minorHAnsi"/>
                <w:sz w:val="20"/>
                <w:szCs w:val="20"/>
              </w:rPr>
              <w:instrText>years old from 2020 to 2029. The model captured morbidity, mortality, years of life lived, quality-adjusted life years, healthcare costs, and productivity losses. Cardiovascular risk for the primary prevention population was derived using Australian demographic data and the Pooled Cohort Equation. Risk for the secondary prevention population was derived from the REACH registry. Input data for costs and utilities were extracted from published sources. All outcomes were annually discounted by 5%. A number of sensitivity analyses were undertaken to test the robustness of the study. Between 2020 and 2029, the model estimates 377</w:instrText>
            </w:r>
            <w:r>
              <w:rPr>
                <w:rFonts w:ascii="Arial" w:hAnsi="Arial" w:cs="Arial"/>
                <w:sz w:val="20"/>
                <w:szCs w:val="20"/>
              </w:rPr>
              <w:instrText> </w:instrText>
            </w:r>
            <w:r>
              <w:rPr>
                <w:rFonts w:ascii="Trebuchet MS" w:hAnsi="Trebuchet MS" w:cstheme="minorHAnsi"/>
                <w:sz w:val="20"/>
                <w:szCs w:val="20"/>
              </w:rPr>
              <w:instrText>754 fatal and 991</w:instrText>
            </w:r>
            <w:r>
              <w:rPr>
                <w:rFonts w:ascii="Arial" w:hAnsi="Arial" w:cs="Arial"/>
                <w:sz w:val="20"/>
                <w:szCs w:val="20"/>
              </w:rPr>
              <w:instrText> </w:instrText>
            </w:r>
            <w:r>
              <w:rPr>
                <w:rFonts w:ascii="Trebuchet MS" w:hAnsi="Trebuchet MS" w:cstheme="minorHAnsi"/>
                <w:sz w:val="20"/>
                <w:szCs w:val="20"/>
              </w:rPr>
              <w:instrText>375 non-fatal cardiovascular events. By 2029, 1</w:instrText>
            </w:r>
            <w:r>
              <w:rPr>
                <w:rFonts w:ascii="Arial" w:hAnsi="Arial" w:cs="Arial"/>
                <w:sz w:val="20"/>
                <w:szCs w:val="20"/>
              </w:rPr>
              <w:instrText> </w:instrText>
            </w:r>
            <w:r>
              <w:rPr>
                <w:rFonts w:ascii="Trebuchet MS" w:hAnsi="Trebuchet MS" w:cstheme="minorHAnsi"/>
                <w:sz w:val="20"/>
                <w:szCs w:val="20"/>
              </w:rPr>
              <w:instrText>061</w:instrText>
            </w:r>
            <w:r>
              <w:rPr>
                <w:rFonts w:ascii="Arial" w:hAnsi="Arial" w:cs="Arial"/>
                <w:sz w:val="20"/>
                <w:szCs w:val="20"/>
              </w:rPr>
              <w:instrText> </w:instrText>
            </w:r>
            <w:r>
              <w:rPr>
                <w:rFonts w:ascii="Trebuchet MS" w:hAnsi="Trebuchet MS" w:cstheme="minorHAnsi"/>
                <w:sz w:val="20"/>
                <w:szCs w:val="20"/>
              </w:rPr>
              <w:instrText>756 Australians will have prevalent cardiovascular disease (CVD). The population accrued 8</w:instrText>
            </w:r>
            <w:r>
              <w:rPr>
                <w:rFonts w:ascii="Arial" w:hAnsi="Arial" w:cs="Arial"/>
                <w:sz w:val="20"/>
                <w:szCs w:val="20"/>
              </w:rPr>
              <w:instrText> </w:instrText>
            </w:r>
            <w:r>
              <w:rPr>
                <w:rFonts w:ascii="Trebuchet MS" w:hAnsi="Trebuchet MS" w:cstheme="minorHAnsi"/>
                <w:sz w:val="20"/>
                <w:szCs w:val="20"/>
              </w:rPr>
              <w:instrText>815</w:instrText>
            </w:r>
            <w:r>
              <w:rPr>
                <w:rFonts w:ascii="Arial" w:hAnsi="Arial" w:cs="Arial"/>
                <w:sz w:val="20"/>
                <w:szCs w:val="20"/>
              </w:rPr>
              <w:instrText> </w:instrText>
            </w:r>
            <w:r>
              <w:rPr>
                <w:rFonts w:ascii="Trebuchet MS" w:hAnsi="Trebuchet MS" w:cstheme="minorHAnsi"/>
                <w:sz w:val="20"/>
                <w:szCs w:val="20"/>
              </w:rPr>
              <w:instrText>271 [95% uncertainty interval (UI) 8</w:instrText>
            </w:r>
            <w:r>
              <w:rPr>
                <w:rFonts w:ascii="Arial" w:hAnsi="Arial" w:cs="Arial"/>
                <w:sz w:val="20"/>
                <w:szCs w:val="20"/>
              </w:rPr>
              <w:instrText> </w:instrText>
            </w:r>
            <w:r>
              <w:rPr>
                <w:rFonts w:ascii="Trebuchet MS" w:hAnsi="Trebuchet MS" w:cstheme="minorHAnsi"/>
                <w:sz w:val="20"/>
                <w:szCs w:val="20"/>
              </w:rPr>
              <w:instrText>805</w:instrText>
            </w:r>
            <w:r>
              <w:rPr>
                <w:rFonts w:ascii="Arial" w:hAnsi="Arial" w:cs="Arial"/>
                <w:sz w:val="20"/>
                <w:szCs w:val="20"/>
              </w:rPr>
              <w:instrText> </w:instrText>
            </w:r>
            <w:r>
              <w:rPr>
                <w:rFonts w:ascii="Trebuchet MS" w:hAnsi="Trebuchet MS" w:cstheme="minorHAnsi"/>
                <w:sz w:val="20"/>
                <w:szCs w:val="20"/>
              </w:rPr>
              <w:instrText>083-8</w:instrText>
            </w:r>
            <w:r>
              <w:rPr>
                <w:rFonts w:ascii="Arial" w:hAnsi="Arial" w:cs="Arial"/>
                <w:sz w:val="20"/>
                <w:szCs w:val="20"/>
              </w:rPr>
              <w:instrText> </w:instrText>
            </w:r>
            <w:r>
              <w:rPr>
                <w:rFonts w:ascii="Trebuchet MS" w:hAnsi="Trebuchet MS" w:cstheme="minorHAnsi"/>
                <w:sz w:val="20"/>
                <w:szCs w:val="20"/>
              </w:rPr>
              <w:instrText>841</w:instrText>
            </w:r>
            <w:r>
              <w:rPr>
                <w:rFonts w:ascii="Arial" w:hAnsi="Arial" w:cs="Arial"/>
                <w:sz w:val="20"/>
                <w:szCs w:val="20"/>
              </w:rPr>
              <w:instrText> </w:instrText>
            </w:r>
            <w:r>
              <w:rPr>
                <w:rFonts w:ascii="Trebuchet MS" w:hAnsi="Trebuchet MS" w:cstheme="minorHAnsi"/>
                <w:sz w:val="20"/>
                <w:szCs w:val="20"/>
              </w:rPr>
              <w:instrText>432] years of life lived with CVD and 5</w:instrText>
            </w:r>
            <w:r>
              <w:rPr>
                <w:rFonts w:ascii="Arial" w:hAnsi="Arial" w:cs="Arial"/>
                <w:sz w:val="20"/>
                <w:szCs w:val="20"/>
              </w:rPr>
              <w:instrText> </w:instrText>
            </w:r>
            <w:r>
              <w:rPr>
                <w:rFonts w:ascii="Trebuchet MS" w:hAnsi="Trebuchet MS" w:cstheme="minorHAnsi"/>
                <w:sz w:val="20"/>
                <w:szCs w:val="20"/>
              </w:rPr>
              <w:instrText>876</w:instrText>
            </w:r>
            <w:r>
              <w:rPr>
                <w:rFonts w:ascii="Arial" w:hAnsi="Arial" w:cs="Arial"/>
                <w:sz w:val="20"/>
                <w:szCs w:val="20"/>
              </w:rPr>
              <w:instrText> </w:instrText>
            </w:r>
            <w:r>
              <w:rPr>
                <w:rFonts w:ascii="Trebuchet MS" w:hAnsi="Trebuchet MS" w:cstheme="minorHAnsi"/>
                <w:sz w:val="20"/>
                <w:szCs w:val="20"/>
              </w:rPr>
              <w:instrText>975 (5</w:instrText>
            </w:r>
            <w:r>
              <w:rPr>
                <w:rFonts w:ascii="Arial" w:hAnsi="Arial" w:cs="Arial"/>
                <w:sz w:val="20"/>
                <w:szCs w:val="20"/>
              </w:rPr>
              <w:instrText> </w:instrText>
            </w:r>
            <w:r>
              <w:rPr>
                <w:rFonts w:ascii="Trebuchet MS" w:hAnsi="Trebuchet MS" w:cstheme="minorHAnsi"/>
                <w:sz w:val="20"/>
                <w:szCs w:val="20"/>
              </w:rPr>
              <w:instrText>551</w:instrText>
            </w:r>
            <w:r>
              <w:rPr>
                <w:rFonts w:ascii="Arial" w:hAnsi="Arial" w:cs="Arial"/>
                <w:sz w:val="20"/>
                <w:szCs w:val="20"/>
              </w:rPr>
              <w:instrText> </w:instrText>
            </w:r>
            <w:r>
              <w:rPr>
                <w:rFonts w:ascii="Trebuchet MS" w:hAnsi="Trebuchet MS" w:cstheme="minorHAnsi"/>
                <w:sz w:val="20"/>
                <w:szCs w:val="20"/>
              </w:rPr>
              <w:instrText>484-6</w:instrText>
            </w:r>
            <w:r>
              <w:rPr>
                <w:rFonts w:ascii="Arial" w:hAnsi="Arial" w:cs="Arial"/>
                <w:sz w:val="20"/>
                <w:szCs w:val="20"/>
              </w:rPr>
              <w:instrText> </w:instrText>
            </w:r>
            <w:r>
              <w:rPr>
                <w:rFonts w:ascii="Trebuchet MS" w:hAnsi="Trebuchet MS" w:cstheme="minorHAnsi"/>
                <w:sz w:val="20"/>
                <w:szCs w:val="20"/>
              </w:rPr>
              <w:instrText>226</w:instrText>
            </w:r>
            <w:r>
              <w:rPr>
                <w:rFonts w:ascii="Arial" w:hAnsi="Arial" w:cs="Arial"/>
                <w:sz w:val="20"/>
                <w:szCs w:val="20"/>
              </w:rPr>
              <w:instrText> </w:instrText>
            </w:r>
            <w:r>
              <w:rPr>
                <w:rFonts w:ascii="Trebuchet MS" w:hAnsi="Trebuchet MS" w:cstheme="minorHAnsi"/>
                <w:sz w:val="20"/>
                <w:szCs w:val="20"/>
              </w:rPr>
              <w:instrText xml:space="preserve">045) QALYs. The total healthcare costs of CVD were projected to exceed Australian dollars (AUD) 61.89 (61.79-88.66) billion, and productivity losses will account for AUD 78.75 (49.40-295.25) billion, driving the total cost to surpass AUD 140.65 (123.13-370.23) billion.\nCONCLUSION: Cardiovascular disease in Australia has substantial impacts in terms of morbidity, mortality, and lost revenue to the healthcare system and the society. Our modelling provides important information for decision making in relation to the future burden of cardiovascular disease.","container-title":"European Journal of Preventive Cardiology","DOI":"10.1093/eurjpc/zwab001","ISSN":"2047-4881","issue":"8","journalAbbreviation":"Eur J Prev Cardiol","language":"eng","note":"PMID: 33686414","page":"1212-1219","source":"PubMed","title":"Future burden of cardiovascular disease in Australia: impact on health and economic outcomes between 2020 and 2029","title-short":"Future burden of cardiovascular disease in Australia","volume":"29","author":[{"family":"Marquina","given":"Clara"},{"family":"Talic","given":"Stella"},{"family":"Vargas-Torres","given":"Sandra"},{"family":"Petrova","given":"Marjana"},{"family":"Abushanab","given":"Dina"},{"family":"Owen","given":"Alice"},{"family":"Lybrand","given":"Sean"},{"family":"Thomson","given":"David"},{"family":"Liew","given":"Danny"},{"family":"Zomer","given":"Ella"},{"family":"Ademi","given":"Zanfina"}],"issued":{"date-parts":[["2022",5,27]]}}}],"schema":"https://github.com/citation-style-language/schema/raw/master/csl-citation.json"} </w:instrText>
            </w:r>
            <w:r w:rsidRPr="005464BB">
              <w:rPr>
                <w:rFonts w:ascii="Trebuchet MS" w:hAnsi="Trebuchet MS" w:cstheme="minorHAnsi"/>
                <w:sz w:val="20"/>
                <w:szCs w:val="20"/>
              </w:rPr>
              <w:fldChar w:fldCharType="separate"/>
            </w:r>
            <w:r w:rsidRPr="008B235A">
              <w:rPr>
                <w:rFonts w:ascii="Trebuchet MS" w:hAnsi="Trebuchet MS"/>
                <w:color w:val="000000"/>
                <w:sz w:val="20"/>
                <w:vertAlign w:val="superscript"/>
              </w:rPr>
              <w:t>149</w:t>
            </w:r>
            <w:r w:rsidRPr="005464BB">
              <w:rPr>
                <w:rFonts w:ascii="Trebuchet MS" w:hAnsi="Trebuchet MS" w:cstheme="minorHAnsi"/>
                <w:sz w:val="20"/>
                <w:szCs w:val="20"/>
              </w:rPr>
              <w:fldChar w:fldCharType="end"/>
            </w:r>
          </w:p>
        </w:tc>
        <w:tc>
          <w:tcPr>
            <w:tcW w:w="1032" w:type="dxa"/>
            <w:shd w:val="clear" w:color="auto" w:fill="FFFFFF" w:themeFill="background1"/>
          </w:tcPr>
          <w:p w14:paraId="31AAE2D8"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Australia</w:t>
            </w:r>
          </w:p>
        </w:tc>
        <w:tc>
          <w:tcPr>
            <w:tcW w:w="1279" w:type="dxa"/>
            <w:shd w:val="clear" w:color="auto" w:fill="FFFFFF" w:themeFill="background1"/>
          </w:tcPr>
          <w:p w14:paraId="03CD481F" w14:textId="77777777" w:rsidR="00A34CE6"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w:t>
            </w:r>
          </w:p>
        </w:tc>
        <w:tc>
          <w:tcPr>
            <w:tcW w:w="2163" w:type="dxa"/>
            <w:shd w:val="clear" w:color="auto" w:fill="FFFFFF" w:themeFill="background1"/>
          </w:tcPr>
          <w:p w14:paraId="755483F5"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Estimation of</w:t>
            </w:r>
            <w:r w:rsidRPr="00986A43">
              <w:rPr>
                <w:rFonts w:ascii="Trebuchet MS" w:hAnsi="Trebuchet MS" w:cstheme="minorHAnsi"/>
                <w:sz w:val="20"/>
                <w:szCs w:val="20"/>
              </w:rPr>
              <w:t xml:space="preserve"> health and economic burden of new and established </w:t>
            </w:r>
            <w:proofErr w:type="gramStart"/>
            <w:r>
              <w:rPr>
                <w:rFonts w:ascii="Trebuchet MS" w:hAnsi="Trebuchet MS" w:cstheme="minorHAnsi"/>
                <w:sz w:val="20"/>
                <w:szCs w:val="20"/>
              </w:rPr>
              <w:t>CVD;</w:t>
            </w:r>
            <w:proofErr w:type="gramEnd"/>
          </w:p>
          <w:p w14:paraId="46573EC5" w14:textId="77777777" w:rsidR="00A34CE6"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1C0FF3A5"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Societal</w:t>
            </w:r>
          </w:p>
        </w:tc>
        <w:tc>
          <w:tcPr>
            <w:tcW w:w="1657" w:type="dxa"/>
            <w:shd w:val="clear" w:color="auto" w:fill="FFFFFF" w:themeFill="background1"/>
          </w:tcPr>
          <w:p w14:paraId="2B02BFE2"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Markov</w:t>
            </w:r>
          </w:p>
        </w:tc>
        <w:tc>
          <w:tcPr>
            <w:tcW w:w="1586" w:type="dxa"/>
            <w:shd w:val="clear" w:color="auto" w:fill="FFFFFF" w:themeFill="background1"/>
          </w:tcPr>
          <w:p w14:paraId="35117D28"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20 years, annual</w:t>
            </w:r>
          </w:p>
        </w:tc>
        <w:tc>
          <w:tcPr>
            <w:tcW w:w="1910" w:type="dxa"/>
            <w:shd w:val="clear" w:color="auto" w:fill="FFFFFF" w:themeFill="background1"/>
          </w:tcPr>
          <w:p w14:paraId="7AFB48B6"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No event, CVD, CVD and non-CVD death </w:t>
            </w:r>
          </w:p>
        </w:tc>
        <w:tc>
          <w:tcPr>
            <w:tcW w:w="1910" w:type="dxa"/>
            <w:shd w:val="clear" w:color="auto" w:fill="FFFFFF" w:themeFill="background1"/>
          </w:tcPr>
          <w:p w14:paraId="5A2AAC23" w14:textId="23BCA157" w:rsidR="00A34CE6" w:rsidRPr="00986A43" w:rsidRDefault="00EF055A"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w:t>
            </w:r>
            <w:r>
              <w:rPr>
                <w:rFonts w:ascii="Trebuchet MS" w:hAnsi="Trebuchet MS" w:cstheme="minorHAnsi"/>
                <w:sz w:val="20"/>
                <w:szCs w:val="20"/>
              </w:rPr>
              <w:t>P</w:t>
            </w:r>
            <w:r>
              <w:rPr>
                <w:rFonts w:ascii="Trebuchet MS" w:hAnsi="Trebuchet MS" w:cstheme="minorHAnsi"/>
                <w:sz w:val="20"/>
                <w:szCs w:val="20"/>
              </w:rPr>
              <w:t>SA)</w:t>
            </w:r>
          </w:p>
        </w:tc>
      </w:tr>
      <w:tr w:rsidR="00EF055A" w:rsidRPr="00986A43" w14:paraId="6EC49F69" w14:textId="321A9D9F" w:rsidTr="00EF05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3C338CC0" w14:textId="77777777" w:rsidR="00A34CE6"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20AB6E54" w14:textId="77777777" w:rsidR="00A34CE6" w:rsidRPr="005464BB"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Thomas et al.</w:t>
            </w:r>
            <w:r w:rsidRPr="005464BB">
              <w:rPr>
                <w:rFonts w:ascii="Trebuchet MS" w:hAnsi="Trebuchet MS" w:cstheme="minorHAnsi"/>
                <w:sz w:val="20"/>
                <w:szCs w:val="20"/>
              </w:rPr>
              <w:t xml:space="preserve"> (2022)</w:t>
            </w:r>
            <w:r>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{"citationID":"Kh2nZTsM","properties":{"formattedCitation":"\\super 150\\nosupersub{}","plainCitation":"150","noteIndex":0},"citationItems":[{"id":729,"uris":["http://zotero.org/users/local/fKc2159l/items/6TJ9DPMP"],"itemData":{"id":729,"type":"article-journal","abstract":"Policies aimed at restricting the marketing of high fat, salt and sugar products have been proposed as one way of improving population diet and reducing obesity. In 2019, Transport for London implemented advertising restrictions on high fat, salt and sugar products. A controlled interrupted time-series analysis comparing London with a north of England control, suggested that the advertising restrictions had resulted in a reduction in household energy purchases. The aim of the study presented here was to estimate the health benefits, cost savings and equity impacts of the Transport for London policy using a health economic modelling approach, from an English National Health Service and personal social services perspective. A diabetes prevention microsimulation model was modified to incorporate the London population and Transport for London advertising intervention. Conversion of calorie to body mass index reduction was mediated through an approximation of a mathematical model estimating weight loss. Outcomes gathered included incremental obesity, long-term diabetes and cardiovascular disease events, quality-adjusted life years, healthcare costs saved and net monetary benefit. Slope index of inequality was calculated for proportion of people with obesity across socioeconomic groups to assess equity impacts. The results show that the Transport for London policy was estimated to have resulted in 94,867 (4.8%) fewer individuals with obesity, and to reduce incidence of diabetes and cardiovascular disease by 2,857 and 1,915 cases respectively within three years post intervention. The policy would produce an estimated 16,394 additional quality-adjusted life-years and save £218 m in NHS and social care costs over the lifetime of the current population. Greater benefits (e.g. a 37% higher gain in quality-adjusted life-years) were expected to accrue to individuals from the most socioeconomically deprived groups compared to the least deprived. This analysis suggests that there are considerable potential health and economic gains from restricting the advertisement of high fat, salt and sugar products. The population health and economic impacts of the Transport for London advertising restrictions are likely to have reduced health inequalities in London.","container-title":"International Journal of Behavioral Nutrition and Physical Activity","DOI":"10.1186/s12966-022-01331-y","ISSN":"1479-5868","issue":"1","journalAbbreviation":"Int J Behav Nutr Phys Act","language":"en","license":"2022 The Author(s)","note":"number: 1\npublisher: BioMed Central","page":"1-12","source":"ijbnpa.biomedcentral.com","title":"The health, cost and equity impacts of restrictions on the advertisement of high fat, salt and sugar products across the transport for London network: a health economic modelling study","title-short":"The health, cost and equity impacts of restrictions on the advertisement of high fat, salt and sugar products across the transport for London network","volume":"19","author":[{"family":"Thomas","given":"Chloe"},{"family":"Breeze","given":"Penny"},{"family":"Cummins","given":"Steven"},{"family":"Cornelsen","given":"Laura"},{"family":"Yau","given":"Amy"},{"family":"Brennan","given":"Alan"}],"issued":{"date-parts":[["2022",12]]}}}],"schema":"https://github.com/citation-style-language/schema/raw/master/csl-citation.json"} </w:instrText>
            </w:r>
            <w:r>
              <w:rPr>
                <w:rFonts w:ascii="Trebuchet MS" w:hAnsi="Trebuchet MS" w:cstheme="minorHAnsi"/>
                <w:sz w:val="20"/>
                <w:szCs w:val="20"/>
              </w:rPr>
              <w:fldChar w:fldCharType="separate"/>
            </w:r>
            <w:r w:rsidRPr="008B235A">
              <w:rPr>
                <w:rFonts w:ascii="Trebuchet MS" w:hAnsi="Trebuchet MS"/>
                <w:sz w:val="20"/>
                <w:vertAlign w:val="superscript"/>
              </w:rPr>
              <w:t>150</w:t>
            </w:r>
            <w:r>
              <w:rPr>
                <w:rFonts w:ascii="Trebuchet MS" w:hAnsi="Trebuchet MS" w:cstheme="minorHAnsi"/>
                <w:sz w:val="20"/>
                <w:szCs w:val="20"/>
              </w:rPr>
              <w:fldChar w:fldCharType="end"/>
            </w:r>
            <w:r w:rsidRPr="005464BB">
              <w:rPr>
                <w:rFonts w:ascii="Trebuchet MS" w:hAnsi="Trebuchet MS" w:cstheme="minorHAnsi"/>
                <w:sz w:val="20"/>
                <w:szCs w:val="20"/>
              </w:rPr>
              <w:t xml:space="preserve"> </w:t>
            </w:r>
          </w:p>
        </w:tc>
        <w:tc>
          <w:tcPr>
            <w:tcW w:w="1032" w:type="dxa"/>
            <w:shd w:val="clear" w:color="auto" w:fill="FFFFFF" w:themeFill="background1"/>
          </w:tcPr>
          <w:p w14:paraId="6BB4586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England</w:t>
            </w:r>
          </w:p>
        </w:tc>
        <w:tc>
          <w:tcPr>
            <w:tcW w:w="1279" w:type="dxa"/>
            <w:shd w:val="clear" w:color="auto" w:fill="FFFFFF" w:themeFill="background1"/>
          </w:tcPr>
          <w:p w14:paraId="00B0DAC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SPHR model</w:t>
            </w:r>
          </w:p>
        </w:tc>
        <w:tc>
          <w:tcPr>
            <w:tcW w:w="2163" w:type="dxa"/>
            <w:shd w:val="clear" w:color="auto" w:fill="FFFFFF" w:themeFill="background1"/>
          </w:tcPr>
          <w:p w14:paraId="1BC629AA"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Estimation of</w:t>
            </w:r>
            <w:r w:rsidRPr="00986A43">
              <w:rPr>
                <w:rFonts w:ascii="Trebuchet MS" w:hAnsi="Trebuchet MS" w:cstheme="minorHAnsi"/>
                <w:sz w:val="20"/>
                <w:szCs w:val="20"/>
              </w:rPr>
              <w:t xml:space="preserve"> </w:t>
            </w:r>
            <w:r>
              <w:rPr>
                <w:rFonts w:ascii="Trebuchet MS" w:hAnsi="Trebuchet MS" w:cstheme="minorHAnsi"/>
                <w:sz w:val="20"/>
                <w:szCs w:val="20"/>
              </w:rPr>
              <w:t>health benefits, costs, and equity impact of food advertising across London transport network</w:t>
            </w:r>
          </w:p>
          <w:p w14:paraId="1C390DAB" w14:textId="77777777" w:rsidR="00A34CE6"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53CE0CDC"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NHS/PSS</w:t>
            </w:r>
          </w:p>
        </w:tc>
        <w:tc>
          <w:tcPr>
            <w:tcW w:w="1657" w:type="dxa"/>
            <w:shd w:val="clear" w:color="auto" w:fill="FFFFFF" w:themeFill="background1"/>
          </w:tcPr>
          <w:p w14:paraId="22D02ACE"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 xml:space="preserve">Microsimulation </w:t>
            </w:r>
          </w:p>
        </w:tc>
        <w:tc>
          <w:tcPr>
            <w:tcW w:w="1586" w:type="dxa"/>
            <w:shd w:val="clear" w:color="auto" w:fill="FFFFFF" w:themeFill="background1"/>
          </w:tcPr>
          <w:p w14:paraId="4CB28B3C"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Lifetime</w:t>
            </w:r>
          </w:p>
        </w:tc>
        <w:tc>
          <w:tcPr>
            <w:tcW w:w="1910" w:type="dxa"/>
            <w:shd w:val="clear" w:color="auto" w:fill="FFFFFF" w:themeFill="background1"/>
          </w:tcPr>
          <w:p w14:paraId="78944D57" w14:textId="77777777" w:rsidR="00A34CE6" w:rsidRPr="00986A43" w:rsidRDefault="00A34CE6"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Metabolic profile, no</w:t>
            </w:r>
            <w:r w:rsidRPr="00986A43">
              <w:rPr>
                <w:rFonts w:ascii="Trebuchet MS" w:hAnsi="Trebuchet MS" w:cstheme="minorHAnsi"/>
                <w:sz w:val="20"/>
                <w:szCs w:val="20"/>
              </w:rPr>
              <w:t xml:space="preserve"> diabetes, diabetes, complications, CVD, cancer, osteo, depression, mortality</w:t>
            </w:r>
          </w:p>
          <w:p w14:paraId="6C680CEC" w14:textId="77777777" w:rsidR="00A34CE6" w:rsidRPr="00986A43" w:rsidRDefault="00A34CE6" w:rsidP="00072EA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p>
        </w:tc>
        <w:tc>
          <w:tcPr>
            <w:tcW w:w="1910" w:type="dxa"/>
            <w:shd w:val="clear" w:color="auto" w:fill="FFFFFF" w:themeFill="background1"/>
          </w:tcPr>
          <w:p w14:paraId="421DAD9C" w14:textId="7A44EE2C" w:rsidR="00A34CE6" w:rsidRDefault="00EF055A" w:rsidP="00072EA0">
            <w:pPr>
              <w:cnfStyle w:val="000000100000" w:firstRow="0" w:lastRow="0" w:firstColumn="0" w:lastColumn="0" w:oddVBand="0" w:evenVBand="0" w:oddHBand="1"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 and PSA)</w:t>
            </w:r>
          </w:p>
        </w:tc>
      </w:tr>
      <w:tr w:rsidR="00EF055A" w:rsidRPr="00986A43" w14:paraId="1F62BD18" w14:textId="079A1324" w:rsidTr="00EF055A">
        <w:tc>
          <w:tcPr>
            <w:cnfStyle w:val="001000000000" w:firstRow="0" w:lastRow="0" w:firstColumn="1" w:lastColumn="0" w:oddVBand="0" w:evenVBand="0" w:oddHBand="0" w:evenHBand="0" w:firstRowFirstColumn="0" w:firstRowLastColumn="0" w:lastRowFirstColumn="0" w:lastRowLastColumn="0"/>
            <w:tcW w:w="525" w:type="dxa"/>
            <w:shd w:val="clear" w:color="auto" w:fill="FFFFFF" w:themeFill="background1"/>
          </w:tcPr>
          <w:p w14:paraId="08246BB8" w14:textId="77777777" w:rsidR="00A34CE6" w:rsidRPr="00A36EEA" w:rsidRDefault="00A34CE6" w:rsidP="00A34CE6">
            <w:pPr>
              <w:pStyle w:val="ListParagraph"/>
              <w:numPr>
                <w:ilvl w:val="0"/>
                <w:numId w:val="2"/>
              </w:numPr>
              <w:rPr>
                <w:rFonts w:ascii="Trebuchet MS" w:hAnsi="Trebuchet MS" w:cstheme="minorHAnsi"/>
                <w:sz w:val="20"/>
                <w:szCs w:val="20"/>
              </w:rPr>
            </w:pPr>
          </w:p>
        </w:tc>
        <w:tc>
          <w:tcPr>
            <w:tcW w:w="1162" w:type="dxa"/>
            <w:shd w:val="clear" w:color="auto" w:fill="FFFFFF" w:themeFill="background1"/>
          </w:tcPr>
          <w:p w14:paraId="78452CF6" w14:textId="77777777" w:rsidR="00A34CE6" w:rsidRPr="00A36EEA"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A36EEA">
              <w:rPr>
                <w:rFonts w:ascii="Trebuchet MS" w:hAnsi="Trebuchet MS" w:cstheme="minorHAnsi"/>
                <w:sz w:val="20"/>
                <w:szCs w:val="20"/>
              </w:rPr>
              <w:t>Lou et al. (2023)</w:t>
            </w:r>
            <w:r w:rsidRPr="00A36EEA">
              <w:rPr>
                <w:rFonts w:ascii="Trebuchet MS" w:hAnsi="Trebuchet MS" w:cstheme="minorHAnsi"/>
                <w:sz w:val="20"/>
                <w:szCs w:val="20"/>
              </w:rPr>
              <w:fldChar w:fldCharType="begin"/>
            </w:r>
            <w:r>
              <w:rPr>
                <w:rFonts w:ascii="Trebuchet MS" w:hAnsi="Trebuchet MS" w:cstheme="minorHAnsi"/>
                <w:sz w:val="20"/>
                <w:szCs w:val="20"/>
              </w:rPr>
              <w:instrText xml:space="preserve"> ADDIN ZOTERO_ITEM CSL_CITATION {"citationID":"FxNcAR0o","properties":{"formattedCitation":"\\super 151\\nosupersub{}","plainCitation":"151","noteIndex":0},"citationItems":[{"id":724,"uris":["http://zotero.org/users/local/fKc2159l/items/WTCQEQXY"],"itemData":{"id":724,"type":"article-journal","abstract":"Low fruit and vegetable (FV) intake and high sugar-sweetened beverage (SSB) consumption are independently associated with an increased risk of developing cardiovascular disease (CVD). Many people in New York City (NYC) have low FV intake and high SSB consumption, partly due to high cost of fresh FVs and low cost of and easy access to SSBs. A potential implementation of an SSB tax and an FV subsidy program could result in substantial public health and economic benefits. We used a validated microsimulation model for predicting CVD events to estimate the health impact and cost-effectiveness of SSB taxes, FV subsidies, and funding FV subsidies with an SSB tax in NYC. Population demographics and health profiles were estimated using data from the NYC Health and Nutrition Examination Survey. Policy effects and price elasticity were derived from recent meta-analyses. We found that funding FV subsidies with an SSB tax was projected to be the most cost-effective policy from the healthcare sector perspective. From the societal perspective, the most cost-effective policy was SSB taxes. All policy scenarios could prevent more CVD events and save more healthcare costs among men compared to women, and among Black vs. White adults. Public health practitioners and policymakers may want to consider adopting this combination of policy actions, while weighing feasibility considerations and other unintended consequences.","container-title":"Journal of Urban Health: Bulletin of the New York Academy of Medicine","DOI":"10.1007/s11524-022-00699-3","ISSN":"1468-2869","issue":"1","journalAbbreviation":"J Urban Health","language":"eng","note":"PMID: 36550343\nPMCID: PMC9918717","page":"51-62","source":"PubMed","title":"The Health and Economic Impact of Using a Sugar Sweetened Beverage Tax to Fund Fruit and Vegetable Subsidies in New York City: A Modeling Study","title-short":"The Health and Economic Impact of Using a Sugar Sweetened Beverage Tax to Fund Fruit and Vegetable Subsidies in New York City","volume":"100","author":[{"family":"Lou","given":"Zhouyang"},{"family":"Yi","given":"Stella S."},{"family":"Pomeranz","given":"Jennifer"},{"family":"Suss","given":"Rachel"},{"family":"Russo","given":"Rienna"},{"family":"Rummo","given":"Pasquale E."},{"family":"Eom","given":"Heesun"},{"family":"Liu","given":"Junxiu"},{"family":"Zhang","given":"Yiyi"},{"family":"Moran","given":"Andrew E."},{"family":"Bellows","given":"Brandon K."},{"family":"Kong","given":"Nan"},{"family":"Li","given":"Yan"}],"issued":{"date-parts":[["2023",2]]}}}],"schema":"https://github.com/citation-style-language/schema/raw/master/csl-citation.json"} </w:instrText>
            </w:r>
            <w:r w:rsidRPr="00A36EEA">
              <w:rPr>
                <w:rFonts w:ascii="Trebuchet MS" w:hAnsi="Trebuchet MS" w:cstheme="minorHAnsi"/>
                <w:sz w:val="20"/>
                <w:szCs w:val="20"/>
              </w:rPr>
              <w:fldChar w:fldCharType="separate"/>
            </w:r>
            <w:r w:rsidRPr="008B235A">
              <w:rPr>
                <w:rFonts w:ascii="Trebuchet MS" w:hAnsi="Trebuchet MS"/>
                <w:color w:val="000000"/>
                <w:sz w:val="20"/>
                <w:vertAlign w:val="superscript"/>
              </w:rPr>
              <w:t>151</w:t>
            </w:r>
            <w:r w:rsidRPr="00A36EEA">
              <w:rPr>
                <w:rFonts w:ascii="Trebuchet MS" w:hAnsi="Trebuchet MS" w:cstheme="minorHAnsi"/>
                <w:sz w:val="20"/>
                <w:szCs w:val="20"/>
              </w:rPr>
              <w:fldChar w:fldCharType="end"/>
            </w:r>
          </w:p>
        </w:tc>
        <w:tc>
          <w:tcPr>
            <w:tcW w:w="1032" w:type="dxa"/>
            <w:shd w:val="clear" w:color="auto" w:fill="FFFFFF" w:themeFill="background1"/>
          </w:tcPr>
          <w:p w14:paraId="10DABF46"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US </w:t>
            </w:r>
          </w:p>
        </w:tc>
        <w:tc>
          <w:tcPr>
            <w:tcW w:w="1279" w:type="dxa"/>
            <w:shd w:val="clear" w:color="auto" w:fill="FFFFFF" w:themeFill="background1"/>
          </w:tcPr>
          <w:p w14:paraId="32E8951B"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CVD Policy Model</w:t>
            </w:r>
          </w:p>
        </w:tc>
        <w:tc>
          <w:tcPr>
            <w:tcW w:w="2163" w:type="dxa"/>
            <w:shd w:val="clear" w:color="auto" w:fill="FFFFFF" w:themeFill="background1"/>
          </w:tcPr>
          <w:p w14:paraId="1FACFAE3"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Impact assessment</w:t>
            </w:r>
            <w:r w:rsidRPr="00986A43">
              <w:rPr>
                <w:rFonts w:ascii="Trebuchet MS" w:hAnsi="Trebuchet MS" w:cstheme="minorHAnsi"/>
                <w:sz w:val="20"/>
                <w:szCs w:val="20"/>
              </w:rPr>
              <w:t xml:space="preserve"> of implementing SSB taxes</w:t>
            </w:r>
          </w:p>
          <w:p w14:paraId="4A219448"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and FV subsidies on long-term CVD outcomes and</w:t>
            </w:r>
          </w:p>
          <w:p w14:paraId="0542626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healthcare costs in NYC</w:t>
            </w:r>
          </w:p>
          <w:p w14:paraId="5EC4DD02" w14:textId="77777777" w:rsidR="00A34CE6" w:rsidRPr="002E2149"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p>
        </w:tc>
        <w:tc>
          <w:tcPr>
            <w:tcW w:w="1283" w:type="dxa"/>
            <w:shd w:val="clear" w:color="auto" w:fill="FFFFFF" w:themeFill="background1"/>
          </w:tcPr>
          <w:p w14:paraId="415F714A"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 xml:space="preserve">Societal </w:t>
            </w:r>
          </w:p>
        </w:tc>
        <w:tc>
          <w:tcPr>
            <w:tcW w:w="1657" w:type="dxa"/>
            <w:shd w:val="clear" w:color="auto" w:fill="FFFFFF" w:themeFill="background1"/>
          </w:tcPr>
          <w:p w14:paraId="0589FC61" w14:textId="77777777" w:rsidR="00A34CE6" w:rsidRPr="00986A43" w:rsidRDefault="00A34CE6" w:rsidP="00072EA0">
            <w:pPr>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Microsimulation</w:t>
            </w:r>
          </w:p>
        </w:tc>
        <w:tc>
          <w:tcPr>
            <w:tcW w:w="1586" w:type="dxa"/>
            <w:shd w:val="clear" w:color="auto" w:fill="FFFFFF" w:themeFill="background1"/>
          </w:tcPr>
          <w:p w14:paraId="3891E619"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10 years, annual</w:t>
            </w:r>
          </w:p>
        </w:tc>
        <w:tc>
          <w:tcPr>
            <w:tcW w:w="1910" w:type="dxa"/>
            <w:shd w:val="clear" w:color="auto" w:fill="FFFFFF" w:themeFill="background1"/>
          </w:tcPr>
          <w:p w14:paraId="50351490" w14:textId="77777777" w:rsidR="00A34CE6" w:rsidRPr="00986A43" w:rsidRDefault="00A34CE6"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sidRPr="00986A43">
              <w:rPr>
                <w:rFonts w:ascii="Trebuchet MS" w:hAnsi="Trebuchet MS" w:cstheme="minorHAnsi"/>
                <w:sz w:val="20"/>
                <w:szCs w:val="20"/>
              </w:rPr>
              <w:t>Healthy, CHD, stroke, both CHD and stroke, CVD-related death, and non-CVD-related death</w:t>
            </w:r>
          </w:p>
        </w:tc>
        <w:tc>
          <w:tcPr>
            <w:tcW w:w="1910" w:type="dxa"/>
            <w:shd w:val="clear" w:color="auto" w:fill="FFFFFF" w:themeFill="background1"/>
          </w:tcPr>
          <w:p w14:paraId="3CDCFAE9" w14:textId="418A6093" w:rsidR="00A34CE6" w:rsidRPr="00986A43" w:rsidRDefault="00EF055A" w:rsidP="00072EA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rebuchet MS" w:hAnsi="Trebuchet MS" w:cstheme="minorHAnsi"/>
                <w:sz w:val="20"/>
                <w:szCs w:val="20"/>
              </w:rPr>
            </w:pPr>
            <w:r>
              <w:rPr>
                <w:rFonts w:ascii="Trebuchet MS" w:hAnsi="Trebuchet MS" w:cstheme="minorHAnsi"/>
                <w:sz w:val="20"/>
                <w:szCs w:val="20"/>
              </w:rPr>
              <w:t>Yes (DSA)</w:t>
            </w:r>
          </w:p>
        </w:tc>
      </w:tr>
      <w:bookmarkEnd w:id="1"/>
    </w:tbl>
    <w:p w14:paraId="101209C2" w14:textId="77777777" w:rsidR="00363DB2" w:rsidRDefault="00363DB2"/>
    <w:sectPr w:rsidR="00363DB2" w:rsidSect="00A34CE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207DE"/>
    <w:multiLevelType w:val="multilevel"/>
    <w:tmpl w:val="717E7088"/>
    <w:styleLink w:val="Style1"/>
    <w:lvl w:ilvl="0">
      <w:start w:val="1"/>
      <w:numFmt w:val="decimal"/>
      <w:suff w:val="space"/>
      <w:lvlText w:val="Chapter %1"/>
      <w:lvlJc w:val="left"/>
      <w:pPr>
        <w:ind w:left="0" w:firstLine="0"/>
      </w:pPr>
      <w:rPr>
        <w:rFonts w:ascii="Trebuchet MS" w:hAnsi="Trebuchet MS"/>
        <w:b w:val="0"/>
        <w:i w:val="0"/>
        <w:sz w:val="28"/>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09D02B0"/>
    <w:multiLevelType w:val="hybridMultilevel"/>
    <w:tmpl w:val="BFDE4760"/>
    <w:lvl w:ilvl="0" w:tplc="AA58A0C0">
      <w:start w:val="1"/>
      <w:numFmt w:val="decimal"/>
      <w:lvlText w:val="%1."/>
      <w:lvlJc w:val="left"/>
      <w:pPr>
        <w:ind w:left="502" w:hanging="360"/>
      </w:pPr>
      <w:rPr>
        <w:sz w:val="20"/>
        <w:szCs w:val="2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890462696">
    <w:abstractNumId w:val="0"/>
  </w:num>
  <w:num w:numId="2" w16cid:durableId="19435636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CE6"/>
    <w:rsid w:val="000835C0"/>
    <w:rsid w:val="00173C0A"/>
    <w:rsid w:val="00253841"/>
    <w:rsid w:val="00307EC6"/>
    <w:rsid w:val="00330E94"/>
    <w:rsid w:val="003404A4"/>
    <w:rsid w:val="00363DB2"/>
    <w:rsid w:val="00364917"/>
    <w:rsid w:val="00377D40"/>
    <w:rsid w:val="00403FD8"/>
    <w:rsid w:val="00405D74"/>
    <w:rsid w:val="0048305A"/>
    <w:rsid w:val="008D6FF7"/>
    <w:rsid w:val="00A34CE6"/>
    <w:rsid w:val="00BF3FEA"/>
    <w:rsid w:val="00C40AA0"/>
    <w:rsid w:val="00C71718"/>
    <w:rsid w:val="00CB5D7B"/>
    <w:rsid w:val="00D167F3"/>
    <w:rsid w:val="00D7775E"/>
    <w:rsid w:val="00DF0B21"/>
    <w:rsid w:val="00E776CC"/>
    <w:rsid w:val="00E95B34"/>
    <w:rsid w:val="00EF055A"/>
    <w:rsid w:val="00F502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FAFA28"/>
  <w15:chartTrackingRefBased/>
  <w15:docId w15:val="{EF887247-DFA3-9D42-BE2B-EDCF8D370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CE6"/>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34C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C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C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C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C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C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C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C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C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DF0B21"/>
    <w:pPr>
      <w:numPr>
        <w:numId w:val="1"/>
      </w:numPr>
    </w:pPr>
  </w:style>
  <w:style w:type="character" w:customStyle="1" w:styleId="Heading1Char">
    <w:name w:val="Heading 1 Char"/>
    <w:basedOn w:val="DefaultParagraphFont"/>
    <w:link w:val="Heading1"/>
    <w:uiPriority w:val="9"/>
    <w:rsid w:val="00A34C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C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C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C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C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C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C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C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CE6"/>
    <w:rPr>
      <w:rFonts w:eastAsiaTheme="majorEastAsia" w:cstheme="majorBidi"/>
      <w:color w:val="272727" w:themeColor="text1" w:themeTint="D8"/>
    </w:rPr>
  </w:style>
  <w:style w:type="paragraph" w:styleId="Title">
    <w:name w:val="Title"/>
    <w:basedOn w:val="Normal"/>
    <w:next w:val="Normal"/>
    <w:link w:val="TitleChar"/>
    <w:uiPriority w:val="10"/>
    <w:qFormat/>
    <w:rsid w:val="00A34C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C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C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C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C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4CE6"/>
    <w:rPr>
      <w:i/>
      <w:iCs/>
      <w:color w:val="404040" w:themeColor="text1" w:themeTint="BF"/>
    </w:rPr>
  </w:style>
  <w:style w:type="paragraph" w:styleId="ListParagraph">
    <w:name w:val="List Paragraph"/>
    <w:basedOn w:val="Normal"/>
    <w:uiPriority w:val="34"/>
    <w:qFormat/>
    <w:rsid w:val="00A34CE6"/>
    <w:pPr>
      <w:ind w:left="720"/>
      <w:contextualSpacing/>
    </w:pPr>
  </w:style>
  <w:style w:type="character" w:styleId="IntenseEmphasis">
    <w:name w:val="Intense Emphasis"/>
    <w:basedOn w:val="DefaultParagraphFont"/>
    <w:uiPriority w:val="21"/>
    <w:qFormat/>
    <w:rsid w:val="00A34CE6"/>
    <w:rPr>
      <w:i/>
      <w:iCs/>
      <w:color w:val="0F4761" w:themeColor="accent1" w:themeShade="BF"/>
    </w:rPr>
  </w:style>
  <w:style w:type="paragraph" w:styleId="IntenseQuote">
    <w:name w:val="Intense Quote"/>
    <w:basedOn w:val="Normal"/>
    <w:next w:val="Normal"/>
    <w:link w:val="IntenseQuoteChar"/>
    <w:uiPriority w:val="30"/>
    <w:qFormat/>
    <w:rsid w:val="00A34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CE6"/>
    <w:rPr>
      <w:i/>
      <w:iCs/>
      <w:color w:val="0F4761" w:themeColor="accent1" w:themeShade="BF"/>
    </w:rPr>
  </w:style>
  <w:style w:type="character" w:styleId="IntenseReference">
    <w:name w:val="Intense Reference"/>
    <w:basedOn w:val="DefaultParagraphFont"/>
    <w:uiPriority w:val="32"/>
    <w:qFormat/>
    <w:rsid w:val="00A34CE6"/>
    <w:rPr>
      <w:b/>
      <w:bCs/>
      <w:smallCaps/>
      <w:color w:val="0F4761" w:themeColor="accent1" w:themeShade="BF"/>
      <w:spacing w:val="5"/>
    </w:rPr>
  </w:style>
  <w:style w:type="table" w:styleId="ListTable2">
    <w:name w:val="List Table 2"/>
    <w:basedOn w:val="TableNormal"/>
    <w:uiPriority w:val="47"/>
    <w:rsid w:val="00A34CE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21157</Words>
  <Characters>120599</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Septiara Putri (PGR)</dc:creator>
  <cp:keywords/>
  <dc:description/>
  <cp:lastModifiedBy>Septiara Putri (PGR)</cp:lastModifiedBy>
  <cp:revision>1</cp:revision>
  <dcterms:created xsi:type="dcterms:W3CDTF">2024-09-03T13:47:00Z</dcterms:created>
  <dcterms:modified xsi:type="dcterms:W3CDTF">2024-09-03T14:04:00Z</dcterms:modified>
</cp:coreProperties>
</file>