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C9489F" w14:textId="06C48908" w:rsidR="004448B3" w:rsidRPr="00A97495" w:rsidRDefault="004448B3" w:rsidP="004448B3">
      <w:pPr>
        <w:pStyle w:val="Titulek"/>
        <w:keepNext/>
        <w:rPr>
          <w:rFonts w:ascii="Times New Roman" w:hAnsi="Times New Roman" w:cs="Times New Roman"/>
          <w:color w:val="auto"/>
          <w:sz w:val="22"/>
        </w:rPr>
      </w:pPr>
      <w:r w:rsidRPr="00A97495">
        <w:rPr>
          <w:rFonts w:ascii="Times New Roman" w:hAnsi="Times New Roman" w:cs="Times New Roman"/>
          <w:b/>
          <w:color w:val="auto"/>
          <w:sz w:val="22"/>
        </w:rPr>
        <w:t>Annex 1:</w:t>
      </w:r>
      <w:r w:rsidRPr="00A97495">
        <w:rPr>
          <w:rFonts w:ascii="Times New Roman" w:hAnsi="Times New Roman" w:cs="Times New Roman"/>
          <w:color w:val="auto"/>
          <w:sz w:val="22"/>
        </w:rPr>
        <w:t xml:space="preserve"> </w:t>
      </w:r>
      <w:r w:rsidR="00EF2653" w:rsidRPr="00A97495">
        <w:rPr>
          <w:rFonts w:ascii="Times New Roman" w:hAnsi="Times New Roman" w:cs="Times New Roman"/>
          <w:color w:val="auto"/>
          <w:sz w:val="22"/>
        </w:rPr>
        <w:t xml:space="preserve"> </w:t>
      </w:r>
      <w:r w:rsidRPr="00A97495">
        <w:rPr>
          <w:rFonts w:ascii="Times New Roman" w:hAnsi="Times New Roman" w:cs="Times New Roman"/>
          <w:color w:val="auto"/>
          <w:sz w:val="22"/>
        </w:rPr>
        <w:t>Overview of included studies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87"/>
        <w:gridCol w:w="3884"/>
        <w:gridCol w:w="1135"/>
        <w:gridCol w:w="1246"/>
      </w:tblGrid>
      <w:tr w:rsidR="00144BE1" w:rsidRPr="00A97495" w14:paraId="264B7B6E" w14:textId="77777777" w:rsidTr="005218EB">
        <w:trPr>
          <w:trHeight w:val="25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F3CCE9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Author, Year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F7F979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Article Title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2A6017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Publication Year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B5109E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Number of citations</w:t>
            </w:r>
          </w:p>
        </w:tc>
      </w:tr>
      <w:tr w:rsidR="00144BE1" w:rsidRPr="00A97495" w14:paraId="57B42DB1" w14:textId="77777777" w:rsidTr="005218EB">
        <w:trPr>
          <w:trHeight w:val="25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CAF285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Lawenko, R. M. A., &amp; Lee, Y. Y. (2015)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9CBD82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color w:val="000000" w:themeColor="text1"/>
                <w:sz w:val="16"/>
                <w:szCs w:val="16"/>
              </w:rPr>
              <w:t>Evaluation of Gastroesophageal Reflux Disease Using the Bravo Capsule pH System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1F0A20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2016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D46F07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</w:tr>
      <w:tr w:rsidR="00144BE1" w:rsidRPr="00A97495" w14:paraId="12512AB9" w14:textId="77777777" w:rsidTr="005218EB">
        <w:trPr>
          <w:trHeight w:val="25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49CA73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Afaneh, C., Zoghbi, V., Finnerty, B. M., Aronova, A., Kleiman, D., Ciecierega, T., Crawford, C., Fahey, T. J., III, &amp; Zarnegar, R. (2015)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CC0AE2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color w:val="000000" w:themeColor="text1"/>
                <w:sz w:val="16"/>
                <w:szCs w:val="16"/>
              </w:rPr>
              <w:t>BRAVO esophageal pH monitoring: more cost-effective than empiric medical therapy for suspected gastroesophageal reflux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CA5825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2016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A44754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 w:rsidR="00144BE1" w:rsidRPr="00A97495" w14:paraId="144701B7" w14:textId="77777777" w:rsidTr="005218EB">
        <w:trPr>
          <w:trHeight w:val="25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E0C071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Sami, S. S., Moriarty, J. P., Rosedahl, J. K., Borah, B. J., Katzka, D. A., Wang, K. K., Kisiel, J. B., Ragunath, K., Rubenstein, J. H., &amp; Iyer, P. G. (2021)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F5EF5C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Comparative Cost Effectiveness of Reflux-Based and Reflux-Independent Strategies for Barrett's Esophagus Screening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EC9D13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52B719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</w:tr>
      <w:tr w:rsidR="00144BE1" w:rsidRPr="00A97495" w14:paraId="2C85DFF1" w14:textId="77777777" w:rsidTr="005218EB">
        <w:trPr>
          <w:trHeight w:val="25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1995D6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Benaglia, T., Sharples, L. D., Fitzgerald, R. C., &amp; Lyratzopoulos, G. (2013)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34DDF1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color w:val="000000" w:themeColor="text1"/>
                <w:sz w:val="16"/>
                <w:szCs w:val="16"/>
              </w:rPr>
              <w:t>Health Benefits and Cost Effectiveness of Endoscopic and Nonendoscopic Cytosponge Screening for Barrett's Esophagus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332EB3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2013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93508D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111</w:t>
            </w:r>
          </w:p>
        </w:tc>
      </w:tr>
      <w:tr w:rsidR="00144BE1" w:rsidRPr="00A97495" w14:paraId="617AC2C1" w14:textId="77777777" w:rsidTr="005218EB">
        <w:trPr>
          <w:trHeight w:val="25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ECF0EA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Park, S., Park, S., Park, J.-M., Ryu, S., Hwang, J., Kwon, J.-W., &amp; Seo, K. W. (2020)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91A639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color w:val="000000" w:themeColor="text1"/>
                <w:sz w:val="16"/>
                <w:szCs w:val="16"/>
              </w:rPr>
              <w:t>Anti-reflux Surgery Versus Proton Pump Inhibitors for Severe Gastroesophageal Reflux Disease: A Cost-Effectiveness Study in Korea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A29E03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94D9F7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144BE1" w:rsidRPr="00A97495" w14:paraId="59413A04" w14:textId="77777777" w:rsidTr="005218EB">
        <w:trPr>
          <w:trHeight w:val="25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8E40C7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Park, S., Kwon, J.-W., Park, J.-M., Park, S., &amp; Seo, K. W. (2020)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CE743F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color w:val="000000" w:themeColor="text1"/>
                <w:sz w:val="16"/>
                <w:szCs w:val="16"/>
              </w:rPr>
              <w:t>Treatment Pattern and Economic Burden of Refractory Gastroesophageal Reflux Disease Patients in Korea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4E8D98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9AF1F6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</w:tr>
      <w:tr w:rsidR="00144BE1" w:rsidRPr="00A97495" w14:paraId="3320AC6B" w14:textId="77777777" w:rsidTr="005218EB">
        <w:trPr>
          <w:trHeight w:val="76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5B8884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  <w:lang w:val="es-ES"/>
              </w:rPr>
              <w:t>Pandolfino, J., Lipham, J., Chawla, A., Ferko, N., Hogan, A., &amp; Qadeer, R. A. (2019)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E15D10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color w:val="000000" w:themeColor="text1"/>
                <w:sz w:val="16"/>
                <w:szCs w:val="16"/>
              </w:rPr>
              <w:t>A budget impact analysis of a magnetic sphincter augmentation device for the treatment of medication-refractory mechanical gastroesophageal reflux disease: a United States payer perspective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BBE6C8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917ACC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</w:tr>
      <w:tr w:rsidR="00144BE1" w:rsidRPr="00A97495" w14:paraId="16A260D6" w14:textId="77777777" w:rsidTr="005218EB">
        <w:trPr>
          <w:trHeight w:val="25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834337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Park, S., Kwon, J.-W., Park, J.-M., Park, S., Hwang, J., &amp; Seo, K. W. (2020)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BE79E6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color w:val="000000" w:themeColor="text1"/>
                <w:sz w:val="16"/>
                <w:szCs w:val="16"/>
              </w:rPr>
              <w:t>The characteristics of antireflux surgery compared to proton pump inhibitor treatment in Korea: a nationwide study using claim data from 2007 to 2016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574ABC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DB1ADC" w14:textId="22DE358D" w:rsidR="00144BE1" w:rsidRPr="00A97495" w:rsidRDefault="0049291E" w:rsidP="00846BAB">
            <w:pPr>
              <w:jc w:val="center"/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</w:tr>
      <w:tr w:rsidR="00144BE1" w:rsidRPr="00A97495" w14:paraId="5FC8A26B" w14:textId="77777777" w:rsidTr="005218EB">
        <w:trPr>
          <w:trHeight w:val="25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69AF55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  <w:lang w:val="es-ES"/>
              </w:rPr>
              <w:t>AZZAM, R. S., AZZAM, G. B., &amp; NASI, A. (2021)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AB7529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WIRELESS PH MONITORING AND CONVENTIONAL ESOPHAGEAL PH MONITORING: COMPARATIVE STUDY OF DISCOMFORT, LIMITATIONS IN DAILY ACTIVITIES AND COMPLICATIONS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BA60F1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25B61F" w14:textId="726633F5" w:rsidR="00144BE1" w:rsidRPr="00A97495" w:rsidRDefault="0049291E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6</w:t>
            </w:r>
          </w:p>
        </w:tc>
      </w:tr>
      <w:tr w:rsidR="00144BE1" w:rsidRPr="00A97495" w14:paraId="6D9934A4" w14:textId="77777777" w:rsidTr="005218EB">
        <w:trPr>
          <w:trHeight w:val="510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0BD6F0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Park, J. H., Park, H., Lee, D. H., &amp; Sung, I. K. (2013)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6CDB82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A Randomized, Double Blinded, Clinical Trial to Assess the Efficacy and Cost Effectiveness of Omeprazole Compared to Rabeprazole in the Maintenance Therapy of Patients With Gastroesophageal Reflux Disease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2DC234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7FEC4D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</w:t>
            </w:r>
          </w:p>
        </w:tc>
      </w:tr>
      <w:tr w:rsidR="00144BE1" w:rsidRPr="00A97495" w14:paraId="04F7A28E" w14:textId="77777777" w:rsidTr="005218EB">
        <w:trPr>
          <w:trHeight w:val="25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8567BF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  <w:lang w:val="es-ES"/>
              </w:rPr>
              <w:t>Yokoya, Y., Igarashi, A., Uda, A., Deguchi, H., Takeuchi, T., &amp; Higuchi, K. (2019)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6C9C2D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Cost-utility analysis of a 'vonoprazan-first' strategy versus 'esomeprazole- or rabeprazole-first' strategy in GERD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B03102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54D837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7</w:t>
            </w:r>
          </w:p>
        </w:tc>
      </w:tr>
      <w:tr w:rsidR="00144BE1" w:rsidRPr="00A97495" w14:paraId="0F3B3A3E" w14:textId="77777777" w:rsidTr="005218EB">
        <w:trPr>
          <w:trHeight w:val="1020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23DCA2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Funk, L. M., Zhang, J. Y., Drosdeck, J. M., Melvin, W. S., Walker, J. P., &amp; Perry, K. A. (2015)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FB6D64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Long-term cost-effectiveness of medical, endoscopic and surgical management of gastroesophageal reflux disease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A08964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C3A91B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30</w:t>
            </w:r>
          </w:p>
        </w:tc>
      </w:tr>
      <w:tr w:rsidR="00144BE1" w:rsidRPr="00A97495" w14:paraId="216030DB" w14:textId="77777777" w:rsidTr="005218EB">
        <w:trPr>
          <w:trHeight w:val="25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36104C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Heberle, C. R., Omidvari, A.-H., Ali, A., Kroep, S., Kong, C. Y., Inadomi, J. M., Rubenstein, J. H., Tramontano, A. C., Dowling, E. C., Hazelton, W. D., Luebeck, E. G., Lansdorp-Vogelaar, I., &amp; Hur, C. (2017)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30C495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Cost Effectiveness of Screening Patients With Gastroesophageal Reflux Disease for Barrett's Esophagus With a Minimally Invasive Cell Sampling Device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F28C26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F7901B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25</w:t>
            </w:r>
          </w:p>
        </w:tc>
      </w:tr>
      <w:tr w:rsidR="00144BE1" w:rsidRPr="00A97495" w14:paraId="3A4E1801" w14:textId="77777777" w:rsidTr="005218EB">
        <w:trPr>
          <w:trHeight w:val="76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3EFB42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Miwa, H., Takeshima, T., Iwasaki, K., &amp; Hiroi, S. (2016)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B5EADE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Medical cost, incidence rate, and treatment status of gastroesophageal reflux disease in Japan: analysis of claims data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00249D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8945F7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7</w:t>
            </w:r>
          </w:p>
        </w:tc>
      </w:tr>
      <w:tr w:rsidR="00144BE1" w:rsidRPr="00A97495" w14:paraId="58F309EB" w14:textId="77777777" w:rsidTr="005218EB">
        <w:trPr>
          <w:trHeight w:val="76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FBC131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color w:val="000000" w:themeColor="text1"/>
                <w:sz w:val="16"/>
                <w:szCs w:val="16"/>
              </w:rPr>
              <w:t>Kleiman, D. A., Beninato, T., Bosworth, B. P., Brunaud, L., Ciecierega, T., Crawford, C. V., Jr, Turner, B. G., Fahey, T. J., III, &amp; Zarnegar, R. (2013)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443494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Early Referral for Esophageal pH Monitoring Is More Cost-Effective Than Prolonged Empiric Trials of Proton-Pump Inhibitors for Suspected Gastroesophageal Reflux Disease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A20CF3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D7916F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6</w:t>
            </w:r>
          </w:p>
        </w:tc>
      </w:tr>
      <w:tr w:rsidR="00144BE1" w:rsidRPr="00A97495" w14:paraId="4B092D03" w14:textId="77777777" w:rsidTr="005218EB">
        <w:trPr>
          <w:trHeight w:val="510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D057DB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Habu, Y. (2019)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6534DF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Vonoprazan versus Lansoprazole for the Initial Treatment of Reflux Esophagitis: A Cost-effectiveness Analysis in Japan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A9FF1D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ACECE6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5</w:t>
            </w:r>
          </w:p>
        </w:tc>
      </w:tr>
      <w:tr w:rsidR="00144BE1" w:rsidRPr="00A97495" w14:paraId="78AB6B31" w14:textId="77777777" w:rsidTr="005218EB">
        <w:trPr>
          <w:trHeight w:val="510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10B6DD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  <w:lang w:val="es-ES"/>
              </w:rPr>
              <w:t>Habu, Y., Hamasaki, R., Maruo, M., Nakagawa, T., Aono, Y., &amp; Hachimine, D. (2021)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230609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Treatment strategies for reflux esophagitis including a potassium-competitive acid blocker: A cost-effectiveness analysis in Japan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AB3713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6CA966" w14:textId="44653E4A" w:rsidR="00144BE1" w:rsidRPr="00A97495" w:rsidRDefault="00D4430B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3</w:t>
            </w:r>
          </w:p>
        </w:tc>
      </w:tr>
      <w:tr w:rsidR="00144BE1" w:rsidRPr="00A97495" w14:paraId="4B8BD0D3" w14:textId="77777777" w:rsidTr="005218EB">
        <w:trPr>
          <w:trHeight w:val="25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3C3F65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Bruley des Varannes, S., Ducrotté, P., Vallot, T., Garofano, A., Bardoulat, I., Carrois, F., &amp; Ricci, L. (2013)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47AD4A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Gastroesophageal reflux disease: Impact on work productivity and daily-life activities of daytime workers. A French cross-sectional study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CF9739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E9270C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7</w:t>
            </w:r>
          </w:p>
        </w:tc>
      </w:tr>
      <w:tr w:rsidR="00144BE1" w:rsidRPr="00A97495" w14:paraId="128B2588" w14:textId="77777777" w:rsidTr="005218EB">
        <w:trPr>
          <w:trHeight w:val="510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D703D8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lastRenderedPageBreak/>
              <w:t>Howden, C. W., Manuel, M., Taylor, D., Jariwala-Parikh, K., &amp; Tkacz, J. (2021)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39895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Estimate of Refractory Reflux Disease in the United States Economic Burden and Associated Clinical Characteristics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61697D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18C6B0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1</w:t>
            </w:r>
          </w:p>
        </w:tc>
      </w:tr>
      <w:tr w:rsidR="00144BE1" w:rsidRPr="00A97495" w14:paraId="60FC6652" w14:textId="77777777" w:rsidTr="005218EB">
        <w:trPr>
          <w:trHeight w:val="25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2B92D7" w14:textId="03C2F948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Ayazi, S., Zaidi, A. H., Zheng, P., Chovanec, K., Chowdhury, N., Salvitti, M., Newhams, K., Levy, J., Hoppo, T., &amp; Jobe, B. A. (20</w:t>
            </w:r>
            <w:r w:rsidR="00C106AE">
              <w:rPr>
                <w:rFonts w:ascii="Times New Roman" w:eastAsia="Comenia Sans" w:hAnsi="Times New Roman" w:cs="Times New Roman"/>
                <w:sz w:val="16"/>
                <w:szCs w:val="16"/>
              </w:rPr>
              <w:t>20</w:t>
            </w: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0C147B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Comparison of surgical payer costs and implication on the healthcare expenses between laparoscopic magnetic sphincter augmentation (MSA) and laparoscopic Nissen fundoplication (LNF) in a large healthcare system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7A7BF6" w14:textId="272A140C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</w:t>
            </w:r>
            <w:r w:rsidR="00C106AE">
              <w:rPr>
                <w:rFonts w:ascii="Times New Roman" w:eastAsia="Comenia Sans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F27EEF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4</w:t>
            </w:r>
          </w:p>
        </w:tc>
      </w:tr>
      <w:tr w:rsidR="00144BE1" w:rsidRPr="00A97495" w14:paraId="6726A1EB" w14:textId="77777777" w:rsidTr="005218EB">
        <w:trPr>
          <w:trHeight w:val="25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EE4D47" w14:textId="0B000238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Singer, M. E., &amp; Smith, M. S. (202</w:t>
            </w:r>
            <w:r w:rsidR="001649F6">
              <w:rPr>
                <w:rFonts w:ascii="Times New Roman" w:eastAsia="Comenia Sans" w:hAnsi="Times New Roman" w:cs="Times New Roman"/>
                <w:sz w:val="16"/>
                <w:szCs w:val="16"/>
              </w:rPr>
              <w:t>1</w:t>
            </w: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1B02F1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Wide Area Transepithelial Sampling with Computer-Assisted Analysis (WATS(3D)) Is Cost-Effective in Barrett's Esophagus Screening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4C9691" w14:textId="34E0C0CA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202</w:t>
            </w:r>
            <w:r w:rsidR="001649F6">
              <w:rPr>
                <w:rFonts w:ascii="Times New Roman" w:eastAsia="Comenia Sans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9094D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5</w:t>
            </w:r>
          </w:p>
        </w:tc>
      </w:tr>
      <w:tr w:rsidR="00144BE1" w:rsidRPr="00A97495" w14:paraId="605D7659" w14:textId="77777777" w:rsidTr="005218EB">
        <w:trPr>
          <w:trHeight w:val="25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1E9122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Gronnier, C., Desbeaux, A., Piessen, G., Boutillier, J., Ruolt, N., Triboulet, J. P., &amp; Mariette, C. (2014)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D43502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Day-case versus inpatient laparoscopic fundoplication: outcomes, quality of life and cost-analysis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026A91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BEF22D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16</w:t>
            </w:r>
          </w:p>
        </w:tc>
      </w:tr>
      <w:tr w:rsidR="00144BE1" w:rsidRPr="00A97495" w14:paraId="7E2976BA" w14:textId="77777777" w:rsidTr="005218EB">
        <w:trPr>
          <w:trHeight w:val="25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92118A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Lai, L., Alvarez, G., Aleu, A., &amp; Apping, C. (2020)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2CC693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Cost Avoidance Analysis of Medication Conversions on the Treatment of Gastroesophageal Reflux Disease in a Medication Therapy Management Call Center: A Budgetary Perspective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CADB75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51DA1E" w14:textId="26686BA7" w:rsidR="00144BE1" w:rsidRPr="00A97495" w:rsidRDefault="0049291E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0</w:t>
            </w:r>
          </w:p>
        </w:tc>
      </w:tr>
      <w:tr w:rsidR="00144BE1" w:rsidRPr="00A97495" w14:paraId="16C892D6" w14:textId="77777777" w:rsidTr="005218EB">
        <w:trPr>
          <w:trHeight w:val="25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BCC8DD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Kleppe, K. L., Xu, Y., Funk, L. M., Wang, X., Havlena, J. A., Greenberg, J. A., &amp; Lidor, A. O. (2019)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92D307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Healthcare spending and utilization following antireflux surgery: examining costs and reasons for readmission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B6685E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CEBA28" w14:textId="0210C06B" w:rsidR="00144BE1" w:rsidRPr="00A97495" w:rsidRDefault="00D4430B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4</w:t>
            </w:r>
          </w:p>
        </w:tc>
      </w:tr>
      <w:tr w:rsidR="00144BE1" w:rsidRPr="00A97495" w14:paraId="1B5931D7" w14:textId="77777777" w:rsidTr="005218EB">
        <w:trPr>
          <w:trHeight w:val="25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B5CA6D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Sharaiha, R. Z., Freedberg, D. E., Abrams, J. A., &amp; Wang, Y. C. (2014)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BE1ED7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Cost-Effectiveness of Chemoprevention with Proton Pump Inhibitors in Barrett's Esophagus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B1FAB8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EC2BCD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7</w:t>
            </w:r>
          </w:p>
        </w:tc>
      </w:tr>
      <w:tr w:rsidR="00144BE1" w:rsidRPr="00A97495" w14:paraId="0BBB1A25" w14:textId="77777777" w:rsidTr="005218EB">
        <w:trPr>
          <w:trHeight w:val="510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D9BAD4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Owen, B., Simorov, A., Siref, A., Shostrom, V., &amp; Oleynikov, D. (2014)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77E396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How does robotic anti-reflux surgery compare with traditional open and laparoscopic techniques: a cost and outcomes analysis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62A498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513069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26</w:t>
            </w:r>
          </w:p>
        </w:tc>
      </w:tr>
      <w:tr w:rsidR="00144BE1" w:rsidRPr="00A97495" w14:paraId="06AD4768" w14:textId="77777777" w:rsidTr="005218EB">
        <w:trPr>
          <w:trHeight w:val="510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E6A36F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Schlottmann, F., Strassle, P. D., &amp; Patti, M. G. (2017)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58010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Comparative Analysis of Perioperative Outcomes and Costs Between Laparoscopic and Open Antireflux Surgery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EEE3B1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A1DD23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14</w:t>
            </w:r>
          </w:p>
        </w:tc>
      </w:tr>
      <w:tr w:rsidR="00144BE1" w:rsidRPr="00A97495" w14:paraId="3D86B8F3" w14:textId="77777777" w:rsidTr="005218EB">
        <w:trPr>
          <w:trHeight w:val="1020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992365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Furneri, G., Klausnitzer, R., Haycock, L., &amp; Ihara, Z. (2019)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C7BC9B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The economic value of narrow-band imaging versus white light endoscopy for the diagnosis and surveillance of Barrett's esophagus: Cost-consequence model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9B79DA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9E5745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4</w:t>
            </w:r>
          </w:p>
        </w:tc>
      </w:tr>
      <w:tr w:rsidR="00144BE1" w:rsidRPr="00A97495" w14:paraId="5FAF8AD3" w14:textId="77777777" w:rsidTr="005218EB">
        <w:trPr>
          <w:trHeight w:val="510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7215AB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Yang Y., Chen H. N., Wang R., Tang Y. J., Chen X. Z. (2015)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E933D6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Cost-Effectiveness Analysis on Endoscopic Surveillance Among Western Patients With Barrett's Esophagus for Esophageal Adenocarcinoma Screening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7646C0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84FB75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1</w:t>
            </w:r>
          </w:p>
        </w:tc>
      </w:tr>
      <w:tr w:rsidR="00144BE1" w:rsidRPr="00A97495" w14:paraId="7F530CCE" w14:textId="77777777" w:rsidTr="005218EB">
        <w:trPr>
          <w:trHeight w:val="76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6D99E4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Moriarty, J. P., Shah, N. D., Rubenstein, J. H., Blevins, C. H., Johnson, M., Katzka, D. A., Wang, K. K., Wongkeesong, L. M., Ahlquist, D. A., &amp; Iyer, P. G. (2018)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C090D4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Costs associated with Barrett's esophagus screening in the community: an economic analysis of a prospective randomized controlled trial of sedated versus hospital unsedated versus mobile community unsedated endoscopy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80EE2E" w14:textId="77777777" w:rsidR="00144BE1" w:rsidRPr="00A97495" w:rsidRDefault="00144BE1" w:rsidP="00846BAB">
            <w:pPr>
              <w:jc w:val="center"/>
              <w:rPr>
                <w:rFonts w:ascii="Times New Roman" w:hAnsi="Times New Roman" w:cs="Times New Roman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3E3A65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21</w:t>
            </w:r>
          </w:p>
        </w:tc>
      </w:tr>
      <w:tr w:rsidR="00144BE1" w:rsidRPr="00A97495" w14:paraId="7B298757" w14:textId="77777777" w:rsidTr="005218EB">
        <w:trPr>
          <w:trHeight w:val="76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1F2C0E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McCarty, T. R., Jirapinyo, P., James, L. P., Gupta, S., Chan, W. W., &amp; Thompson, C. C. (2022)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666F77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Transoral incisionless fundoplication is cost-effective for treatment of gastroesophageal reflux disease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CEF422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789644" w14:textId="2024E7F1" w:rsidR="00144BE1" w:rsidRPr="00A97495" w:rsidRDefault="00D4430B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5</w:t>
            </w:r>
          </w:p>
        </w:tc>
      </w:tr>
      <w:tr w:rsidR="00144BE1" w:rsidRPr="00A97495" w14:paraId="406FF685" w14:textId="77777777" w:rsidTr="005218EB">
        <w:trPr>
          <w:trHeight w:val="76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3A103E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Harper, S., Grodzicki, L., Mealing, S., Gemmill, L., Goldsmith, P. J., &amp; Ahmed, A. R. (2023)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7B3AD1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Cost-effectiveness of a novel, non-active implantable device as a treatment for refractory gastro-esophageal reflux disease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8C2A0F" w14:textId="77777777" w:rsidR="00144BE1" w:rsidRPr="00A97495" w:rsidRDefault="00144BE1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365BE4" w14:textId="31FD8854" w:rsidR="00144BE1" w:rsidRPr="00A97495" w:rsidRDefault="00D4430B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4</w:t>
            </w:r>
          </w:p>
        </w:tc>
      </w:tr>
      <w:tr w:rsidR="0049291E" w:rsidRPr="00A97495" w14:paraId="30439656" w14:textId="77777777" w:rsidTr="005218EB">
        <w:trPr>
          <w:trHeight w:val="76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F409E2" w14:textId="05498DF4" w:rsidR="0049291E" w:rsidRPr="00A97495" w:rsidRDefault="0049291E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Swart, N., Maroni, R., Muldrew, B., Sasieni, P., Fitzgerald, R. C., &amp; Morris, S. (2021)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2BFDB2" w14:textId="05C0F628" w:rsidR="0049291E" w:rsidRPr="00A97495" w:rsidRDefault="0049291E" w:rsidP="00846BAB">
            <w:pPr>
              <w:jc w:val="center"/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Economic evaluation of Cytosponge®-trefoil factor 3 for Barrett esophagus: A cost-utility analysis of randomised controlled trial data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B039EE" w14:textId="1969621B" w:rsidR="0049291E" w:rsidRPr="00A97495" w:rsidRDefault="0049291E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AB3601" w14:textId="45A2618D" w:rsidR="0049291E" w:rsidRPr="00A97495" w:rsidRDefault="0049291E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7</w:t>
            </w:r>
          </w:p>
        </w:tc>
      </w:tr>
      <w:tr w:rsidR="0049291E" w:rsidRPr="00A97495" w14:paraId="7F8CD90D" w14:textId="77777777" w:rsidTr="005218EB">
        <w:trPr>
          <w:trHeight w:val="76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8D09D7" w14:textId="5708A34E" w:rsidR="0049291E" w:rsidRPr="00A97495" w:rsidRDefault="0049291E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Honing, J., Kievit, W., Bookelaar, J., Peters, Y., Iyer, P. G., &amp; Siersema, P. D. (201</w:t>
            </w:r>
            <w:r w:rsidR="006109CC">
              <w:rPr>
                <w:rFonts w:ascii="Times New Roman" w:eastAsia="Comenia Sans" w:hAnsi="Times New Roman" w:cs="Times New Roman"/>
                <w:sz w:val="16"/>
                <w:szCs w:val="16"/>
              </w:rPr>
              <w:t>9</w:t>
            </w: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BF54FF" w14:textId="29EAB6D8" w:rsidR="0049291E" w:rsidRPr="00A97495" w:rsidRDefault="0049291E" w:rsidP="00846BAB">
            <w:pPr>
              <w:jc w:val="center"/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Endosheath ultrathin transnasal endoscopy is a cost-effective method for screening for Barrett’s esophagus in patients with GERD symptoms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2C96F3" w14:textId="6E250426" w:rsidR="0049291E" w:rsidRPr="00A97495" w:rsidRDefault="0049291E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201</w:t>
            </w:r>
            <w:r w:rsidR="006109CC">
              <w:rPr>
                <w:rFonts w:ascii="Times New Roman" w:eastAsia="Comenia Sans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A7B9BA" w14:textId="536EFD7B" w:rsidR="0049291E" w:rsidRPr="00A97495" w:rsidRDefault="0049291E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17</w:t>
            </w:r>
          </w:p>
        </w:tc>
      </w:tr>
      <w:tr w:rsidR="0049291E" w:rsidRPr="00A97495" w14:paraId="3B69BB1F" w14:textId="77777777" w:rsidTr="005218EB">
        <w:trPr>
          <w:trHeight w:val="76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41D79D" w14:textId="640AF206" w:rsidR="0049291E" w:rsidRPr="00A97495" w:rsidRDefault="0049291E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Törer, N., &amp; Aytaç, Ö. (201</w:t>
            </w:r>
            <w:r w:rsidR="00BA7C7B">
              <w:rPr>
                <w:rFonts w:ascii="Times New Roman" w:eastAsia="Comenia Sans" w:hAnsi="Times New Roman" w:cs="Times New Roman"/>
                <w:sz w:val="16"/>
                <w:szCs w:val="16"/>
              </w:rPr>
              <w:t>7</w:t>
            </w: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F959EF" w14:textId="7A7C3E58" w:rsidR="0049291E" w:rsidRPr="00A97495" w:rsidRDefault="0049291E" w:rsidP="00846BAB">
            <w:pPr>
              <w:jc w:val="center"/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Is the Routine Use of Impedance Analysis for the Diagnosis of Gastro-Esophageal Reflux Disease More Expensive than Conventional pH Monitoring? Cost Analysis of Two Procedures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BECA3" w14:textId="2D8E3CC9" w:rsidR="0049291E" w:rsidRPr="00A97495" w:rsidRDefault="0049291E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201</w:t>
            </w:r>
            <w:r w:rsidR="00BA7C7B">
              <w:rPr>
                <w:rFonts w:ascii="Times New Roman" w:eastAsia="Comenia Sans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B1CF47" w14:textId="5F948A2F" w:rsidR="0049291E" w:rsidRPr="00A97495" w:rsidRDefault="0049291E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1</w:t>
            </w:r>
          </w:p>
        </w:tc>
      </w:tr>
      <w:tr w:rsidR="00474DBA" w:rsidRPr="00A97495" w14:paraId="6A963831" w14:textId="77777777" w:rsidTr="005218EB">
        <w:trPr>
          <w:trHeight w:val="765"/>
          <w:jc w:val="center"/>
        </w:trPr>
        <w:tc>
          <w:tcPr>
            <w:tcW w:w="1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5E2213" w14:textId="0CAE625B" w:rsidR="00C44C15" w:rsidRPr="00A97495" w:rsidRDefault="00C44C15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Harper, S., Kartha, M., Mealing, S., Borbély, Y. M., &amp; Zehetner, J. (2024)</w:t>
            </w:r>
          </w:p>
        </w:tc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DF3F0" w14:textId="7583797F" w:rsidR="00C44C15" w:rsidRPr="00A97495" w:rsidRDefault="00C44C15" w:rsidP="00846BAB">
            <w:pPr>
              <w:jc w:val="center"/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b/>
                <w:bCs/>
                <w:sz w:val="16"/>
                <w:szCs w:val="16"/>
              </w:rPr>
              <w:t>Cost-effectiveness of the RefluxStop device for management of refractory gastroesophageal reflux disease in Switzerland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943181" w14:textId="43156942" w:rsidR="00C44C15" w:rsidRPr="00A97495" w:rsidRDefault="00C44C15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3BEA3E" w14:textId="2773ED15" w:rsidR="00C44C15" w:rsidRPr="00A97495" w:rsidRDefault="00C44C15" w:rsidP="00846BAB">
            <w:pPr>
              <w:jc w:val="center"/>
              <w:rPr>
                <w:rFonts w:ascii="Times New Roman" w:eastAsia="Comenia Sans" w:hAnsi="Times New Roman" w:cs="Times New Roman"/>
                <w:sz w:val="16"/>
                <w:szCs w:val="16"/>
              </w:rPr>
            </w:pPr>
            <w:r w:rsidRPr="00A97495">
              <w:rPr>
                <w:rFonts w:ascii="Times New Roman" w:eastAsia="Comenia Sans" w:hAnsi="Times New Roman" w:cs="Times New Roman"/>
                <w:sz w:val="16"/>
                <w:szCs w:val="16"/>
              </w:rPr>
              <w:t>0</w:t>
            </w:r>
          </w:p>
        </w:tc>
      </w:tr>
    </w:tbl>
    <w:p w14:paraId="22512B1B" w14:textId="77777777" w:rsidR="004448B3" w:rsidRPr="00A97495" w:rsidRDefault="004448B3" w:rsidP="004448B3">
      <w:pPr>
        <w:rPr>
          <w:rFonts w:ascii="Times New Roman" w:hAnsi="Times New Roman" w:cs="Times New Roman"/>
        </w:rPr>
      </w:pPr>
    </w:p>
    <w:p w14:paraId="44D5454D" w14:textId="77777777" w:rsidR="00C811CF" w:rsidRPr="00A97495" w:rsidRDefault="00C811CF"/>
    <w:p w14:paraId="74B06EB5" w14:textId="77777777" w:rsidR="004448B3" w:rsidRPr="00A97495" w:rsidRDefault="004448B3"/>
    <w:p w14:paraId="20C61798" w14:textId="3CC9A936" w:rsidR="004448B3" w:rsidRPr="00A97495" w:rsidRDefault="004448B3" w:rsidP="004448B3">
      <w:pPr>
        <w:pStyle w:val="Titulek"/>
        <w:keepNext/>
        <w:rPr>
          <w:rFonts w:ascii="Times New Roman" w:hAnsi="Times New Roman" w:cs="Times New Roman"/>
          <w:color w:val="auto"/>
          <w:sz w:val="22"/>
        </w:rPr>
      </w:pPr>
      <w:r w:rsidRPr="00A97495">
        <w:rPr>
          <w:rFonts w:ascii="Times New Roman" w:hAnsi="Times New Roman" w:cs="Times New Roman"/>
          <w:b/>
          <w:color w:val="auto"/>
          <w:sz w:val="22"/>
        </w:rPr>
        <w:lastRenderedPageBreak/>
        <w:t>Annex 2</w:t>
      </w:r>
      <w:r w:rsidRPr="00A97495">
        <w:rPr>
          <w:rFonts w:ascii="Times New Roman" w:hAnsi="Times New Roman" w:cs="Times New Roman"/>
          <w:color w:val="auto"/>
          <w:sz w:val="22"/>
        </w:rPr>
        <w:t xml:space="preserve">: </w:t>
      </w:r>
      <w:r w:rsidR="00EF2653" w:rsidRPr="00A97495">
        <w:rPr>
          <w:rFonts w:ascii="Times New Roman" w:hAnsi="Times New Roman" w:cs="Times New Roman"/>
          <w:color w:val="auto"/>
          <w:sz w:val="22"/>
        </w:rPr>
        <w:t xml:space="preserve"> </w:t>
      </w:r>
      <w:r w:rsidRPr="00A97495">
        <w:rPr>
          <w:rFonts w:ascii="Times New Roman" w:hAnsi="Times New Roman" w:cs="Times New Roman"/>
          <w:color w:val="auto"/>
          <w:sz w:val="22"/>
        </w:rPr>
        <w:t>Study characteristics of the concomitant health economic evaluation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"/>
        <w:gridCol w:w="1283"/>
        <w:gridCol w:w="2204"/>
        <w:gridCol w:w="1265"/>
        <w:gridCol w:w="1348"/>
        <w:gridCol w:w="1936"/>
      </w:tblGrid>
      <w:tr w:rsidR="004448B3" w:rsidRPr="00A97495" w14:paraId="2D59C6B4" w14:textId="77777777" w:rsidTr="004C5CFB">
        <w:trPr>
          <w:trHeight w:val="1464"/>
          <w:tblHeader/>
        </w:trPr>
        <w:tc>
          <w:tcPr>
            <w:tcW w:w="566" w:type="pct"/>
          </w:tcPr>
          <w:p w14:paraId="6A83D40B" w14:textId="77777777" w:rsidR="004448B3" w:rsidRPr="00A97495" w:rsidRDefault="004448B3" w:rsidP="00846BAB">
            <w:pPr>
              <w:pStyle w:val="Tab-Spalten10PtQ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Study</w:t>
            </w:r>
          </w:p>
        </w:tc>
        <w:tc>
          <w:tcPr>
            <w:tcW w:w="708" w:type="pct"/>
          </w:tcPr>
          <w:p w14:paraId="5E6AA22E" w14:textId="77777777" w:rsidR="004448B3" w:rsidRPr="00A97495" w:rsidRDefault="004448B3" w:rsidP="00846BAB">
            <w:pPr>
              <w:pStyle w:val="Tab-Spalten10PtQ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Modelling approaches  / model type</w:t>
            </w:r>
          </w:p>
        </w:tc>
        <w:tc>
          <w:tcPr>
            <w:tcW w:w="1216" w:type="pct"/>
          </w:tcPr>
          <w:p w14:paraId="3BDCA60A" w14:textId="77777777" w:rsidR="004448B3" w:rsidRPr="00A97495" w:rsidRDefault="004448B3" w:rsidP="00846BAB">
            <w:pPr>
              <w:pStyle w:val="Tab-Spalten10PtQ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Number and Type of health conditions / events</w:t>
            </w:r>
          </w:p>
        </w:tc>
        <w:tc>
          <w:tcPr>
            <w:tcW w:w="698" w:type="pct"/>
          </w:tcPr>
          <w:p w14:paraId="1ADA939E" w14:textId="77777777" w:rsidR="004448B3" w:rsidRPr="00A97495" w:rsidRDefault="004448B3" w:rsidP="00846BAB">
            <w:pPr>
              <w:pStyle w:val="Tab-Spalten10PtQ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Cycle length (when using Markov models) /</w:t>
            </w:r>
          </w:p>
          <w:p w14:paraId="4E5DE0E6" w14:textId="77777777" w:rsidR="004448B3" w:rsidRPr="00A97495" w:rsidRDefault="004448B3" w:rsidP="00846BAB">
            <w:pPr>
              <w:pStyle w:val="Tab-Spalten10PtQ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timeline</w:t>
            </w:r>
          </w:p>
        </w:tc>
        <w:tc>
          <w:tcPr>
            <w:tcW w:w="744" w:type="pct"/>
          </w:tcPr>
          <w:p w14:paraId="0289C2DB" w14:textId="77777777" w:rsidR="004448B3" w:rsidRPr="00A97495" w:rsidRDefault="004448B3" w:rsidP="00846BAB">
            <w:pPr>
              <w:pStyle w:val="Tab-Spalten10PtQ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Assumptions</w:t>
            </w:r>
          </w:p>
        </w:tc>
        <w:tc>
          <w:tcPr>
            <w:tcW w:w="1069" w:type="pct"/>
          </w:tcPr>
          <w:p w14:paraId="7A05033A" w14:textId="77777777" w:rsidR="004448B3" w:rsidRPr="00A97495" w:rsidRDefault="004448B3" w:rsidP="00846BAB">
            <w:pPr>
              <w:pStyle w:val="Tab-Spalten10PtQ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Handling of uncertainty / statements / assertions regarding model validation</w:t>
            </w:r>
          </w:p>
        </w:tc>
      </w:tr>
      <w:tr w:rsidR="004448B3" w:rsidRPr="00A97495" w14:paraId="38DA87D2" w14:textId="77777777" w:rsidTr="004C5CFB">
        <w:trPr>
          <w:trHeight w:val="110"/>
        </w:trPr>
        <w:tc>
          <w:tcPr>
            <w:tcW w:w="566" w:type="pct"/>
          </w:tcPr>
          <w:p w14:paraId="6828B0E5" w14:textId="05724C68" w:rsidR="004448B3" w:rsidRPr="00A97495" w:rsidRDefault="00144BE1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Afaneh et al., 2016</w:t>
            </w:r>
          </w:p>
        </w:tc>
        <w:tc>
          <w:tcPr>
            <w:tcW w:w="708" w:type="pct"/>
          </w:tcPr>
          <w:p w14:paraId="7C17224C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Cost model, Cost equivalence calculation</w:t>
            </w:r>
          </w:p>
        </w:tc>
        <w:tc>
          <w:tcPr>
            <w:tcW w:w="1216" w:type="pct"/>
          </w:tcPr>
          <w:p w14:paraId="1E8BA709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Esophagogastroduodenoscopy, pH monitoring, Esophageal manometry</w:t>
            </w:r>
          </w:p>
        </w:tc>
        <w:tc>
          <w:tcPr>
            <w:tcW w:w="698" w:type="pct"/>
          </w:tcPr>
          <w:p w14:paraId="6E93CD9F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Median PPI use prior to referral was 215 weeks (range</w:t>
            </w:r>
          </w:p>
          <w:p w14:paraId="3744464C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0–520)</w:t>
            </w:r>
          </w:p>
        </w:tc>
        <w:tc>
          <w:tcPr>
            <w:tcW w:w="744" w:type="pct"/>
          </w:tcPr>
          <w:p w14:paraId="51499D10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records of 100 consecutive patients who underwent</w:t>
            </w:r>
          </w:p>
          <w:p w14:paraId="101B4548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BRAVO esophageal pH monitoring for suspected GERD</w:t>
            </w:r>
          </w:p>
          <w:p w14:paraId="013DA62A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 PPI therapy</w:t>
            </w:r>
          </w:p>
        </w:tc>
        <w:tc>
          <w:tcPr>
            <w:tcW w:w="1069" w:type="pct"/>
          </w:tcPr>
          <w:p w14:paraId="351C45EB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study selected for patients with</w:t>
            </w:r>
          </w:p>
          <w:p w14:paraId="18B305BE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symptomatic GERD on PPI therapy who were offered pH</w:t>
            </w:r>
          </w:p>
          <w:p w14:paraId="26EFFFF0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testing, and thus, not all patients with symptomatic GERD</w:t>
            </w:r>
          </w:p>
          <w:p w14:paraId="603A54F8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were captured.</w:t>
            </w:r>
          </w:p>
        </w:tc>
      </w:tr>
      <w:tr w:rsidR="004448B3" w:rsidRPr="00A97495" w14:paraId="32749B71" w14:textId="77777777" w:rsidTr="004C5CFB">
        <w:trPr>
          <w:trHeight w:val="110"/>
        </w:trPr>
        <w:tc>
          <w:tcPr>
            <w:tcW w:w="566" w:type="pct"/>
          </w:tcPr>
          <w:p w14:paraId="32995DA7" w14:textId="05A7F429" w:rsidR="004448B3" w:rsidRPr="00A97495" w:rsidRDefault="00144BE1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Sami et al., 2021</w:t>
            </w:r>
          </w:p>
        </w:tc>
        <w:tc>
          <w:tcPr>
            <w:tcW w:w="708" w:type="pct"/>
          </w:tcPr>
          <w:p w14:paraId="40AAABC1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Markov model</w:t>
            </w:r>
          </w:p>
        </w:tc>
        <w:tc>
          <w:tcPr>
            <w:tcW w:w="1216" w:type="pct"/>
          </w:tcPr>
          <w:p w14:paraId="6E8BEE04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sedated endoscopy (sEGD), transnasal endoscopy</w:t>
            </w:r>
          </w:p>
        </w:tc>
        <w:tc>
          <w:tcPr>
            <w:tcW w:w="698" w:type="pct"/>
          </w:tcPr>
          <w:p w14:paraId="093706AB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1-month cycle length</w:t>
            </w:r>
          </w:p>
        </w:tc>
        <w:tc>
          <w:tcPr>
            <w:tcW w:w="744" w:type="pct"/>
          </w:tcPr>
          <w:p w14:paraId="1F07814D" w14:textId="77777777" w:rsidR="004448B3" w:rsidRPr="00A97495" w:rsidRDefault="004448B3" w:rsidP="00846BAB">
            <w:pPr>
              <w:pStyle w:val="TabInhalt10PtQ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Various types in model (BE, NDBE, LGD, HGD, IMC/SC) + combinations</w:t>
            </w:r>
          </w:p>
        </w:tc>
        <w:tc>
          <w:tcPr>
            <w:tcW w:w="1069" w:type="pct"/>
          </w:tcPr>
          <w:p w14:paraId="7DF81CC5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One-way sensitivity analyses</w:t>
            </w:r>
          </w:p>
        </w:tc>
      </w:tr>
      <w:tr w:rsidR="004448B3" w:rsidRPr="00A97495" w14:paraId="495DF9FE" w14:textId="77777777" w:rsidTr="004C5CFB">
        <w:trPr>
          <w:trHeight w:val="110"/>
        </w:trPr>
        <w:tc>
          <w:tcPr>
            <w:tcW w:w="566" w:type="pct"/>
          </w:tcPr>
          <w:p w14:paraId="3E7C0ADA" w14:textId="36E112E3" w:rsidR="004448B3" w:rsidRPr="00A97495" w:rsidRDefault="00144BE1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Benaglia et al., 2013</w:t>
            </w:r>
          </w:p>
        </w:tc>
        <w:tc>
          <w:tcPr>
            <w:tcW w:w="708" w:type="pct"/>
          </w:tcPr>
          <w:p w14:paraId="37B92E01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Microsimulation modeling</w:t>
            </w:r>
          </w:p>
        </w:tc>
        <w:tc>
          <w:tcPr>
            <w:tcW w:w="1216" w:type="pct"/>
          </w:tcPr>
          <w:p w14:paraId="5626A9EA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50-year-old men with a history of symptoms of gastroesophageal reflux disease (GERD)</w:t>
            </w:r>
          </w:p>
        </w:tc>
        <w:tc>
          <w:tcPr>
            <w:tcW w:w="698" w:type="pct"/>
          </w:tcPr>
          <w:p w14:paraId="24514FC6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Duration of the microsimulation cycle (30</w:t>
            </w:r>
          </w:p>
          <w:p w14:paraId="5E6E29A2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days)</w:t>
            </w:r>
          </w:p>
        </w:tc>
        <w:tc>
          <w:tcPr>
            <w:tcW w:w="744" w:type="pct"/>
          </w:tcPr>
          <w:p w14:paraId="4340095D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Cytosponge or endoscopy</w:t>
            </w:r>
          </w:p>
          <w:p w14:paraId="0AB402A4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screening</w:t>
            </w:r>
          </w:p>
        </w:tc>
        <w:tc>
          <w:tcPr>
            <w:tcW w:w="1069" w:type="pct"/>
          </w:tcPr>
          <w:p w14:paraId="36D5F67D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Supplementary and sensitivity analyses comprised</w:t>
            </w:r>
          </w:p>
        </w:tc>
      </w:tr>
      <w:tr w:rsidR="004448B3" w:rsidRPr="00A97495" w14:paraId="0871FDB7" w14:textId="77777777" w:rsidTr="004C5CFB">
        <w:trPr>
          <w:trHeight w:val="110"/>
        </w:trPr>
        <w:tc>
          <w:tcPr>
            <w:tcW w:w="566" w:type="pct"/>
          </w:tcPr>
          <w:p w14:paraId="354C6449" w14:textId="1C3D0ABB" w:rsidR="004448B3" w:rsidRPr="00A97495" w:rsidRDefault="00144BE1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Park et al., 2020</w:t>
            </w:r>
          </w:p>
        </w:tc>
        <w:tc>
          <w:tcPr>
            <w:tcW w:w="708" w:type="pct"/>
          </w:tcPr>
          <w:p w14:paraId="4EB00448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Markov model</w:t>
            </w:r>
          </w:p>
        </w:tc>
        <w:tc>
          <w:tcPr>
            <w:tcW w:w="1216" w:type="pct"/>
          </w:tcPr>
          <w:p w14:paraId="51A12E19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Surgery, medical treatment</w:t>
            </w:r>
          </w:p>
        </w:tc>
        <w:tc>
          <w:tcPr>
            <w:tcW w:w="698" w:type="pct"/>
          </w:tcPr>
          <w:p w14:paraId="2F725D29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 years</w:t>
            </w:r>
          </w:p>
        </w:tc>
        <w:tc>
          <w:tcPr>
            <w:tcW w:w="744" w:type="pct"/>
          </w:tcPr>
          <w:p w14:paraId="516CACD5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 targeted the parameter assumptions</w:t>
            </w:r>
          </w:p>
          <w:p w14:paraId="512F5765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that varied ± 25% from both the surgical and medical strategies</w:t>
            </w:r>
          </w:p>
          <w:p w14:paraId="2038ACBD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 the baseline case model.</w:t>
            </w:r>
          </w:p>
        </w:tc>
        <w:tc>
          <w:tcPr>
            <w:tcW w:w="1069" w:type="pct"/>
          </w:tcPr>
          <w:p w14:paraId="3947897B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Sensitivity analyses using the varying parameter assumptions demonstrated the robustness of the study results.</w:t>
            </w:r>
          </w:p>
        </w:tc>
      </w:tr>
      <w:tr w:rsidR="004448B3" w:rsidRPr="00A97495" w14:paraId="58D6A5AB" w14:textId="77777777" w:rsidTr="004C5CFB">
        <w:trPr>
          <w:trHeight w:val="110"/>
        </w:trPr>
        <w:tc>
          <w:tcPr>
            <w:tcW w:w="566" w:type="pct"/>
          </w:tcPr>
          <w:p w14:paraId="181F1AA4" w14:textId="37A3D1B2" w:rsidR="004448B3" w:rsidRPr="00A97495" w:rsidRDefault="00144BE1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Park et al., 2020</w:t>
            </w:r>
          </w:p>
        </w:tc>
        <w:tc>
          <w:tcPr>
            <w:tcW w:w="708" w:type="pct"/>
          </w:tcPr>
          <w:p w14:paraId="7C4DD227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Generalized linear models</w:t>
            </w:r>
          </w:p>
        </w:tc>
        <w:tc>
          <w:tcPr>
            <w:tcW w:w="1216" w:type="pct"/>
          </w:tcPr>
          <w:p w14:paraId="5084146F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Surgery</w:t>
            </w:r>
          </w:p>
        </w:tc>
        <w:tc>
          <w:tcPr>
            <w:tcW w:w="698" w:type="pct"/>
          </w:tcPr>
          <w:p w14:paraId="7610C04F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years</w:t>
            </w:r>
          </w:p>
        </w:tc>
        <w:tc>
          <w:tcPr>
            <w:tcW w:w="744" w:type="pct"/>
          </w:tcPr>
          <w:p w14:paraId="7BAE9CAB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PPIs medication for more than 12</w:t>
            </w:r>
          </w:p>
          <w:p w14:paraId="74BD43A1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weeks</w:t>
            </w:r>
          </w:p>
        </w:tc>
        <w:tc>
          <w:tcPr>
            <w:tcW w:w="1069" w:type="pct"/>
          </w:tcPr>
          <w:p w14:paraId="1BD86CE7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Combination of the univariate and multivariable model</w:t>
            </w:r>
          </w:p>
        </w:tc>
      </w:tr>
      <w:tr w:rsidR="004448B3" w:rsidRPr="00A97495" w14:paraId="711B2106" w14:textId="77777777" w:rsidTr="004C5CFB">
        <w:trPr>
          <w:trHeight w:val="110"/>
        </w:trPr>
        <w:tc>
          <w:tcPr>
            <w:tcW w:w="566" w:type="pct"/>
          </w:tcPr>
          <w:p w14:paraId="3D9E8376" w14:textId="64DBFE16" w:rsidR="004448B3" w:rsidRPr="00A97495" w:rsidRDefault="00144BE1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Pandolfino et al., 2020</w:t>
            </w:r>
          </w:p>
        </w:tc>
        <w:tc>
          <w:tcPr>
            <w:tcW w:w="708" w:type="pct"/>
          </w:tcPr>
          <w:p w14:paraId="052626C1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Economic budget impact model</w:t>
            </w:r>
          </w:p>
        </w:tc>
        <w:tc>
          <w:tcPr>
            <w:tcW w:w="1216" w:type="pct"/>
          </w:tcPr>
          <w:p w14:paraId="23A96845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surgery treatment types (MSA vs LNF)</w:t>
            </w:r>
          </w:p>
        </w:tc>
        <w:tc>
          <w:tcPr>
            <w:tcW w:w="698" w:type="pct"/>
          </w:tcPr>
          <w:p w14:paraId="3511F4B6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developed over a 1-year time horizon</w:t>
            </w:r>
          </w:p>
        </w:tc>
        <w:tc>
          <w:tcPr>
            <w:tcW w:w="744" w:type="pct"/>
          </w:tcPr>
          <w:p w14:paraId="0CE5B533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MSA patients experiencing</w:t>
            </w:r>
          </w:p>
          <w:p w14:paraId="63651927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device removal reoperations were assumed to not require</w:t>
            </w:r>
          </w:p>
          <w:p w14:paraId="3882CCC7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additional treatments</w:t>
            </w:r>
          </w:p>
        </w:tc>
        <w:tc>
          <w:tcPr>
            <w:tcW w:w="1069" w:type="pct"/>
          </w:tcPr>
          <w:p w14:paraId="0CF6BF72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Real-world scenarios underlying this study</w:t>
            </w:r>
          </w:p>
        </w:tc>
      </w:tr>
      <w:tr w:rsidR="004448B3" w:rsidRPr="00A97495" w14:paraId="10D054C7" w14:textId="77777777" w:rsidTr="004C5CFB">
        <w:trPr>
          <w:trHeight w:val="110"/>
        </w:trPr>
        <w:tc>
          <w:tcPr>
            <w:tcW w:w="566" w:type="pct"/>
          </w:tcPr>
          <w:p w14:paraId="38CECE41" w14:textId="77072B2A" w:rsidR="004448B3" w:rsidRPr="00A97495" w:rsidRDefault="00144BE1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Yokoya et al., 2019</w:t>
            </w:r>
          </w:p>
        </w:tc>
        <w:tc>
          <w:tcPr>
            <w:tcW w:w="708" w:type="pct"/>
          </w:tcPr>
          <w:p w14:paraId="70CB5CD1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Markov simulation model</w:t>
            </w:r>
          </w:p>
        </w:tc>
        <w:tc>
          <w:tcPr>
            <w:tcW w:w="1216" w:type="pct"/>
          </w:tcPr>
          <w:p w14:paraId="44B4A986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Cost-effectiveness of the vonoprazan-first ‘top-down’ dosing strategy for symptomatic GERD versus two other PPI first ‘step-up’ strategies for esomeprazole and rabeprazole.</w:t>
            </w:r>
          </w:p>
          <w:p w14:paraId="61D84D39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98" w:type="pct"/>
          </w:tcPr>
          <w:p w14:paraId="421771DA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Comprising healing and maintenance therapies, over 5 years (4-</w:t>
            </w:r>
          </w:p>
          <w:p w14:paraId="1877927D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week cycles).</w:t>
            </w:r>
          </w:p>
        </w:tc>
        <w:tc>
          <w:tcPr>
            <w:tcW w:w="744" w:type="pct"/>
          </w:tcPr>
          <w:p w14:paraId="3E3B742A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base treatment strategy comprised 4 weeks of healing therapy at a dose of 20 mg once daily and, for healed patients, 6 months of maintenance treatment at a dose of 10 mg once daily.</w:t>
            </w:r>
          </w:p>
        </w:tc>
        <w:tc>
          <w:tcPr>
            <w:tcW w:w="1069" w:type="pct"/>
          </w:tcPr>
          <w:p w14:paraId="09E4564A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 one-way sensitivity analysis to assess the impact of</w:t>
            </w:r>
          </w:p>
          <w:p w14:paraId="17CEFEFF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variations in key parameters on incremental costs and</w:t>
            </w:r>
          </w:p>
          <w:p w14:paraId="7B193342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QALYs was performed</w:t>
            </w:r>
          </w:p>
        </w:tc>
      </w:tr>
      <w:tr w:rsidR="004448B3" w:rsidRPr="00A97495" w14:paraId="7BEB6B6E" w14:textId="77777777" w:rsidTr="004C5CFB">
        <w:trPr>
          <w:trHeight w:val="110"/>
        </w:trPr>
        <w:tc>
          <w:tcPr>
            <w:tcW w:w="566" w:type="pct"/>
          </w:tcPr>
          <w:p w14:paraId="23511C0E" w14:textId="1F162B7C" w:rsidR="004448B3" w:rsidRPr="00A97495" w:rsidRDefault="00144BE1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Funk et al., 2015</w:t>
            </w:r>
          </w:p>
        </w:tc>
        <w:tc>
          <w:tcPr>
            <w:tcW w:w="708" w:type="pct"/>
          </w:tcPr>
          <w:p w14:paraId="79ADFCAE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Markov model</w:t>
            </w:r>
          </w:p>
        </w:tc>
        <w:tc>
          <w:tcPr>
            <w:tcW w:w="1216" w:type="pct"/>
          </w:tcPr>
          <w:p w14:paraId="22C396E0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PPI therapy, transoral incisionless</w:t>
            </w:r>
          </w:p>
          <w:p w14:paraId="447FC5FF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fundoplication (EsophyX), radiofrequency energy application to the lower esophageal sphincter (Stretta)</w:t>
            </w:r>
          </w:p>
          <w:p w14:paraId="74DBB16F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and laparoscopic Nissen fundoplication</w:t>
            </w:r>
          </w:p>
        </w:tc>
        <w:tc>
          <w:tcPr>
            <w:tcW w:w="698" w:type="pct"/>
          </w:tcPr>
          <w:p w14:paraId="2B32DB73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6-month cycle and 30-year</w:t>
            </w:r>
          </w:p>
          <w:p w14:paraId="59198273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time horizon</w:t>
            </w:r>
          </w:p>
        </w:tc>
        <w:tc>
          <w:tcPr>
            <w:tcW w:w="744" w:type="pct"/>
          </w:tcPr>
          <w:p w14:paraId="42AE4E0B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Symptomatic GERD taking 20 mg of</w:t>
            </w:r>
          </w:p>
          <w:p w14:paraId="33F4D4CA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omeprazole twice daily</w:t>
            </w:r>
          </w:p>
        </w:tc>
        <w:tc>
          <w:tcPr>
            <w:tcW w:w="1069" w:type="pct"/>
          </w:tcPr>
          <w:p w14:paraId="52940639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Additionally,</w:t>
            </w:r>
          </w:p>
          <w:p w14:paraId="13BFA56E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was performed 1-way sensitivity analyses to determine</w:t>
            </w:r>
          </w:p>
          <w:p w14:paraId="3A3A35F1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how varying costs and relapse rates impacted the</w:t>
            </w:r>
          </w:p>
          <w:p w14:paraId="6634353E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cost effectiveness of each treatment modality</w:t>
            </w:r>
          </w:p>
        </w:tc>
      </w:tr>
      <w:tr w:rsidR="004448B3" w:rsidRPr="00A97495" w14:paraId="00A88636" w14:textId="77777777" w:rsidTr="004C5CFB">
        <w:trPr>
          <w:trHeight w:val="110"/>
        </w:trPr>
        <w:tc>
          <w:tcPr>
            <w:tcW w:w="566" w:type="pct"/>
          </w:tcPr>
          <w:p w14:paraId="118547FC" w14:textId="75FE69B8" w:rsidR="004448B3" w:rsidRPr="00A97495" w:rsidRDefault="00144BE1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Heberle et al., 2017</w:t>
            </w:r>
          </w:p>
        </w:tc>
        <w:tc>
          <w:tcPr>
            <w:tcW w:w="708" w:type="pct"/>
          </w:tcPr>
          <w:p w14:paraId="41274D1D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Two</w:t>
            </w:r>
          </w:p>
          <w:p w14:paraId="1BC61EB7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validated microsimulation models</w:t>
            </w:r>
          </w:p>
        </w:tc>
        <w:tc>
          <w:tcPr>
            <w:tcW w:w="1216" w:type="pct"/>
          </w:tcPr>
          <w:p w14:paraId="1A950968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Endoscopy alone or cytosponge</w:t>
            </w:r>
          </w:p>
        </w:tc>
        <w:tc>
          <w:tcPr>
            <w:tcW w:w="698" w:type="pct"/>
          </w:tcPr>
          <w:p w14:paraId="629693BA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Every year for low-grade dysplasia, every three years for non-dysplastic</w:t>
            </w:r>
          </w:p>
          <w:p w14:paraId="45AE2235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</w:t>
            </w:r>
          </w:p>
        </w:tc>
        <w:tc>
          <w:tcPr>
            <w:tcW w:w="744" w:type="pct"/>
          </w:tcPr>
          <w:p w14:paraId="44632AB6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 in male patients with GERD, 60 years</w:t>
            </w:r>
          </w:p>
          <w:p w14:paraId="2B6A71B1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of age</w:t>
            </w:r>
          </w:p>
        </w:tc>
        <w:tc>
          <w:tcPr>
            <w:tcW w:w="1069" w:type="pct"/>
          </w:tcPr>
          <w:p w14:paraId="2D986A85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One-way sensitivity analyses on several key parameters, including cytosponge cost,</w:t>
            </w:r>
          </w:p>
          <w:p w14:paraId="4B3B3447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cytosponge performance characteristics, initial effectiveness of EET, rates of recurrence after EET,</w:t>
            </w:r>
          </w:p>
          <w:p w14:paraId="395157F8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gender, and the age of initial screening.</w:t>
            </w:r>
          </w:p>
        </w:tc>
      </w:tr>
      <w:tr w:rsidR="004448B3" w:rsidRPr="00A97495" w14:paraId="3A462D86" w14:textId="77777777" w:rsidTr="004C5CFB">
        <w:trPr>
          <w:trHeight w:val="110"/>
        </w:trPr>
        <w:tc>
          <w:tcPr>
            <w:tcW w:w="566" w:type="pct"/>
          </w:tcPr>
          <w:p w14:paraId="5C31732C" w14:textId="4BE0ED2E" w:rsidR="004448B3" w:rsidRPr="00A97495" w:rsidRDefault="00144BE1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Kleiman et al., 2014</w:t>
            </w:r>
          </w:p>
        </w:tc>
        <w:tc>
          <w:tcPr>
            <w:tcW w:w="708" w:type="pct"/>
          </w:tcPr>
          <w:p w14:paraId="701C499B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 cost model</w:t>
            </w:r>
          </w:p>
        </w:tc>
        <w:tc>
          <w:tcPr>
            <w:tcW w:w="1216" w:type="pct"/>
          </w:tcPr>
          <w:p w14:paraId="0840B6D3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Esophageal</w:t>
            </w:r>
          </w:p>
          <w:p w14:paraId="35B26557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GERD symptoms</w:t>
            </w:r>
          </w:p>
        </w:tc>
        <w:tc>
          <w:tcPr>
            <w:tcW w:w="698" w:type="pct"/>
          </w:tcPr>
          <w:p w14:paraId="17E68649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years</w:t>
            </w:r>
          </w:p>
        </w:tc>
        <w:tc>
          <w:tcPr>
            <w:tcW w:w="744" w:type="pct"/>
          </w:tcPr>
          <w:p w14:paraId="01BA6388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Underwent 24-h esophageal pH monitoring</w:t>
            </w:r>
          </w:p>
        </w:tc>
        <w:tc>
          <w:tcPr>
            <w:tcW w:w="1069" w:type="pct"/>
          </w:tcPr>
          <w:p w14:paraId="6689170B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Two-way sensitivity</w:t>
            </w:r>
          </w:p>
          <w:p w14:paraId="3445FB82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analysis was performed to test the cost model over the range</w:t>
            </w:r>
          </w:p>
          <w:p w14:paraId="7BCE7407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of possible costs</w:t>
            </w:r>
          </w:p>
        </w:tc>
      </w:tr>
      <w:tr w:rsidR="004448B3" w:rsidRPr="00A97495" w14:paraId="28E76296" w14:textId="77777777" w:rsidTr="004C5CFB">
        <w:trPr>
          <w:trHeight w:val="110"/>
        </w:trPr>
        <w:tc>
          <w:tcPr>
            <w:tcW w:w="566" w:type="pct"/>
          </w:tcPr>
          <w:p w14:paraId="314D469F" w14:textId="56541F8A" w:rsidR="004448B3" w:rsidRPr="00A97495" w:rsidRDefault="00144BE1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Habu, 2019</w:t>
            </w:r>
          </w:p>
        </w:tc>
        <w:tc>
          <w:tcPr>
            <w:tcW w:w="708" w:type="pct"/>
          </w:tcPr>
          <w:p w14:paraId="7C9B0C89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Markov model</w:t>
            </w:r>
          </w:p>
        </w:tc>
        <w:tc>
          <w:tcPr>
            <w:tcW w:w="1216" w:type="pct"/>
          </w:tcPr>
          <w:p w14:paraId="633CEE9C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No. of days without esophagitis</w:t>
            </w:r>
          </w:p>
        </w:tc>
        <w:tc>
          <w:tcPr>
            <w:tcW w:w="698" w:type="pct"/>
          </w:tcPr>
          <w:p w14:paraId="339AC6D7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year</w:t>
            </w:r>
          </w:p>
        </w:tc>
        <w:tc>
          <w:tcPr>
            <w:tcW w:w="744" w:type="pct"/>
          </w:tcPr>
          <w:p w14:paraId="53CAFCB9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Healing rate (4 weeks): Vonoprazan (20mg / day) 0.966; Lansoprazole (30mg/day) 0.925; Relapse after healing 0.14/month; Endoscopy to confirm healing 0.145</w:t>
            </w:r>
          </w:p>
        </w:tc>
        <w:tc>
          <w:tcPr>
            <w:tcW w:w="1069" w:type="pct"/>
          </w:tcPr>
          <w:p w14:paraId="2D4E1E26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Probabilistic, Probability of healing with given treatment varied, probability of necessity to perform endoscopy varied</w:t>
            </w:r>
          </w:p>
        </w:tc>
      </w:tr>
      <w:tr w:rsidR="004448B3" w:rsidRPr="00A97495" w14:paraId="71328557" w14:textId="77777777" w:rsidTr="004C5CFB">
        <w:trPr>
          <w:trHeight w:val="110"/>
        </w:trPr>
        <w:tc>
          <w:tcPr>
            <w:tcW w:w="566" w:type="pct"/>
          </w:tcPr>
          <w:p w14:paraId="4FBDD29B" w14:textId="74B85FDC" w:rsidR="004448B3" w:rsidRPr="00A97495" w:rsidRDefault="00144BE1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Habu et al., 2021</w:t>
            </w:r>
          </w:p>
        </w:tc>
        <w:tc>
          <w:tcPr>
            <w:tcW w:w="708" w:type="pct"/>
          </w:tcPr>
          <w:p w14:paraId="40457467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Markov model</w:t>
            </w:r>
          </w:p>
        </w:tc>
        <w:tc>
          <w:tcPr>
            <w:tcW w:w="1216" w:type="pct"/>
          </w:tcPr>
          <w:p w14:paraId="438F6311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No. of days without esophagitis</w:t>
            </w:r>
          </w:p>
        </w:tc>
        <w:tc>
          <w:tcPr>
            <w:tcW w:w="698" w:type="pct"/>
          </w:tcPr>
          <w:p w14:paraId="6ED8603C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year</w:t>
            </w:r>
          </w:p>
        </w:tc>
        <w:tc>
          <w:tcPr>
            <w:tcW w:w="744" w:type="pct"/>
          </w:tcPr>
          <w:p w14:paraId="7DF0CE8F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Healing rate (4 weeks): Vonoprazan (20mg / day) 0.966; Lansoprazole (30mg/day) 0.925; Relapse after healing 0.14/month; Endoscopy to confirm healing 0(0-1)</w:t>
            </w:r>
          </w:p>
        </w:tc>
        <w:tc>
          <w:tcPr>
            <w:tcW w:w="1069" w:type="pct"/>
          </w:tcPr>
          <w:p w14:paraId="1A315264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Probabilistic, Probability of healing with given treatment varied, probability of necessity to perform endoscopy varied</w:t>
            </w:r>
          </w:p>
        </w:tc>
      </w:tr>
      <w:tr w:rsidR="004448B3" w:rsidRPr="00A97495" w14:paraId="280F6BD9" w14:textId="77777777" w:rsidTr="004C5CFB">
        <w:trPr>
          <w:trHeight w:val="110"/>
        </w:trPr>
        <w:tc>
          <w:tcPr>
            <w:tcW w:w="566" w:type="pct"/>
          </w:tcPr>
          <w:p w14:paraId="3A325198" w14:textId="6E49F119" w:rsidR="004448B3" w:rsidRPr="00A97495" w:rsidRDefault="00144BE1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s-ES"/>
              </w:rPr>
              <w:t>Bruley des Varannes et al., 2013</w:t>
            </w:r>
          </w:p>
        </w:tc>
        <w:tc>
          <w:tcPr>
            <w:tcW w:w="708" w:type="pct"/>
          </w:tcPr>
          <w:p w14:paraId="3770F8C7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216" w:type="pct"/>
          </w:tcPr>
          <w:p w14:paraId="0404CBDB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 work</w:t>
            </w:r>
          </w:p>
          <w:p w14:paraId="470D30B4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productivity and daily activities decrease</w:t>
            </w:r>
          </w:p>
        </w:tc>
        <w:tc>
          <w:tcPr>
            <w:tcW w:w="698" w:type="pct"/>
          </w:tcPr>
          <w:p w14:paraId="6012404E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year</w:t>
            </w:r>
          </w:p>
        </w:tc>
        <w:tc>
          <w:tcPr>
            <w:tcW w:w="744" w:type="pct"/>
          </w:tcPr>
          <w:p w14:paraId="3739E526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Questionnaire</w:t>
            </w:r>
          </w:p>
        </w:tc>
        <w:tc>
          <w:tcPr>
            <w:tcW w:w="1069" w:type="pct"/>
          </w:tcPr>
          <w:p w14:paraId="4318C376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4448B3" w:rsidRPr="00A97495" w14:paraId="3FCB071C" w14:textId="77777777" w:rsidTr="004C5CFB">
        <w:trPr>
          <w:trHeight w:val="110"/>
        </w:trPr>
        <w:tc>
          <w:tcPr>
            <w:tcW w:w="566" w:type="pct"/>
          </w:tcPr>
          <w:p w14:paraId="72A91F79" w14:textId="68A813AE" w:rsidR="004448B3" w:rsidRPr="00A97495" w:rsidRDefault="00144BE1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Howden et al., 2021</w:t>
            </w:r>
          </w:p>
        </w:tc>
        <w:tc>
          <w:tcPr>
            <w:tcW w:w="708" w:type="pct"/>
          </w:tcPr>
          <w:p w14:paraId="5D295546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216" w:type="pct"/>
          </w:tcPr>
          <w:p w14:paraId="15B94310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Cost of care for GERD patients w/o refractory symptoms</w:t>
            </w:r>
          </w:p>
        </w:tc>
        <w:tc>
          <w:tcPr>
            <w:tcW w:w="698" w:type="pct"/>
          </w:tcPr>
          <w:p w14:paraId="7F4E6E1D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year</w:t>
            </w:r>
          </w:p>
        </w:tc>
        <w:tc>
          <w:tcPr>
            <w:tcW w:w="744" w:type="pct"/>
          </w:tcPr>
          <w:p w14:paraId="7EE33C4D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069" w:type="pct"/>
          </w:tcPr>
          <w:p w14:paraId="6E8D5A38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4448B3" w:rsidRPr="00A97495" w14:paraId="0805D4E4" w14:textId="77777777" w:rsidTr="004C5CFB">
        <w:trPr>
          <w:trHeight w:val="110"/>
        </w:trPr>
        <w:tc>
          <w:tcPr>
            <w:tcW w:w="566" w:type="pct"/>
          </w:tcPr>
          <w:p w14:paraId="6ADCA53F" w14:textId="2ECEE35A" w:rsidR="004448B3" w:rsidRPr="00A97495" w:rsidRDefault="00144BE1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Ayazi et al., 2020</w:t>
            </w:r>
          </w:p>
        </w:tc>
        <w:tc>
          <w:tcPr>
            <w:tcW w:w="708" w:type="pct"/>
          </w:tcPr>
          <w:p w14:paraId="2DBC4731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216" w:type="pct"/>
          </w:tcPr>
          <w:p w14:paraId="2B03EC75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surgery treatment types (MSA vs LNF)</w:t>
            </w:r>
          </w:p>
        </w:tc>
        <w:tc>
          <w:tcPr>
            <w:tcW w:w="698" w:type="pct"/>
          </w:tcPr>
          <w:p w14:paraId="50930D2F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year</w:t>
            </w:r>
          </w:p>
        </w:tc>
        <w:tc>
          <w:tcPr>
            <w:tcW w:w="744" w:type="pct"/>
          </w:tcPr>
          <w:p w14:paraId="346DA542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069" w:type="pct"/>
          </w:tcPr>
          <w:p w14:paraId="6D699F01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4448B3" w:rsidRPr="00A97495" w14:paraId="7FFD6874" w14:textId="77777777" w:rsidTr="004C5CFB">
        <w:trPr>
          <w:trHeight w:val="110"/>
        </w:trPr>
        <w:tc>
          <w:tcPr>
            <w:tcW w:w="566" w:type="pct"/>
          </w:tcPr>
          <w:p w14:paraId="62C4D51D" w14:textId="3655BFC3" w:rsidR="004448B3" w:rsidRPr="00A97495" w:rsidRDefault="00144BE1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Singer &amp; Smith, 2021</w:t>
            </w:r>
          </w:p>
        </w:tc>
        <w:tc>
          <w:tcPr>
            <w:tcW w:w="708" w:type="pct"/>
          </w:tcPr>
          <w:p w14:paraId="3430B2C5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 decision analytic model</w:t>
            </w:r>
          </w:p>
        </w:tc>
        <w:tc>
          <w:tcPr>
            <w:tcW w:w="1216" w:type="pct"/>
          </w:tcPr>
          <w:p w14:paraId="4B47055C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Screening for BE with random 4-quadrant forceps biopsies (FB) and FB plus WATS 3D</w:t>
            </w:r>
          </w:p>
        </w:tc>
        <w:tc>
          <w:tcPr>
            <w:tcW w:w="698" w:type="pct"/>
          </w:tcPr>
          <w:p w14:paraId="7EA5736F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44" w:type="pct"/>
          </w:tcPr>
          <w:p w14:paraId="2C4A6170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Added Yield of WATS3D (an increase of BE detection) 71-213%; false positive rate of WATS3D 5-25%</w:t>
            </w:r>
          </w:p>
        </w:tc>
        <w:tc>
          <w:tcPr>
            <w:tcW w:w="1069" w:type="pct"/>
          </w:tcPr>
          <w:p w14:paraId="3C88BFC2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One-way sensitivity analysis was performed on all model</w:t>
            </w:r>
          </w:p>
          <w:p w14:paraId="6531468C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parameters. Two-way sensitivity analysis was performed on</w:t>
            </w:r>
          </w:p>
          <w:p w14:paraId="2E6C573B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WATS3D parameters</w:t>
            </w:r>
          </w:p>
          <w:p w14:paraId="0D5B3B44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</w:tr>
      <w:tr w:rsidR="004448B3" w:rsidRPr="00A97495" w14:paraId="51938E3A" w14:textId="77777777" w:rsidTr="004C5CFB">
        <w:trPr>
          <w:trHeight w:val="110"/>
        </w:trPr>
        <w:tc>
          <w:tcPr>
            <w:tcW w:w="566" w:type="pct"/>
          </w:tcPr>
          <w:p w14:paraId="379D38A8" w14:textId="30BF0264" w:rsidR="004448B3" w:rsidRPr="00A97495" w:rsidRDefault="00144BE1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Gronnier et al., 2014</w:t>
            </w:r>
          </w:p>
        </w:tc>
        <w:tc>
          <w:tcPr>
            <w:tcW w:w="708" w:type="pct"/>
          </w:tcPr>
          <w:p w14:paraId="25934B17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216" w:type="pct"/>
          </w:tcPr>
          <w:p w14:paraId="1EB484D4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Surgery (LF)</w:t>
            </w:r>
          </w:p>
        </w:tc>
        <w:tc>
          <w:tcPr>
            <w:tcW w:w="698" w:type="pct"/>
          </w:tcPr>
          <w:p w14:paraId="0E5879D5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years (last patient assessment after surgery)</w:t>
            </w:r>
          </w:p>
        </w:tc>
        <w:tc>
          <w:tcPr>
            <w:tcW w:w="744" w:type="pct"/>
          </w:tcPr>
          <w:p w14:paraId="7346986C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-</w:t>
            </w:r>
          </w:p>
        </w:tc>
        <w:tc>
          <w:tcPr>
            <w:tcW w:w="1069" w:type="pct"/>
          </w:tcPr>
          <w:p w14:paraId="76526257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-</w:t>
            </w:r>
          </w:p>
        </w:tc>
      </w:tr>
      <w:tr w:rsidR="004448B3" w:rsidRPr="00A97495" w14:paraId="328E948F" w14:textId="77777777" w:rsidTr="004C5CFB">
        <w:trPr>
          <w:trHeight w:val="110"/>
        </w:trPr>
        <w:tc>
          <w:tcPr>
            <w:tcW w:w="566" w:type="pct"/>
          </w:tcPr>
          <w:p w14:paraId="24C43332" w14:textId="5EE7ED79" w:rsidR="004448B3" w:rsidRPr="00A97495" w:rsidRDefault="00144BE1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Lai et al., 2022</w:t>
            </w:r>
          </w:p>
        </w:tc>
        <w:tc>
          <w:tcPr>
            <w:tcW w:w="708" w:type="pct"/>
          </w:tcPr>
          <w:p w14:paraId="15ECBCC4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Extrapolation (of medication conversion to lower-cost PPIs)</w:t>
            </w:r>
          </w:p>
        </w:tc>
        <w:tc>
          <w:tcPr>
            <w:tcW w:w="1216" w:type="pct"/>
          </w:tcPr>
          <w:p w14:paraId="36125623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698" w:type="pct"/>
          </w:tcPr>
          <w:p w14:paraId="787F599F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year</w:t>
            </w:r>
          </w:p>
        </w:tc>
        <w:tc>
          <w:tcPr>
            <w:tcW w:w="744" w:type="pct"/>
          </w:tcPr>
          <w:p w14:paraId="489E31F5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Successful medication conversion to lower-cost PPIs</w:t>
            </w:r>
          </w:p>
        </w:tc>
        <w:tc>
          <w:tcPr>
            <w:tcW w:w="1069" w:type="pct"/>
          </w:tcPr>
          <w:p w14:paraId="77EF4DF4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None (on per patient level)</w:t>
            </w:r>
          </w:p>
        </w:tc>
      </w:tr>
      <w:tr w:rsidR="004448B3" w:rsidRPr="00A97495" w14:paraId="67628CA3" w14:textId="77777777" w:rsidTr="004C5CFB">
        <w:trPr>
          <w:trHeight w:val="110"/>
        </w:trPr>
        <w:tc>
          <w:tcPr>
            <w:tcW w:w="566" w:type="pct"/>
          </w:tcPr>
          <w:p w14:paraId="22E602CD" w14:textId="20A3BD91" w:rsidR="004448B3" w:rsidRPr="00A97495" w:rsidRDefault="00144BE1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Kleppe et al., 2020</w:t>
            </w:r>
          </w:p>
        </w:tc>
        <w:tc>
          <w:tcPr>
            <w:tcW w:w="708" w:type="pct"/>
          </w:tcPr>
          <w:p w14:paraId="6D062592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216" w:type="pct"/>
          </w:tcPr>
          <w:p w14:paraId="1FDC4D99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ARS surgery, repeated ARS surgery</w:t>
            </w:r>
          </w:p>
        </w:tc>
        <w:tc>
          <w:tcPr>
            <w:tcW w:w="698" w:type="pct"/>
          </w:tcPr>
          <w:p w14:paraId="6199AE49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 days</w:t>
            </w:r>
          </w:p>
        </w:tc>
        <w:tc>
          <w:tcPr>
            <w:tcW w:w="744" w:type="pct"/>
          </w:tcPr>
          <w:p w14:paraId="5FC02034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-</w:t>
            </w:r>
          </w:p>
        </w:tc>
        <w:tc>
          <w:tcPr>
            <w:tcW w:w="1069" w:type="pct"/>
          </w:tcPr>
          <w:p w14:paraId="68A04421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-</w:t>
            </w:r>
          </w:p>
        </w:tc>
      </w:tr>
      <w:tr w:rsidR="004448B3" w:rsidRPr="00A97495" w14:paraId="3BEF97A6" w14:textId="77777777" w:rsidTr="004C5CFB">
        <w:trPr>
          <w:trHeight w:val="110"/>
        </w:trPr>
        <w:tc>
          <w:tcPr>
            <w:tcW w:w="566" w:type="pct"/>
          </w:tcPr>
          <w:p w14:paraId="4ABA4393" w14:textId="1BE3DA9C" w:rsidR="004448B3" w:rsidRPr="00A97495" w:rsidRDefault="00144BE1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Sharaiha et al., 2014</w:t>
            </w:r>
          </w:p>
        </w:tc>
        <w:tc>
          <w:tcPr>
            <w:tcW w:w="708" w:type="pct"/>
          </w:tcPr>
          <w:p w14:paraId="66BF29A1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Markov model</w:t>
            </w:r>
          </w:p>
        </w:tc>
        <w:tc>
          <w:tcPr>
            <w:tcW w:w="1216" w:type="pct"/>
          </w:tcPr>
          <w:p w14:paraId="4EACED6A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prevention of EAC in Barrett’s esophagus without reflux</w:t>
            </w:r>
          </w:p>
        </w:tc>
        <w:tc>
          <w:tcPr>
            <w:tcW w:w="698" w:type="pct"/>
          </w:tcPr>
          <w:p w14:paraId="5B1CD2DF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30-years</w:t>
            </w:r>
          </w:p>
        </w:tc>
        <w:tc>
          <w:tcPr>
            <w:tcW w:w="744" w:type="pct"/>
          </w:tcPr>
          <w:p w14:paraId="7BD2AD45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50 % reduction in esophageal adenocarcinoma (EAC) occurrence with PPI therapy</w:t>
            </w:r>
          </w:p>
        </w:tc>
        <w:tc>
          <w:tcPr>
            <w:tcW w:w="1069" w:type="pct"/>
          </w:tcPr>
          <w:p w14:paraId="5C4E1E5C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Reduction in EAC occurrence with PPI therapy varied (0-1), and treatment costs varied (base, low, high estimates)</w:t>
            </w:r>
          </w:p>
        </w:tc>
      </w:tr>
      <w:tr w:rsidR="004448B3" w:rsidRPr="00A97495" w14:paraId="5ED78560" w14:textId="77777777" w:rsidTr="004C5CFB">
        <w:trPr>
          <w:trHeight w:val="110"/>
        </w:trPr>
        <w:tc>
          <w:tcPr>
            <w:tcW w:w="566" w:type="pct"/>
          </w:tcPr>
          <w:p w14:paraId="7199882E" w14:textId="16D2A7E9" w:rsidR="004448B3" w:rsidRPr="00A97495" w:rsidRDefault="00144BE1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Owen et al., 2014</w:t>
            </w:r>
          </w:p>
        </w:tc>
        <w:tc>
          <w:tcPr>
            <w:tcW w:w="708" w:type="pct"/>
          </w:tcPr>
          <w:p w14:paraId="2A0A347D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216" w:type="pct"/>
          </w:tcPr>
          <w:p w14:paraId="648C68EA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Surgery (LF)</w:t>
            </w:r>
          </w:p>
        </w:tc>
        <w:tc>
          <w:tcPr>
            <w:tcW w:w="698" w:type="pct"/>
          </w:tcPr>
          <w:p w14:paraId="79A1BA1D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44" w:type="pct"/>
          </w:tcPr>
          <w:p w14:paraId="4C6DD3F5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069" w:type="pct"/>
          </w:tcPr>
          <w:p w14:paraId="2C694DB9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4448B3" w:rsidRPr="00A97495" w14:paraId="5BF01404" w14:textId="77777777" w:rsidTr="004C5CFB">
        <w:trPr>
          <w:trHeight w:val="110"/>
        </w:trPr>
        <w:tc>
          <w:tcPr>
            <w:tcW w:w="566" w:type="pct"/>
          </w:tcPr>
          <w:p w14:paraId="0D24A58B" w14:textId="16BB795A" w:rsidR="004448B3" w:rsidRPr="00A97495" w:rsidRDefault="00144BE1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Schlottmann et al., 2017</w:t>
            </w:r>
          </w:p>
        </w:tc>
        <w:tc>
          <w:tcPr>
            <w:tcW w:w="708" w:type="pct"/>
          </w:tcPr>
          <w:p w14:paraId="51EF8E07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216" w:type="pct"/>
          </w:tcPr>
          <w:p w14:paraId="6E2875C9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Surgery (LF)</w:t>
            </w:r>
          </w:p>
        </w:tc>
        <w:tc>
          <w:tcPr>
            <w:tcW w:w="698" w:type="pct"/>
          </w:tcPr>
          <w:p w14:paraId="213B98A8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744" w:type="pct"/>
          </w:tcPr>
          <w:p w14:paraId="065C2998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069" w:type="pct"/>
          </w:tcPr>
          <w:p w14:paraId="18B4676A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4448B3" w:rsidRPr="00A97495" w14:paraId="487B988C" w14:textId="77777777" w:rsidTr="004C5CFB">
        <w:trPr>
          <w:trHeight w:val="110"/>
        </w:trPr>
        <w:tc>
          <w:tcPr>
            <w:tcW w:w="566" w:type="pct"/>
          </w:tcPr>
          <w:p w14:paraId="243CB45F" w14:textId="5E522542" w:rsidR="004448B3" w:rsidRPr="00A97495" w:rsidRDefault="00144BE1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Furneri et al., 2019</w:t>
            </w:r>
          </w:p>
        </w:tc>
        <w:tc>
          <w:tcPr>
            <w:tcW w:w="708" w:type="pct"/>
          </w:tcPr>
          <w:p w14:paraId="47E06EF6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decision tree / Markov model</w:t>
            </w:r>
          </w:p>
        </w:tc>
        <w:tc>
          <w:tcPr>
            <w:tcW w:w="1216" w:type="pct"/>
          </w:tcPr>
          <w:p w14:paraId="080DB407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Diagnostics, Esophegal endoscopy + biopsy</w:t>
            </w:r>
          </w:p>
        </w:tc>
        <w:tc>
          <w:tcPr>
            <w:tcW w:w="698" w:type="pct"/>
          </w:tcPr>
          <w:p w14:paraId="10C03029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years</w:t>
            </w:r>
          </w:p>
        </w:tc>
        <w:tc>
          <w:tcPr>
            <w:tcW w:w="744" w:type="pct"/>
          </w:tcPr>
          <w:p w14:paraId="3804508A" w14:textId="77777777" w:rsidR="004448B3" w:rsidRPr="00A676FA" w:rsidRDefault="004448B3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676F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NBI targeted biopsies have the same detection rate as an HD-WLE examination with the Seattle protocol but require fewer biopsies (3.6 vs 7.6 respectively).  Per-location sensitivity and specificity for the detection of BE - sensitivity: HD-WLE = 79.1%; NBI = 89.0%; ; Specificity: HD-WLE = 81.0%; NBI = 80.0%;</w:t>
            </w:r>
          </w:p>
        </w:tc>
        <w:tc>
          <w:tcPr>
            <w:tcW w:w="1069" w:type="pct"/>
          </w:tcPr>
          <w:p w14:paraId="18928817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of biopsies per intervention varied (+/-10%); Cost per biopsy (+/-10%); N of biopsies per intervention (+/-10%)</w:t>
            </w:r>
          </w:p>
        </w:tc>
      </w:tr>
      <w:tr w:rsidR="004448B3" w:rsidRPr="00A97495" w14:paraId="63D0EF18" w14:textId="77777777" w:rsidTr="004C5CFB">
        <w:trPr>
          <w:trHeight w:val="110"/>
        </w:trPr>
        <w:tc>
          <w:tcPr>
            <w:tcW w:w="566" w:type="pct"/>
          </w:tcPr>
          <w:p w14:paraId="4898038F" w14:textId="25E1A4D6" w:rsidR="004448B3" w:rsidRPr="00A97495" w:rsidRDefault="00144BE1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Yang et al., 2015</w:t>
            </w:r>
          </w:p>
        </w:tc>
        <w:tc>
          <w:tcPr>
            <w:tcW w:w="708" w:type="pct"/>
          </w:tcPr>
          <w:p w14:paraId="0ACD507B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Cost-effectiveness decision tree</w:t>
            </w:r>
          </w:p>
        </w:tc>
        <w:tc>
          <w:tcPr>
            <w:tcW w:w="1216" w:type="pct"/>
          </w:tcPr>
          <w:p w14:paraId="019535C3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EAC death</w:t>
            </w:r>
          </w:p>
        </w:tc>
        <w:tc>
          <w:tcPr>
            <w:tcW w:w="698" w:type="pct"/>
          </w:tcPr>
          <w:p w14:paraId="543C1A5C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years</w:t>
            </w:r>
          </w:p>
        </w:tc>
        <w:tc>
          <w:tcPr>
            <w:tcW w:w="744" w:type="pct"/>
          </w:tcPr>
          <w:p w14:paraId="20CC0ED2" w14:textId="77777777" w:rsidR="004448B3" w:rsidRPr="00A676FA" w:rsidRDefault="004448B3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069" w:type="pct"/>
          </w:tcPr>
          <w:p w14:paraId="4F615399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Sensitivity analysis – the varying percentage of participants in adequate surveillance group 0-0.9 </w:t>
            </w:r>
          </w:p>
        </w:tc>
      </w:tr>
      <w:tr w:rsidR="004448B3" w:rsidRPr="00A97495" w14:paraId="29342493" w14:textId="77777777" w:rsidTr="004C5CFB">
        <w:trPr>
          <w:trHeight w:val="110"/>
        </w:trPr>
        <w:tc>
          <w:tcPr>
            <w:tcW w:w="566" w:type="pct"/>
          </w:tcPr>
          <w:p w14:paraId="617155BE" w14:textId="50C04069" w:rsidR="004448B3" w:rsidRPr="00A97495" w:rsidRDefault="00144BE1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Moriarty et al., 2018</w:t>
            </w:r>
          </w:p>
        </w:tc>
        <w:tc>
          <w:tcPr>
            <w:tcW w:w="708" w:type="pct"/>
          </w:tcPr>
          <w:p w14:paraId="53F334B0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216" w:type="pct"/>
          </w:tcPr>
          <w:p w14:paraId="34391589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Diagnostics, transnasal endoscopy</w:t>
            </w:r>
          </w:p>
        </w:tc>
        <w:tc>
          <w:tcPr>
            <w:tcW w:w="698" w:type="pct"/>
          </w:tcPr>
          <w:p w14:paraId="0CFBFB32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 days</w:t>
            </w:r>
          </w:p>
        </w:tc>
        <w:tc>
          <w:tcPr>
            <w:tcW w:w="744" w:type="pct"/>
          </w:tcPr>
          <w:p w14:paraId="39E05926" w14:textId="77777777" w:rsidR="004448B3" w:rsidRPr="00A676FA" w:rsidRDefault="004448B3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676F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BE prevalence in population = 1,6%; patients participation in screening modes: AS=57,14%; IAS=15,7%; NS=27,69%;</w:t>
            </w:r>
          </w:p>
        </w:tc>
        <w:tc>
          <w:tcPr>
            <w:tcW w:w="1069" w:type="pct"/>
          </w:tcPr>
          <w:p w14:paraId="6EC8D22E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4448B3" w:rsidRPr="00A97495" w14:paraId="4956A53D" w14:textId="77777777" w:rsidTr="004C5CFB">
        <w:trPr>
          <w:trHeight w:val="110"/>
        </w:trPr>
        <w:tc>
          <w:tcPr>
            <w:tcW w:w="566" w:type="pct"/>
          </w:tcPr>
          <w:p w14:paraId="506BEA9A" w14:textId="49ED6A52" w:rsidR="004448B3" w:rsidRPr="00A97495" w:rsidRDefault="00144BE1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McCarty et al., 2022</w:t>
            </w:r>
          </w:p>
        </w:tc>
        <w:tc>
          <w:tcPr>
            <w:tcW w:w="708" w:type="pct"/>
          </w:tcPr>
          <w:p w14:paraId="5713EF8F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Markov cohort model</w:t>
            </w:r>
          </w:p>
        </w:tc>
        <w:tc>
          <w:tcPr>
            <w:tcW w:w="1216" w:type="pct"/>
          </w:tcPr>
          <w:p w14:paraId="32DA2415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Surgery, medical treatment</w:t>
            </w:r>
          </w:p>
        </w:tc>
        <w:tc>
          <w:tcPr>
            <w:tcW w:w="698" w:type="pct"/>
          </w:tcPr>
          <w:p w14:paraId="75A6F904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10-year time horizon and cycle length of 12 months</w:t>
            </w:r>
          </w:p>
        </w:tc>
        <w:tc>
          <w:tcPr>
            <w:tcW w:w="744" w:type="pct"/>
          </w:tcPr>
          <w:p w14:paraId="21AC01EB" w14:textId="77777777" w:rsidR="004448B3" w:rsidRPr="00A676FA" w:rsidRDefault="004448B3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676F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Refractory GERD symptoms despite twice-daily PPI therapy</w:t>
            </w:r>
          </w:p>
        </w:tc>
        <w:tc>
          <w:tcPr>
            <w:tcW w:w="1069" w:type="pct"/>
          </w:tcPr>
          <w:p w14:paraId="5ED26AC3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One-way and probabilistic sensitivity analyses were also performed to explore the uncertainty around model input parameters</w:t>
            </w:r>
          </w:p>
        </w:tc>
      </w:tr>
      <w:tr w:rsidR="004448B3" w:rsidRPr="00A97495" w14:paraId="177459B0" w14:textId="77777777" w:rsidTr="004C5CFB">
        <w:trPr>
          <w:trHeight w:val="110"/>
        </w:trPr>
        <w:tc>
          <w:tcPr>
            <w:tcW w:w="566" w:type="pct"/>
          </w:tcPr>
          <w:p w14:paraId="1C0DEC4E" w14:textId="17C3DBEC" w:rsidR="004448B3" w:rsidRPr="00A97495" w:rsidRDefault="00144BE1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Harper et al., 2023</w:t>
            </w:r>
          </w:p>
        </w:tc>
        <w:tc>
          <w:tcPr>
            <w:tcW w:w="708" w:type="pct"/>
          </w:tcPr>
          <w:p w14:paraId="5D2F2953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Markov model</w:t>
            </w:r>
          </w:p>
        </w:tc>
        <w:tc>
          <w:tcPr>
            <w:tcW w:w="1216" w:type="pct"/>
          </w:tcPr>
          <w:p w14:paraId="75514FCF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Surgery, medical treatment</w:t>
            </w:r>
          </w:p>
        </w:tc>
        <w:tc>
          <w:tcPr>
            <w:tcW w:w="698" w:type="pct"/>
          </w:tcPr>
          <w:p w14:paraId="4B6F9F4D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30 days</w:t>
            </w:r>
          </w:p>
        </w:tc>
        <w:tc>
          <w:tcPr>
            <w:tcW w:w="744" w:type="pct"/>
          </w:tcPr>
          <w:p w14:paraId="143F246B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Patients in the model were at risk of developing </w:t>
            </w: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lastRenderedPageBreak/>
              <w:t>Barrett’s esophagus</w:t>
            </w:r>
          </w:p>
        </w:tc>
        <w:tc>
          <w:tcPr>
            <w:tcW w:w="1069" w:type="pct"/>
          </w:tcPr>
          <w:p w14:paraId="5564CF5F" w14:textId="77777777" w:rsidR="004448B3" w:rsidRPr="00A97495" w:rsidRDefault="004448B3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lastRenderedPageBreak/>
              <w:t xml:space="preserve">Deterministic sensitivity analyses were conducted to assess the inherent </w:t>
            </w: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lastRenderedPageBreak/>
              <w:t>uncertainty associated with model results</w:t>
            </w:r>
          </w:p>
        </w:tc>
      </w:tr>
      <w:tr w:rsidR="00E43B7B" w:rsidRPr="00A97495" w14:paraId="3D615503" w14:textId="77777777" w:rsidTr="004C5CFB">
        <w:trPr>
          <w:trHeight w:val="110"/>
        </w:trPr>
        <w:tc>
          <w:tcPr>
            <w:tcW w:w="566" w:type="pct"/>
          </w:tcPr>
          <w:p w14:paraId="45F3540E" w14:textId="790BB23F" w:rsidR="00E43B7B" w:rsidRPr="00A97495" w:rsidRDefault="00E43B7B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lastRenderedPageBreak/>
              <w:t>Swart et al., 2021</w:t>
            </w:r>
          </w:p>
        </w:tc>
        <w:tc>
          <w:tcPr>
            <w:tcW w:w="708" w:type="pct"/>
          </w:tcPr>
          <w:p w14:paraId="22EC6B3D" w14:textId="39B01DEA" w:rsidR="00E43B7B" w:rsidRPr="00A97495" w:rsidRDefault="004C5CFB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Markov model</w:t>
            </w:r>
          </w:p>
        </w:tc>
        <w:tc>
          <w:tcPr>
            <w:tcW w:w="1216" w:type="pct"/>
          </w:tcPr>
          <w:p w14:paraId="62DAC7F1" w14:textId="763A7068" w:rsidR="00E43B7B" w:rsidRPr="00A97495" w:rsidRDefault="004C5CFB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Cytosponge screening</w:t>
            </w:r>
          </w:p>
        </w:tc>
        <w:tc>
          <w:tcPr>
            <w:tcW w:w="698" w:type="pct"/>
          </w:tcPr>
          <w:p w14:paraId="7E355F02" w14:textId="6A223138" w:rsidR="00E43B7B" w:rsidRPr="00A97495" w:rsidRDefault="004C5CFB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One-year cycle-length and a lifetime time horizon</w:t>
            </w:r>
          </w:p>
        </w:tc>
        <w:tc>
          <w:tcPr>
            <w:tcW w:w="744" w:type="pct"/>
          </w:tcPr>
          <w:p w14:paraId="608AD699" w14:textId="52C6F5A9" w:rsidR="00E43B7B" w:rsidRPr="00A97495" w:rsidRDefault="004C5CFB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Cytosponge-TFF3 screening</w:t>
            </w:r>
          </w:p>
        </w:tc>
        <w:tc>
          <w:tcPr>
            <w:tcW w:w="1069" w:type="pct"/>
          </w:tcPr>
          <w:p w14:paraId="4957839F" w14:textId="4554C03A" w:rsidR="00E43B7B" w:rsidRPr="00A97495" w:rsidRDefault="004C5CFB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Probabilistic sensitivity analysis (PSA) and deterministic sensitivity analysis (DSA)</w:t>
            </w:r>
          </w:p>
        </w:tc>
      </w:tr>
      <w:tr w:rsidR="00E43B7B" w:rsidRPr="00A97495" w14:paraId="177110EE" w14:textId="77777777" w:rsidTr="004C5CFB">
        <w:trPr>
          <w:trHeight w:val="110"/>
        </w:trPr>
        <w:tc>
          <w:tcPr>
            <w:tcW w:w="566" w:type="pct"/>
          </w:tcPr>
          <w:p w14:paraId="147F4234" w14:textId="00303273" w:rsidR="00E43B7B" w:rsidRPr="00A97495" w:rsidRDefault="00E43B7B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Honing et al., 201</w:t>
            </w:r>
            <w:r w:rsidR="00A46FC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9</w:t>
            </w:r>
          </w:p>
        </w:tc>
        <w:tc>
          <w:tcPr>
            <w:tcW w:w="708" w:type="pct"/>
          </w:tcPr>
          <w:p w14:paraId="711B6EFF" w14:textId="3CC61E78" w:rsidR="00E43B7B" w:rsidRPr="00A97495" w:rsidRDefault="00E43B7B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Markov model</w:t>
            </w:r>
          </w:p>
        </w:tc>
        <w:tc>
          <w:tcPr>
            <w:tcW w:w="1216" w:type="pct"/>
          </w:tcPr>
          <w:p w14:paraId="447E2FFC" w14:textId="39375F38" w:rsidR="00E43B7B" w:rsidRPr="00A97495" w:rsidRDefault="00E43B7B" w:rsidP="00E43B7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standard endoscopy</w:t>
            </w:r>
          </w:p>
        </w:tc>
        <w:tc>
          <w:tcPr>
            <w:tcW w:w="698" w:type="pct"/>
          </w:tcPr>
          <w:p w14:paraId="3803C06C" w14:textId="517079AD" w:rsidR="00E43B7B" w:rsidRPr="00A97495" w:rsidRDefault="004C5CFB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Lifetime horizon</w:t>
            </w:r>
          </w:p>
        </w:tc>
        <w:tc>
          <w:tcPr>
            <w:tcW w:w="744" w:type="pct"/>
          </w:tcPr>
          <w:p w14:paraId="02F9BBF7" w14:textId="6B98EF16" w:rsidR="00E43B7B" w:rsidRPr="00A97495" w:rsidRDefault="004C5CFB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Chronic GERD symptoms</w:t>
            </w:r>
          </w:p>
        </w:tc>
        <w:tc>
          <w:tcPr>
            <w:tcW w:w="1069" w:type="pct"/>
          </w:tcPr>
          <w:p w14:paraId="41ACA635" w14:textId="66611AC5" w:rsidR="00E43B7B" w:rsidRPr="00A97495" w:rsidRDefault="004C5CFB" w:rsidP="004C5CF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Sensitivity analyses were performed to demonstrate differences in outcome by using a minimum and maximum value for several variables</w:t>
            </w:r>
          </w:p>
        </w:tc>
      </w:tr>
      <w:tr w:rsidR="00B2324A" w:rsidRPr="001F6243" w14:paraId="66DE2A6E" w14:textId="77777777" w:rsidTr="004C5CFB">
        <w:trPr>
          <w:trHeight w:val="110"/>
        </w:trPr>
        <w:tc>
          <w:tcPr>
            <w:tcW w:w="566" w:type="pct"/>
          </w:tcPr>
          <w:p w14:paraId="03120B5C" w14:textId="6B9CE2EA" w:rsidR="00B2324A" w:rsidRPr="00A97495" w:rsidRDefault="00B2324A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Harper et al., 2024</w:t>
            </w:r>
          </w:p>
        </w:tc>
        <w:tc>
          <w:tcPr>
            <w:tcW w:w="708" w:type="pct"/>
          </w:tcPr>
          <w:p w14:paraId="664A86E9" w14:textId="7D886D10" w:rsidR="00B2324A" w:rsidRPr="00A97495" w:rsidRDefault="00B2324A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Markov model</w:t>
            </w:r>
          </w:p>
        </w:tc>
        <w:tc>
          <w:tcPr>
            <w:tcW w:w="1216" w:type="pct"/>
          </w:tcPr>
          <w:p w14:paraId="54268538" w14:textId="72E5BE8F" w:rsidR="00B2324A" w:rsidRPr="00A97495" w:rsidRDefault="00B2324A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Surgery, medical treatment</w:t>
            </w:r>
          </w:p>
        </w:tc>
        <w:tc>
          <w:tcPr>
            <w:tcW w:w="698" w:type="pct"/>
          </w:tcPr>
          <w:p w14:paraId="64D18763" w14:textId="0760DE46" w:rsidR="00B2324A" w:rsidRPr="00A97495" w:rsidRDefault="00B2324A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30 days</w:t>
            </w:r>
          </w:p>
        </w:tc>
        <w:tc>
          <w:tcPr>
            <w:tcW w:w="744" w:type="pct"/>
          </w:tcPr>
          <w:p w14:paraId="5543DD32" w14:textId="2F2A5B6A" w:rsidR="00B2324A" w:rsidRPr="00A97495" w:rsidRDefault="000B38BC" w:rsidP="00B2324A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All patients were presumed to be managed with PPIs as a first-line therapy</w:t>
            </w:r>
          </w:p>
        </w:tc>
        <w:tc>
          <w:tcPr>
            <w:tcW w:w="1069" w:type="pct"/>
          </w:tcPr>
          <w:p w14:paraId="2789A726" w14:textId="6601EF32" w:rsidR="00B2324A" w:rsidRPr="00A97495" w:rsidRDefault="000B38BC" w:rsidP="00846BAB">
            <w:pPr>
              <w:pStyle w:val="TabInhalt10PtQ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9749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Deterministic sensitivity analyses were conducted to assess the inherent uncertainty associated with model results</w:t>
            </w:r>
          </w:p>
        </w:tc>
      </w:tr>
    </w:tbl>
    <w:p w14:paraId="65A1772C" w14:textId="77777777" w:rsidR="004448B3" w:rsidRPr="001F6243" w:rsidRDefault="004448B3" w:rsidP="004448B3">
      <w:pPr>
        <w:rPr>
          <w:rFonts w:ascii="Times New Roman" w:hAnsi="Times New Roman" w:cs="Times New Roman"/>
        </w:rPr>
      </w:pPr>
    </w:p>
    <w:p w14:paraId="20527F07" w14:textId="77777777" w:rsidR="00A97495" w:rsidRDefault="00A97495"/>
    <w:p w14:paraId="17DFF694" w14:textId="77777777" w:rsidR="005218EB" w:rsidRPr="00ED3EEB" w:rsidRDefault="005218EB" w:rsidP="005218EB">
      <w:pPr>
        <w:pStyle w:val="Titulek"/>
        <w:keepNext/>
        <w:spacing w:line="480" w:lineRule="auto"/>
        <w:rPr>
          <w:rFonts w:ascii="Times New Roman" w:hAnsi="Times New Roman" w:cs="Times New Roman"/>
          <w:color w:val="auto"/>
          <w:sz w:val="22"/>
        </w:rPr>
      </w:pPr>
      <w:r w:rsidRPr="00A97495">
        <w:rPr>
          <w:rFonts w:ascii="Times New Roman" w:hAnsi="Times New Roman" w:cs="Times New Roman"/>
          <w:b/>
          <w:color w:val="auto"/>
          <w:sz w:val="24"/>
          <w:szCs w:val="24"/>
          <w:highlight w:val="green"/>
        </w:rPr>
        <w:t>Annex 3</w:t>
      </w:r>
      <w:r w:rsidRPr="00ED3EE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ED3EEB">
        <w:rPr>
          <w:rFonts w:ascii="Times New Roman" w:hAnsi="Times New Roman" w:cs="Times New Roman"/>
          <w:color w:val="auto"/>
          <w:sz w:val="22"/>
        </w:rPr>
        <w:t xml:space="preserve"> </w:t>
      </w:r>
      <w:r w:rsidRPr="00ED3EEB">
        <w:rPr>
          <w:rFonts w:ascii="Times New Roman" w:hAnsi="Times New Roman" w:cs="Times New Roman"/>
          <w:color w:val="auto"/>
          <w:sz w:val="24"/>
          <w:szCs w:val="24"/>
        </w:rPr>
        <w:t>Article filtering procedure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8"/>
        <w:gridCol w:w="2196"/>
        <w:gridCol w:w="2058"/>
      </w:tblGrid>
      <w:tr w:rsidR="005218EB" w:rsidRPr="00ED3EEB" w14:paraId="4F8F3C16" w14:textId="77777777" w:rsidTr="005218EB">
        <w:trPr>
          <w:trHeight w:val="585"/>
          <w:jc w:val="center"/>
        </w:trPr>
        <w:tc>
          <w:tcPr>
            <w:tcW w:w="26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346BD" w14:textId="77777777" w:rsidR="005218EB" w:rsidRPr="00ED3EEB" w:rsidRDefault="005218EB" w:rsidP="007809B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EEB">
              <w:rPr>
                <w:rFonts w:ascii="Times New Roman" w:eastAsia="Comenia Sans" w:hAnsi="Times New Roman" w:cs="Times New Roman"/>
                <w:b/>
                <w:bCs/>
                <w:color w:val="000000" w:themeColor="text1"/>
                <w:sz w:val="20"/>
                <w:szCs w:val="20"/>
              </w:rPr>
              <w:t>Key words used “AND” between all words</w:t>
            </w:r>
          </w:p>
        </w:tc>
        <w:tc>
          <w:tcPr>
            <w:tcW w:w="12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D7243" w14:textId="77777777" w:rsidR="005218EB" w:rsidRPr="00ED3EEB" w:rsidRDefault="005218EB" w:rsidP="007809B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EEB">
              <w:rPr>
                <w:rFonts w:ascii="Times New Roman" w:eastAsia="Comenia Sans" w:hAnsi="Times New Roman" w:cs="Times New Roman"/>
                <w:b/>
                <w:bCs/>
                <w:color w:val="000000" w:themeColor="text1"/>
                <w:sz w:val="20"/>
                <w:szCs w:val="20"/>
              </w:rPr>
              <w:t>WOS</w:t>
            </w: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5579E" w14:textId="77777777" w:rsidR="005218EB" w:rsidRPr="00ED3EEB" w:rsidRDefault="005218EB" w:rsidP="007809B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EEB">
              <w:rPr>
                <w:rFonts w:ascii="Times New Roman" w:eastAsia="Comenia Sans" w:hAnsi="Times New Roman" w:cs="Times New Roman"/>
                <w:b/>
                <w:bCs/>
                <w:color w:val="000000" w:themeColor="text1"/>
                <w:sz w:val="20"/>
                <w:szCs w:val="20"/>
              </w:rPr>
              <w:t>PubMed</w:t>
            </w:r>
          </w:p>
        </w:tc>
      </w:tr>
      <w:tr w:rsidR="005218EB" w:rsidRPr="00ED3EEB" w14:paraId="37D80BCE" w14:textId="77777777" w:rsidTr="005218EB">
        <w:trPr>
          <w:trHeight w:val="315"/>
          <w:jc w:val="center"/>
        </w:trPr>
        <w:tc>
          <w:tcPr>
            <w:tcW w:w="2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10337" w14:textId="77777777" w:rsidR="005218EB" w:rsidRPr="00ED3EEB" w:rsidRDefault="005218EB" w:rsidP="007809B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EEB">
              <w:rPr>
                <w:rFonts w:ascii="Times New Roman" w:eastAsia="Comenia Sans" w:hAnsi="Times New Roman" w:cs="Times New Roman"/>
                <w:color w:val="000000" w:themeColor="text1"/>
                <w:sz w:val="20"/>
                <w:szCs w:val="20"/>
              </w:rPr>
              <w:t>Gastroesophageal Reflux Disease AND Technology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52C0C" w14:textId="77777777" w:rsidR="005218EB" w:rsidRPr="00ED3EEB" w:rsidRDefault="005218EB" w:rsidP="007809B2">
            <w:pPr>
              <w:spacing w:line="480" w:lineRule="auto"/>
              <w:jc w:val="center"/>
              <w:rPr>
                <w:rFonts w:ascii="Times New Roman" w:eastAsia="Comenia Sans" w:hAnsi="Times New Roman" w:cs="Times New Roman"/>
                <w:sz w:val="20"/>
                <w:szCs w:val="20"/>
              </w:rPr>
            </w:pPr>
            <w:r w:rsidRPr="00ED3EEB">
              <w:rPr>
                <w:rFonts w:ascii="Times New Roman" w:eastAsia="Comenia Sans" w:hAnsi="Times New Roman" w:cs="Times New Roman"/>
                <w:sz w:val="20"/>
                <w:szCs w:val="20"/>
              </w:rPr>
              <w:t>962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7A4BF" w14:textId="77777777" w:rsidR="005218EB" w:rsidRPr="00ED3EEB" w:rsidRDefault="005218EB" w:rsidP="007809B2">
            <w:pPr>
              <w:spacing w:line="480" w:lineRule="auto"/>
              <w:jc w:val="center"/>
              <w:rPr>
                <w:rFonts w:ascii="Times New Roman" w:eastAsia="Comenia Sans" w:hAnsi="Times New Roman" w:cs="Times New Roman"/>
                <w:sz w:val="20"/>
                <w:szCs w:val="20"/>
              </w:rPr>
            </w:pPr>
            <w:r w:rsidRPr="00ED3EEB">
              <w:rPr>
                <w:rFonts w:ascii="Times New Roman" w:eastAsia="Comenia Sans" w:hAnsi="Times New Roman" w:cs="Times New Roman"/>
                <w:sz w:val="20"/>
                <w:szCs w:val="20"/>
              </w:rPr>
              <w:t>910</w:t>
            </w:r>
          </w:p>
        </w:tc>
      </w:tr>
      <w:tr w:rsidR="005218EB" w:rsidRPr="00ED3EEB" w14:paraId="5B5F34C8" w14:textId="77777777" w:rsidTr="005218EB">
        <w:trPr>
          <w:trHeight w:val="525"/>
          <w:jc w:val="center"/>
        </w:trPr>
        <w:tc>
          <w:tcPr>
            <w:tcW w:w="2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99E32" w14:textId="77777777" w:rsidR="005218EB" w:rsidRPr="00ED3EEB" w:rsidRDefault="005218EB" w:rsidP="007809B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EEB">
              <w:rPr>
                <w:rFonts w:ascii="Times New Roman" w:eastAsia="Comenia Sans" w:hAnsi="Times New Roman" w:cs="Times New Roman"/>
                <w:color w:val="000000" w:themeColor="text1"/>
                <w:sz w:val="20"/>
                <w:szCs w:val="20"/>
              </w:rPr>
              <w:t>Gastroesophageal Reflux Disease AND Cost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6E57F" w14:textId="77777777" w:rsidR="005218EB" w:rsidRPr="00ED3EEB" w:rsidRDefault="005218EB" w:rsidP="007809B2">
            <w:pPr>
              <w:spacing w:line="480" w:lineRule="auto"/>
              <w:jc w:val="center"/>
              <w:rPr>
                <w:rFonts w:ascii="Times New Roman" w:eastAsia="Comenia Sans" w:hAnsi="Times New Roman" w:cs="Times New Roman"/>
                <w:sz w:val="20"/>
                <w:szCs w:val="20"/>
              </w:rPr>
            </w:pPr>
            <w:r w:rsidRPr="00ED3EEB">
              <w:rPr>
                <w:rFonts w:ascii="Times New Roman" w:eastAsia="Comenia Sans" w:hAnsi="Times New Roman" w:cs="Times New Roman"/>
                <w:sz w:val="20"/>
                <w:szCs w:val="20"/>
              </w:rPr>
              <w:t>453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DEDA08" w14:textId="77777777" w:rsidR="005218EB" w:rsidRPr="00ED3EEB" w:rsidRDefault="005218EB" w:rsidP="007809B2">
            <w:pPr>
              <w:spacing w:line="480" w:lineRule="auto"/>
              <w:jc w:val="center"/>
              <w:rPr>
                <w:rFonts w:ascii="Times New Roman" w:eastAsia="Comenia Sans" w:hAnsi="Times New Roman" w:cs="Times New Roman"/>
                <w:sz w:val="20"/>
                <w:szCs w:val="20"/>
              </w:rPr>
            </w:pPr>
            <w:r w:rsidRPr="00ED3EEB">
              <w:rPr>
                <w:rFonts w:ascii="Times New Roman" w:eastAsia="Comenia Sans" w:hAnsi="Times New Roman" w:cs="Times New Roman"/>
                <w:sz w:val="20"/>
                <w:szCs w:val="20"/>
              </w:rPr>
              <w:t>470</w:t>
            </w:r>
          </w:p>
        </w:tc>
      </w:tr>
      <w:tr w:rsidR="005218EB" w:rsidRPr="00ED3EEB" w14:paraId="2A8AC9A0" w14:textId="77777777" w:rsidTr="005218EB">
        <w:trPr>
          <w:trHeight w:val="315"/>
          <w:jc w:val="center"/>
        </w:trPr>
        <w:tc>
          <w:tcPr>
            <w:tcW w:w="2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8B3C2" w14:textId="77777777" w:rsidR="005218EB" w:rsidRPr="00ED3EEB" w:rsidRDefault="005218EB" w:rsidP="007809B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EEB">
              <w:rPr>
                <w:rFonts w:ascii="Times New Roman" w:eastAsia="Comenia Sans" w:hAnsi="Times New Roman" w:cs="Times New Roman"/>
                <w:color w:val="000000" w:themeColor="text1"/>
                <w:sz w:val="20"/>
                <w:szCs w:val="20"/>
              </w:rPr>
              <w:t>Gastroesophageal Reflux Disease AND Capsule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50C91" w14:textId="77777777" w:rsidR="005218EB" w:rsidRPr="00ED3EEB" w:rsidRDefault="005218EB" w:rsidP="007809B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EEB">
              <w:rPr>
                <w:rFonts w:ascii="Times New Roman" w:eastAsia="Comenia Sans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0FF084" w14:textId="77777777" w:rsidR="005218EB" w:rsidRPr="00ED3EEB" w:rsidRDefault="005218EB" w:rsidP="007809B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EEB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</w:tr>
      <w:tr w:rsidR="005218EB" w:rsidRPr="00ED3EEB" w14:paraId="0A768F36" w14:textId="77777777" w:rsidTr="005218EB">
        <w:trPr>
          <w:trHeight w:val="525"/>
          <w:jc w:val="center"/>
        </w:trPr>
        <w:tc>
          <w:tcPr>
            <w:tcW w:w="2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5D884" w14:textId="77777777" w:rsidR="005218EB" w:rsidRPr="00ED3EEB" w:rsidRDefault="005218EB" w:rsidP="007809B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EEB">
              <w:rPr>
                <w:rFonts w:ascii="Times New Roman" w:eastAsia="Comenia Sans" w:hAnsi="Times New Roman" w:cs="Times New Roman"/>
                <w:color w:val="000000" w:themeColor="text1"/>
                <w:sz w:val="20"/>
                <w:szCs w:val="20"/>
              </w:rPr>
              <w:t>Gastroesophageal Reflux Disease AND Technology AND Cost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00E2E" w14:textId="77777777" w:rsidR="005218EB" w:rsidRPr="00ED3EEB" w:rsidRDefault="005218EB" w:rsidP="007809B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EEB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CC677" w14:textId="77777777" w:rsidR="005218EB" w:rsidRPr="00ED3EEB" w:rsidRDefault="005218EB" w:rsidP="007809B2">
            <w:pPr>
              <w:spacing w:line="480" w:lineRule="auto"/>
              <w:jc w:val="center"/>
              <w:rPr>
                <w:rFonts w:ascii="Times New Roman" w:eastAsia="Comenia Sans" w:hAnsi="Times New Roman" w:cs="Times New Roman"/>
                <w:sz w:val="20"/>
                <w:szCs w:val="20"/>
              </w:rPr>
            </w:pPr>
            <w:r w:rsidRPr="00ED3EEB">
              <w:rPr>
                <w:rFonts w:ascii="Times New Roman" w:eastAsia="Comenia Sans" w:hAnsi="Times New Roman" w:cs="Times New Roman"/>
                <w:sz w:val="20"/>
                <w:szCs w:val="20"/>
              </w:rPr>
              <w:t>52</w:t>
            </w:r>
          </w:p>
        </w:tc>
      </w:tr>
      <w:tr w:rsidR="005218EB" w:rsidRPr="00ED3EEB" w14:paraId="756130BD" w14:textId="77777777" w:rsidTr="005218EB">
        <w:trPr>
          <w:trHeight w:val="525"/>
          <w:jc w:val="center"/>
        </w:trPr>
        <w:tc>
          <w:tcPr>
            <w:tcW w:w="2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0C524" w14:textId="77777777" w:rsidR="005218EB" w:rsidRPr="00ED3EEB" w:rsidRDefault="005218EB" w:rsidP="007809B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EEB">
              <w:rPr>
                <w:rFonts w:ascii="Times New Roman" w:eastAsia="Comenia Sans" w:hAnsi="Times New Roman" w:cs="Times New Roman"/>
                <w:color w:val="000000" w:themeColor="text1"/>
                <w:sz w:val="20"/>
                <w:szCs w:val="20"/>
              </w:rPr>
              <w:t>Gastroesophageal Reflux Disease AND Capsule AND Cost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7A43B" w14:textId="77777777" w:rsidR="005218EB" w:rsidRPr="00ED3EEB" w:rsidRDefault="005218EB" w:rsidP="007809B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EEB">
              <w:rPr>
                <w:rFonts w:ascii="Times New Roman" w:eastAsia="Comenia Sans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46771" w14:textId="77777777" w:rsidR="005218EB" w:rsidRPr="00ED3EEB" w:rsidRDefault="005218EB" w:rsidP="007809B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EE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218EB" w:rsidRPr="00ED3EEB" w14:paraId="48AD1257" w14:textId="77777777" w:rsidTr="005218EB">
        <w:trPr>
          <w:trHeight w:val="525"/>
          <w:jc w:val="center"/>
        </w:trPr>
        <w:tc>
          <w:tcPr>
            <w:tcW w:w="2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7C8EF" w14:textId="77777777" w:rsidR="005218EB" w:rsidRPr="00ED3EEB" w:rsidRDefault="005218EB" w:rsidP="007809B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EEB">
              <w:rPr>
                <w:rFonts w:ascii="Times New Roman" w:eastAsia="Comenia Sans" w:hAnsi="Times New Roman" w:cs="Times New Roman"/>
                <w:color w:val="000000" w:themeColor="text1"/>
                <w:sz w:val="20"/>
                <w:szCs w:val="20"/>
              </w:rPr>
              <w:t>Proton Pump Inhibitors AND Cost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043F7B" w14:textId="77777777" w:rsidR="005218EB" w:rsidRPr="00ED3EEB" w:rsidRDefault="005218EB" w:rsidP="007809B2">
            <w:pPr>
              <w:spacing w:line="480" w:lineRule="auto"/>
              <w:jc w:val="center"/>
              <w:rPr>
                <w:rFonts w:ascii="Times New Roman" w:eastAsia="Comenia Sans" w:hAnsi="Times New Roman" w:cs="Times New Roman"/>
                <w:sz w:val="20"/>
                <w:szCs w:val="20"/>
              </w:rPr>
            </w:pPr>
            <w:r w:rsidRPr="00ED3EEB">
              <w:rPr>
                <w:rFonts w:ascii="Times New Roman" w:eastAsia="Comenia Sans" w:hAnsi="Times New Roman" w:cs="Times New Roman"/>
                <w:sz w:val="20"/>
                <w:szCs w:val="20"/>
              </w:rPr>
              <w:t>695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43689" w14:textId="77777777" w:rsidR="005218EB" w:rsidRPr="00ED3EEB" w:rsidRDefault="005218EB" w:rsidP="007809B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EEB">
              <w:rPr>
                <w:rFonts w:ascii="Times New Roman" w:hAnsi="Times New Roman" w:cs="Times New Roman"/>
                <w:sz w:val="20"/>
                <w:szCs w:val="20"/>
              </w:rPr>
              <w:t>525</w:t>
            </w:r>
          </w:p>
        </w:tc>
      </w:tr>
      <w:tr w:rsidR="005218EB" w:rsidRPr="00ED3EEB" w14:paraId="6E476382" w14:textId="77777777" w:rsidTr="005218EB">
        <w:trPr>
          <w:trHeight w:val="525"/>
          <w:jc w:val="center"/>
        </w:trPr>
        <w:tc>
          <w:tcPr>
            <w:tcW w:w="2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A57517" w14:textId="77777777" w:rsidR="005218EB" w:rsidRPr="00ED3EEB" w:rsidRDefault="005218EB" w:rsidP="007809B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EEB">
              <w:rPr>
                <w:rFonts w:ascii="Times New Roman" w:eastAsia="Comenia Sans" w:hAnsi="Times New Roman" w:cs="Times New Roman"/>
                <w:color w:val="000000" w:themeColor="text1"/>
                <w:sz w:val="20"/>
                <w:szCs w:val="20"/>
              </w:rPr>
              <w:t>Proton Pump Inhibitors AND Cost AND Reflux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89B2E6" w14:textId="77777777" w:rsidR="005218EB" w:rsidRPr="00ED3EEB" w:rsidRDefault="005218EB" w:rsidP="007809B2">
            <w:pPr>
              <w:spacing w:line="480" w:lineRule="auto"/>
              <w:jc w:val="center"/>
              <w:rPr>
                <w:rFonts w:ascii="Times New Roman" w:eastAsia="Comenia Sans" w:hAnsi="Times New Roman" w:cs="Times New Roman"/>
                <w:sz w:val="20"/>
                <w:szCs w:val="20"/>
              </w:rPr>
            </w:pPr>
            <w:r w:rsidRPr="00ED3EEB">
              <w:rPr>
                <w:rFonts w:ascii="Times New Roman" w:eastAsia="Comenia Sans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A0D63C" w14:textId="77777777" w:rsidR="005218EB" w:rsidRPr="00ED3EEB" w:rsidRDefault="005218EB" w:rsidP="007809B2">
            <w:pPr>
              <w:spacing w:line="480" w:lineRule="auto"/>
              <w:jc w:val="center"/>
              <w:rPr>
                <w:rFonts w:ascii="Times New Roman" w:eastAsia="Comenia Sans" w:hAnsi="Times New Roman" w:cs="Times New Roman"/>
                <w:sz w:val="20"/>
                <w:szCs w:val="20"/>
              </w:rPr>
            </w:pPr>
            <w:r w:rsidRPr="00ED3EEB">
              <w:rPr>
                <w:rFonts w:ascii="Times New Roman" w:eastAsia="Comenia Sans" w:hAnsi="Times New Roman" w:cs="Times New Roman"/>
                <w:sz w:val="20"/>
                <w:szCs w:val="20"/>
              </w:rPr>
              <w:t>154</w:t>
            </w:r>
          </w:p>
        </w:tc>
      </w:tr>
      <w:tr w:rsidR="005218EB" w:rsidRPr="00ED3EEB" w14:paraId="5FCDA5CE" w14:textId="77777777" w:rsidTr="005218EB">
        <w:trPr>
          <w:trHeight w:val="315"/>
          <w:jc w:val="center"/>
        </w:trPr>
        <w:tc>
          <w:tcPr>
            <w:tcW w:w="2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15668" w14:textId="77777777" w:rsidR="005218EB" w:rsidRPr="00ED3EEB" w:rsidRDefault="005218EB" w:rsidP="007809B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EEB">
              <w:rPr>
                <w:rFonts w:ascii="Times New Roman" w:eastAsia="Comenia Sans" w:hAnsi="Times New Roman" w:cs="Times New Roman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CA813" w14:textId="77777777" w:rsidR="005218EB" w:rsidRPr="00ED3EEB" w:rsidRDefault="005218EB" w:rsidP="007809B2">
            <w:pPr>
              <w:spacing w:line="480" w:lineRule="auto"/>
              <w:jc w:val="center"/>
              <w:rPr>
                <w:rFonts w:ascii="Times New Roman" w:eastAsia="Comenia Sans" w:hAnsi="Times New Roman" w:cs="Times New Roman"/>
                <w:b/>
                <w:bCs/>
                <w:sz w:val="20"/>
                <w:szCs w:val="20"/>
              </w:rPr>
            </w:pPr>
            <w:r w:rsidRPr="00ED3EEB">
              <w:rPr>
                <w:rFonts w:ascii="Times New Roman" w:eastAsia="Comenia Sans" w:hAnsi="Times New Roman" w:cs="Times New Roman"/>
                <w:b/>
                <w:bCs/>
                <w:sz w:val="20"/>
                <w:szCs w:val="20"/>
              </w:rPr>
              <w:t>2,705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8C801" w14:textId="77777777" w:rsidR="005218EB" w:rsidRPr="00ED3EEB" w:rsidRDefault="005218EB" w:rsidP="007809B2">
            <w:pPr>
              <w:spacing w:line="480" w:lineRule="auto"/>
              <w:jc w:val="center"/>
              <w:rPr>
                <w:rFonts w:ascii="Times New Roman" w:eastAsia="Comenia Sans" w:hAnsi="Times New Roman" w:cs="Times New Roman"/>
                <w:b/>
                <w:bCs/>
                <w:sz w:val="20"/>
                <w:szCs w:val="20"/>
              </w:rPr>
            </w:pPr>
            <w:r w:rsidRPr="00ED3EEB">
              <w:rPr>
                <w:rFonts w:ascii="Times New Roman" w:eastAsia="Comenia Sans" w:hAnsi="Times New Roman" w:cs="Times New Roman"/>
                <w:b/>
                <w:bCs/>
                <w:sz w:val="20"/>
                <w:szCs w:val="20"/>
              </w:rPr>
              <w:t>2,231</w:t>
            </w:r>
          </w:p>
        </w:tc>
      </w:tr>
    </w:tbl>
    <w:p w14:paraId="5AF95957" w14:textId="0AD0F63F" w:rsidR="004448B3" w:rsidRDefault="004448B3" w:rsidP="005218EB"/>
    <w:sectPr w:rsidR="004448B3" w:rsidSect="00521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enia Sans">
    <w:panose1 w:val="02000503080000020004"/>
    <w:charset w:val="00"/>
    <w:family w:val="modern"/>
    <w:pitch w:val="variable"/>
    <w:sig w:usb0="A00000AF" w:usb1="5000207A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A35"/>
    <w:rsid w:val="000B38BC"/>
    <w:rsid w:val="00144BE1"/>
    <w:rsid w:val="001649F6"/>
    <w:rsid w:val="00175133"/>
    <w:rsid w:val="002D4CD5"/>
    <w:rsid w:val="002F155B"/>
    <w:rsid w:val="004448B3"/>
    <w:rsid w:val="00474DBA"/>
    <w:rsid w:val="0049291E"/>
    <w:rsid w:val="004C5CFB"/>
    <w:rsid w:val="005218EB"/>
    <w:rsid w:val="005C2A3B"/>
    <w:rsid w:val="006109CC"/>
    <w:rsid w:val="00666200"/>
    <w:rsid w:val="006F187E"/>
    <w:rsid w:val="00713012"/>
    <w:rsid w:val="007545EE"/>
    <w:rsid w:val="009A528A"/>
    <w:rsid w:val="00A46FCA"/>
    <w:rsid w:val="00A676FA"/>
    <w:rsid w:val="00A97495"/>
    <w:rsid w:val="00B2324A"/>
    <w:rsid w:val="00B2503B"/>
    <w:rsid w:val="00BA7C7B"/>
    <w:rsid w:val="00BC71DE"/>
    <w:rsid w:val="00C106AE"/>
    <w:rsid w:val="00C44C15"/>
    <w:rsid w:val="00C811CF"/>
    <w:rsid w:val="00CF0A35"/>
    <w:rsid w:val="00D4430B"/>
    <w:rsid w:val="00E43B7B"/>
    <w:rsid w:val="00EF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652C5"/>
  <w15:chartTrackingRefBased/>
  <w15:docId w15:val="{D3DACD83-049D-4571-A233-5049D1750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Text"/>
    <w:qFormat/>
    <w:rsid w:val="005218EB"/>
    <w:pPr>
      <w:spacing w:after="0" w:line="240" w:lineRule="auto"/>
      <w:jc w:val="both"/>
    </w:pPr>
    <w:rPr>
      <w:rFonts w:ascii="Calibri" w:hAnsi="Calibri"/>
      <w:kern w:val="0"/>
      <w:lang w:val="en-GB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aliases w:val="Legend"/>
    <w:basedOn w:val="Normln"/>
    <w:next w:val="Normln"/>
    <w:uiPriority w:val="35"/>
    <w:unhideWhenUsed/>
    <w:qFormat/>
    <w:rsid w:val="004448B3"/>
    <w:pPr>
      <w:spacing w:after="200"/>
      <w:jc w:val="center"/>
    </w:pPr>
    <w:rPr>
      <w:rFonts w:ascii="Cambria" w:hAnsi="Cambria"/>
      <w:iCs/>
      <w:color w:val="72BBE8"/>
      <w:sz w:val="20"/>
      <w:szCs w:val="20"/>
    </w:rPr>
  </w:style>
  <w:style w:type="paragraph" w:customStyle="1" w:styleId="TabInhalt10PtQ">
    <w:name w:val="*Tab_Inhalt_10Pt_Q"/>
    <w:basedOn w:val="Normln"/>
    <w:link w:val="TabInhalt10PtQZchn"/>
    <w:uiPriority w:val="52"/>
    <w:qFormat/>
    <w:rsid w:val="004448B3"/>
    <w:pPr>
      <w:spacing w:before="40" w:after="40"/>
      <w:jc w:val="left"/>
    </w:pPr>
    <w:rPr>
      <w:rFonts w:ascii="Arial" w:hAnsi="Arial"/>
      <w:color w:val="000000" w:themeColor="text1"/>
      <w:sz w:val="20"/>
      <w:lang w:val="de-DE"/>
    </w:rPr>
  </w:style>
  <w:style w:type="character" w:customStyle="1" w:styleId="TabInhalt10PtQZchn">
    <w:name w:val="*Tab_Inhalt_10Pt_Q Zchn"/>
    <w:basedOn w:val="Standardnpsmoodstavce"/>
    <w:link w:val="TabInhalt10PtQ"/>
    <w:uiPriority w:val="52"/>
    <w:rsid w:val="004448B3"/>
    <w:rPr>
      <w:rFonts w:ascii="Arial" w:hAnsi="Arial"/>
      <w:color w:val="000000" w:themeColor="text1"/>
      <w:kern w:val="0"/>
      <w:sz w:val="20"/>
      <w:lang w:val="de-DE"/>
      <w14:ligatures w14:val="none"/>
    </w:rPr>
  </w:style>
  <w:style w:type="paragraph" w:customStyle="1" w:styleId="Tab-Spalten10PtQ">
    <w:name w:val="*Tab_Ü-Spalten_10Pt_Q"/>
    <w:basedOn w:val="Normln"/>
    <w:link w:val="Tab-Spalten10PtQZchn"/>
    <w:uiPriority w:val="50"/>
    <w:qFormat/>
    <w:rsid w:val="004448B3"/>
    <w:pPr>
      <w:keepNext/>
      <w:spacing w:before="40" w:after="40"/>
      <w:jc w:val="left"/>
    </w:pPr>
    <w:rPr>
      <w:rFonts w:ascii="Arial" w:hAnsi="Arial"/>
      <w:b/>
      <w:color w:val="000000" w:themeColor="text1"/>
      <w:sz w:val="20"/>
      <w:lang w:val="de-DE"/>
    </w:rPr>
  </w:style>
  <w:style w:type="character" w:customStyle="1" w:styleId="Tab-Spalten10PtQZchn">
    <w:name w:val="*Tab_Ü-Spalten_10Pt_Q Zchn"/>
    <w:basedOn w:val="Standardnpsmoodstavce"/>
    <w:link w:val="Tab-Spalten10PtQ"/>
    <w:uiPriority w:val="50"/>
    <w:rsid w:val="004448B3"/>
    <w:rPr>
      <w:rFonts w:ascii="Arial" w:hAnsi="Arial"/>
      <w:b/>
      <w:color w:val="000000" w:themeColor="text1"/>
      <w:kern w:val="0"/>
      <w:sz w:val="20"/>
      <w:lang w:val="de-DE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2D4C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D4CD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D4CD5"/>
    <w:rPr>
      <w:rFonts w:ascii="Calibri" w:hAnsi="Calibri"/>
      <w:kern w:val="0"/>
      <w:sz w:val="20"/>
      <w:szCs w:val="20"/>
      <w:lang w:val="en-GB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4C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4CD5"/>
    <w:rPr>
      <w:rFonts w:ascii="Calibri" w:hAnsi="Calibri"/>
      <w:b/>
      <w:bCs/>
      <w:kern w:val="0"/>
      <w:sz w:val="20"/>
      <w:szCs w:val="20"/>
      <w:lang w:val="en-GB"/>
      <w14:ligatures w14:val="none"/>
    </w:rPr>
  </w:style>
  <w:style w:type="paragraph" w:styleId="Revize">
    <w:name w:val="Revision"/>
    <w:hidden/>
    <w:uiPriority w:val="99"/>
    <w:semiHidden/>
    <w:rsid w:val="00144BE1"/>
    <w:pPr>
      <w:spacing w:after="0" w:line="240" w:lineRule="auto"/>
    </w:pPr>
    <w:rPr>
      <w:rFonts w:ascii="Calibri" w:hAnsi="Calibri"/>
      <w:kern w:val="0"/>
      <w:lang w:val="en-GB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30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3012"/>
    <w:rPr>
      <w:rFonts w:ascii="Segoe UI" w:hAnsi="Segoe UI" w:cs="Segoe UI"/>
      <w:kern w:val="0"/>
      <w:sz w:val="18"/>
      <w:szCs w:val="1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2424</Words>
  <Characters>14305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Hruška</dc:creator>
  <cp:keywords/>
  <dc:description/>
  <cp:lastModifiedBy>Jan Hruška</cp:lastModifiedBy>
  <cp:revision>18</cp:revision>
  <dcterms:created xsi:type="dcterms:W3CDTF">2024-09-28T18:03:00Z</dcterms:created>
  <dcterms:modified xsi:type="dcterms:W3CDTF">2024-10-15T15:34:00Z</dcterms:modified>
</cp:coreProperties>
</file>