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20D17" w14:textId="77777777" w:rsidR="008D0C19" w:rsidRDefault="008D0C19" w:rsidP="008D0C19">
      <w:pPr>
        <w:rPr>
          <w:color w:val="0070C0"/>
        </w:rPr>
      </w:pPr>
    </w:p>
    <w:p w14:paraId="42D6D35E" w14:textId="6ED06D93" w:rsidR="00BE69A9" w:rsidRPr="00615379" w:rsidRDefault="008D0C19" w:rsidP="008D0C19">
      <w:pPr>
        <w:rPr>
          <w:b/>
          <w:bCs/>
          <w:color w:val="0070C0"/>
        </w:rPr>
      </w:pPr>
      <w:r w:rsidRPr="00615379">
        <w:rPr>
          <w:b/>
          <w:bCs/>
          <w:color w:val="0070C0"/>
        </w:rPr>
        <w:t>NIHR SPCR: PPI Meeting 2. Summary of WP2 findings</w:t>
      </w:r>
    </w:p>
    <w:p w14:paraId="625670F9" w14:textId="77777777" w:rsidR="008D0C19" w:rsidRDefault="008D0C19" w:rsidP="008D0C19">
      <w:pPr>
        <w:rPr>
          <w:color w:val="000000" w:themeColor="text1"/>
        </w:rPr>
      </w:pPr>
    </w:p>
    <w:p w14:paraId="209F0C00" w14:textId="7D265E47" w:rsidR="00065E21" w:rsidRPr="00065E21" w:rsidRDefault="008D0C19" w:rsidP="004C3F33">
      <w:pPr>
        <w:spacing w:line="276" w:lineRule="auto"/>
        <w:jc w:val="both"/>
        <w:rPr>
          <w:color w:val="000000" w:themeColor="text1"/>
        </w:rPr>
      </w:pPr>
      <w:r w:rsidRPr="008D0C19">
        <w:rPr>
          <w:color w:val="000000" w:themeColor="text1"/>
        </w:rPr>
        <w:t xml:space="preserve">Following the synthesis of findings, </w:t>
      </w:r>
      <w:r w:rsidR="00065E21">
        <w:rPr>
          <w:color w:val="000000" w:themeColor="text1"/>
        </w:rPr>
        <w:t>a</w:t>
      </w:r>
      <w:r w:rsidR="00065E21" w:rsidRPr="00065E21">
        <w:rPr>
          <w:color w:val="000000" w:themeColor="text1"/>
        </w:rPr>
        <w:t>n online event involving the public who utili</w:t>
      </w:r>
      <w:r w:rsidR="00065E21">
        <w:rPr>
          <w:color w:val="000000" w:themeColor="text1"/>
        </w:rPr>
        <w:t>s</w:t>
      </w:r>
      <w:r w:rsidR="00065E21" w:rsidRPr="00065E21">
        <w:rPr>
          <w:color w:val="000000" w:themeColor="text1"/>
        </w:rPr>
        <w:t>e CPs took place in March 2024,</w:t>
      </w:r>
      <w:r w:rsidR="002C217C">
        <w:rPr>
          <w:color w:val="000000" w:themeColor="text1"/>
        </w:rPr>
        <w:t xml:space="preserve"> </w:t>
      </w:r>
      <w:r w:rsidR="00065E21" w:rsidRPr="00065E21">
        <w:rPr>
          <w:color w:val="000000" w:themeColor="text1"/>
        </w:rPr>
        <w:t>comprising four individuals recruited through patient charity organi</w:t>
      </w:r>
      <w:r w:rsidR="00065E21">
        <w:rPr>
          <w:color w:val="000000" w:themeColor="text1"/>
        </w:rPr>
        <w:t>s</w:t>
      </w:r>
      <w:r w:rsidR="00065E21" w:rsidRPr="00065E21">
        <w:rPr>
          <w:color w:val="000000" w:themeColor="text1"/>
        </w:rPr>
        <w:t>ations. The purpose of this event was to integrate the patient perspective into</w:t>
      </w:r>
      <w:r w:rsidR="00615379">
        <w:rPr>
          <w:color w:val="000000" w:themeColor="text1"/>
        </w:rPr>
        <w:t xml:space="preserve"> findings from the nominal group discussions</w:t>
      </w:r>
      <w:r w:rsidR="00065E21" w:rsidRPr="00065E21">
        <w:rPr>
          <w:color w:val="000000" w:themeColor="text1"/>
        </w:rPr>
        <w:t>. During the event, the lead author delivered a presentation summari</w:t>
      </w:r>
      <w:r w:rsidR="00065E21">
        <w:rPr>
          <w:color w:val="000000" w:themeColor="text1"/>
        </w:rPr>
        <w:t>s</w:t>
      </w:r>
      <w:r w:rsidR="00065E21" w:rsidRPr="00065E21">
        <w:rPr>
          <w:color w:val="000000" w:themeColor="text1"/>
        </w:rPr>
        <w:t>ing the findings of WP2.</w:t>
      </w:r>
    </w:p>
    <w:p w14:paraId="109C11CD" w14:textId="77777777" w:rsidR="00065E21" w:rsidRPr="00065E21" w:rsidRDefault="00065E21" w:rsidP="004C3F33">
      <w:pPr>
        <w:spacing w:line="276" w:lineRule="auto"/>
        <w:jc w:val="both"/>
        <w:rPr>
          <w:color w:val="000000" w:themeColor="text1"/>
        </w:rPr>
      </w:pPr>
    </w:p>
    <w:p w14:paraId="4E63A8FC" w14:textId="2215335D" w:rsidR="00065E21" w:rsidRPr="00065E21" w:rsidRDefault="00065E21" w:rsidP="004C3F33">
      <w:pPr>
        <w:spacing w:line="276" w:lineRule="auto"/>
        <w:jc w:val="both"/>
        <w:rPr>
          <w:color w:val="000000" w:themeColor="text1"/>
        </w:rPr>
      </w:pPr>
      <w:r w:rsidRPr="00065E21">
        <w:rPr>
          <w:color w:val="000000" w:themeColor="text1"/>
        </w:rPr>
        <w:t xml:space="preserve">Following the presentation, attendees were invited to share insights on how community pharmacy services could better align with their needs, with a focus on services extending beyond </w:t>
      </w:r>
      <w:r>
        <w:rPr>
          <w:color w:val="000000" w:themeColor="text1"/>
        </w:rPr>
        <w:t>traditional medicine supply.</w:t>
      </w:r>
    </w:p>
    <w:p w14:paraId="60569846" w14:textId="77777777" w:rsidR="00065E21" w:rsidRPr="00065E21" w:rsidRDefault="00065E21" w:rsidP="004C3F33">
      <w:pPr>
        <w:spacing w:line="276" w:lineRule="auto"/>
        <w:jc w:val="both"/>
        <w:rPr>
          <w:color w:val="000000" w:themeColor="text1"/>
        </w:rPr>
      </w:pPr>
    </w:p>
    <w:p w14:paraId="51527DD1" w14:textId="13AFA76F" w:rsidR="008D0C19" w:rsidRDefault="00065E21" w:rsidP="004C3F33">
      <w:pPr>
        <w:spacing w:line="276" w:lineRule="auto"/>
        <w:jc w:val="both"/>
        <w:rPr>
          <w:color w:val="000000" w:themeColor="text1"/>
        </w:rPr>
      </w:pPr>
      <w:r w:rsidRPr="00065E21">
        <w:rPr>
          <w:color w:val="000000" w:themeColor="text1"/>
        </w:rPr>
        <w:t xml:space="preserve">With consent obtained, the discussion was recorded, and the lead author made notes. Additionally, the recorded discussion was reviewed to ensure comprehensive capturing of important points, and a summary of the findings was subsequently emailed to participants for validation. Any further suggestions provided by participants via email were duly considered. The feedback received was </w:t>
      </w:r>
      <w:r w:rsidR="002C217C">
        <w:rPr>
          <w:color w:val="000000" w:themeColor="text1"/>
        </w:rPr>
        <w:t xml:space="preserve">used </w:t>
      </w:r>
      <w:r w:rsidR="002C217C" w:rsidRPr="00065E21">
        <w:rPr>
          <w:color w:val="000000" w:themeColor="text1"/>
        </w:rPr>
        <w:t>to</w:t>
      </w:r>
      <w:r w:rsidR="0089390A">
        <w:rPr>
          <w:color w:val="000000" w:themeColor="text1"/>
        </w:rPr>
        <w:t xml:space="preserve"> </w:t>
      </w:r>
      <w:r w:rsidRPr="00065E21">
        <w:rPr>
          <w:color w:val="000000" w:themeColor="text1"/>
        </w:rPr>
        <w:t>refin</w:t>
      </w:r>
      <w:r w:rsidR="0089390A">
        <w:rPr>
          <w:color w:val="000000" w:themeColor="text1"/>
        </w:rPr>
        <w:t>e</w:t>
      </w:r>
      <w:r w:rsidRPr="00065E21">
        <w:rPr>
          <w:color w:val="000000" w:themeColor="text1"/>
        </w:rPr>
        <w:t xml:space="preserve"> the </w:t>
      </w:r>
      <w:r w:rsidR="0089390A">
        <w:rPr>
          <w:color w:val="000000" w:themeColor="text1"/>
        </w:rPr>
        <w:t>themes in WP2</w:t>
      </w:r>
      <w:r w:rsidRPr="00065E21">
        <w:rPr>
          <w:color w:val="000000" w:themeColor="text1"/>
        </w:rPr>
        <w:t>.</w:t>
      </w:r>
    </w:p>
    <w:p w14:paraId="6DA4873C" w14:textId="7CD09428" w:rsidR="00615379" w:rsidRDefault="00615379" w:rsidP="004C3F33">
      <w:pPr>
        <w:spacing w:line="276" w:lineRule="auto"/>
        <w:jc w:val="both"/>
        <w:rPr>
          <w:color w:val="000000" w:themeColor="text1"/>
        </w:rPr>
      </w:pPr>
    </w:p>
    <w:p w14:paraId="2BEB16B3" w14:textId="77777777" w:rsidR="00615379" w:rsidRDefault="00615379" w:rsidP="004C3F33">
      <w:pPr>
        <w:spacing w:line="276" w:lineRule="auto"/>
        <w:jc w:val="both"/>
        <w:rPr>
          <w:color w:val="000000" w:themeColor="text1"/>
        </w:rPr>
      </w:pPr>
    </w:p>
    <w:p w14:paraId="461DDE09" w14:textId="726E4257" w:rsidR="00D70994" w:rsidRPr="00615379" w:rsidRDefault="00615379" w:rsidP="004C3F33">
      <w:pPr>
        <w:spacing w:line="276" w:lineRule="auto"/>
        <w:jc w:val="both"/>
        <w:rPr>
          <w:b/>
          <w:bCs/>
          <w:color w:val="0070C0"/>
        </w:rPr>
      </w:pPr>
      <w:r w:rsidRPr="00615379">
        <w:rPr>
          <w:b/>
          <w:bCs/>
          <w:color w:val="0070C0"/>
        </w:rPr>
        <w:t>Summary of findings</w:t>
      </w:r>
    </w:p>
    <w:p w14:paraId="2ACFCE1C" w14:textId="77777777" w:rsidR="002C217C" w:rsidRDefault="002C217C" w:rsidP="004C3F33">
      <w:pPr>
        <w:spacing w:line="276" w:lineRule="auto"/>
        <w:jc w:val="both"/>
        <w:rPr>
          <w:color w:val="000000" w:themeColor="text1"/>
        </w:rPr>
      </w:pPr>
    </w:p>
    <w:p w14:paraId="3D267BFC" w14:textId="62489D3B" w:rsidR="00C2662E" w:rsidRPr="00C2662E" w:rsidRDefault="00C2662E" w:rsidP="004C3F33">
      <w:pPr>
        <w:spacing w:after="120" w:line="276" w:lineRule="auto"/>
        <w:rPr>
          <w:b/>
          <w:bCs/>
          <w:color w:val="000000" w:themeColor="text1"/>
        </w:rPr>
      </w:pPr>
      <w:r w:rsidRPr="00C2662E">
        <w:rPr>
          <w:b/>
          <w:bCs/>
          <w:color w:val="000000" w:themeColor="text1"/>
        </w:rPr>
        <w:t xml:space="preserve">Community </w:t>
      </w:r>
      <w:r w:rsidR="00E766AF">
        <w:rPr>
          <w:b/>
          <w:bCs/>
          <w:color w:val="000000" w:themeColor="text1"/>
        </w:rPr>
        <w:t>i</w:t>
      </w:r>
      <w:r w:rsidRPr="00C2662E">
        <w:rPr>
          <w:b/>
          <w:bCs/>
          <w:color w:val="000000" w:themeColor="text1"/>
        </w:rPr>
        <w:t xml:space="preserve">nvolvement and </w:t>
      </w:r>
      <w:r w:rsidR="00E766AF">
        <w:rPr>
          <w:b/>
          <w:bCs/>
          <w:color w:val="000000" w:themeColor="text1"/>
        </w:rPr>
        <w:t>f</w:t>
      </w:r>
      <w:r w:rsidRPr="00C2662E">
        <w:rPr>
          <w:b/>
          <w:bCs/>
          <w:color w:val="000000" w:themeColor="text1"/>
        </w:rPr>
        <w:t>eedback:</w:t>
      </w:r>
    </w:p>
    <w:p w14:paraId="086F4D83" w14:textId="0256D862" w:rsidR="00C2662E" w:rsidRPr="00C2662E" w:rsidRDefault="00C2662E" w:rsidP="004C3F33">
      <w:pPr>
        <w:spacing w:line="276" w:lineRule="auto"/>
        <w:jc w:val="both"/>
        <w:rPr>
          <w:color w:val="000000" w:themeColor="text1"/>
        </w:rPr>
      </w:pPr>
      <w:r w:rsidRPr="00C2662E">
        <w:rPr>
          <w:color w:val="000000" w:themeColor="text1"/>
        </w:rPr>
        <w:t xml:space="preserve">Participants highlighted the necessity of involving the community in pharmacy decisions and operations to ensure services align with the needs of the local population. Drawing parallels with Patient Participation Groups in </w:t>
      </w:r>
      <w:r w:rsidR="00584ABB">
        <w:rPr>
          <w:color w:val="000000" w:themeColor="text1"/>
        </w:rPr>
        <w:t xml:space="preserve">GP </w:t>
      </w:r>
      <w:r w:rsidRPr="00C2662E">
        <w:rPr>
          <w:color w:val="000000" w:themeColor="text1"/>
        </w:rPr>
        <w:t>surgeries, suggestions were made for structured meetings where community members could provide input and feedback. It was emphasised that active engagement with regular pharmacy</w:t>
      </w:r>
      <w:r>
        <w:rPr>
          <w:color w:val="000000" w:themeColor="text1"/>
        </w:rPr>
        <w:t xml:space="preserve"> service</w:t>
      </w:r>
      <w:r w:rsidRPr="00C2662E">
        <w:rPr>
          <w:color w:val="000000" w:themeColor="text1"/>
        </w:rPr>
        <w:t xml:space="preserve"> </w:t>
      </w:r>
      <w:r>
        <w:rPr>
          <w:color w:val="000000" w:themeColor="text1"/>
        </w:rPr>
        <w:t>users</w:t>
      </w:r>
      <w:r w:rsidRPr="00C2662E">
        <w:rPr>
          <w:color w:val="000000" w:themeColor="text1"/>
        </w:rPr>
        <w:t xml:space="preserve"> could lead to better-tailored services and increased community ownership of pharmacy initiatives, ultimately fostering a sense of partnership between pharmacies and the communities they serve.</w:t>
      </w:r>
    </w:p>
    <w:p w14:paraId="30FD61B3" w14:textId="77777777" w:rsidR="00C2662E" w:rsidRPr="00C2662E" w:rsidRDefault="00C2662E" w:rsidP="004C3F33">
      <w:pPr>
        <w:spacing w:line="276" w:lineRule="auto"/>
        <w:rPr>
          <w:color w:val="0070C0"/>
        </w:rPr>
      </w:pPr>
    </w:p>
    <w:p w14:paraId="0399D1F8" w14:textId="184F9162" w:rsidR="00C2662E" w:rsidRPr="00C2662E" w:rsidRDefault="00C2662E" w:rsidP="004C3F33">
      <w:pPr>
        <w:spacing w:after="120" w:line="276" w:lineRule="auto"/>
        <w:rPr>
          <w:b/>
          <w:bCs/>
          <w:color w:val="000000" w:themeColor="text1"/>
        </w:rPr>
      </w:pPr>
      <w:r w:rsidRPr="00C2662E">
        <w:rPr>
          <w:b/>
          <w:bCs/>
          <w:color w:val="000000" w:themeColor="text1"/>
        </w:rPr>
        <w:t xml:space="preserve">Accessibility and </w:t>
      </w:r>
      <w:r w:rsidR="00E766AF">
        <w:rPr>
          <w:b/>
          <w:bCs/>
          <w:color w:val="000000" w:themeColor="text1"/>
        </w:rPr>
        <w:t>c</w:t>
      </w:r>
      <w:r w:rsidRPr="00C2662E">
        <w:rPr>
          <w:b/>
          <w:bCs/>
          <w:color w:val="000000" w:themeColor="text1"/>
        </w:rPr>
        <w:t>omfort:</w:t>
      </w:r>
    </w:p>
    <w:p w14:paraId="6BA28C73" w14:textId="0CE79BDD" w:rsidR="005517A5" w:rsidRPr="00354DE4" w:rsidRDefault="00584ABB" w:rsidP="004C3F33">
      <w:pPr>
        <w:spacing w:line="276" w:lineRule="auto"/>
        <w:jc w:val="both"/>
        <w:rPr>
          <w:color w:val="000000" w:themeColor="text1"/>
        </w:rPr>
      </w:pPr>
      <w:r>
        <w:rPr>
          <w:color w:val="000000" w:themeColor="text1"/>
        </w:rPr>
        <w:t>Participants</w:t>
      </w:r>
      <w:r w:rsidR="00C2662E" w:rsidRPr="00C2662E">
        <w:rPr>
          <w:color w:val="000000" w:themeColor="text1"/>
        </w:rPr>
        <w:t xml:space="preserve"> highlighted practical challenges faced by pharmacy </w:t>
      </w:r>
      <w:r w:rsidR="00C2662E">
        <w:rPr>
          <w:color w:val="000000" w:themeColor="text1"/>
        </w:rPr>
        <w:t>service users</w:t>
      </w:r>
      <w:r w:rsidR="00C2662E" w:rsidRPr="00C2662E">
        <w:rPr>
          <w:color w:val="000000" w:themeColor="text1"/>
        </w:rPr>
        <w:t xml:space="preserve">, including limited operating hours and insufficient seating. Participants emphasised the importance of ensuring accessibility and comfort for </w:t>
      </w:r>
      <w:r w:rsidR="00C2662E">
        <w:rPr>
          <w:color w:val="000000" w:themeColor="text1"/>
        </w:rPr>
        <w:t>service users</w:t>
      </w:r>
      <w:r w:rsidR="00C2662E" w:rsidRPr="00C2662E">
        <w:rPr>
          <w:color w:val="000000" w:themeColor="text1"/>
        </w:rPr>
        <w:t xml:space="preserve">, particularly for individuals with health conditions that may require sitting while waiting. </w:t>
      </w:r>
      <w:r>
        <w:rPr>
          <w:color w:val="000000" w:themeColor="text1"/>
        </w:rPr>
        <w:t>Participants suggested</w:t>
      </w:r>
      <w:r w:rsidR="00C2662E" w:rsidRPr="00C2662E">
        <w:rPr>
          <w:color w:val="000000" w:themeColor="text1"/>
        </w:rPr>
        <w:t xml:space="preserve"> </w:t>
      </w:r>
      <w:r>
        <w:rPr>
          <w:color w:val="000000" w:themeColor="text1"/>
        </w:rPr>
        <w:t>the</w:t>
      </w:r>
      <w:r w:rsidR="00C2662E" w:rsidRPr="00C2662E">
        <w:rPr>
          <w:color w:val="000000" w:themeColor="text1"/>
        </w:rPr>
        <w:t xml:space="preserve"> need for pharmacies to consider the comfort and convenience of their </w:t>
      </w:r>
      <w:r w:rsidR="00C2662E">
        <w:rPr>
          <w:color w:val="000000" w:themeColor="text1"/>
        </w:rPr>
        <w:t>patients</w:t>
      </w:r>
      <w:r w:rsidR="00C2662E" w:rsidRPr="00C2662E">
        <w:rPr>
          <w:color w:val="000000" w:themeColor="text1"/>
        </w:rPr>
        <w:t xml:space="preserve"> when designing their physical spaces and service offerings.</w:t>
      </w:r>
    </w:p>
    <w:p w14:paraId="343A1F0F" w14:textId="77777777" w:rsidR="00C2662E" w:rsidRPr="00C2662E" w:rsidRDefault="00C2662E" w:rsidP="004C3F33">
      <w:pPr>
        <w:spacing w:line="276" w:lineRule="auto"/>
        <w:rPr>
          <w:color w:val="0070C0"/>
        </w:rPr>
      </w:pPr>
    </w:p>
    <w:p w14:paraId="560F205F" w14:textId="77777777" w:rsidR="00C2662E" w:rsidRPr="00C2662E" w:rsidRDefault="00C2662E" w:rsidP="004C3F33">
      <w:pPr>
        <w:spacing w:line="276" w:lineRule="auto"/>
        <w:rPr>
          <w:color w:val="0070C0"/>
        </w:rPr>
      </w:pPr>
    </w:p>
    <w:p w14:paraId="1D59CDA8" w14:textId="2E4CA6E2" w:rsidR="00C2662E" w:rsidRPr="00C2662E" w:rsidRDefault="00C2662E" w:rsidP="004C3F33">
      <w:pPr>
        <w:spacing w:after="120" w:line="276" w:lineRule="auto"/>
        <w:rPr>
          <w:b/>
          <w:bCs/>
          <w:color w:val="000000" w:themeColor="text1"/>
        </w:rPr>
      </w:pPr>
      <w:r w:rsidRPr="00C2662E">
        <w:rPr>
          <w:b/>
          <w:bCs/>
          <w:color w:val="000000" w:themeColor="text1"/>
        </w:rPr>
        <w:lastRenderedPageBreak/>
        <w:t xml:space="preserve">Regulation and </w:t>
      </w:r>
      <w:r w:rsidR="00E766AF">
        <w:rPr>
          <w:b/>
          <w:bCs/>
          <w:color w:val="000000" w:themeColor="text1"/>
        </w:rPr>
        <w:t>q</w:t>
      </w:r>
      <w:r w:rsidRPr="00C2662E">
        <w:rPr>
          <w:b/>
          <w:bCs/>
          <w:color w:val="000000" w:themeColor="text1"/>
        </w:rPr>
        <w:t xml:space="preserve">uality </w:t>
      </w:r>
      <w:r w:rsidR="00E766AF">
        <w:rPr>
          <w:b/>
          <w:bCs/>
          <w:color w:val="000000" w:themeColor="text1"/>
        </w:rPr>
        <w:t>r</w:t>
      </w:r>
      <w:r w:rsidRPr="00C2662E">
        <w:rPr>
          <w:b/>
          <w:bCs/>
          <w:color w:val="000000" w:themeColor="text1"/>
        </w:rPr>
        <w:t>atings:</w:t>
      </w:r>
    </w:p>
    <w:p w14:paraId="19336426" w14:textId="6B284EA1" w:rsidR="00C2662E" w:rsidRDefault="00C2662E" w:rsidP="004C3F33">
      <w:pPr>
        <w:spacing w:line="276" w:lineRule="auto"/>
        <w:jc w:val="both"/>
        <w:rPr>
          <w:color w:val="000000" w:themeColor="text1"/>
        </w:rPr>
      </w:pPr>
      <w:r w:rsidRPr="00E766AF">
        <w:rPr>
          <w:color w:val="000000" w:themeColor="text1"/>
        </w:rPr>
        <w:t>The need for clear quality standards, regulation, and public availability of inspection reports and quality ratings to ensure transparency and accountability was discussed. Participants emphasi</w:t>
      </w:r>
      <w:r w:rsidR="00E766AF" w:rsidRPr="00E766AF">
        <w:rPr>
          <w:color w:val="000000" w:themeColor="text1"/>
        </w:rPr>
        <w:t>s</w:t>
      </w:r>
      <w:r w:rsidRPr="00E766AF">
        <w:rPr>
          <w:color w:val="000000" w:themeColor="text1"/>
        </w:rPr>
        <w:t>ed the importance of regulating pharmacy operations and making inspection reports easily accessible to the public, akin to standards observed in other healthcare sectors. It was suggested that transparent quality ratings could empower patients to make informed choices about where to seek pharmacy services and hold pharmacies accountable for maintaining high standards of care.</w:t>
      </w:r>
    </w:p>
    <w:p w14:paraId="6395CF88" w14:textId="77777777" w:rsidR="00C2662E" w:rsidRPr="00C2662E" w:rsidRDefault="00C2662E" w:rsidP="004C3F33">
      <w:pPr>
        <w:spacing w:line="276" w:lineRule="auto"/>
        <w:rPr>
          <w:color w:val="0070C0"/>
        </w:rPr>
      </w:pPr>
    </w:p>
    <w:p w14:paraId="3DC3EFA5" w14:textId="015DF673" w:rsidR="00680EC7" w:rsidRDefault="00680EC7" w:rsidP="004C3F33">
      <w:pPr>
        <w:spacing w:line="276" w:lineRule="auto"/>
        <w:jc w:val="both"/>
        <w:rPr>
          <w:color w:val="000000" w:themeColor="text1"/>
        </w:rPr>
      </w:pPr>
      <w:r w:rsidRPr="00E766AF">
        <w:rPr>
          <w:color w:val="000000" w:themeColor="text1"/>
        </w:rPr>
        <w:t>Building public confidence in community pharmacy services through transparent communication and accountability was highlighted as essential. Participants emphasi</w:t>
      </w:r>
      <w:r>
        <w:rPr>
          <w:color w:val="000000" w:themeColor="text1"/>
        </w:rPr>
        <w:t>s</w:t>
      </w:r>
      <w:r w:rsidRPr="00E766AF">
        <w:rPr>
          <w:color w:val="000000" w:themeColor="text1"/>
        </w:rPr>
        <w:t>ed the importance of openly displaying quality ratings and engaging with the community to build trust. It was suggested that transparent communication about pharmacy operations and quality initiatives could help alleviate concerns and empower patients to make informed decisions about their healthcare.</w:t>
      </w:r>
    </w:p>
    <w:p w14:paraId="5BA161B9" w14:textId="77777777" w:rsidR="00680EC7" w:rsidRDefault="00680EC7" w:rsidP="004C3F33">
      <w:pPr>
        <w:spacing w:line="276" w:lineRule="auto"/>
        <w:jc w:val="both"/>
        <w:rPr>
          <w:color w:val="000000" w:themeColor="text1"/>
        </w:rPr>
      </w:pPr>
    </w:p>
    <w:p w14:paraId="51F8BA19" w14:textId="646545BB" w:rsidR="00680EC7" w:rsidRDefault="00680EC7" w:rsidP="004C3F33">
      <w:pPr>
        <w:spacing w:line="276" w:lineRule="auto"/>
        <w:jc w:val="both"/>
        <w:rPr>
          <w:color w:val="000000" w:themeColor="text1"/>
        </w:rPr>
      </w:pPr>
      <w:r w:rsidRPr="00E766AF">
        <w:rPr>
          <w:color w:val="000000" w:themeColor="text1"/>
        </w:rPr>
        <w:t>Suggestions were made for implementing feedback systems, such as friends and family questionnaires, to gather input from pharmacy users and improve services continuously. Participants emphasi</w:t>
      </w:r>
      <w:r w:rsidR="00980A38">
        <w:rPr>
          <w:color w:val="000000" w:themeColor="text1"/>
        </w:rPr>
        <w:t>s</w:t>
      </w:r>
      <w:r w:rsidRPr="00E766AF">
        <w:rPr>
          <w:color w:val="000000" w:themeColor="text1"/>
        </w:rPr>
        <w:t xml:space="preserve">ed the value of soliciting feedback from vulnerable groups, such as the elderly and disabled, to ensure that pharmacy services are inclusive and meet the needs of all community members. It was suggested that feedback mechanisms should be accessible and user-friendly to encourage widespread participation and facilitate meaningful dialogue between pharmacies and their </w:t>
      </w:r>
      <w:r>
        <w:rPr>
          <w:color w:val="000000" w:themeColor="text1"/>
        </w:rPr>
        <w:t>patients</w:t>
      </w:r>
      <w:r w:rsidRPr="00E766AF">
        <w:rPr>
          <w:color w:val="000000" w:themeColor="text1"/>
        </w:rPr>
        <w:t>.</w:t>
      </w:r>
    </w:p>
    <w:p w14:paraId="188BD329" w14:textId="77777777" w:rsidR="00980A38" w:rsidRDefault="00980A38" w:rsidP="004C3F33">
      <w:pPr>
        <w:spacing w:line="276" w:lineRule="auto"/>
        <w:jc w:val="both"/>
        <w:rPr>
          <w:color w:val="000000" w:themeColor="text1"/>
        </w:rPr>
      </w:pPr>
    </w:p>
    <w:p w14:paraId="65DFCB0E" w14:textId="77777777" w:rsidR="00980A38" w:rsidRDefault="00980A38" w:rsidP="00980A38">
      <w:pPr>
        <w:spacing w:line="276" w:lineRule="auto"/>
        <w:jc w:val="both"/>
        <w:rPr>
          <w:color w:val="000000" w:themeColor="text1"/>
        </w:rPr>
      </w:pPr>
      <w:r w:rsidRPr="00E766AF">
        <w:rPr>
          <w:color w:val="000000" w:themeColor="text1"/>
        </w:rPr>
        <w:t>Recogni</w:t>
      </w:r>
      <w:r>
        <w:rPr>
          <w:color w:val="000000" w:themeColor="text1"/>
        </w:rPr>
        <w:t>s</w:t>
      </w:r>
      <w:r w:rsidRPr="00E766AF">
        <w:rPr>
          <w:color w:val="000000" w:themeColor="text1"/>
        </w:rPr>
        <w:t xml:space="preserve">ing the importance of considering local context and engaging with vulnerable groups to identify specific needs </w:t>
      </w:r>
      <w:r>
        <w:rPr>
          <w:color w:val="000000" w:themeColor="text1"/>
        </w:rPr>
        <w:t>was discussed</w:t>
      </w:r>
      <w:r w:rsidRPr="00E766AF">
        <w:rPr>
          <w:color w:val="000000" w:themeColor="text1"/>
        </w:rPr>
        <w:t>. Participants emphasi</w:t>
      </w:r>
      <w:r>
        <w:rPr>
          <w:color w:val="000000" w:themeColor="text1"/>
        </w:rPr>
        <w:t>s</w:t>
      </w:r>
      <w:r w:rsidRPr="00E766AF">
        <w:rPr>
          <w:color w:val="000000" w:themeColor="text1"/>
        </w:rPr>
        <w:t>ed the need for pharmacies to tailor their services to the unique requirements of their communities, considering factors such as demographics, socioeconomic status, and healthcare access. It was suggested that raising awareness about pharmacy services and quality initiatives could help foster a sense of community ownership and encourage greater participation in improving healthcare outcomes.</w:t>
      </w:r>
    </w:p>
    <w:p w14:paraId="2AD26E57" w14:textId="77777777" w:rsidR="00980A38" w:rsidRDefault="00980A38" w:rsidP="004C3F33">
      <w:pPr>
        <w:spacing w:line="276" w:lineRule="auto"/>
        <w:jc w:val="both"/>
        <w:rPr>
          <w:color w:val="000000" w:themeColor="text1"/>
        </w:rPr>
      </w:pPr>
    </w:p>
    <w:p w14:paraId="55AB9710" w14:textId="77777777" w:rsidR="004C3F33" w:rsidRDefault="004C3F33" w:rsidP="004C3F33">
      <w:pPr>
        <w:spacing w:line="276" w:lineRule="auto"/>
        <w:rPr>
          <w:b/>
          <w:bCs/>
          <w:color w:val="000000" w:themeColor="text1"/>
        </w:rPr>
      </w:pPr>
    </w:p>
    <w:p w14:paraId="05478A6C" w14:textId="084B4518" w:rsidR="00C2662E" w:rsidRPr="00E766AF" w:rsidRDefault="00C2662E" w:rsidP="004C3F33">
      <w:pPr>
        <w:spacing w:after="120" w:line="276" w:lineRule="auto"/>
        <w:rPr>
          <w:b/>
          <w:bCs/>
          <w:color w:val="000000" w:themeColor="text1"/>
        </w:rPr>
      </w:pPr>
      <w:r w:rsidRPr="00E766AF">
        <w:rPr>
          <w:b/>
          <w:bCs/>
          <w:color w:val="000000" w:themeColor="text1"/>
        </w:rPr>
        <w:t xml:space="preserve">Continuous </w:t>
      </w:r>
      <w:r w:rsidR="00E766AF" w:rsidRPr="00E766AF">
        <w:rPr>
          <w:b/>
          <w:bCs/>
          <w:color w:val="000000" w:themeColor="text1"/>
        </w:rPr>
        <w:t>q</w:t>
      </w:r>
      <w:r w:rsidRPr="00E766AF">
        <w:rPr>
          <w:b/>
          <w:bCs/>
          <w:color w:val="000000" w:themeColor="text1"/>
        </w:rPr>
        <w:t xml:space="preserve">uality </w:t>
      </w:r>
      <w:r w:rsidR="00E766AF" w:rsidRPr="00E766AF">
        <w:rPr>
          <w:b/>
          <w:bCs/>
          <w:color w:val="000000" w:themeColor="text1"/>
        </w:rPr>
        <w:t>i</w:t>
      </w:r>
      <w:r w:rsidRPr="00E766AF">
        <w:rPr>
          <w:b/>
          <w:bCs/>
          <w:color w:val="000000" w:themeColor="text1"/>
        </w:rPr>
        <w:t>mprovement</w:t>
      </w:r>
      <w:r w:rsidR="00E766AF" w:rsidRPr="00E766AF">
        <w:rPr>
          <w:b/>
          <w:bCs/>
          <w:color w:val="000000" w:themeColor="text1"/>
        </w:rPr>
        <w:t>:</w:t>
      </w:r>
    </w:p>
    <w:p w14:paraId="249607EF" w14:textId="66CF0365" w:rsidR="00C2662E" w:rsidRPr="00E766AF" w:rsidRDefault="00C2662E" w:rsidP="004C3F33">
      <w:pPr>
        <w:spacing w:line="276" w:lineRule="auto"/>
        <w:jc w:val="both"/>
        <w:rPr>
          <w:color w:val="000000" w:themeColor="text1"/>
        </w:rPr>
      </w:pPr>
      <w:r w:rsidRPr="00E766AF">
        <w:rPr>
          <w:color w:val="000000" w:themeColor="text1"/>
        </w:rPr>
        <w:t>Participants stressed the importance of ongoing quality improvement efforts in community pharmacies, including the implementation of feedback mechanisms and the development of action plans to address identified issues. Suggestions were made for standardi</w:t>
      </w:r>
      <w:r w:rsidR="00E766AF">
        <w:rPr>
          <w:color w:val="000000" w:themeColor="text1"/>
        </w:rPr>
        <w:t>s</w:t>
      </w:r>
      <w:r w:rsidRPr="00E766AF">
        <w:rPr>
          <w:color w:val="000000" w:themeColor="text1"/>
        </w:rPr>
        <w:t xml:space="preserve">ing services, ensuring consistency, and actively seeking feedback from pharmacy users to drive continuous improvement. It was acknowledged that quality </w:t>
      </w:r>
      <w:r w:rsidRPr="00E766AF">
        <w:rPr>
          <w:color w:val="000000" w:themeColor="text1"/>
        </w:rPr>
        <w:lastRenderedPageBreak/>
        <w:t>improvement should be a dynamic process, with pharmacies continuously adapting and refining their services to meet the evolving needs and expectations of their communities.</w:t>
      </w:r>
    </w:p>
    <w:p w14:paraId="79778E26" w14:textId="77777777" w:rsidR="00C2662E" w:rsidRPr="00C2662E" w:rsidRDefault="00C2662E" w:rsidP="004C3F33">
      <w:pPr>
        <w:spacing w:line="276" w:lineRule="auto"/>
        <w:rPr>
          <w:color w:val="0070C0"/>
        </w:rPr>
      </w:pPr>
    </w:p>
    <w:p w14:paraId="50264A85" w14:textId="77777777" w:rsidR="00656BEF" w:rsidRDefault="00656BEF" w:rsidP="004C3F33">
      <w:pPr>
        <w:spacing w:line="276" w:lineRule="auto"/>
        <w:rPr>
          <w:color w:val="0070C0"/>
        </w:rPr>
      </w:pPr>
    </w:p>
    <w:p w14:paraId="3F267221" w14:textId="77777777" w:rsidR="00656BEF" w:rsidRDefault="00656BEF" w:rsidP="004C3F33">
      <w:pPr>
        <w:spacing w:line="276" w:lineRule="auto"/>
        <w:rPr>
          <w:color w:val="0070C0"/>
        </w:rPr>
      </w:pPr>
    </w:p>
    <w:p w14:paraId="12AAF21F" w14:textId="3ABC2514" w:rsidR="00354DE4" w:rsidRPr="00AA72A6" w:rsidRDefault="004C3F33" w:rsidP="004C3F33">
      <w:pPr>
        <w:spacing w:after="120" w:line="276" w:lineRule="auto"/>
        <w:rPr>
          <w:b/>
          <w:bCs/>
          <w:color w:val="000000" w:themeColor="text1"/>
        </w:rPr>
      </w:pPr>
      <w:r w:rsidRPr="00AA72A6">
        <w:rPr>
          <w:b/>
          <w:bCs/>
          <w:color w:val="000000" w:themeColor="text1"/>
        </w:rPr>
        <w:t>Community pharmacy services</w:t>
      </w:r>
      <w:r w:rsidR="00354DE4" w:rsidRPr="00AA72A6">
        <w:rPr>
          <w:b/>
          <w:bCs/>
          <w:color w:val="000000" w:themeColor="text1"/>
        </w:rPr>
        <w:t xml:space="preserve"> beyond dispensing</w:t>
      </w:r>
    </w:p>
    <w:p w14:paraId="3D94B6B0" w14:textId="557DD4EA" w:rsidR="00354DE4" w:rsidRPr="00354DE4" w:rsidRDefault="004C3F33" w:rsidP="00AA72A6">
      <w:pPr>
        <w:spacing w:line="276" w:lineRule="auto"/>
        <w:jc w:val="both"/>
        <w:rPr>
          <w:color w:val="000000" w:themeColor="text1"/>
        </w:rPr>
      </w:pPr>
      <w:r w:rsidRPr="004C3F33">
        <w:rPr>
          <w:color w:val="000000" w:themeColor="text1"/>
        </w:rPr>
        <w:t>Participants</w:t>
      </w:r>
      <w:r w:rsidR="00354DE4" w:rsidRPr="004C3F33">
        <w:rPr>
          <w:color w:val="000000" w:themeColor="text1"/>
        </w:rPr>
        <w:t xml:space="preserve"> explored the evolving role of pharmacists in healthcare delivery. Beyond traditional medication dispensing, </w:t>
      </w:r>
      <w:r w:rsidR="00AA72A6">
        <w:rPr>
          <w:color w:val="000000" w:themeColor="text1"/>
        </w:rPr>
        <w:t xml:space="preserve">participants </w:t>
      </w:r>
      <w:r w:rsidR="00AA72A6" w:rsidRPr="00AA72A6">
        <w:rPr>
          <w:color w:val="000000" w:themeColor="text1"/>
        </w:rPr>
        <w:t xml:space="preserve">suggest that blood tests should be more readily available, even possibly in local pharmacies, to reduce the need for patients to travel long distances for routine tests. </w:t>
      </w:r>
      <w:r w:rsidR="00AA72A6">
        <w:rPr>
          <w:color w:val="000000" w:themeColor="text1"/>
        </w:rPr>
        <w:t>They also</w:t>
      </w:r>
      <w:r w:rsidR="00AA72A6" w:rsidRPr="00AA72A6">
        <w:rPr>
          <w:color w:val="000000" w:themeColor="text1"/>
        </w:rPr>
        <w:t xml:space="preserve"> discuss</w:t>
      </w:r>
      <w:r w:rsidR="00AA72A6">
        <w:rPr>
          <w:color w:val="000000" w:themeColor="text1"/>
        </w:rPr>
        <w:t xml:space="preserve">ed </w:t>
      </w:r>
      <w:r w:rsidR="00AA72A6" w:rsidRPr="00AA72A6">
        <w:rPr>
          <w:color w:val="000000" w:themeColor="text1"/>
        </w:rPr>
        <w:t xml:space="preserve">the availability of certain medical services in pharmacies, such as pinprick blood tests for diabetics. </w:t>
      </w:r>
    </w:p>
    <w:p w14:paraId="2E723C24" w14:textId="77777777" w:rsidR="005517A5" w:rsidRDefault="005517A5" w:rsidP="005517A5">
      <w:pPr>
        <w:ind w:right="567"/>
        <w:jc w:val="both"/>
        <w:rPr>
          <w:i/>
          <w:iCs/>
          <w:color w:val="000000" w:themeColor="text1"/>
        </w:rPr>
      </w:pPr>
    </w:p>
    <w:sectPr w:rsidR="005517A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5025D" w14:textId="77777777" w:rsidR="00064C5A" w:rsidRDefault="00064C5A" w:rsidP="008D0C19">
      <w:r>
        <w:separator/>
      </w:r>
    </w:p>
  </w:endnote>
  <w:endnote w:type="continuationSeparator" w:id="0">
    <w:p w14:paraId="2676E774" w14:textId="77777777" w:rsidR="00064C5A" w:rsidRDefault="00064C5A" w:rsidP="008D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4A4AA" w14:textId="77777777" w:rsidR="00064C5A" w:rsidRDefault="00064C5A" w:rsidP="008D0C19">
      <w:r>
        <w:separator/>
      </w:r>
    </w:p>
  </w:footnote>
  <w:footnote w:type="continuationSeparator" w:id="0">
    <w:p w14:paraId="35EF860B" w14:textId="77777777" w:rsidR="00064C5A" w:rsidRDefault="00064C5A" w:rsidP="008D0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F8C2A" w14:textId="101B5D50" w:rsidR="008D0C19" w:rsidRDefault="008D0C19">
    <w:pPr>
      <w:pStyle w:val="Header"/>
    </w:pPr>
    <w:r>
      <w:rPr>
        <w:noProof/>
        <w:lang w:eastAsia="en-GB"/>
      </w:rPr>
      <w:drawing>
        <wp:anchor distT="0" distB="0" distL="114300" distR="114300" simplePos="0" relativeHeight="251661312" behindDoc="1" locked="0" layoutInCell="1" allowOverlap="1" wp14:anchorId="04D77426" wp14:editId="02678A9A">
          <wp:simplePos x="0" y="0"/>
          <wp:positionH relativeFrom="column">
            <wp:posOffset>4815191</wp:posOffset>
          </wp:positionH>
          <wp:positionV relativeFrom="paragraph">
            <wp:posOffset>-156319</wp:posOffset>
          </wp:positionV>
          <wp:extent cx="1224915" cy="485775"/>
          <wp:effectExtent l="0" t="0" r="0" b="9525"/>
          <wp:wrapTight wrapText="bothSides">
            <wp:wrapPolygon edited="0">
              <wp:start x="0" y="0"/>
              <wp:lineTo x="0" y="21176"/>
              <wp:lineTo x="21163" y="21176"/>
              <wp:lineTo x="21163" y="0"/>
              <wp:lineTo x="0" y="0"/>
            </wp:wrapPolygon>
          </wp:wrapTight>
          <wp:docPr id="1" name="Picture 5" descr="Graphical user interface, text&#10;&#10;Description automatically generated">
            <a:extLst xmlns:a="http://schemas.openxmlformats.org/drawingml/2006/main">
              <a:ext uri="{FF2B5EF4-FFF2-40B4-BE49-F238E27FC236}">
                <a16:creationId xmlns:a16="http://schemas.microsoft.com/office/drawing/2014/main" id="{E96CA7B1-680A-894D-AB2C-2036ABF20F32}"/>
              </a:ext>
            </a:extLst>
          </wp:docPr>
          <wp:cNvGraphicFramePr/>
          <a:graphic xmlns:a="http://schemas.openxmlformats.org/drawingml/2006/main">
            <a:graphicData uri="http://schemas.openxmlformats.org/drawingml/2006/picture">
              <pic:pic xmlns:pic="http://schemas.openxmlformats.org/drawingml/2006/picture">
                <pic:nvPicPr>
                  <pic:cNvPr id="6" name="Picture 5" descr="Graphical user interface, text&#10;&#10;Description automatically generated">
                    <a:extLst>
                      <a:ext uri="{FF2B5EF4-FFF2-40B4-BE49-F238E27FC236}">
                        <a16:creationId xmlns:a16="http://schemas.microsoft.com/office/drawing/2014/main" id="{E96CA7B1-680A-894D-AB2C-2036ABF20F32}"/>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4915" cy="4857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7B4BDFAB" wp14:editId="00C23E30">
          <wp:simplePos x="0" y="0"/>
          <wp:positionH relativeFrom="column">
            <wp:posOffset>-457200</wp:posOffset>
          </wp:positionH>
          <wp:positionV relativeFrom="paragraph">
            <wp:posOffset>-204916</wp:posOffset>
          </wp:positionV>
          <wp:extent cx="1447800" cy="485775"/>
          <wp:effectExtent l="0" t="0" r="0" b="0"/>
          <wp:wrapNone/>
          <wp:docPr id="5" name="Picture 4" descr="Displaying the NIHR identity correctly - Cambridge Biomedical Research  Centre">
            <a:extLst xmlns:a="http://schemas.openxmlformats.org/drawingml/2006/main">
              <a:ext uri="{FF2B5EF4-FFF2-40B4-BE49-F238E27FC236}">
                <a16:creationId xmlns:a16="http://schemas.microsoft.com/office/drawing/2014/main" id="{BEFC0CE4-450A-9349-8B01-EC3B90C67F78}"/>
              </a:ext>
            </a:extLst>
          </wp:docPr>
          <wp:cNvGraphicFramePr/>
          <a:graphic xmlns:a="http://schemas.openxmlformats.org/drawingml/2006/main">
            <a:graphicData uri="http://schemas.openxmlformats.org/drawingml/2006/picture">
              <pic:pic xmlns:pic="http://schemas.openxmlformats.org/drawingml/2006/picture">
                <pic:nvPicPr>
                  <pic:cNvPr id="5" name="Picture 4" descr="Displaying the NIHR identity correctly - Cambridge Biomedical Research  Centre">
                    <a:extLst>
                      <a:ext uri="{FF2B5EF4-FFF2-40B4-BE49-F238E27FC236}">
                        <a16:creationId xmlns:a16="http://schemas.microsoft.com/office/drawing/2014/main" id="{BEFC0CE4-450A-9349-8B01-EC3B90C67F78}"/>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FFFFFFFF"/>
    <w:lvl w:ilvl="0" w:tplc="000000C9">
      <w:start w:val="1"/>
      <w:numFmt w:val="bullet"/>
      <w:lvlText w:val="⁃"/>
      <w:lvlJc w:val="left"/>
      <w:pPr>
        <w:ind w:left="21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C195A"/>
    <w:multiLevelType w:val="hybridMultilevel"/>
    <w:tmpl w:val="45EE2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43880"/>
    <w:multiLevelType w:val="hybridMultilevel"/>
    <w:tmpl w:val="1614532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6F00B80"/>
    <w:multiLevelType w:val="hybridMultilevel"/>
    <w:tmpl w:val="BC8AABF0"/>
    <w:lvl w:ilvl="0" w:tplc="895C0DBA">
      <w:start w:val="1"/>
      <w:numFmt w:val="bullet"/>
      <w:lvlText w:val="•"/>
      <w:lvlJc w:val="left"/>
      <w:pPr>
        <w:tabs>
          <w:tab w:val="num" w:pos="720"/>
        </w:tabs>
        <w:ind w:left="720" w:hanging="360"/>
      </w:pPr>
      <w:rPr>
        <w:rFonts w:ascii="Arial" w:hAnsi="Arial" w:hint="default"/>
      </w:rPr>
    </w:lvl>
    <w:lvl w:ilvl="1" w:tplc="D728D3A4" w:tentative="1">
      <w:start w:val="1"/>
      <w:numFmt w:val="bullet"/>
      <w:lvlText w:val="•"/>
      <w:lvlJc w:val="left"/>
      <w:pPr>
        <w:tabs>
          <w:tab w:val="num" w:pos="1440"/>
        </w:tabs>
        <w:ind w:left="1440" w:hanging="360"/>
      </w:pPr>
      <w:rPr>
        <w:rFonts w:ascii="Arial" w:hAnsi="Arial" w:hint="default"/>
      </w:rPr>
    </w:lvl>
    <w:lvl w:ilvl="2" w:tplc="CDAE0F4C" w:tentative="1">
      <w:start w:val="1"/>
      <w:numFmt w:val="bullet"/>
      <w:lvlText w:val="•"/>
      <w:lvlJc w:val="left"/>
      <w:pPr>
        <w:tabs>
          <w:tab w:val="num" w:pos="2160"/>
        </w:tabs>
        <w:ind w:left="2160" w:hanging="360"/>
      </w:pPr>
      <w:rPr>
        <w:rFonts w:ascii="Arial" w:hAnsi="Arial" w:hint="default"/>
      </w:rPr>
    </w:lvl>
    <w:lvl w:ilvl="3" w:tplc="16E6D5E8" w:tentative="1">
      <w:start w:val="1"/>
      <w:numFmt w:val="bullet"/>
      <w:lvlText w:val="•"/>
      <w:lvlJc w:val="left"/>
      <w:pPr>
        <w:tabs>
          <w:tab w:val="num" w:pos="2880"/>
        </w:tabs>
        <w:ind w:left="2880" w:hanging="360"/>
      </w:pPr>
      <w:rPr>
        <w:rFonts w:ascii="Arial" w:hAnsi="Arial" w:hint="default"/>
      </w:rPr>
    </w:lvl>
    <w:lvl w:ilvl="4" w:tplc="B88C65BC" w:tentative="1">
      <w:start w:val="1"/>
      <w:numFmt w:val="bullet"/>
      <w:lvlText w:val="•"/>
      <w:lvlJc w:val="left"/>
      <w:pPr>
        <w:tabs>
          <w:tab w:val="num" w:pos="3600"/>
        </w:tabs>
        <w:ind w:left="3600" w:hanging="360"/>
      </w:pPr>
      <w:rPr>
        <w:rFonts w:ascii="Arial" w:hAnsi="Arial" w:hint="default"/>
      </w:rPr>
    </w:lvl>
    <w:lvl w:ilvl="5" w:tplc="6290BBAE" w:tentative="1">
      <w:start w:val="1"/>
      <w:numFmt w:val="bullet"/>
      <w:lvlText w:val="•"/>
      <w:lvlJc w:val="left"/>
      <w:pPr>
        <w:tabs>
          <w:tab w:val="num" w:pos="4320"/>
        </w:tabs>
        <w:ind w:left="4320" w:hanging="360"/>
      </w:pPr>
      <w:rPr>
        <w:rFonts w:ascii="Arial" w:hAnsi="Arial" w:hint="default"/>
      </w:rPr>
    </w:lvl>
    <w:lvl w:ilvl="6" w:tplc="994A46C2" w:tentative="1">
      <w:start w:val="1"/>
      <w:numFmt w:val="bullet"/>
      <w:lvlText w:val="•"/>
      <w:lvlJc w:val="left"/>
      <w:pPr>
        <w:tabs>
          <w:tab w:val="num" w:pos="5040"/>
        </w:tabs>
        <w:ind w:left="5040" w:hanging="360"/>
      </w:pPr>
      <w:rPr>
        <w:rFonts w:ascii="Arial" w:hAnsi="Arial" w:hint="default"/>
      </w:rPr>
    </w:lvl>
    <w:lvl w:ilvl="7" w:tplc="D868A2DE" w:tentative="1">
      <w:start w:val="1"/>
      <w:numFmt w:val="bullet"/>
      <w:lvlText w:val="•"/>
      <w:lvlJc w:val="left"/>
      <w:pPr>
        <w:tabs>
          <w:tab w:val="num" w:pos="5760"/>
        </w:tabs>
        <w:ind w:left="5760" w:hanging="360"/>
      </w:pPr>
      <w:rPr>
        <w:rFonts w:ascii="Arial" w:hAnsi="Arial" w:hint="default"/>
      </w:rPr>
    </w:lvl>
    <w:lvl w:ilvl="8" w:tplc="CAFEF9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5B5BE2"/>
    <w:multiLevelType w:val="hybridMultilevel"/>
    <w:tmpl w:val="23CA6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D906A4"/>
    <w:multiLevelType w:val="hybridMultilevel"/>
    <w:tmpl w:val="61465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A1F0798"/>
    <w:multiLevelType w:val="hybridMultilevel"/>
    <w:tmpl w:val="1500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412791">
    <w:abstractNumId w:val="4"/>
  </w:num>
  <w:num w:numId="2" w16cid:durableId="1860117083">
    <w:abstractNumId w:val="0"/>
  </w:num>
  <w:num w:numId="3" w16cid:durableId="2044666446">
    <w:abstractNumId w:val="5"/>
  </w:num>
  <w:num w:numId="4" w16cid:durableId="842861055">
    <w:abstractNumId w:val="1"/>
  </w:num>
  <w:num w:numId="5" w16cid:durableId="725686629">
    <w:abstractNumId w:val="6"/>
  </w:num>
  <w:num w:numId="6" w16cid:durableId="1588537173">
    <w:abstractNumId w:val="2"/>
  </w:num>
  <w:num w:numId="7" w16cid:durableId="1681270385">
    <w:abstractNumId w:val="7"/>
  </w:num>
  <w:num w:numId="8" w16cid:durableId="899251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19"/>
    <w:rsid w:val="000074B3"/>
    <w:rsid w:val="000231FC"/>
    <w:rsid w:val="00037884"/>
    <w:rsid w:val="0004036F"/>
    <w:rsid w:val="0004133A"/>
    <w:rsid w:val="00043E8B"/>
    <w:rsid w:val="00043EBF"/>
    <w:rsid w:val="00050AF4"/>
    <w:rsid w:val="00057DAD"/>
    <w:rsid w:val="00064C5A"/>
    <w:rsid w:val="00064E87"/>
    <w:rsid w:val="00065E21"/>
    <w:rsid w:val="0007578E"/>
    <w:rsid w:val="00076E9E"/>
    <w:rsid w:val="0008384A"/>
    <w:rsid w:val="00097FF7"/>
    <w:rsid w:val="000B3619"/>
    <w:rsid w:val="000B3D16"/>
    <w:rsid w:val="000C44AF"/>
    <w:rsid w:val="000C4D76"/>
    <w:rsid w:val="000C74BC"/>
    <w:rsid w:val="000D0962"/>
    <w:rsid w:val="000D153A"/>
    <w:rsid w:val="000D51C9"/>
    <w:rsid w:val="000E63F2"/>
    <w:rsid w:val="000F430B"/>
    <w:rsid w:val="00113107"/>
    <w:rsid w:val="001179BE"/>
    <w:rsid w:val="00127832"/>
    <w:rsid w:val="00141358"/>
    <w:rsid w:val="0014709C"/>
    <w:rsid w:val="00166EA9"/>
    <w:rsid w:val="00176A5F"/>
    <w:rsid w:val="00197D25"/>
    <w:rsid w:val="001B0C3E"/>
    <w:rsid w:val="001B23A8"/>
    <w:rsid w:val="001D4CDD"/>
    <w:rsid w:val="001D5527"/>
    <w:rsid w:val="001E202C"/>
    <w:rsid w:val="001E7528"/>
    <w:rsid w:val="002159CB"/>
    <w:rsid w:val="00232D83"/>
    <w:rsid w:val="002335F8"/>
    <w:rsid w:val="0023485C"/>
    <w:rsid w:val="002464D9"/>
    <w:rsid w:val="00256633"/>
    <w:rsid w:val="00260DB2"/>
    <w:rsid w:val="00261C3E"/>
    <w:rsid w:val="00266581"/>
    <w:rsid w:val="00277F8B"/>
    <w:rsid w:val="00284DB8"/>
    <w:rsid w:val="00295800"/>
    <w:rsid w:val="002A1CA9"/>
    <w:rsid w:val="002A7B1E"/>
    <w:rsid w:val="002C217C"/>
    <w:rsid w:val="002D1CB0"/>
    <w:rsid w:val="002E32CC"/>
    <w:rsid w:val="002E7A28"/>
    <w:rsid w:val="003034ED"/>
    <w:rsid w:val="00323BB7"/>
    <w:rsid w:val="003324D7"/>
    <w:rsid w:val="003361DE"/>
    <w:rsid w:val="0034019E"/>
    <w:rsid w:val="00354DE4"/>
    <w:rsid w:val="00360D0B"/>
    <w:rsid w:val="003705B4"/>
    <w:rsid w:val="00371D00"/>
    <w:rsid w:val="00375EC0"/>
    <w:rsid w:val="00392199"/>
    <w:rsid w:val="00397843"/>
    <w:rsid w:val="003A067A"/>
    <w:rsid w:val="003B4C3A"/>
    <w:rsid w:val="003C677E"/>
    <w:rsid w:val="003D550B"/>
    <w:rsid w:val="003D7237"/>
    <w:rsid w:val="003F0134"/>
    <w:rsid w:val="003F4698"/>
    <w:rsid w:val="003F6B24"/>
    <w:rsid w:val="003F7673"/>
    <w:rsid w:val="00401215"/>
    <w:rsid w:val="00401D2C"/>
    <w:rsid w:val="004045DC"/>
    <w:rsid w:val="00406C31"/>
    <w:rsid w:val="00414F4B"/>
    <w:rsid w:val="00415AFB"/>
    <w:rsid w:val="00443DCB"/>
    <w:rsid w:val="004736C3"/>
    <w:rsid w:val="004B197E"/>
    <w:rsid w:val="004B4835"/>
    <w:rsid w:val="004C3F33"/>
    <w:rsid w:val="004D5F49"/>
    <w:rsid w:val="004E053E"/>
    <w:rsid w:val="00501DBF"/>
    <w:rsid w:val="00515DF1"/>
    <w:rsid w:val="005228FC"/>
    <w:rsid w:val="00535026"/>
    <w:rsid w:val="00537134"/>
    <w:rsid w:val="0054356A"/>
    <w:rsid w:val="005517A5"/>
    <w:rsid w:val="005546F8"/>
    <w:rsid w:val="00574AC3"/>
    <w:rsid w:val="00575A6E"/>
    <w:rsid w:val="00584ABB"/>
    <w:rsid w:val="00585E2B"/>
    <w:rsid w:val="00591B02"/>
    <w:rsid w:val="00591F4E"/>
    <w:rsid w:val="005B43CA"/>
    <w:rsid w:val="005D339B"/>
    <w:rsid w:val="005D5FE9"/>
    <w:rsid w:val="005D6359"/>
    <w:rsid w:val="00605EF2"/>
    <w:rsid w:val="00606997"/>
    <w:rsid w:val="00612600"/>
    <w:rsid w:val="00615379"/>
    <w:rsid w:val="00632A08"/>
    <w:rsid w:val="00637440"/>
    <w:rsid w:val="006526A4"/>
    <w:rsid w:val="00652B4E"/>
    <w:rsid w:val="00656BEF"/>
    <w:rsid w:val="0067158A"/>
    <w:rsid w:val="0067198B"/>
    <w:rsid w:val="00680EC7"/>
    <w:rsid w:val="00681AC5"/>
    <w:rsid w:val="006A115F"/>
    <w:rsid w:val="006D43B5"/>
    <w:rsid w:val="007035FA"/>
    <w:rsid w:val="00713969"/>
    <w:rsid w:val="00714C8B"/>
    <w:rsid w:val="00727CEB"/>
    <w:rsid w:val="007328CF"/>
    <w:rsid w:val="00735E97"/>
    <w:rsid w:val="00741B83"/>
    <w:rsid w:val="00750CA7"/>
    <w:rsid w:val="00752DF7"/>
    <w:rsid w:val="00791268"/>
    <w:rsid w:val="007B0655"/>
    <w:rsid w:val="007D2CAD"/>
    <w:rsid w:val="007D3252"/>
    <w:rsid w:val="007E198E"/>
    <w:rsid w:val="00813F29"/>
    <w:rsid w:val="00816182"/>
    <w:rsid w:val="00820DA9"/>
    <w:rsid w:val="00833C6A"/>
    <w:rsid w:val="0085467D"/>
    <w:rsid w:val="00861133"/>
    <w:rsid w:val="00861EBE"/>
    <w:rsid w:val="00886C70"/>
    <w:rsid w:val="0089390A"/>
    <w:rsid w:val="008B0EC7"/>
    <w:rsid w:val="008B4268"/>
    <w:rsid w:val="008D05A2"/>
    <w:rsid w:val="008D0C19"/>
    <w:rsid w:val="008E57D2"/>
    <w:rsid w:val="009134DB"/>
    <w:rsid w:val="00915D24"/>
    <w:rsid w:val="009419FE"/>
    <w:rsid w:val="00942B2F"/>
    <w:rsid w:val="0096524E"/>
    <w:rsid w:val="00980A38"/>
    <w:rsid w:val="00990C3B"/>
    <w:rsid w:val="009A0B25"/>
    <w:rsid w:val="009C1487"/>
    <w:rsid w:val="009C1905"/>
    <w:rsid w:val="009C4550"/>
    <w:rsid w:val="009E0403"/>
    <w:rsid w:val="009E4BA5"/>
    <w:rsid w:val="009E5E6F"/>
    <w:rsid w:val="009E66A6"/>
    <w:rsid w:val="009E6E6D"/>
    <w:rsid w:val="009E736E"/>
    <w:rsid w:val="009F4F2F"/>
    <w:rsid w:val="009F6523"/>
    <w:rsid w:val="00A15208"/>
    <w:rsid w:val="00A24786"/>
    <w:rsid w:val="00A407B3"/>
    <w:rsid w:val="00A613C3"/>
    <w:rsid w:val="00A80B69"/>
    <w:rsid w:val="00A83DB7"/>
    <w:rsid w:val="00A91FA5"/>
    <w:rsid w:val="00AA72A6"/>
    <w:rsid w:val="00AC354C"/>
    <w:rsid w:val="00B01CDD"/>
    <w:rsid w:val="00B021D0"/>
    <w:rsid w:val="00B51C82"/>
    <w:rsid w:val="00B5751A"/>
    <w:rsid w:val="00B637FE"/>
    <w:rsid w:val="00B63D48"/>
    <w:rsid w:val="00B66C83"/>
    <w:rsid w:val="00B932EB"/>
    <w:rsid w:val="00BA5D61"/>
    <w:rsid w:val="00BB0EB9"/>
    <w:rsid w:val="00BB2D7E"/>
    <w:rsid w:val="00BC2B18"/>
    <w:rsid w:val="00BC669E"/>
    <w:rsid w:val="00BD0899"/>
    <w:rsid w:val="00BD79DE"/>
    <w:rsid w:val="00BE69A9"/>
    <w:rsid w:val="00C00FD6"/>
    <w:rsid w:val="00C0480D"/>
    <w:rsid w:val="00C130DC"/>
    <w:rsid w:val="00C23660"/>
    <w:rsid w:val="00C2662E"/>
    <w:rsid w:val="00C30199"/>
    <w:rsid w:val="00C42B8D"/>
    <w:rsid w:val="00C508E0"/>
    <w:rsid w:val="00C53863"/>
    <w:rsid w:val="00C54093"/>
    <w:rsid w:val="00C71F9E"/>
    <w:rsid w:val="00C816A0"/>
    <w:rsid w:val="00C83182"/>
    <w:rsid w:val="00CA0193"/>
    <w:rsid w:val="00CA2A03"/>
    <w:rsid w:val="00CA395B"/>
    <w:rsid w:val="00CB3278"/>
    <w:rsid w:val="00CB64F3"/>
    <w:rsid w:val="00CC5913"/>
    <w:rsid w:val="00CD0718"/>
    <w:rsid w:val="00CD086D"/>
    <w:rsid w:val="00CF0CBA"/>
    <w:rsid w:val="00CF1EC1"/>
    <w:rsid w:val="00CF4FC5"/>
    <w:rsid w:val="00D0020B"/>
    <w:rsid w:val="00D21E21"/>
    <w:rsid w:val="00D3764A"/>
    <w:rsid w:val="00D45B63"/>
    <w:rsid w:val="00D70994"/>
    <w:rsid w:val="00D75619"/>
    <w:rsid w:val="00DA49BA"/>
    <w:rsid w:val="00DD4060"/>
    <w:rsid w:val="00DE7FAB"/>
    <w:rsid w:val="00DF45ED"/>
    <w:rsid w:val="00E05ABE"/>
    <w:rsid w:val="00E15D75"/>
    <w:rsid w:val="00E23671"/>
    <w:rsid w:val="00E31EFF"/>
    <w:rsid w:val="00E33261"/>
    <w:rsid w:val="00E33503"/>
    <w:rsid w:val="00E35A8E"/>
    <w:rsid w:val="00E50094"/>
    <w:rsid w:val="00E603A0"/>
    <w:rsid w:val="00E67879"/>
    <w:rsid w:val="00E766AF"/>
    <w:rsid w:val="00E770A6"/>
    <w:rsid w:val="00E842B5"/>
    <w:rsid w:val="00EA18B3"/>
    <w:rsid w:val="00EA23A4"/>
    <w:rsid w:val="00EA50DC"/>
    <w:rsid w:val="00EB31AA"/>
    <w:rsid w:val="00ED2E3B"/>
    <w:rsid w:val="00ED6000"/>
    <w:rsid w:val="00EE0C6F"/>
    <w:rsid w:val="00EE7C76"/>
    <w:rsid w:val="00F1514F"/>
    <w:rsid w:val="00F25725"/>
    <w:rsid w:val="00F4004C"/>
    <w:rsid w:val="00F50FE7"/>
    <w:rsid w:val="00F5658B"/>
    <w:rsid w:val="00F60941"/>
    <w:rsid w:val="00F81ABC"/>
    <w:rsid w:val="00F87C90"/>
    <w:rsid w:val="00F950D1"/>
    <w:rsid w:val="00F97D70"/>
    <w:rsid w:val="00FC5EAF"/>
    <w:rsid w:val="00FD356A"/>
    <w:rsid w:val="00FD614D"/>
    <w:rsid w:val="00FF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18D24B"/>
  <w15:chartTrackingRefBased/>
  <w15:docId w15:val="{16B6367D-7F7E-2A43-A569-862BED69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0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0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C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C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C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C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0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0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C19"/>
    <w:rPr>
      <w:rFonts w:eastAsiaTheme="majorEastAsia" w:cstheme="majorBidi"/>
      <w:color w:val="272727" w:themeColor="text1" w:themeTint="D8"/>
    </w:rPr>
  </w:style>
  <w:style w:type="paragraph" w:styleId="Title">
    <w:name w:val="Title"/>
    <w:basedOn w:val="Normal"/>
    <w:next w:val="Normal"/>
    <w:link w:val="TitleChar"/>
    <w:uiPriority w:val="10"/>
    <w:qFormat/>
    <w:rsid w:val="008D0C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C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C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0C19"/>
    <w:rPr>
      <w:i/>
      <w:iCs/>
      <w:color w:val="404040" w:themeColor="text1" w:themeTint="BF"/>
    </w:rPr>
  </w:style>
  <w:style w:type="paragraph" w:styleId="ListParagraph">
    <w:name w:val="List Paragraph"/>
    <w:basedOn w:val="Normal"/>
    <w:uiPriority w:val="34"/>
    <w:qFormat/>
    <w:rsid w:val="008D0C19"/>
    <w:pPr>
      <w:ind w:left="720"/>
      <w:contextualSpacing/>
    </w:pPr>
  </w:style>
  <w:style w:type="character" w:styleId="IntenseEmphasis">
    <w:name w:val="Intense Emphasis"/>
    <w:basedOn w:val="DefaultParagraphFont"/>
    <w:uiPriority w:val="21"/>
    <w:qFormat/>
    <w:rsid w:val="008D0C19"/>
    <w:rPr>
      <w:i/>
      <w:iCs/>
      <w:color w:val="0F4761" w:themeColor="accent1" w:themeShade="BF"/>
    </w:rPr>
  </w:style>
  <w:style w:type="paragraph" w:styleId="IntenseQuote">
    <w:name w:val="Intense Quote"/>
    <w:basedOn w:val="Normal"/>
    <w:next w:val="Normal"/>
    <w:link w:val="IntenseQuoteChar"/>
    <w:uiPriority w:val="30"/>
    <w:qFormat/>
    <w:rsid w:val="008D0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C19"/>
    <w:rPr>
      <w:i/>
      <w:iCs/>
      <w:color w:val="0F4761" w:themeColor="accent1" w:themeShade="BF"/>
    </w:rPr>
  </w:style>
  <w:style w:type="character" w:styleId="IntenseReference">
    <w:name w:val="Intense Reference"/>
    <w:basedOn w:val="DefaultParagraphFont"/>
    <w:uiPriority w:val="32"/>
    <w:qFormat/>
    <w:rsid w:val="008D0C19"/>
    <w:rPr>
      <w:b/>
      <w:bCs/>
      <w:smallCaps/>
      <w:color w:val="0F4761" w:themeColor="accent1" w:themeShade="BF"/>
      <w:spacing w:val="5"/>
    </w:rPr>
  </w:style>
  <w:style w:type="paragraph" w:styleId="Header">
    <w:name w:val="header"/>
    <w:basedOn w:val="Normal"/>
    <w:link w:val="HeaderChar"/>
    <w:uiPriority w:val="99"/>
    <w:unhideWhenUsed/>
    <w:rsid w:val="008D0C19"/>
    <w:pPr>
      <w:tabs>
        <w:tab w:val="center" w:pos="4513"/>
        <w:tab w:val="right" w:pos="9026"/>
      </w:tabs>
    </w:pPr>
  </w:style>
  <w:style w:type="character" w:customStyle="1" w:styleId="HeaderChar">
    <w:name w:val="Header Char"/>
    <w:basedOn w:val="DefaultParagraphFont"/>
    <w:link w:val="Header"/>
    <w:uiPriority w:val="99"/>
    <w:rsid w:val="008D0C19"/>
  </w:style>
  <w:style w:type="paragraph" w:styleId="Footer">
    <w:name w:val="footer"/>
    <w:basedOn w:val="Normal"/>
    <w:link w:val="FooterChar"/>
    <w:uiPriority w:val="99"/>
    <w:unhideWhenUsed/>
    <w:rsid w:val="008D0C19"/>
    <w:pPr>
      <w:tabs>
        <w:tab w:val="center" w:pos="4513"/>
        <w:tab w:val="right" w:pos="9026"/>
      </w:tabs>
    </w:pPr>
  </w:style>
  <w:style w:type="character" w:customStyle="1" w:styleId="FooterChar">
    <w:name w:val="Footer Char"/>
    <w:basedOn w:val="DefaultParagraphFont"/>
    <w:link w:val="Footer"/>
    <w:uiPriority w:val="99"/>
    <w:rsid w:val="008D0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13737">
      <w:bodyDiv w:val="1"/>
      <w:marLeft w:val="0"/>
      <w:marRight w:val="0"/>
      <w:marTop w:val="0"/>
      <w:marBottom w:val="0"/>
      <w:divBdr>
        <w:top w:val="none" w:sz="0" w:space="0" w:color="auto"/>
        <w:left w:val="none" w:sz="0" w:space="0" w:color="auto"/>
        <w:bottom w:val="none" w:sz="0" w:space="0" w:color="auto"/>
        <w:right w:val="none" w:sz="0" w:space="0" w:color="auto"/>
      </w:divBdr>
    </w:div>
    <w:div w:id="410351244">
      <w:bodyDiv w:val="1"/>
      <w:marLeft w:val="0"/>
      <w:marRight w:val="0"/>
      <w:marTop w:val="0"/>
      <w:marBottom w:val="0"/>
      <w:divBdr>
        <w:top w:val="none" w:sz="0" w:space="0" w:color="auto"/>
        <w:left w:val="none" w:sz="0" w:space="0" w:color="auto"/>
        <w:bottom w:val="none" w:sz="0" w:space="0" w:color="auto"/>
        <w:right w:val="none" w:sz="0" w:space="0" w:color="auto"/>
      </w:divBdr>
    </w:div>
    <w:div w:id="432557498">
      <w:bodyDiv w:val="1"/>
      <w:marLeft w:val="0"/>
      <w:marRight w:val="0"/>
      <w:marTop w:val="0"/>
      <w:marBottom w:val="0"/>
      <w:divBdr>
        <w:top w:val="none" w:sz="0" w:space="0" w:color="auto"/>
        <w:left w:val="none" w:sz="0" w:space="0" w:color="auto"/>
        <w:bottom w:val="none" w:sz="0" w:space="0" w:color="auto"/>
        <w:right w:val="none" w:sz="0" w:space="0" w:color="auto"/>
      </w:divBdr>
    </w:div>
    <w:div w:id="1401295110">
      <w:bodyDiv w:val="1"/>
      <w:marLeft w:val="0"/>
      <w:marRight w:val="0"/>
      <w:marTop w:val="0"/>
      <w:marBottom w:val="0"/>
      <w:divBdr>
        <w:top w:val="none" w:sz="0" w:space="0" w:color="auto"/>
        <w:left w:val="none" w:sz="0" w:space="0" w:color="auto"/>
        <w:bottom w:val="none" w:sz="0" w:space="0" w:color="auto"/>
        <w:right w:val="none" w:sz="0" w:space="0" w:color="auto"/>
      </w:divBdr>
    </w:div>
    <w:div w:id="1408725636">
      <w:bodyDiv w:val="1"/>
      <w:marLeft w:val="0"/>
      <w:marRight w:val="0"/>
      <w:marTop w:val="0"/>
      <w:marBottom w:val="0"/>
      <w:divBdr>
        <w:top w:val="none" w:sz="0" w:space="0" w:color="auto"/>
        <w:left w:val="none" w:sz="0" w:space="0" w:color="auto"/>
        <w:bottom w:val="none" w:sz="0" w:space="0" w:color="auto"/>
        <w:right w:val="none" w:sz="0" w:space="0" w:color="auto"/>
      </w:divBdr>
    </w:div>
    <w:div w:id="1808204570">
      <w:bodyDiv w:val="1"/>
      <w:marLeft w:val="0"/>
      <w:marRight w:val="0"/>
      <w:marTop w:val="0"/>
      <w:marBottom w:val="0"/>
      <w:divBdr>
        <w:top w:val="none" w:sz="0" w:space="0" w:color="auto"/>
        <w:left w:val="none" w:sz="0" w:space="0" w:color="auto"/>
        <w:bottom w:val="none" w:sz="0" w:space="0" w:color="auto"/>
        <w:right w:val="none" w:sz="0" w:space="0" w:color="auto"/>
      </w:divBdr>
    </w:div>
    <w:div w:id="1848978194">
      <w:bodyDiv w:val="1"/>
      <w:marLeft w:val="0"/>
      <w:marRight w:val="0"/>
      <w:marTop w:val="0"/>
      <w:marBottom w:val="0"/>
      <w:divBdr>
        <w:top w:val="none" w:sz="0" w:space="0" w:color="auto"/>
        <w:left w:val="none" w:sz="0" w:space="0" w:color="auto"/>
        <w:bottom w:val="none" w:sz="0" w:space="0" w:color="auto"/>
        <w:right w:val="none" w:sz="0" w:space="0" w:color="auto"/>
      </w:divBdr>
      <w:divsChild>
        <w:div w:id="853769061">
          <w:marLeft w:val="360"/>
          <w:marRight w:val="0"/>
          <w:marTop w:val="20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.~WRD1916</Template>
  <TotalTime>2</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Hindi</dc:creator>
  <cp:keywords/>
  <dc:description/>
  <cp:lastModifiedBy>Ali Hindi</cp:lastModifiedBy>
  <cp:revision>3</cp:revision>
  <dcterms:created xsi:type="dcterms:W3CDTF">2024-07-09T09:36:00Z</dcterms:created>
  <dcterms:modified xsi:type="dcterms:W3CDTF">2024-07-09T09:38:00Z</dcterms:modified>
</cp:coreProperties>
</file>