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60F" w:rsidRDefault="00D9360F" w:rsidP="00D9360F">
      <w:pPr>
        <w:pStyle w:val="Heading1"/>
        <w:spacing w:line="480" w:lineRule="auto"/>
        <w:rPr>
          <w:rFonts w:asciiTheme="majorBidi" w:hAnsiTheme="majorBidi"/>
        </w:rPr>
      </w:pPr>
      <w:r>
        <w:rPr>
          <w:rFonts w:asciiTheme="majorBidi" w:hAnsiTheme="majorBidi"/>
        </w:rPr>
        <w:t>Supplement A</w:t>
      </w:r>
    </w:p>
    <w:p w:rsidR="00D9360F" w:rsidRPr="003A22EC" w:rsidRDefault="00DB7B16" w:rsidP="00D9360F">
      <w:pPr>
        <w:spacing w:before="160" w:line="480" w:lineRule="auto"/>
        <w:rPr>
          <w:rFonts w:asciiTheme="majorBidi" w:hAnsiTheme="majorBidi" w:cstheme="majorBidi"/>
          <w:b/>
          <w:bCs/>
        </w:rPr>
      </w:pPr>
      <w:r>
        <w:rPr>
          <w:rFonts w:asciiTheme="majorBidi" w:hAnsiTheme="majorBidi" w:cstheme="majorBidi"/>
          <w:b/>
          <w:bCs/>
        </w:rPr>
        <w:t>Data development details</w:t>
      </w:r>
    </w:p>
    <w:p w:rsidR="00D9360F" w:rsidRDefault="00D9360F" w:rsidP="00C30223">
      <w:pPr>
        <w:spacing w:before="160" w:line="480" w:lineRule="auto"/>
        <w:rPr>
          <w:rFonts w:asciiTheme="majorBidi" w:hAnsiTheme="majorBidi" w:cstheme="majorBidi"/>
        </w:rPr>
      </w:pPr>
      <w:r w:rsidRPr="003A22EC">
        <w:rPr>
          <w:rFonts w:asciiTheme="majorBidi" w:hAnsiTheme="majorBidi" w:cstheme="majorBidi"/>
        </w:rPr>
        <w:t>The</w:t>
      </w:r>
      <w:r w:rsidR="00C30223">
        <w:rPr>
          <w:rFonts w:asciiTheme="majorBidi" w:hAnsiTheme="majorBidi" w:cstheme="majorBidi"/>
        </w:rPr>
        <w:t xml:space="preserve"> case definitions for each of the readmission measures </w:t>
      </w:r>
      <w:r w:rsidRPr="003A22EC">
        <w:rPr>
          <w:rFonts w:asciiTheme="majorBidi" w:hAnsiTheme="majorBidi" w:cstheme="majorBidi"/>
        </w:rPr>
        <w:t xml:space="preserve">specified the inclusion criteria (diagnosis and procedure codes), and exclusion criteria (cardiac catheterization, lithotripsy, renal dialysis, chemotherapy, radiotherapy, malignancy, obstetric cases, motor vehicle accidents, blood transfusion, palliative care and transfer/same-day cases). </w:t>
      </w:r>
    </w:p>
    <w:p w:rsidR="00D9360F" w:rsidRPr="003A22EC" w:rsidRDefault="00D9360F" w:rsidP="00C30223">
      <w:pPr>
        <w:spacing w:before="160" w:line="480" w:lineRule="auto"/>
        <w:rPr>
          <w:rFonts w:asciiTheme="majorBidi" w:hAnsiTheme="majorBidi" w:cstheme="majorBidi"/>
        </w:rPr>
      </w:pPr>
      <w:r w:rsidRPr="003A22EC">
        <w:rPr>
          <w:rFonts w:asciiTheme="majorBidi" w:hAnsiTheme="majorBidi" w:cstheme="majorBidi"/>
        </w:rPr>
        <w:t xml:space="preserve">Since the data was provided </w:t>
      </w:r>
      <w:r w:rsidR="00C30223">
        <w:rPr>
          <w:rFonts w:asciiTheme="majorBidi" w:hAnsiTheme="majorBidi" w:cstheme="majorBidi"/>
        </w:rPr>
        <w:t>with an</w:t>
      </w:r>
      <w:r w:rsidRPr="003A22EC">
        <w:rPr>
          <w:rFonts w:asciiTheme="majorBidi" w:hAnsiTheme="majorBidi" w:cstheme="majorBidi"/>
        </w:rPr>
        <w:t xml:space="preserve"> annual </w:t>
      </w:r>
      <w:r w:rsidR="00C30223">
        <w:rPr>
          <w:rFonts w:asciiTheme="majorBidi" w:hAnsiTheme="majorBidi" w:cstheme="majorBidi"/>
        </w:rPr>
        <w:t xml:space="preserve">timeframe </w:t>
      </w:r>
      <w:r w:rsidRPr="003A22EC">
        <w:rPr>
          <w:rFonts w:asciiTheme="majorBidi" w:hAnsiTheme="majorBidi" w:cstheme="majorBidi"/>
        </w:rPr>
        <w:t xml:space="preserve">by the </w:t>
      </w:r>
      <w:proofErr w:type="spellStart"/>
      <w:r w:rsidRPr="003A22EC">
        <w:rPr>
          <w:rFonts w:asciiTheme="majorBidi" w:hAnsiTheme="majorBidi" w:cstheme="majorBidi"/>
        </w:rPr>
        <w:t>MoPH</w:t>
      </w:r>
      <w:proofErr w:type="spellEnd"/>
      <w:r w:rsidRPr="003A22EC">
        <w:rPr>
          <w:rFonts w:asciiTheme="majorBidi" w:hAnsiTheme="majorBidi" w:cstheme="majorBidi"/>
        </w:rPr>
        <w:t xml:space="preserve">, admissions in December had been artificially limited to an end-of-year discharge date. The calculation of monthly readmissions was therefore made for 11 months per year (January to November), including December cases only for identifying readmissions, and not for index hospitalization (i.e. for the numerator, not the denominator). This allowed the time opportunity for November cases to be readmitted in December.  </w:t>
      </w:r>
    </w:p>
    <w:p w:rsidR="00D9360F" w:rsidRPr="003A22EC" w:rsidRDefault="00D9360F" w:rsidP="00D9360F">
      <w:pPr>
        <w:spacing w:before="160" w:line="480" w:lineRule="auto"/>
        <w:rPr>
          <w:rFonts w:asciiTheme="majorBidi" w:hAnsiTheme="majorBidi" w:cstheme="majorBidi"/>
          <w:b/>
          <w:bCs/>
        </w:rPr>
      </w:pPr>
      <w:r>
        <w:rPr>
          <w:rFonts w:asciiTheme="majorBidi" w:hAnsiTheme="majorBidi" w:cstheme="majorBidi"/>
          <w:b/>
          <w:bCs/>
        </w:rPr>
        <w:t>ARIMA models description</w:t>
      </w:r>
    </w:p>
    <w:p w:rsidR="00D9360F" w:rsidRDefault="00D9360F" w:rsidP="00D9360F">
      <w:pPr>
        <w:spacing w:before="160" w:line="480" w:lineRule="auto"/>
        <w:rPr>
          <w:rFonts w:ascii="Times New Roman" w:hAnsi="Times New Roman" w:cs="Times New Roman"/>
        </w:rPr>
      </w:pPr>
      <w:r>
        <w:rPr>
          <w:rFonts w:ascii="Times New Roman" w:hAnsi="Times New Roman" w:cs="Times New Roman"/>
        </w:rPr>
        <w:t xml:space="preserve">ARIMA models include three components. An </w:t>
      </w:r>
      <w:proofErr w:type="spellStart"/>
      <w:r>
        <w:rPr>
          <w:rFonts w:ascii="Times New Roman" w:hAnsi="Times New Roman" w:cs="Times New Roman"/>
        </w:rPr>
        <w:t>AutoRegressive</w:t>
      </w:r>
      <w:proofErr w:type="spellEnd"/>
      <w:r>
        <w:rPr>
          <w:rFonts w:ascii="Times New Roman" w:hAnsi="Times New Roman" w:cs="Times New Roman"/>
        </w:rPr>
        <w:t xml:space="preserve"> (AR) component that indicates that an outcome variable is dependent on the previous values of this same term, and a stochastic term (randomness). A Moving Average (MA) component represents the influence of past error terms on the current error term; this is not to be confused with moving average of an outcome variable). In essence, an AR process remembers past realizations, while an MA process remembers past shocks. The Integrated (I) component indicates a transformation (integration) fu</w:t>
      </w:r>
      <w:bookmarkStart w:id="0" w:name="_GoBack"/>
      <w:bookmarkEnd w:id="0"/>
      <w:r>
        <w:rPr>
          <w:rFonts w:ascii="Times New Roman" w:hAnsi="Times New Roman" w:cs="Times New Roman"/>
        </w:rPr>
        <w:t xml:space="preserve">nction which may be used to normalize the time series. The combination of these three components forms an ARIMA model. </w:t>
      </w:r>
    </w:p>
    <w:p w:rsidR="00D9360F" w:rsidRPr="00307B79" w:rsidRDefault="00BC1A0D" w:rsidP="00D9360F">
      <w:pPr>
        <w:spacing w:before="160" w:line="480" w:lineRule="auto"/>
        <w:rPr>
          <w:rFonts w:ascii="Times New Roman" w:hAnsi="Times New Roman" w:cs="Times New Roman"/>
        </w:rPr>
      </w:pPr>
      <w:r>
        <w:rPr>
          <w:rFonts w:ascii="Times New Roman" w:hAnsi="Times New Roman" w:cs="Times New Roman"/>
        </w:rPr>
        <w:t xml:space="preserve">All models require that the data be stationary. </w:t>
      </w:r>
      <w:r w:rsidR="00D9360F">
        <w:rPr>
          <w:rFonts w:ascii="Times New Roman" w:hAnsi="Times New Roman" w:cs="Times New Roman"/>
        </w:rPr>
        <w:t xml:space="preserve">Where normality is violated (i.e. non-stationary), a normalization transformation of the data is necessary, to meet the underlying model assumptions. This pre-requisite is essential, because the analytical mechanism requires that a time series process operate identically in the future as it has in the past.    </w:t>
      </w:r>
      <w:r w:rsidR="00D9360F">
        <w:rPr>
          <w:rFonts w:asciiTheme="majorBidi" w:hAnsiTheme="majorBidi"/>
        </w:rPr>
        <w:br w:type="page"/>
      </w:r>
    </w:p>
    <w:p w:rsidR="00D9360F" w:rsidRDefault="00D9360F" w:rsidP="00D9360F">
      <w:pPr>
        <w:pStyle w:val="Heading1"/>
        <w:spacing w:line="240" w:lineRule="auto"/>
        <w:rPr>
          <w:rFonts w:asciiTheme="majorBidi" w:hAnsiTheme="majorBidi"/>
        </w:rPr>
      </w:pPr>
      <w:r>
        <w:rPr>
          <w:rFonts w:asciiTheme="majorBidi" w:hAnsiTheme="majorBidi"/>
        </w:rPr>
        <w:lastRenderedPageBreak/>
        <w:t>Supplement B</w:t>
      </w:r>
    </w:p>
    <w:p w:rsidR="00D9360F" w:rsidRPr="00FF04F3" w:rsidRDefault="00D9360F" w:rsidP="00074F06">
      <w:pPr>
        <w:spacing w:before="160"/>
        <w:rPr>
          <w:rFonts w:asciiTheme="majorBidi" w:hAnsiTheme="majorBidi" w:cstheme="majorBidi"/>
          <w:b/>
          <w:bCs/>
        </w:rPr>
      </w:pPr>
      <w:r w:rsidRPr="006C3065">
        <w:rPr>
          <w:rFonts w:asciiTheme="majorBidi" w:hAnsiTheme="majorBidi" w:cstheme="majorBidi"/>
          <w:b/>
          <w:bCs/>
        </w:rPr>
        <w:t xml:space="preserve">Table </w:t>
      </w:r>
      <w:r w:rsidR="00074F06">
        <w:rPr>
          <w:rFonts w:asciiTheme="majorBidi" w:hAnsiTheme="majorBidi" w:cstheme="majorBidi"/>
          <w:b/>
          <w:bCs/>
        </w:rPr>
        <w:t>8</w:t>
      </w:r>
      <w:r w:rsidRPr="006C3065">
        <w:rPr>
          <w:rFonts w:asciiTheme="majorBidi" w:hAnsiTheme="majorBidi" w:cstheme="majorBidi"/>
          <w:b/>
          <w:bCs/>
        </w:rPr>
        <w:t>: Hospitals with readmissions, by hospital size, 2011-2019.</w:t>
      </w:r>
    </w:p>
    <w:tbl>
      <w:tblPr>
        <w:tblW w:w="8560" w:type="dxa"/>
        <w:tblLook w:val="04A0" w:firstRow="1" w:lastRow="0" w:firstColumn="1" w:lastColumn="0" w:noHBand="0" w:noVBand="1"/>
      </w:tblPr>
      <w:tblGrid>
        <w:gridCol w:w="1660"/>
        <w:gridCol w:w="1320"/>
        <w:gridCol w:w="620"/>
        <w:gridCol w:w="620"/>
        <w:gridCol w:w="620"/>
        <w:gridCol w:w="620"/>
        <w:gridCol w:w="620"/>
        <w:gridCol w:w="620"/>
        <w:gridCol w:w="620"/>
        <w:gridCol w:w="620"/>
        <w:gridCol w:w="620"/>
      </w:tblGrid>
      <w:tr w:rsidR="00D9360F" w:rsidRPr="00CA0C00" w:rsidTr="007535F2">
        <w:trPr>
          <w:trHeight w:val="290"/>
        </w:trPr>
        <w:tc>
          <w:tcPr>
            <w:tcW w:w="1660" w:type="dxa"/>
            <w:tcBorders>
              <w:top w:val="single" w:sz="4" w:space="0" w:color="auto"/>
              <w:left w:val="single" w:sz="4" w:space="0" w:color="auto"/>
              <w:bottom w:val="single" w:sz="4" w:space="0" w:color="auto"/>
              <w:right w:val="single" w:sz="4" w:space="0" w:color="auto"/>
            </w:tcBorders>
            <w:shd w:val="clear" w:color="4472C4" w:fill="9BC2E6"/>
            <w:noWrap/>
            <w:vAlign w:val="bottom"/>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Condition</w:t>
            </w:r>
          </w:p>
        </w:tc>
        <w:tc>
          <w:tcPr>
            <w:tcW w:w="1320" w:type="dxa"/>
            <w:tcBorders>
              <w:top w:val="single" w:sz="4" w:space="0" w:color="auto"/>
              <w:left w:val="nil"/>
              <w:bottom w:val="single" w:sz="4" w:space="0" w:color="auto"/>
              <w:right w:val="single" w:sz="4" w:space="0" w:color="auto"/>
            </w:tcBorders>
            <w:shd w:val="clear" w:color="4472C4" w:fill="9BC2E6"/>
            <w:noWrap/>
            <w:vAlign w:val="bottom"/>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Size</w:t>
            </w:r>
          </w:p>
        </w:tc>
        <w:tc>
          <w:tcPr>
            <w:tcW w:w="620" w:type="dxa"/>
            <w:tcBorders>
              <w:top w:val="single" w:sz="4" w:space="0" w:color="auto"/>
              <w:left w:val="nil"/>
              <w:bottom w:val="single" w:sz="4" w:space="0" w:color="auto"/>
              <w:right w:val="single" w:sz="4" w:space="0" w:color="auto"/>
            </w:tcBorders>
            <w:shd w:val="clear" w:color="4472C4" w:fill="9BC2E6"/>
            <w:noWrap/>
            <w:vAlign w:val="bottom"/>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2011</w:t>
            </w:r>
          </w:p>
        </w:tc>
        <w:tc>
          <w:tcPr>
            <w:tcW w:w="620" w:type="dxa"/>
            <w:tcBorders>
              <w:top w:val="single" w:sz="4" w:space="0" w:color="auto"/>
              <w:left w:val="nil"/>
              <w:bottom w:val="single" w:sz="4" w:space="0" w:color="auto"/>
              <w:right w:val="single" w:sz="4" w:space="0" w:color="auto"/>
            </w:tcBorders>
            <w:shd w:val="clear" w:color="4472C4" w:fill="9BC2E6"/>
            <w:noWrap/>
            <w:vAlign w:val="bottom"/>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2012</w:t>
            </w:r>
          </w:p>
        </w:tc>
        <w:tc>
          <w:tcPr>
            <w:tcW w:w="620" w:type="dxa"/>
            <w:tcBorders>
              <w:top w:val="single" w:sz="4" w:space="0" w:color="auto"/>
              <w:left w:val="nil"/>
              <w:bottom w:val="single" w:sz="4" w:space="0" w:color="auto"/>
              <w:right w:val="single" w:sz="4" w:space="0" w:color="auto"/>
            </w:tcBorders>
            <w:shd w:val="clear" w:color="4472C4" w:fill="9BC2E6"/>
            <w:noWrap/>
            <w:vAlign w:val="bottom"/>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2013</w:t>
            </w:r>
          </w:p>
        </w:tc>
        <w:tc>
          <w:tcPr>
            <w:tcW w:w="620" w:type="dxa"/>
            <w:tcBorders>
              <w:top w:val="single" w:sz="4" w:space="0" w:color="auto"/>
              <w:left w:val="nil"/>
              <w:bottom w:val="single" w:sz="4" w:space="0" w:color="auto"/>
              <w:right w:val="single" w:sz="4" w:space="0" w:color="auto"/>
            </w:tcBorders>
            <w:shd w:val="clear" w:color="4472C4" w:fill="9BC2E6"/>
            <w:noWrap/>
            <w:vAlign w:val="bottom"/>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2014</w:t>
            </w:r>
          </w:p>
        </w:tc>
        <w:tc>
          <w:tcPr>
            <w:tcW w:w="620" w:type="dxa"/>
            <w:tcBorders>
              <w:top w:val="single" w:sz="4" w:space="0" w:color="auto"/>
              <w:left w:val="nil"/>
              <w:bottom w:val="single" w:sz="4" w:space="0" w:color="auto"/>
              <w:right w:val="single" w:sz="4" w:space="0" w:color="auto"/>
            </w:tcBorders>
            <w:shd w:val="clear" w:color="4472C4" w:fill="9BC2E6"/>
            <w:noWrap/>
            <w:vAlign w:val="bottom"/>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2015</w:t>
            </w:r>
          </w:p>
        </w:tc>
        <w:tc>
          <w:tcPr>
            <w:tcW w:w="620" w:type="dxa"/>
            <w:tcBorders>
              <w:top w:val="single" w:sz="4" w:space="0" w:color="auto"/>
              <w:left w:val="nil"/>
              <w:bottom w:val="single" w:sz="4" w:space="0" w:color="auto"/>
              <w:right w:val="single" w:sz="4" w:space="0" w:color="auto"/>
            </w:tcBorders>
            <w:shd w:val="clear" w:color="4472C4" w:fill="9BC2E6"/>
            <w:noWrap/>
            <w:vAlign w:val="bottom"/>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2016</w:t>
            </w:r>
          </w:p>
        </w:tc>
        <w:tc>
          <w:tcPr>
            <w:tcW w:w="620" w:type="dxa"/>
            <w:tcBorders>
              <w:top w:val="single" w:sz="4" w:space="0" w:color="auto"/>
              <w:left w:val="nil"/>
              <w:bottom w:val="single" w:sz="4" w:space="0" w:color="auto"/>
              <w:right w:val="single" w:sz="4" w:space="0" w:color="auto"/>
            </w:tcBorders>
            <w:shd w:val="clear" w:color="4472C4" w:fill="9BC2E6"/>
            <w:noWrap/>
            <w:vAlign w:val="bottom"/>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2017</w:t>
            </w:r>
          </w:p>
        </w:tc>
        <w:tc>
          <w:tcPr>
            <w:tcW w:w="620" w:type="dxa"/>
            <w:tcBorders>
              <w:top w:val="single" w:sz="4" w:space="0" w:color="auto"/>
              <w:left w:val="nil"/>
              <w:bottom w:val="single" w:sz="4" w:space="0" w:color="auto"/>
              <w:right w:val="single" w:sz="4" w:space="0" w:color="auto"/>
            </w:tcBorders>
            <w:shd w:val="clear" w:color="4472C4" w:fill="9BC2E6"/>
            <w:noWrap/>
            <w:vAlign w:val="bottom"/>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2018</w:t>
            </w:r>
          </w:p>
        </w:tc>
        <w:tc>
          <w:tcPr>
            <w:tcW w:w="620" w:type="dxa"/>
            <w:tcBorders>
              <w:top w:val="single" w:sz="4" w:space="0" w:color="auto"/>
              <w:left w:val="nil"/>
              <w:bottom w:val="single" w:sz="4" w:space="0" w:color="auto"/>
              <w:right w:val="single" w:sz="4" w:space="0" w:color="auto"/>
            </w:tcBorders>
            <w:shd w:val="clear" w:color="4472C4" w:fill="9BC2E6"/>
            <w:noWrap/>
            <w:vAlign w:val="bottom"/>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2019</w:t>
            </w:r>
          </w:p>
        </w:tc>
      </w:tr>
      <w:tr w:rsidR="00D9360F" w:rsidRPr="00CA0C00" w:rsidTr="007535F2">
        <w:trPr>
          <w:trHeight w:val="290"/>
        </w:trPr>
        <w:tc>
          <w:tcPr>
            <w:tcW w:w="16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General cases</w:t>
            </w:r>
          </w:p>
        </w:tc>
        <w:tc>
          <w:tcPr>
            <w:tcW w:w="13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&lt;50 beds</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40</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40</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44</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48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48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51</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51</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55</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53</w:t>
            </w:r>
          </w:p>
        </w:tc>
      </w:tr>
      <w:tr w:rsidR="00D9360F" w:rsidRPr="00CA0C00" w:rsidTr="007535F2">
        <w:trPr>
          <w:trHeight w:val="290"/>
        </w:trPr>
        <w:tc>
          <w:tcPr>
            <w:tcW w:w="1660" w:type="dxa"/>
            <w:vMerge/>
            <w:tcBorders>
              <w:top w:val="nil"/>
              <w:left w:val="single" w:sz="4" w:space="0" w:color="auto"/>
              <w:bottom w:val="single" w:sz="4" w:space="0" w:color="auto"/>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sz w:val="20"/>
                <w:szCs w:val="20"/>
              </w:rPr>
            </w:pPr>
          </w:p>
        </w:tc>
        <w:tc>
          <w:tcPr>
            <w:tcW w:w="13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50-100 beds</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54</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55</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53</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54</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55</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54</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56</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56</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55</w:t>
            </w:r>
          </w:p>
        </w:tc>
      </w:tr>
      <w:tr w:rsidR="00D9360F" w:rsidRPr="00CA0C00" w:rsidTr="007535F2">
        <w:trPr>
          <w:trHeight w:val="290"/>
        </w:trPr>
        <w:tc>
          <w:tcPr>
            <w:tcW w:w="1660" w:type="dxa"/>
            <w:vMerge/>
            <w:tcBorders>
              <w:top w:val="nil"/>
              <w:left w:val="single" w:sz="4" w:space="0" w:color="auto"/>
              <w:bottom w:val="single" w:sz="4" w:space="0" w:color="auto"/>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sz w:val="20"/>
                <w:szCs w:val="20"/>
              </w:rPr>
            </w:pPr>
          </w:p>
        </w:tc>
        <w:tc>
          <w:tcPr>
            <w:tcW w:w="13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101-200 beds</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28</w:t>
            </w:r>
          </w:p>
        </w:tc>
      </w:tr>
      <w:tr w:rsidR="00D9360F" w:rsidRPr="00CA0C00" w:rsidTr="007535F2">
        <w:trPr>
          <w:trHeight w:val="290"/>
        </w:trPr>
        <w:tc>
          <w:tcPr>
            <w:tcW w:w="1660" w:type="dxa"/>
            <w:vMerge/>
            <w:tcBorders>
              <w:top w:val="nil"/>
              <w:left w:val="single" w:sz="4" w:space="0" w:color="auto"/>
              <w:bottom w:val="single" w:sz="4" w:space="0" w:color="auto"/>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sz w:val="20"/>
                <w:szCs w:val="20"/>
              </w:rPr>
            </w:pPr>
          </w:p>
        </w:tc>
        <w:tc>
          <w:tcPr>
            <w:tcW w:w="13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&gt;200 beds</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8</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8</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8</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8</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8</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8</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8</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8</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8</w:t>
            </w:r>
          </w:p>
        </w:tc>
      </w:tr>
      <w:tr w:rsidR="00D9360F" w:rsidRPr="00CA0C00" w:rsidTr="007535F2">
        <w:trPr>
          <w:trHeight w:val="290"/>
        </w:trPr>
        <w:tc>
          <w:tcPr>
            <w:tcW w:w="1660" w:type="dxa"/>
            <w:vMerge/>
            <w:tcBorders>
              <w:top w:val="nil"/>
              <w:left w:val="single" w:sz="4" w:space="0" w:color="auto"/>
              <w:bottom w:val="single" w:sz="4" w:space="0" w:color="auto"/>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sz w:val="20"/>
                <w:szCs w:val="20"/>
              </w:rPr>
            </w:pPr>
          </w:p>
        </w:tc>
        <w:tc>
          <w:tcPr>
            <w:tcW w:w="13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Total</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130</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131</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133</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138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139</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141</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143</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147</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144</w:t>
            </w:r>
          </w:p>
        </w:tc>
      </w:tr>
      <w:tr w:rsidR="00D9360F" w:rsidRPr="00CA0C00" w:rsidTr="007535F2">
        <w:trPr>
          <w:trHeight w:val="100"/>
        </w:trPr>
        <w:tc>
          <w:tcPr>
            <w:tcW w:w="1660" w:type="dxa"/>
            <w:tcBorders>
              <w:top w:val="nil"/>
              <w:left w:val="single" w:sz="4" w:space="0" w:color="auto"/>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13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r>
      <w:tr w:rsidR="00D9360F" w:rsidRPr="00CA0C00" w:rsidTr="007535F2">
        <w:trPr>
          <w:trHeight w:val="290"/>
        </w:trPr>
        <w:tc>
          <w:tcPr>
            <w:tcW w:w="16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Pneumonia</w:t>
            </w:r>
          </w:p>
        </w:tc>
        <w:tc>
          <w:tcPr>
            <w:tcW w:w="13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&lt;50 beds</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19</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26</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24</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27</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30</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27</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30</w:t>
            </w:r>
          </w:p>
        </w:tc>
      </w:tr>
      <w:tr w:rsidR="00D9360F" w:rsidRPr="00CA0C00" w:rsidTr="007535F2">
        <w:trPr>
          <w:trHeight w:val="290"/>
        </w:trPr>
        <w:tc>
          <w:tcPr>
            <w:tcW w:w="1660" w:type="dxa"/>
            <w:vMerge/>
            <w:tcBorders>
              <w:top w:val="nil"/>
              <w:left w:val="single" w:sz="4" w:space="0" w:color="auto"/>
              <w:bottom w:val="single" w:sz="4" w:space="0" w:color="auto"/>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sz w:val="20"/>
                <w:szCs w:val="20"/>
              </w:rPr>
            </w:pPr>
          </w:p>
        </w:tc>
        <w:tc>
          <w:tcPr>
            <w:tcW w:w="13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50-100 beds</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31</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33</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36</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37</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36</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37</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33</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38</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40</w:t>
            </w:r>
          </w:p>
        </w:tc>
      </w:tr>
      <w:tr w:rsidR="00D9360F" w:rsidRPr="00CA0C00" w:rsidTr="007535F2">
        <w:trPr>
          <w:trHeight w:val="290"/>
        </w:trPr>
        <w:tc>
          <w:tcPr>
            <w:tcW w:w="1660" w:type="dxa"/>
            <w:vMerge/>
            <w:tcBorders>
              <w:top w:val="nil"/>
              <w:left w:val="single" w:sz="4" w:space="0" w:color="auto"/>
              <w:bottom w:val="single" w:sz="4" w:space="0" w:color="auto"/>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sz w:val="20"/>
                <w:szCs w:val="20"/>
              </w:rPr>
            </w:pPr>
          </w:p>
        </w:tc>
        <w:tc>
          <w:tcPr>
            <w:tcW w:w="13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101-200 beds</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20</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19</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21</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22</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19</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20</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21</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22</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21</w:t>
            </w:r>
          </w:p>
        </w:tc>
      </w:tr>
      <w:tr w:rsidR="00D9360F" w:rsidRPr="00CA0C00" w:rsidTr="007535F2">
        <w:trPr>
          <w:trHeight w:val="290"/>
        </w:trPr>
        <w:tc>
          <w:tcPr>
            <w:tcW w:w="1660" w:type="dxa"/>
            <w:vMerge/>
            <w:tcBorders>
              <w:top w:val="nil"/>
              <w:left w:val="single" w:sz="4" w:space="0" w:color="auto"/>
              <w:bottom w:val="single" w:sz="4" w:space="0" w:color="auto"/>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sz w:val="20"/>
                <w:szCs w:val="20"/>
              </w:rPr>
            </w:pPr>
          </w:p>
        </w:tc>
        <w:tc>
          <w:tcPr>
            <w:tcW w:w="13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&gt;200 beds</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6</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6</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6</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4</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6</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w:t>
            </w:r>
          </w:p>
        </w:tc>
      </w:tr>
      <w:tr w:rsidR="00D9360F" w:rsidRPr="00CA0C00" w:rsidTr="007535F2">
        <w:trPr>
          <w:trHeight w:val="290"/>
        </w:trPr>
        <w:tc>
          <w:tcPr>
            <w:tcW w:w="1660" w:type="dxa"/>
            <w:vMerge/>
            <w:tcBorders>
              <w:top w:val="nil"/>
              <w:left w:val="single" w:sz="4" w:space="0" w:color="auto"/>
              <w:bottom w:val="single" w:sz="4" w:space="0" w:color="auto"/>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sz w:val="20"/>
                <w:szCs w:val="20"/>
              </w:rPr>
            </w:pPr>
          </w:p>
        </w:tc>
        <w:tc>
          <w:tcPr>
            <w:tcW w:w="13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Total</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75</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83</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86</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92</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89</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93</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86</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93</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96</w:t>
            </w:r>
          </w:p>
        </w:tc>
      </w:tr>
      <w:tr w:rsidR="00D9360F" w:rsidRPr="00CA0C00" w:rsidTr="007535F2">
        <w:trPr>
          <w:trHeight w:val="100"/>
        </w:trPr>
        <w:tc>
          <w:tcPr>
            <w:tcW w:w="1660" w:type="dxa"/>
            <w:tcBorders>
              <w:top w:val="nil"/>
              <w:left w:val="single" w:sz="4" w:space="0" w:color="auto"/>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13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 </w:t>
            </w:r>
          </w:p>
        </w:tc>
      </w:tr>
      <w:tr w:rsidR="00D9360F" w:rsidRPr="00CA0C00" w:rsidTr="007535F2">
        <w:trPr>
          <w:trHeight w:val="290"/>
        </w:trPr>
        <w:tc>
          <w:tcPr>
            <w:tcW w:w="16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360F" w:rsidRPr="00CA0C00" w:rsidRDefault="00D9360F" w:rsidP="007535F2">
            <w:pPr>
              <w:spacing w:after="0" w:line="240" w:lineRule="auto"/>
              <w:jc w:val="center"/>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Cholecystectomy</w:t>
            </w:r>
          </w:p>
        </w:tc>
        <w:tc>
          <w:tcPr>
            <w:tcW w:w="13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&lt;50 beds</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11</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14</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13</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12</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16</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10</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13</w:t>
            </w:r>
          </w:p>
        </w:tc>
      </w:tr>
      <w:tr w:rsidR="00D9360F" w:rsidRPr="00CA0C00" w:rsidTr="007535F2">
        <w:trPr>
          <w:trHeight w:val="290"/>
        </w:trPr>
        <w:tc>
          <w:tcPr>
            <w:tcW w:w="1660" w:type="dxa"/>
            <w:vMerge/>
            <w:tcBorders>
              <w:top w:val="nil"/>
              <w:left w:val="single" w:sz="4" w:space="0" w:color="auto"/>
              <w:bottom w:val="single" w:sz="4" w:space="0" w:color="auto"/>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sz w:val="20"/>
                <w:szCs w:val="20"/>
              </w:rPr>
            </w:pPr>
          </w:p>
        </w:tc>
        <w:tc>
          <w:tcPr>
            <w:tcW w:w="13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50-100 beds</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17</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23</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25</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18</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21</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15</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24</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14</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18</w:t>
            </w:r>
          </w:p>
        </w:tc>
      </w:tr>
      <w:tr w:rsidR="00D9360F" w:rsidRPr="00CA0C00" w:rsidTr="007535F2">
        <w:trPr>
          <w:trHeight w:val="290"/>
        </w:trPr>
        <w:tc>
          <w:tcPr>
            <w:tcW w:w="1660" w:type="dxa"/>
            <w:vMerge/>
            <w:tcBorders>
              <w:top w:val="nil"/>
              <w:left w:val="single" w:sz="4" w:space="0" w:color="auto"/>
              <w:bottom w:val="single" w:sz="4" w:space="0" w:color="auto"/>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sz w:val="20"/>
                <w:szCs w:val="20"/>
              </w:rPr>
            </w:pPr>
          </w:p>
        </w:tc>
        <w:tc>
          <w:tcPr>
            <w:tcW w:w="13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101-200 beds</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9</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12</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13</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15</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12</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12</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13</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11</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7</w:t>
            </w:r>
          </w:p>
        </w:tc>
      </w:tr>
      <w:tr w:rsidR="00D9360F" w:rsidRPr="00CA0C00" w:rsidTr="007535F2">
        <w:trPr>
          <w:trHeight w:val="290"/>
        </w:trPr>
        <w:tc>
          <w:tcPr>
            <w:tcW w:w="1660" w:type="dxa"/>
            <w:vMerge/>
            <w:tcBorders>
              <w:top w:val="nil"/>
              <w:left w:val="single" w:sz="4" w:space="0" w:color="auto"/>
              <w:bottom w:val="single" w:sz="4" w:space="0" w:color="auto"/>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sz w:val="20"/>
                <w:szCs w:val="20"/>
              </w:rPr>
            </w:pPr>
          </w:p>
        </w:tc>
        <w:tc>
          <w:tcPr>
            <w:tcW w:w="13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&gt;200 beds</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4</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1</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4</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3</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sz w:val="20"/>
                <w:szCs w:val="20"/>
              </w:rPr>
            </w:pPr>
            <w:r w:rsidRPr="00CA0C00">
              <w:rPr>
                <w:rFonts w:asciiTheme="majorBidi" w:eastAsia="Times New Roman" w:hAnsiTheme="majorBidi" w:cstheme="majorBidi"/>
                <w:sz w:val="20"/>
                <w:szCs w:val="20"/>
              </w:rPr>
              <w:t>2</w:t>
            </w:r>
          </w:p>
        </w:tc>
      </w:tr>
      <w:tr w:rsidR="00D9360F" w:rsidRPr="00CA0C00" w:rsidTr="007535F2">
        <w:trPr>
          <w:trHeight w:val="290"/>
        </w:trPr>
        <w:tc>
          <w:tcPr>
            <w:tcW w:w="1660" w:type="dxa"/>
            <w:vMerge/>
            <w:tcBorders>
              <w:top w:val="nil"/>
              <w:left w:val="single" w:sz="4" w:space="0" w:color="auto"/>
              <w:bottom w:val="single" w:sz="4" w:space="0" w:color="auto"/>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sz w:val="20"/>
                <w:szCs w:val="20"/>
              </w:rPr>
            </w:pPr>
          </w:p>
        </w:tc>
        <w:tc>
          <w:tcPr>
            <w:tcW w:w="13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Total</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41</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45</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53</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50</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48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45</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49</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35</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sz w:val="20"/>
                <w:szCs w:val="20"/>
              </w:rPr>
            </w:pPr>
            <w:r w:rsidRPr="00CA0C00">
              <w:rPr>
                <w:rFonts w:asciiTheme="majorBidi" w:eastAsia="Times New Roman" w:hAnsiTheme="majorBidi" w:cstheme="majorBidi"/>
                <w:b/>
                <w:bCs/>
                <w:sz w:val="20"/>
                <w:szCs w:val="20"/>
              </w:rPr>
              <w:t>40</w:t>
            </w:r>
          </w:p>
        </w:tc>
      </w:tr>
      <w:tr w:rsidR="00D9360F" w:rsidRPr="00CA0C00" w:rsidTr="007535F2">
        <w:trPr>
          <w:trHeight w:val="100"/>
        </w:trPr>
        <w:tc>
          <w:tcPr>
            <w:tcW w:w="1660" w:type="dxa"/>
            <w:tcBorders>
              <w:top w:val="nil"/>
              <w:left w:val="single" w:sz="4" w:space="0" w:color="auto"/>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 </w:t>
            </w:r>
          </w:p>
        </w:tc>
        <w:tc>
          <w:tcPr>
            <w:tcW w:w="13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 </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 </w:t>
            </w:r>
          </w:p>
        </w:tc>
      </w:tr>
      <w:tr w:rsidR="00D9360F" w:rsidRPr="00CA0C00" w:rsidTr="007535F2">
        <w:trPr>
          <w:trHeight w:val="290"/>
        </w:trPr>
        <w:tc>
          <w:tcPr>
            <w:tcW w:w="16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9360F" w:rsidRPr="00CA0C00" w:rsidRDefault="00D9360F" w:rsidP="007535F2">
            <w:pPr>
              <w:spacing w:after="0" w:line="240" w:lineRule="auto"/>
              <w:jc w:val="center"/>
              <w:rPr>
                <w:rFonts w:asciiTheme="majorBidi" w:eastAsia="Times New Roman" w:hAnsiTheme="majorBidi" w:cstheme="majorBidi"/>
                <w:b/>
                <w:bCs/>
                <w:color w:val="000000"/>
                <w:sz w:val="20"/>
                <w:szCs w:val="20"/>
              </w:rPr>
            </w:pPr>
            <w:r w:rsidRPr="00CA0C00">
              <w:rPr>
                <w:rFonts w:asciiTheme="majorBidi" w:eastAsia="Times New Roman" w:hAnsiTheme="majorBidi" w:cstheme="majorBidi"/>
                <w:b/>
                <w:bCs/>
                <w:color w:val="000000"/>
                <w:sz w:val="20"/>
                <w:szCs w:val="20"/>
              </w:rPr>
              <w:t>Stroke</w:t>
            </w:r>
          </w:p>
        </w:tc>
        <w:tc>
          <w:tcPr>
            <w:tcW w:w="13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&lt;50 beds</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5</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6</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11</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10</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9</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7</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8</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19</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8</w:t>
            </w:r>
          </w:p>
        </w:tc>
      </w:tr>
      <w:tr w:rsidR="00D9360F" w:rsidRPr="00CA0C00" w:rsidTr="007535F2">
        <w:trPr>
          <w:trHeight w:val="290"/>
        </w:trPr>
        <w:tc>
          <w:tcPr>
            <w:tcW w:w="1660" w:type="dxa"/>
            <w:vMerge/>
            <w:tcBorders>
              <w:top w:val="nil"/>
              <w:left w:val="single" w:sz="4" w:space="0" w:color="auto"/>
              <w:bottom w:val="single" w:sz="4" w:space="0" w:color="000000"/>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color w:val="000000"/>
                <w:sz w:val="20"/>
                <w:szCs w:val="20"/>
              </w:rPr>
            </w:pPr>
          </w:p>
        </w:tc>
        <w:tc>
          <w:tcPr>
            <w:tcW w:w="13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50-100 beds</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22</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22</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25</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20</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20</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25</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25</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22</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22</w:t>
            </w:r>
          </w:p>
        </w:tc>
      </w:tr>
      <w:tr w:rsidR="00D9360F" w:rsidRPr="00CA0C00" w:rsidTr="007535F2">
        <w:trPr>
          <w:trHeight w:val="290"/>
        </w:trPr>
        <w:tc>
          <w:tcPr>
            <w:tcW w:w="1660" w:type="dxa"/>
            <w:vMerge/>
            <w:tcBorders>
              <w:top w:val="nil"/>
              <w:left w:val="single" w:sz="4" w:space="0" w:color="auto"/>
              <w:bottom w:val="single" w:sz="4" w:space="0" w:color="000000"/>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color w:val="000000"/>
                <w:sz w:val="20"/>
                <w:szCs w:val="20"/>
              </w:rPr>
            </w:pPr>
          </w:p>
        </w:tc>
        <w:tc>
          <w:tcPr>
            <w:tcW w:w="13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101-200 beds</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13</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16</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13</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12</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12</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11</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9</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11</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12</w:t>
            </w:r>
          </w:p>
        </w:tc>
      </w:tr>
      <w:tr w:rsidR="00D9360F" w:rsidRPr="00CA0C00" w:rsidTr="007535F2">
        <w:trPr>
          <w:trHeight w:val="290"/>
        </w:trPr>
        <w:tc>
          <w:tcPr>
            <w:tcW w:w="1660" w:type="dxa"/>
            <w:vMerge/>
            <w:tcBorders>
              <w:top w:val="nil"/>
              <w:left w:val="single" w:sz="4" w:space="0" w:color="auto"/>
              <w:bottom w:val="single" w:sz="4" w:space="0" w:color="000000"/>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color w:val="000000"/>
                <w:sz w:val="20"/>
                <w:szCs w:val="20"/>
              </w:rPr>
            </w:pPr>
          </w:p>
        </w:tc>
        <w:tc>
          <w:tcPr>
            <w:tcW w:w="13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&gt;200 beds</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4</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3</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3</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4</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3</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1</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2</w:t>
            </w:r>
          </w:p>
        </w:tc>
        <w:tc>
          <w:tcPr>
            <w:tcW w:w="620" w:type="dxa"/>
            <w:tcBorders>
              <w:top w:val="nil"/>
              <w:left w:val="nil"/>
              <w:bottom w:val="single" w:sz="4" w:space="0" w:color="auto"/>
              <w:right w:val="single" w:sz="4" w:space="0" w:color="auto"/>
            </w:tcBorders>
            <w:shd w:val="clear" w:color="000000" w:fill="DDEBF7"/>
            <w:noWrap/>
            <w:vAlign w:val="bottom"/>
            <w:hideMark/>
          </w:tcPr>
          <w:p w:rsidR="00D9360F" w:rsidRPr="00CA0C00" w:rsidRDefault="00D9360F" w:rsidP="007535F2">
            <w:pPr>
              <w:spacing w:after="0" w:line="240" w:lineRule="auto"/>
              <w:jc w:val="right"/>
              <w:rPr>
                <w:rFonts w:asciiTheme="majorBidi" w:eastAsia="Times New Roman" w:hAnsiTheme="majorBidi" w:cstheme="majorBidi"/>
                <w:color w:val="000000"/>
                <w:sz w:val="20"/>
                <w:szCs w:val="20"/>
              </w:rPr>
            </w:pPr>
            <w:r w:rsidRPr="00CA0C00">
              <w:rPr>
                <w:rFonts w:asciiTheme="majorBidi" w:eastAsia="Times New Roman" w:hAnsiTheme="majorBidi" w:cstheme="majorBidi"/>
                <w:color w:val="000000"/>
                <w:sz w:val="20"/>
                <w:szCs w:val="20"/>
              </w:rPr>
              <w:t>4</w:t>
            </w:r>
          </w:p>
        </w:tc>
      </w:tr>
      <w:tr w:rsidR="00D9360F" w:rsidRPr="00CA0C00" w:rsidTr="007535F2">
        <w:trPr>
          <w:trHeight w:val="290"/>
        </w:trPr>
        <w:tc>
          <w:tcPr>
            <w:tcW w:w="1660" w:type="dxa"/>
            <w:vMerge/>
            <w:tcBorders>
              <w:top w:val="nil"/>
              <w:left w:val="single" w:sz="4" w:space="0" w:color="auto"/>
              <w:bottom w:val="single" w:sz="4" w:space="0" w:color="000000"/>
              <w:right w:val="single" w:sz="4" w:space="0" w:color="auto"/>
            </w:tcBorders>
            <w:vAlign w:val="center"/>
            <w:hideMark/>
          </w:tcPr>
          <w:p w:rsidR="00D9360F" w:rsidRPr="00CA0C00" w:rsidRDefault="00D9360F" w:rsidP="007535F2">
            <w:pPr>
              <w:spacing w:after="0" w:line="240" w:lineRule="auto"/>
              <w:rPr>
                <w:rFonts w:asciiTheme="majorBidi" w:eastAsia="Times New Roman" w:hAnsiTheme="majorBidi" w:cstheme="majorBidi"/>
                <w:b/>
                <w:bCs/>
                <w:color w:val="000000"/>
                <w:sz w:val="20"/>
                <w:szCs w:val="20"/>
              </w:rPr>
            </w:pPr>
          </w:p>
        </w:tc>
        <w:tc>
          <w:tcPr>
            <w:tcW w:w="13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color w:val="000000"/>
                <w:sz w:val="20"/>
                <w:szCs w:val="20"/>
              </w:rPr>
            </w:pPr>
            <w:r w:rsidRPr="00CA0C00">
              <w:rPr>
                <w:rFonts w:asciiTheme="majorBidi" w:eastAsia="Times New Roman" w:hAnsiTheme="majorBidi" w:cstheme="majorBidi"/>
                <w:b/>
                <w:bCs/>
                <w:color w:val="000000"/>
                <w:sz w:val="20"/>
                <w:szCs w:val="20"/>
              </w:rPr>
              <w:t>Total</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color w:val="000000"/>
                <w:sz w:val="20"/>
                <w:szCs w:val="20"/>
              </w:rPr>
            </w:pPr>
            <w:r w:rsidRPr="00CA0C00">
              <w:rPr>
                <w:rFonts w:asciiTheme="majorBidi" w:eastAsia="Times New Roman" w:hAnsiTheme="majorBidi" w:cstheme="majorBidi"/>
                <w:b/>
                <w:bCs/>
                <w:color w:val="000000"/>
                <w:sz w:val="20"/>
                <w:szCs w:val="20"/>
              </w:rPr>
              <w:t>44</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color w:val="000000"/>
                <w:sz w:val="20"/>
                <w:szCs w:val="20"/>
              </w:rPr>
            </w:pPr>
            <w:r w:rsidRPr="00CA0C00">
              <w:rPr>
                <w:rFonts w:asciiTheme="majorBidi" w:eastAsia="Times New Roman" w:hAnsiTheme="majorBidi" w:cstheme="majorBidi"/>
                <w:b/>
                <w:bCs/>
                <w:color w:val="000000"/>
                <w:sz w:val="20"/>
                <w:szCs w:val="20"/>
              </w:rPr>
              <w:t>45</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color w:val="000000"/>
                <w:sz w:val="20"/>
                <w:szCs w:val="20"/>
              </w:rPr>
            </w:pPr>
            <w:r w:rsidRPr="00CA0C00">
              <w:rPr>
                <w:rFonts w:asciiTheme="majorBidi" w:eastAsia="Times New Roman" w:hAnsiTheme="majorBidi" w:cstheme="majorBidi"/>
                <w:b/>
                <w:bCs/>
                <w:color w:val="000000"/>
                <w:sz w:val="20"/>
                <w:szCs w:val="20"/>
              </w:rPr>
              <w:t>52</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color w:val="000000"/>
                <w:sz w:val="20"/>
                <w:szCs w:val="20"/>
              </w:rPr>
            </w:pPr>
            <w:r w:rsidRPr="00CA0C00">
              <w:rPr>
                <w:rFonts w:asciiTheme="majorBidi" w:eastAsia="Times New Roman" w:hAnsiTheme="majorBidi" w:cstheme="majorBidi"/>
                <w:b/>
                <w:bCs/>
                <w:color w:val="000000"/>
                <w:sz w:val="20"/>
                <w:szCs w:val="20"/>
              </w:rPr>
              <w:t>45</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color w:val="000000"/>
                <w:sz w:val="20"/>
                <w:szCs w:val="20"/>
              </w:rPr>
            </w:pPr>
            <w:r w:rsidRPr="00CA0C00">
              <w:rPr>
                <w:rFonts w:asciiTheme="majorBidi" w:eastAsia="Times New Roman" w:hAnsiTheme="majorBidi" w:cstheme="majorBidi"/>
                <w:b/>
                <w:bCs/>
                <w:color w:val="000000"/>
                <w:sz w:val="20"/>
                <w:szCs w:val="20"/>
              </w:rPr>
              <w:t>45</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color w:val="000000"/>
                <w:sz w:val="20"/>
                <w:szCs w:val="20"/>
              </w:rPr>
            </w:pPr>
            <w:r w:rsidRPr="00CA0C00">
              <w:rPr>
                <w:rFonts w:asciiTheme="majorBidi" w:eastAsia="Times New Roman" w:hAnsiTheme="majorBidi" w:cstheme="majorBidi"/>
                <w:b/>
                <w:bCs/>
                <w:color w:val="000000"/>
                <w:sz w:val="20"/>
                <w:szCs w:val="20"/>
              </w:rPr>
              <w:t>46</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color w:val="000000"/>
                <w:sz w:val="20"/>
                <w:szCs w:val="20"/>
              </w:rPr>
            </w:pPr>
            <w:r w:rsidRPr="00CA0C00">
              <w:rPr>
                <w:rFonts w:asciiTheme="majorBidi" w:eastAsia="Times New Roman" w:hAnsiTheme="majorBidi" w:cstheme="majorBidi"/>
                <w:b/>
                <w:bCs/>
                <w:color w:val="000000"/>
                <w:sz w:val="20"/>
                <w:szCs w:val="20"/>
              </w:rPr>
              <w:t>43</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color w:val="000000"/>
                <w:sz w:val="20"/>
                <w:szCs w:val="20"/>
              </w:rPr>
            </w:pPr>
            <w:r w:rsidRPr="00CA0C00">
              <w:rPr>
                <w:rFonts w:asciiTheme="majorBidi" w:eastAsia="Times New Roman" w:hAnsiTheme="majorBidi" w:cstheme="majorBidi"/>
                <w:b/>
                <w:bCs/>
                <w:color w:val="000000"/>
                <w:sz w:val="20"/>
                <w:szCs w:val="20"/>
              </w:rPr>
              <w:t>54</w:t>
            </w:r>
          </w:p>
        </w:tc>
        <w:tc>
          <w:tcPr>
            <w:tcW w:w="620" w:type="dxa"/>
            <w:tcBorders>
              <w:top w:val="nil"/>
              <w:left w:val="nil"/>
              <w:bottom w:val="single" w:sz="4" w:space="0" w:color="auto"/>
              <w:right w:val="single" w:sz="4" w:space="0" w:color="auto"/>
            </w:tcBorders>
            <w:shd w:val="clear" w:color="auto" w:fill="auto"/>
            <w:noWrap/>
            <w:vAlign w:val="bottom"/>
            <w:hideMark/>
          </w:tcPr>
          <w:p w:rsidR="00D9360F" w:rsidRPr="00CA0C00" w:rsidRDefault="00D9360F" w:rsidP="007535F2">
            <w:pPr>
              <w:spacing w:after="0" w:line="240" w:lineRule="auto"/>
              <w:jc w:val="right"/>
              <w:rPr>
                <w:rFonts w:asciiTheme="majorBidi" w:eastAsia="Times New Roman" w:hAnsiTheme="majorBidi" w:cstheme="majorBidi"/>
                <w:b/>
                <w:bCs/>
                <w:color w:val="000000"/>
                <w:sz w:val="20"/>
                <w:szCs w:val="20"/>
              </w:rPr>
            </w:pPr>
            <w:r w:rsidRPr="00CA0C00">
              <w:rPr>
                <w:rFonts w:asciiTheme="majorBidi" w:eastAsia="Times New Roman" w:hAnsiTheme="majorBidi" w:cstheme="majorBidi"/>
                <w:b/>
                <w:bCs/>
                <w:color w:val="000000"/>
                <w:sz w:val="20"/>
                <w:szCs w:val="20"/>
              </w:rPr>
              <w:t>46</w:t>
            </w:r>
          </w:p>
        </w:tc>
      </w:tr>
    </w:tbl>
    <w:p w:rsidR="00D9360F" w:rsidRDefault="00D9360F" w:rsidP="00D9360F">
      <w:pPr>
        <w:pStyle w:val="Heading1"/>
        <w:rPr>
          <w:rFonts w:asciiTheme="majorBidi" w:hAnsiTheme="majorBidi"/>
        </w:rPr>
      </w:pPr>
    </w:p>
    <w:p w:rsidR="00D9360F" w:rsidRDefault="00D9360F" w:rsidP="00D9360F">
      <w:pPr>
        <w:rPr>
          <w:rFonts w:asciiTheme="majorBidi" w:eastAsiaTheme="majorEastAsia" w:hAnsiTheme="majorBidi" w:cstheme="majorBidi"/>
          <w:color w:val="2E74B5" w:themeColor="accent1" w:themeShade="BF"/>
          <w:sz w:val="32"/>
          <w:szCs w:val="32"/>
        </w:rPr>
      </w:pPr>
      <w:r>
        <w:rPr>
          <w:rFonts w:asciiTheme="majorBidi" w:hAnsiTheme="majorBidi"/>
        </w:rPr>
        <w:br w:type="page"/>
      </w:r>
    </w:p>
    <w:p w:rsidR="00D9360F" w:rsidRDefault="00D9360F" w:rsidP="00D9360F">
      <w:pPr>
        <w:pStyle w:val="Heading1"/>
        <w:spacing w:line="480" w:lineRule="auto"/>
        <w:rPr>
          <w:rFonts w:asciiTheme="majorBidi" w:hAnsiTheme="majorBidi"/>
        </w:rPr>
      </w:pPr>
      <w:r>
        <w:rPr>
          <w:rFonts w:asciiTheme="majorBidi" w:hAnsiTheme="majorBidi"/>
        </w:rPr>
        <w:lastRenderedPageBreak/>
        <w:t>Supplement C</w:t>
      </w:r>
    </w:p>
    <w:p w:rsidR="00D9360F" w:rsidRDefault="00D9360F" w:rsidP="00D9360F">
      <w:pPr>
        <w:spacing w:line="480" w:lineRule="auto"/>
        <w:rPr>
          <w:rFonts w:asciiTheme="majorBidi" w:hAnsiTheme="majorBidi" w:cstheme="majorBidi"/>
        </w:rPr>
      </w:pPr>
      <w:r>
        <w:rPr>
          <w:rFonts w:asciiTheme="majorBidi" w:hAnsiTheme="majorBidi" w:cstheme="majorBidi"/>
        </w:rPr>
        <w:t xml:space="preserve">Diagnostic plots used in the analytical process are included below, using general readmissions data. This includes autocorrelation </w:t>
      </w:r>
      <w:r w:rsidRPr="000B0093">
        <w:rPr>
          <w:rFonts w:asciiTheme="majorBidi" w:hAnsiTheme="majorBidi" w:cstheme="majorBidi"/>
        </w:rPr>
        <w:t xml:space="preserve">and partial autocorrelation plots of dependent variable and </w:t>
      </w:r>
      <w:r>
        <w:rPr>
          <w:rFonts w:asciiTheme="majorBidi" w:hAnsiTheme="majorBidi" w:cstheme="majorBidi"/>
        </w:rPr>
        <w:t xml:space="preserve">of </w:t>
      </w:r>
      <w:r w:rsidRPr="000B0093">
        <w:rPr>
          <w:rFonts w:asciiTheme="majorBidi" w:hAnsiTheme="majorBidi" w:cstheme="majorBidi"/>
        </w:rPr>
        <w:t xml:space="preserve">residuals; kernel density plot; </w:t>
      </w:r>
      <w:r>
        <w:rPr>
          <w:rFonts w:asciiTheme="majorBidi" w:hAnsiTheme="majorBidi" w:cstheme="majorBidi"/>
        </w:rPr>
        <w:t xml:space="preserve">P-P plot </w:t>
      </w:r>
      <w:r w:rsidRPr="000B0093">
        <w:rPr>
          <w:rFonts w:asciiTheme="majorBidi" w:hAnsiTheme="majorBidi" w:cstheme="majorBidi"/>
        </w:rPr>
        <w:t xml:space="preserve">and </w:t>
      </w:r>
      <w:r>
        <w:rPr>
          <w:rFonts w:asciiTheme="majorBidi" w:hAnsiTheme="majorBidi" w:cstheme="majorBidi"/>
        </w:rPr>
        <w:t>Q-Q</w:t>
      </w:r>
      <w:r w:rsidRPr="000B0093">
        <w:rPr>
          <w:rFonts w:asciiTheme="majorBidi" w:hAnsiTheme="majorBidi" w:cstheme="majorBidi"/>
        </w:rPr>
        <w:t xml:space="preserve"> plot; scatterplot of residuals and </w:t>
      </w:r>
      <w:r>
        <w:rPr>
          <w:rFonts w:asciiTheme="majorBidi" w:hAnsiTheme="majorBidi" w:cstheme="majorBidi"/>
        </w:rPr>
        <w:t>time period</w:t>
      </w:r>
      <w:r w:rsidRPr="000B0093">
        <w:rPr>
          <w:rFonts w:asciiTheme="majorBidi" w:hAnsiTheme="majorBidi" w:cstheme="majorBidi"/>
        </w:rPr>
        <w:t>; and scatterplot of residual</w:t>
      </w:r>
      <w:r>
        <w:rPr>
          <w:rFonts w:asciiTheme="majorBidi" w:hAnsiTheme="majorBidi" w:cstheme="majorBidi"/>
        </w:rPr>
        <w:t>s and model dependent variable.</w:t>
      </w:r>
    </w:p>
    <w:p w:rsidR="00D9360F" w:rsidRPr="000B0093" w:rsidRDefault="00D9360F" w:rsidP="00D9360F">
      <w:pPr>
        <w:rPr>
          <w:rFonts w:asciiTheme="majorBidi" w:hAnsiTheme="majorBidi" w:cstheme="majorBidi"/>
        </w:rPr>
      </w:pPr>
      <w:r>
        <w:rPr>
          <w:rFonts w:asciiTheme="majorBidi" w:hAnsiTheme="majorBidi" w:cstheme="majorBidi"/>
          <w:noProof/>
        </w:rPr>
        <w:drawing>
          <wp:inline distT="0" distB="0" distL="0" distR="0" wp14:anchorId="35AA5C59" wp14:editId="63A586E4">
            <wp:extent cx="2970000" cy="21600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neral readmissions - ac.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0000" cy="2160000"/>
                    </a:xfrm>
                    <a:prstGeom prst="rect">
                      <a:avLst/>
                    </a:prstGeom>
                  </pic:spPr>
                </pic:pic>
              </a:graphicData>
            </a:graphic>
          </wp:inline>
        </w:drawing>
      </w:r>
      <w:r>
        <w:rPr>
          <w:rFonts w:asciiTheme="majorBidi" w:hAnsiTheme="majorBidi" w:cstheme="majorBidi"/>
          <w:noProof/>
        </w:rPr>
        <w:drawing>
          <wp:inline distT="0" distB="0" distL="0" distR="0" wp14:anchorId="6034BA62" wp14:editId="61DF2E78">
            <wp:extent cx="2970000" cy="216000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neral readmissions - pa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0000" cy="2160000"/>
                    </a:xfrm>
                    <a:prstGeom prst="rect">
                      <a:avLst/>
                    </a:prstGeom>
                  </pic:spPr>
                </pic:pic>
              </a:graphicData>
            </a:graphic>
          </wp:inline>
        </w:drawing>
      </w:r>
      <w:r>
        <w:rPr>
          <w:rFonts w:asciiTheme="majorBidi" w:hAnsiTheme="majorBidi" w:cstheme="majorBidi"/>
          <w:noProof/>
        </w:rPr>
        <w:drawing>
          <wp:inline distT="0" distB="0" distL="0" distR="0" wp14:anchorId="4A06AEE0" wp14:editId="7D6F95D2">
            <wp:extent cx="2970119" cy="216000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eneral readmissions - residuals a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0119" cy="2160000"/>
                    </a:xfrm>
                    <a:prstGeom prst="rect">
                      <a:avLst/>
                    </a:prstGeom>
                  </pic:spPr>
                </pic:pic>
              </a:graphicData>
            </a:graphic>
          </wp:inline>
        </w:drawing>
      </w:r>
      <w:r>
        <w:rPr>
          <w:rFonts w:asciiTheme="majorBidi" w:hAnsiTheme="majorBidi" w:cstheme="majorBidi"/>
          <w:noProof/>
        </w:rPr>
        <w:drawing>
          <wp:inline distT="0" distB="0" distL="0" distR="0" wp14:anchorId="3CD3A04F" wp14:editId="1DB9DCD4">
            <wp:extent cx="2970119" cy="216000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neral readmissions - residuals pac.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70119" cy="2160000"/>
                    </a:xfrm>
                    <a:prstGeom prst="rect">
                      <a:avLst/>
                    </a:prstGeom>
                  </pic:spPr>
                </pic:pic>
              </a:graphicData>
            </a:graphic>
          </wp:inline>
        </w:drawing>
      </w:r>
      <w:r>
        <w:rPr>
          <w:rFonts w:asciiTheme="majorBidi" w:hAnsiTheme="majorBidi" w:cstheme="majorBidi"/>
          <w:noProof/>
        </w:rPr>
        <w:lastRenderedPageBreak/>
        <w:drawing>
          <wp:inline distT="0" distB="0" distL="0" distR="0" wp14:anchorId="7E597A97" wp14:editId="49C1014B">
            <wp:extent cx="2968163" cy="21600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neral readmissions - kdensity.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68163" cy="2160000"/>
                    </a:xfrm>
                    <a:prstGeom prst="rect">
                      <a:avLst/>
                    </a:prstGeom>
                  </pic:spPr>
                </pic:pic>
              </a:graphicData>
            </a:graphic>
          </wp:inline>
        </w:drawing>
      </w:r>
      <w:r>
        <w:rPr>
          <w:rFonts w:asciiTheme="majorBidi" w:hAnsiTheme="majorBidi" w:cstheme="majorBidi"/>
          <w:noProof/>
        </w:rPr>
        <w:drawing>
          <wp:inline distT="0" distB="0" distL="0" distR="0" wp14:anchorId="0C5B7FA1" wp14:editId="2D3BEDC0">
            <wp:extent cx="2970119" cy="216000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neral readmissions - pnor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70119" cy="2160000"/>
                    </a:xfrm>
                    <a:prstGeom prst="rect">
                      <a:avLst/>
                    </a:prstGeom>
                  </pic:spPr>
                </pic:pic>
              </a:graphicData>
            </a:graphic>
          </wp:inline>
        </w:drawing>
      </w:r>
      <w:r>
        <w:rPr>
          <w:rFonts w:asciiTheme="majorBidi" w:hAnsiTheme="majorBidi" w:cstheme="majorBidi"/>
          <w:noProof/>
        </w:rPr>
        <w:drawing>
          <wp:inline distT="0" distB="0" distL="0" distR="0" wp14:anchorId="6F1CA34F" wp14:editId="38B1EF42">
            <wp:extent cx="2970119" cy="216000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neral readmissions - qnorm.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70119" cy="2160000"/>
                    </a:xfrm>
                    <a:prstGeom prst="rect">
                      <a:avLst/>
                    </a:prstGeom>
                  </pic:spPr>
                </pic:pic>
              </a:graphicData>
            </a:graphic>
          </wp:inline>
        </w:drawing>
      </w:r>
      <w:r>
        <w:rPr>
          <w:rFonts w:asciiTheme="majorBidi" w:hAnsiTheme="majorBidi" w:cstheme="majorBidi"/>
          <w:noProof/>
        </w:rPr>
        <w:drawing>
          <wp:inline distT="0" distB="0" distL="0" distR="0" wp14:anchorId="1D347DA3" wp14:editId="01C494B6">
            <wp:extent cx="2970119" cy="216000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eneral readmissions - scatter yresiduals y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70119" cy="2160000"/>
                    </a:xfrm>
                    <a:prstGeom prst="rect">
                      <a:avLst/>
                    </a:prstGeom>
                  </pic:spPr>
                </pic:pic>
              </a:graphicData>
            </a:graphic>
          </wp:inline>
        </w:drawing>
      </w:r>
      <w:r>
        <w:rPr>
          <w:rFonts w:asciiTheme="majorBidi" w:hAnsiTheme="majorBidi" w:cstheme="majorBidi"/>
          <w:noProof/>
        </w:rPr>
        <w:drawing>
          <wp:inline distT="0" distB="0" distL="0" distR="0" wp14:anchorId="6D89A9F6" wp14:editId="554A23C6">
            <wp:extent cx="2970119" cy="2160000"/>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eneral readmissions - scatter yresiduals yearmonth.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70119" cy="2160000"/>
                    </a:xfrm>
                    <a:prstGeom prst="rect">
                      <a:avLst/>
                    </a:prstGeom>
                  </pic:spPr>
                </pic:pic>
              </a:graphicData>
            </a:graphic>
          </wp:inline>
        </w:drawing>
      </w:r>
    </w:p>
    <w:p w:rsidR="00342FD1" w:rsidRDefault="00342FD1"/>
    <w:sectPr w:rsidR="00342FD1" w:rsidSect="00FF04F3">
      <w:footerReference w:type="default" r:id="rId15"/>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21C" w:rsidRDefault="0014221C">
      <w:pPr>
        <w:spacing w:after="0" w:line="240" w:lineRule="auto"/>
      </w:pPr>
      <w:r>
        <w:separator/>
      </w:r>
    </w:p>
  </w:endnote>
  <w:endnote w:type="continuationSeparator" w:id="0">
    <w:p w:rsidR="0014221C" w:rsidRDefault="00142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7208696"/>
      <w:docPartObj>
        <w:docPartGallery w:val="Page Numbers (Bottom of Page)"/>
        <w:docPartUnique/>
      </w:docPartObj>
    </w:sdtPr>
    <w:sdtEndPr>
      <w:rPr>
        <w:noProof/>
      </w:rPr>
    </w:sdtEndPr>
    <w:sdtContent>
      <w:p w:rsidR="00E57D23" w:rsidRDefault="00D9360F">
        <w:pPr>
          <w:pStyle w:val="Footer"/>
          <w:jc w:val="center"/>
        </w:pPr>
        <w:r>
          <w:fldChar w:fldCharType="begin"/>
        </w:r>
        <w:r>
          <w:instrText xml:space="preserve"> PAGE   \* MERGEFORMAT </w:instrText>
        </w:r>
        <w:r>
          <w:fldChar w:fldCharType="separate"/>
        </w:r>
        <w:r w:rsidR="002265E7">
          <w:rPr>
            <w:noProof/>
          </w:rPr>
          <w:t>4</w:t>
        </w:r>
        <w:r>
          <w:rPr>
            <w:noProof/>
          </w:rPr>
          <w:fldChar w:fldCharType="end"/>
        </w:r>
      </w:p>
    </w:sdtContent>
  </w:sdt>
  <w:p w:rsidR="00E57D23" w:rsidRDefault="001422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21C" w:rsidRDefault="0014221C">
      <w:pPr>
        <w:spacing w:after="0" w:line="240" w:lineRule="auto"/>
      </w:pPr>
      <w:r>
        <w:separator/>
      </w:r>
    </w:p>
  </w:footnote>
  <w:footnote w:type="continuationSeparator" w:id="0">
    <w:p w:rsidR="0014221C" w:rsidRDefault="001422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60F"/>
    <w:rsid w:val="00037929"/>
    <w:rsid w:val="00074F06"/>
    <w:rsid w:val="0014221C"/>
    <w:rsid w:val="002265E7"/>
    <w:rsid w:val="00342FD1"/>
    <w:rsid w:val="00765088"/>
    <w:rsid w:val="00AB243B"/>
    <w:rsid w:val="00BC1A0D"/>
    <w:rsid w:val="00BD4ED9"/>
    <w:rsid w:val="00C30223"/>
    <w:rsid w:val="00D9360F"/>
    <w:rsid w:val="00DB7B16"/>
    <w:rsid w:val="00E93851"/>
    <w:rsid w:val="00EA0E76"/>
    <w:rsid w:val="00F205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A1B253-319C-4429-9528-4F4624039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936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60F"/>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iPriority w:val="99"/>
    <w:unhideWhenUsed/>
    <w:rsid w:val="00D936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60F"/>
  </w:style>
  <w:style w:type="table" w:styleId="TableGrid">
    <w:name w:val="Table Grid"/>
    <w:basedOn w:val="TableNormal"/>
    <w:uiPriority w:val="39"/>
    <w:rsid w:val="00D93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4F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F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dc:creator>
  <cp:keywords/>
  <dc:description/>
  <cp:lastModifiedBy>jk</cp:lastModifiedBy>
  <cp:revision>3</cp:revision>
  <dcterms:created xsi:type="dcterms:W3CDTF">2024-11-07T11:48:00Z</dcterms:created>
  <dcterms:modified xsi:type="dcterms:W3CDTF">2024-11-08T11:30:00Z</dcterms:modified>
</cp:coreProperties>
</file>