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D4E8B" w14:textId="607436DE" w:rsidR="00BC1E4D" w:rsidRPr="00665427" w:rsidRDefault="00F6762C">
      <w:pPr>
        <w:rPr>
          <w:rFonts w:ascii="Times New Roman" w:hAnsi="Times New Roman" w:cs="Times New Roman"/>
          <w:b/>
          <w:bCs/>
          <w:u w:val="single"/>
        </w:rPr>
      </w:pPr>
      <w:r w:rsidRPr="00665427">
        <w:rPr>
          <w:rFonts w:ascii="Times New Roman" w:hAnsi="Times New Roman" w:cs="Times New Roman"/>
          <w:b/>
          <w:bCs/>
          <w:u w:val="single"/>
        </w:rPr>
        <w:t>Additional File 2</w:t>
      </w:r>
      <w:r w:rsidR="00665427" w:rsidRPr="00665427">
        <w:rPr>
          <w:rFonts w:ascii="Times New Roman" w:hAnsi="Times New Roman" w:cs="Times New Roman"/>
          <w:b/>
          <w:bCs/>
          <w:u w:val="single"/>
        </w:rPr>
        <w:t>: Healthcare Utilization of Patient Sub-Populations</w:t>
      </w:r>
    </w:p>
    <w:p w14:paraId="074C399D" w14:textId="77777777" w:rsidR="00665427" w:rsidRPr="00665427" w:rsidRDefault="00665427" w:rsidP="00665427">
      <w:pPr>
        <w:rPr>
          <w:rFonts w:ascii="Times New Roman" w:hAnsi="Times New Roman" w:cs="Times New Roman"/>
          <w:b/>
          <w:bCs/>
        </w:rPr>
      </w:pPr>
      <w:r w:rsidRPr="00665427">
        <w:rPr>
          <w:rFonts w:ascii="Times New Roman" w:hAnsi="Times New Roman" w:cs="Times New Roman"/>
          <w:b/>
          <w:bCs/>
        </w:rPr>
        <w:t>Methods</w:t>
      </w:r>
    </w:p>
    <w:p w14:paraId="06C2F0C5" w14:textId="40CCD4AA" w:rsidR="00665427" w:rsidRPr="00665427" w:rsidRDefault="00665427" w:rsidP="002F47E7">
      <w:pPr>
        <w:ind w:firstLine="720"/>
        <w:rPr>
          <w:rFonts w:ascii="Times New Roman" w:hAnsi="Times New Roman" w:cs="Times New Roman"/>
        </w:rPr>
      </w:pPr>
      <w:r w:rsidRPr="00665427">
        <w:rPr>
          <w:rFonts w:ascii="Times New Roman" w:hAnsi="Times New Roman" w:cs="Times New Roman"/>
        </w:rPr>
        <w:t xml:space="preserve"> Patient resource utilization was assessed using CPT procedure codes from MHC patient records. The procedure codes were assigned a cost value based on the Oregon Health Plan 2023 fee-schedule.</w:t>
      </w:r>
      <w:r w:rsidRPr="00665427">
        <w:rPr>
          <w:rFonts w:ascii="Times New Roman" w:hAnsi="Times New Roman" w:cs="Times New Roman"/>
        </w:rPr>
        <w:fldChar w:fldCharType="begin"/>
      </w:r>
      <w:r w:rsidRPr="00665427">
        <w:rPr>
          <w:rFonts w:ascii="Times New Roman" w:hAnsi="Times New Roman" w:cs="Times New Roman"/>
        </w:rPr>
        <w:instrText xml:space="preserve"> ADDIN ZOTERO_ITEM CSL_CITATION {"citationID":"almbctl2r9","properties":{"formattedCitation":"(28)","plainCitation":"(28)","noteIndex":0},"citationItems":[{"id":537,"uris":["http://zotero.org/users/10130989/items/RAQ8Z9AV"],"itemData":{"id":537,"type":"webpage","title":"Oregon Health Authority : OHP Fee-for-Service Fee Schedule : Oregon Health Plan : State of Oregon","URL":"https://www.oregon.gov/oha/hsd/ohp/pages/fee-schedule.aspx","accessed":{"date-parts":[["2023",7,14]]}}}],"schema":"https://github.com/citation-style-language/schema/raw/master/csl-citation.json"} </w:instrText>
      </w:r>
      <w:r w:rsidRPr="00665427">
        <w:rPr>
          <w:rFonts w:ascii="Times New Roman" w:hAnsi="Times New Roman" w:cs="Times New Roman"/>
        </w:rPr>
        <w:fldChar w:fldCharType="separate"/>
      </w:r>
      <w:r w:rsidRPr="00665427">
        <w:rPr>
          <w:rFonts w:ascii="Times New Roman" w:hAnsi="Times New Roman" w:cs="Times New Roman"/>
        </w:rPr>
        <w:t>(28)</w:t>
      </w:r>
      <w:r w:rsidRPr="00665427">
        <w:rPr>
          <w:rFonts w:ascii="Times New Roman" w:hAnsi="Times New Roman" w:cs="Times New Roman"/>
        </w:rPr>
        <w:fldChar w:fldCharType="end"/>
      </w:r>
      <w:r w:rsidRPr="00665427">
        <w:rPr>
          <w:rFonts w:ascii="Times New Roman" w:hAnsi="Times New Roman" w:cs="Times New Roman"/>
        </w:rPr>
        <w:t xml:space="preserve"> The procedure codes were analyzed for frequency, overall and by sub-population. In addition, the utilization of procedures codes was separated into two-time frames by date to include the first half of utilization and second half. The frequency of utilization was assessed for both time periods to understand the shift in resource utilization from a covid roll out period to preventative services. Cost of each procedure was reported.</w:t>
      </w:r>
    </w:p>
    <w:p w14:paraId="03674CA3" w14:textId="77777777" w:rsidR="00665427" w:rsidRDefault="00665427" w:rsidP="00665427">
      <w:pPr>
        <w:rPr>
          <w:rFonts w:ascii="Times New Roman" w:hAnsi="Times New Roman" w:cs="Times New Roman"/>
          <w:b/>
          <w:bCs/>
        </w:rPr>
      </w:pPr>
      <w:r>
        <w:rPr>
          <w:rFonts w:ascii="Times New Roman" w:hAnsi="Times New Roman" w:cs="Times New Roman"/>
          <w:b/>
          <w:bCs/>
        </w:rPr>
        <w:t>Results</w:t>
      </w:r>
    </w:p>
    <w:p w14:paraId="39BF4554" w14:textId="54E91E94" w:rsidR="00665427" w:rsidRPr="00665427" w:rsidRDefault="00665427" w:rsidP="00665427">
      <w:pPr>
        <w:ind w:firstLine="720"/>
        <w:rPr>
          <w:rFonts w:ascii="Times New Roman" w:hAnsi="Times New Roman" w:cs="Times New Roman"/>
          <w:b/>
          <w:bCs/>
          <w:i/>
          <w:iCs/>
        </w:rPr>
      </w:pPr>
      <w:r w:rsidRPr="00665427">
        <w:rPr>
          <w:rFonts w:ascii="Times New Roman" w:hAnsi="Times New Roman" w:cs="Times New Roman"/>
        </w:rPr>
        <w:t xml:space="preserve">A total of 232 distinct days of patient visits on the MHC were included in the analysis. Over the time frame, 1,981 patient encounters with 812 unique patients were recorded and included in the analysis. The main services of the MHC over this time frame were observed to be primary and preventative care for patients of all ages, including walk-in and appointments. </w:t>
      </w:r>
    </w:p>
    <w:p w14:paraId="79D3834D" w14:textId="749F3724" w:rsidR="00665427" w:rsidRPr="00665427" w:rsidRDefault="00665427" w:rsidP="00665427">
      <w:pPr>
        <w:rPr>
          <w:rFonts w:ascii="Times New Roman" w:hAnsi="Times New Roman" w:cs="Times New Roman"/>
          <w:i/>
          <w:iCs/>
        </w:rPr>
      </w:pPr>
      <w:r w:rsidRPr="00665427">
        <w:rPr>
          <w:rFonts w:ascii="Times New Roman" w:hAnsi="Times New Roman" w:cs="Times New Roman"/>
          <w:i/>
          <w:iCs/>
        </w:rPr>
        <w:t xml:space="preserve">Frequent Procedures Utilized. </w:t>
      </w:r>
      <w:r w:rsidRPr="00665427">
        <w:rPr>
          <w:rFonts w:ascii="Times New Roman" w:hAnsi="Times New Roman" w:cs="Times New Roman"/>
        </w:rPr>
        <w:t xml:space="preserve">Of the procedures utilized on the MHC, </w:t>
      </w:r>
      <w:commentRangeStart w:id="0"/>
      <w:r w:rsidRPr="00665427">
        <w:rPr>
          <w:rFonts w:ascii="Times New Roman" w:hAnsi="Times New Roman" w:cs="Times New Roman"/>
        </w:rPr>
        <w:t xml:space="preserve">31% </w:t>
      </w:r>
      <w:commentRangeEnd w:id="0"/>
      <w:r w:rsidRPr="00665427">
        <w:rPr>
          <w:rFonts w:ascii="Times New Roman" w:hAnsi="Times New Roman" w:cs="Times New Roman"/>
        </w:rPr>
        <w:commentReference w:id="0"/>
      </w:r>
      <w:r w:rsidRPr="00665427">
        <w:rPr>
          <w:rFonts w:ascii="Times New Roman" w:hAnsi="Times New Roman" w:cs="Times New Roman"/>
        </w:rPr>
        <w:t>of reported procedures were vaccinations (N = 438, 31%), 27% were Covid-19 related encounters (N = 377, 27%), 13% were outside referrals (N = 179, 13%), and 12% were point of care testing (POCT). Significant differences in utilization of these frequent procedures were found between sub-populations (x</w:t>
      </w:r>
      <w:r w:rsidRPr="00665427">
        <w:rPr>
          <w:rFonts w:ascii="Times New Roman" w:hAnsi="Times New Roman" w:cs="Times New Roman"/>
          <w:vertAlign w:val="superscript"/>
        </w:rPr>
        <w:t>2</w:t>
      </w:r>
      <w:r w:rsidRPr="00665427">
        <w:rPr>
          <w:rFonts w:ascii="Times New Roman" w:hAnsi="Times New Roman" w:cs="Times New Roman"/>
        </w:rPr>
        <w:t xml:space="preserve">, p &lt; 0.01) illustrated in </w:t>
      </w:r>
      <w:r w:rsidR="00445D6D">
        <w:rPr>
          <w:rFonts w:ascii="Times New Roman" w:hAnsi="Times New Roman" w:cs="Times New Roman"/>
        </w:rPr>
        <w:t xml:space="preserve">Supplementary </w:t>
      </w:r>
      <w:r w:rsidRPr="00665427">
        <w:rPr>
          <w:rFonts w:ascii="Times New Roman" w:hAnsi="Times New Roman" w:cs="Times New Roman"/>
        </w:rPr>
        <w:t xml:space="preserve">Table </w:t>
      </w:r>
      <w:r w:rsidR="008A494F">
        <w:rPr>
          <w:rFonts w:ascii="Times New Roman" w:hAnsi="Times New Roman" w:cs="Times New Roman"/>
        </w:rPr>
        <w:t>3</w:t>
      </w:r>
      <w:r w:rsidRPr="00665427">
        <w:rPr>
          <w:rFonts w:ascii="Times New Roman" w:hAnsi="Times New Roman" w:cs="Times New Roman"/>
        </w:rPr>
        <w:t xml:space="preserve">. Vaccines procedures overall decreased (-61% change) between the initial (N = 313, 43%) and recent (N = 125, 18%) time frame, smaller changes over time in the rural patient population (initial N = 111, 34% to recent </w:t>
      </w:r>
      <w:r w:rsidRPr="00665427">
        <w:rPr>
          <w:rFonts w:ascii="Times New Roman" w:hAnsi="Times New Roman" w:cs="Times New Roman"/>
        </w:rPr>
        <w:lastRenderedPageBreak/>
        <w:t xml:space="preserve">N=84, 28%) and no use for PEH (N= 0, 0%). Covid-19 related procedures overall decrease from 45% to 8% of procedures (-78% Δ overall), with differences between sub-populations. </w:t>
      </w:r>
    </w:p>
    <w:p w14:paraId="42610E5E" w14:textId="0DC6AEB1" w:rsidR="00665427" w:rsidRPr="00665427" w:rsidRDefault="00665427" w:rsidP="00665427">
      <w:pPr>
        <w:rPr>
          <w:rFonts w:ascii="Times New Roman" w:hAnsi="Times New Roman" w:cs="Times New Roman"/>
        </w:rPr>
      </w:pPr>
      <w:r w:rsidRPr="00665427">
        <w:rPr>
          <w:rFonts w:ascii="Times New Roman" w:hAnsi="Times New Roman" w:cs="Times New Roman"/>
        </w:rPr>
        <w:t>Broken down, 12% of procedure codes during the one-year time frame was Moderna Covid-19 Vaccine (N = 162, 12%), followed by 7% of codes for Moderna Covid-19 2nd dose (N = 94, 7%), 4% for the influenza vaccine (N=54, 4%) and 3% A1c point of care testing (N = 46, 3%). There were significant differences in utilization of these procedures between patient sub-populations (x</w:t>
      </w:r>
      <w:r w:rsidRPr="00665427">
        <w:rPr>
          <w:rFonts w:ascii="Times New Roman" w:hAnsi="Times New Roman" w:cs="Times New Roman"/>
          <w:vertAlign w:val="superscript"/>
        </w:rPr>
        <w:t>2</w:t>
      </w:r>
      <w:r w:rsidRPr="00665427">
        <w:rPr>
          <w:rFonts w:ascii="Times New Roman" w:hAnsi="Times New Roman" w:cs="Times New Roman"/>
        </w:rPr>
        <w:t xml:space="preserve">, p &lt; 0.01). A breakdown of the most frequently utilized procedure codes by population is presented in </w:t>
      </w:r>
      <w:r w:rsidR="00445D6D">
        <w:rPr>
          <w:rFonts w:ascii="Times New Roman" w:hAnsi="Times New Roman" w:cs="Times New Roman"/>
        </w:rPr>
        <w:t xml:space="preserve">Supplementary </w:t>
      </w:r>
      <w:r w:rsidRPr="00665427">
        <w:rPr>
          <w:rFonts w:ascii="Times New Roman" w:hAnsi="Times New Roman" w:cs="Times New Roman"/>
        </w:rPr>
        <w:t xml:space="preserve">Table </w:t>
      </w:r>
      <w:r w:rsidR="00445D6D">
        <w:rPr>
          <w:rFonts w:ascii="Times New Roman" w:hAnsi="Times New Roman" w:cs="Times New Roman"/>
        </w:rPr>
        <w:t>2</w:t>
      </w:r>
      <w:r w:rsidRPr="00665427">
        <w:rPr>
          <w:rFonts w:ascii="Times New Roman" w:hAnsi="Times New Roman" w:cs="Times New Roman"/>
        </w:rPr>
        <w:t>.</w:t>
      </w:r>
    </w:p>
    <w:p w14:paraId="54A9BEC3" w14:textId="77777777" w:rsidR="00665427" w:rsidRPr="00665427" w:rsidRDefault="00665427" w:rsidP="00665427">
      <w:pPr>
        <w:rPr>
          <w:rFonts w:ascii="Times New Roman" w:hAnsi="Times New Roman" w:cs="Times New Roman"/>
        </w:rPr>
      </w:pPr>
    </w:p>
    <w:p w14:paraId="0F082AD1" w14:textId="5C0966ED" w:rsidR="00665427" w:rsidRPr="00665427" w:rsidRDefault="00665427" w:rsidP="00665427">
      <w:pPr>
        <w:rPr>
          <w:rFonts w:ascii="Times New Roman" w:hAnsi="Times New Roman" w:cs="Times New Roman"/>
        </w:rPr>
      </w:pPr>
      <w:r w:rsidRPr="00665427">
        <w:rPr>
          <w:rFonts w:ascii="Times New Roman" w:hAnsi="Times New Roman" w:cs="Times New Roman"/>
        </w:rPr>
        <w:t>There were significant differences in the use of procedures when comparing initial operation period to the recent operation period over all patients seen at MHC (x</w:t>
      </w:r>
      <w:r w:rsidRPr="00665427">
        <w:rPr>
          <w:rFonts w:ascii="Times New Roman" w:hAnsi="Times New Roman" w:cs="Times New Roman"/>
          <w:vertAlign w:val="superscript"/>
        </w:rPr>
        <w:t>2</w:t>
      </w:r>
      <w:r w:rsidRPr="00665427">
        <w:rPr>
          <w:rFonts w:ascii="Times New Roman" w:hAnsi="Times New Roman" w:cs="Times New Roman"/>
        </w:rPr>
        <w:t xml:space="preserve">, p &lt; 0.01). </w:t>
      </w:r>
      <w:r w:rsidR="004A45D9">
        <w:rPr>
          <w:rFonts w:ascii="Times New Roman" w:hAnsi="Times New Roman" w:cs="Times New Roman"/>
        </w:rPr>
        <w:t xml:space="preserve">Supplementary </w:t>
      </w:r>
      <w:r w:rsidRPr="00665427">
        <w:rPr>
          <w:rFonts w:ascii="Times New Roman" w:hAnsi="Times New Roman" w:cs="Times New Roman"/>
        </w:rPr>
        <w:t xml:space="preserve">Figure </w:t>
      </w:r>
      <w:r w:rsidR="004A45D9">
        <w:rPr>
          <w:rFonts w:ascii="Times New Roman" w:hAnsi="Times New Roman" w:cs="Times New Roman"/>
        </w:rPr>
        <w:t>1</w:t>
      </w:r>
      <w:r w:rsidRPr="00665427">
        <w:rPr>
          <w:rFonts w:ascii="Times New Roman" w:hAnsi="Times New Roman" w:cs="Times New Roman"/>
        </w:rPr>
        <w:t xml:space="preserve">. </w:t>
      </w:r>
    </w:p>
    <w:p w14:paraId="475F5497" w14:textId="77777777" w:rsidR="00665427" w:rsidRPr="00665427" w:rsidRDefault="00665427" w:rsidP="00665427">
      <w:pPr>
        <w:rPr>
          <w:rFonts w:ascii="Times New Roman" w:hAnsi="Times New Roman" w:cs="Times New Roman"/>
          <w:b/>
          <w:bCs/>
        </w:rPr>
      </w:pPr>
    </w:p>
    <w:p w14:paraId="509C7480" w14:textId="6827355F" w:rsidR="00665427" w:rsidRPr="00665427" w:rsidRDefault="004A45D9" w:rsidP="00665427">
      <w:pPr>
        <w:rPr>
          <w:rFonts w:ascii="Times New Roman" w:hAnsi="Times New Roman" w:cs="Times New Roman"/>
          <w:b/>
          <w:bCs/>
        </w:rPr>
      </w:pPr>
      <w:r w:rsidRPr="00532DC0">
        <w:rPr>
          <w:rFonts w:ascii="Times New Roman" w:hAnsi="Times New Roman" w:cs="Times New Roman"/>
          <w:b/>
          <w:bCs/>
        </w:rPr>
        <w:t xml:space="preserve">Supplementary </w:t>
      </w:r>
      <w:r w:rsidR="00665427" w:rsidRPr="00665427">
        <w:rPr>
          <w:rFonts w:ascii="Times New Roman" w:hAnsi="Times New Roman" w:cs="Times New Roman"/>
          <w:b/>
          <w:bCs/>
        </w:rPr>
        <w:t xml:space="preserve">Figure </w:t>
      </w:r>
      <w:r w:rsidRPr="00532DC0">
        <w:rPr>
          <w:rFonts w:ascii="Times New Roman" w:hAnsi="Times New Roman" w:cs="Times New Roman"/>
          <w:b/>
          <w:bCs/>
        </w:rPr>
        <w:t>1</w:t>
      </w:r>
      <w:r w:rsidR="00665427" w:rsidRPr="00665427">
        <w:rPr>
          <w:rFonts w:ascii="Times New Roman" w:hAnsi="Times New Roman" w:cs="Times New Roman"/>
          <w:b/>
          <w:bCs/>
        </w:rPr>
        <w:t>:</w:t>
      </w:r>
      <w:r w:rsidR="00665427" w:rsidRPr="00665427">
        <w:rPr>
          <w:rFonts w:ascii="Times New Roman" w:hAnsi="Times New Roman" w:cs="Times New Roman"/>
        </w:rPr>
        <w:t xml:space="preserve"> Top Procedure Codes Utilized on Rural Mobile Health Clinic, 2022 to 2023</w:t>
      </w:r>
    </w:p>
    <w:p w14:paraId="1D2E3C4D" w14:textId="35747CE7" w:rsidR="00665427" w:rsidRPr="00665427" w:rsidRDefault="00665427" w:rsidP="00665427">
      <w:pPr>
        <w:rPr>
          <w:rFonts w:ascii="Times New Roman" w:hAnsi="Times New Roman" w:cs="Times New Roman"/>
        </w:rPr>
      </w:pPr>
      <w:r w:rsidRPr="00665427">
        <w:rPr>
          <w:rFonts w:ascii="Times New Roman" w:hAnsi="Times New Roman" w:cs="Times New Roman"/>
          <w:b/>
          <w:bCs/>
        </w:rPr>
        <w:t>Legend</w:t>
      </w:r>
      <w:r w:rsidRPr="00665427">
        <w:rPr>
          <w:rFonts w:ascii="Times New Roman" w:hAnsi="Times New Roman" w:cs="Times New Roman"/>
        </w:rPr>
        <w:t>: Top procedure codes utilized on the rural mobile health clinic from April 1</w:t>
      </w:r>
      <w:r w:rsidRPr="00665427">
        <w:rPr>
          <w:rFonts w:ascii="Times New Roman" w:hAnsi="Times New Roman" w:cs="Times New Roman"/>
          <w:vertAlign w:val="superscript"/>
        </w:rPr>
        <w:t>st</w:t>
      </w:r>
      <w:r w:rsidRPr="00665427">
        <w:rPr>
          <w:rFonts w:ascii="Times New Roman" w:hAnsi="Times New Roman" w:cs="Times New Roman"/>
        </w:rPr>
        <w:t>, 2022, to April 1</w:t>
      </w:r>
      <w:r w:rsidRPr="00665427">
        <w:rPr>
          <w:rFonts w:ascii="Times New Roman" w:hAnsi="Times New Roman" w:cs="Times New Roman"/>
          <w:vertAlign w:val="superscript"/>
        </w:rPr>
        <w:t>st</w:t>
      </w:r>
      <w:r w:rsidRPr="00665427">
        <w:rPr>
          <w:rFonts w:ascii="Times New Roman" w:hAnsi="Times New Roman" w:cs="Times New Roman"/>
        </w:rPr>
        <w:t xml:space="preserve">, 2023. Includes procedure frequency from initial year of operation of the mobile health clinic in the community. Procedures were compared between the overall patient population and within patient sub-populations (PEH, migrant or seasonal patients, Native American patients, and </w:t>
      </w:r>
      <w:r w:rsidR="008A494F">
        <w:rPr>
          <w:rFonts w:ascii="Times New Roman" w:hAnsi="Times New Roman" w:cs="Times New Roman"/>
        </w:rPr>
        <w:t xml:space="preserve">isolated </w:t>
      </w:r>
      <w:r w:rsidRPr="00665427">
        <w:rPr>
          <w:rFonts w:ascii="Times New Roman" w:hAnsi="Times New Roman" w:cs="Times New Roman"/>
        </w:rPr>
        <w:t>rural dwelling patients). The procedure codes were separated to assess use before (orange) and after (blue) the assigned date, 09-08-2022. POCT = Point of Care Testing.</w:t>
      </w:r>
      <w:r w:rsidR="008A494F">
        <w:rPr>
          <w:rFonts w:ascii="Times New Roman" w:hAnsi="Times New Roman" w:cs="Times New Roman"/>
        </w:rPr>
        <w:t xml:space="preserve"> PEH = patients experiencing houselessness</w:t>
      </w:r>
    </w:p>
    <w:p w14:paraId="11CC1BBC" w14:textId="77777777" w:rsidR="00665427" w:rsidRPr="00665427" w:rsidRDefault="00665427" w:rsidP="00665427">
      <w:pPr>
        <w:rPr>
          <w:rFonts w:ascii="Times New Roman" w:hAnsi="Times New Roman" w:cs="Times New Roman"/>
        </w:rPr>
      </w:pPr>
    </w:p>
    <w:p w14:paraId="5E50B2E4" w14:textId="17B4F72B" w:rsidR="00665427" w:rsidRPr="00665427" w:rsidRDefault="00665427" w:rsidP="00665427">
      <w:pPr>
        <w:rPr>
          <w:rFonts w:ascii="Times New Roman" w:hAnsi="Times New Roman" w:cs="Times New Roman"/>
        </w:rPr>
      </w:pPr>
      <w:r w:rsidRPr="00665427">
        <w:rPr>
          <w:rFonts w:ascii="Times New Roman" w:hAnsi="Times New Roman" w:cs="Times New Roman"/>
        </w:rPr>
        <w:tab/>
        <w:t>Significant difference in procedure code utilization was found between sub-populations (x</w:t>
      </w:r>
      <w:r w:rsidRPr="00665427">
        <w:rPr>
          <w:rFonts w:ascii="Times New Roman" w:hAnsi="Times New Roman" w:cs="Times New Roman"/>
          <w:vertAlign w:val="superscript"/>
        </w:rPr>
        <w:t>2</w:t>
      </w:r>
      <w:r w:rsidRPr="00665427">
        <w:rPr>
          <w:rFonts w:ascii="Times New Roman" w:hAnsi="Times New Roman" w:cs="Times New Roman"/>
        </w:rPr>
        <w:t xml:space="preserve">, p &lt; 0.01). For </w:t>
      </w:r>
      <w:r w:rsidR="00ED7340">
        <w:rPr>
          <w:rFonts w:ascii="Times New Roman" w:hAnsi="Times New Roman" w:cs="Times New Roman"/>
        </w:rPr>
        <w:t xml:space="preserve">isolated </w:t>
      </w:r>
      <w:r w:rsidRPr="00665427">
        <w:rPr>
          <w:rFonts w:ascii="Times New Roman" w:hAnsi="Times New Roman" w:cs="Times New Roman"/>
        </w:rPr>
        <w:t>rural patients, initial utilization was dominated by Moderna covid-19 vaccine (N=53, 16%) and Moderna Covid-19 vaccine 2</w:t>
      </w:r>
      <w:r w:rsidRPr="00665427">
        <w:rPr>
          <w:rFonts w:ascii="Times New Roman" w:hAnsi="Times New Roman" w:cs="Times New Roman"/>
          <w:vertAlign w:val="superscript"/>
        </w:rPr>
        <w:t>nd</w:t>
      </w:r>
      <w:r w:rsidRPr="00665427">
        <w:rPr>
          <w:rFonts w:ascii="Times New Roman" w:hAnsi="Times New Roman" w:cs="Times New Roman"/>
        </w:rPr>
        <w:t xml:space="preserve"> dose (N=28, 8%). Recent utilization was dominated by the influenza vaccine (N=45, 15%) and Moderna Covid-19 Bivalent Vaccine (N=33, 11%). Significant differences between initial and recent utilization of procedures by rural patients was found (x</w:t>
      </w:r>
      <w:r w:rsidRPr="00665427">
        <w:rPr>
          <w:rFonts w:ascii="Times New Roman" w:hAnsi="Times New Roman" w:cs="Times New Roman"/>
          <w:vertAlign w:val="superscript"/>
        </w:rPr>
        <w:t>2</w:t>
      </w:r>
      <w:r w:rsidRPr="00665427">
        <w:rPr>
          <w:rFonts w:ascii="Times New Roman" w:hAnsi="Times New Roman" w:cs="Times New Roman"/>
        </w:rPr>
        <w:t xml:space="preserve">, p &lt; 0.01). See </w:t>
      </w:r>
      <w:r w:rsidR="004A45D9">
        <w:rPr>
          <w:rFonts w:ascii="Times New Roman" w:hAnsi="Times New Roman" w:cs="Times New Roman"/>
        </w:rPr>
        <w:t xml:space="preserve">Supplementary </w:t>
      </w:r>
      <w:r w:rsidRPr="00665427">
        <w:rPr>
          <w:rFonts w:ascii="Times New Roman" w:hAnsi="Times New Roman" w:cs="Times New Roman"/>
        </w:rPr>
        <w:t xml:space="preserve">Figure </w:t>
      </w:r>
      <w:r w:rsidR="004A45D9">
        <w:rPr>
          <w:rFonts w:ascii="Times New Roman" w:hAnsi="Times New Roman" w:cs="Times New Roman"/>
        </w:rPr>
        <w:t>2</w:t>
      </w:r>
      <w:r w:rsidRPr="00665427">
        <w:rPr>
          <w:rFonts w:ascii="Times New Roman" w:hAnsi="Times New Roman" w:cs="Times New Roman"/>
        </w:rPr>
        <w:t xml:space="preserve">. </w:t>
      </w:r>
    </w:p>
    <w:p w14:paraId="58EBCC7D" w14:textId="00CB5231" w:rsidR="00665427" w:rsidRPr="00665427" w:rsidRDefault="00665427" w:rsidP="00665427">
      <w:pPr>
        <w:rPr>
          <w:rFonts w:ascii="Times New Roman" w:hAnsi="Times New Roman" w:cs="Times New Roman"/>
        </w:rPr>
      </w:pPr>
      <w:r w:rsidRPr="00665427">
        <w:rPr>
          <w:rFonts w:ascii="Times New Roman" w:hAnsi="Times New Roman" w:cs="Times New Roman"/>
        </w:rPr>
        <w:t xml:space="preserve">For PEH, initial utilization was dominated by referrals to behavioral health consultant (N=4, 7%) and complete blood count with differential (N=3, 5%). Recent utilization was dominated by chlamydia and gonorrhea testing (N=12, 6%) followed by syphilis testing (N=11, 6%). Variation between initial and recent utilization of procedures by </w:t>
      </w:r>
      <w:r w:rsidR="004A45D9">
        <w:rPr>
          <w:rFonts w:ascii="Times New Roman" w:hAnsi="Times New Roman" w:cs="Times New Roman"/>
        </w:rPr>
        <w:t>PEH</w:t>
      </w:r>
      <w:r w:rsidRPr="00665427">
        <w:rPr>
          <w:rFonts w:ascii="Times New Roman" w:hAnsi="Times New Roman" w:cs="Times New Roman"/>
        </w:rPr>
        <w:t xml:space="preserve"> was not significant at 95% (x</w:t>
      </w:r>
      <w:r w:rsidRPr="00665427">
        <w:rPr>
          <w:rFonts w:ascii="Times New Roman" w:hAnsi="Times New Roman" w:cs="Times New Roman"/>
          <w:vertAlign w:val="superscript"/>
        </w:rPr>
        <w:t>2</w:t>
      </w:r>
      <w:r w:rsidRPr="00665427">
        <w:rPr>
          <w:rFonts w:ascii="Times New Roman" w:hAnsi="Times New Roman" w:cs="Times New Roman"/>
        </w:rPr>
        <w:t xml:space="preserve">, p = 0.06). See </w:t>
      </w:r>
      <w:r w:rsidR="004A45D9">
        <w:rPr>
          <w:rFonts w:ascii="Times New Roman" w:hAnsi="Times New Roman" w:cs="Times New Roman"/>
        </w:rPr>
        <w:t xml:space="preserve">Supplementary </w:t>
      </w:r>
      <w:r w:rsidRPr="00665427">
        <w:rPr>
          <w:rFonts w:ascii="Times New Roman" w:hAnsi="Times New Roman" w:cs="Times New Roman"/>
        </w:rPr>
        <w:t xml:space="preserve">Figure </w:t>
      </w:r>
      <w:r w:rsidR="004A45D9">
        <w:rPr>
          <w:rFonts w:ascii="Times New Roman" w:hAnsi="Times New Roman" w:cs="Times New Roman"/>
        </w:rPr>
        <w:t>3</w:t>
      </w:r>
      <w:r w:rsidRPr="00665427">
        <w:rPr>
          <w:rFonts w:ascii="Times New Roman" w:hAnsi="Times New Roman" w:cs="Times New Roman"/>
        </w:rPr>
        <w:t xml:space="preserve">. </w:t>
      </w:r>
    </w:p>
    <w:p w14:paraId="6910B452" w14:textId="77777777" w:rsidR="00665427" w:rsidRPr="00665427" w:rsidRDefault="00665427" w:rsidP="00665427">
      <w:pPr>
        <w:rPr>
          <w:rFonts w:ascii="Times New Roman" w:hAnsi="Times New Roman" w:cs="Times New Roman"/>
        </w:rPr>
      </w:pPr>
    </w:p>
    <w:p w14:paraId="40E2909F" w14:textId="569925CA" w:rsidR="00665427" w:rsidRPr="00665427" w:rsidRDefault="004A45D9" w:rsidP="00665427">
      <w:pPr>
        <w:rPr>
          <w:rFonts w:ascii="Times New Roman" w:hAnsi="Times New Roman" w:cs="Times New Roman"/>
        </w:rPr>
      </w:pPr>
      <w:r w:rsidRPr="00532DC0">
        <w:rPr>
          <w:rFonts w:ascii="Times New Roman" w:hAnsi="Times New Roman" w:cs="Times New Roman"/>
          <w:b/>
          <w:bCs/>
        </w:rPr>
        <w:t xml:space="preserve">Supplementary </w:t>
      </w:r>
      <w:r w:rsidR="00665427" w:rsidRPr="00665427">
        <w:rPr>
          <w:rFonts w:ascii="Times New Roman" w:hAnsi="Times New Roman" w:cs="Times New Roman"/>
          <w:b/>
          <w:bCs/>
        </w:rPr>
        <w:t xml:space="preserve">Figure </w:t>
      </w:r>
      <w:r w:rsidRPr="00532DC0">
        <w:rPr>
          <w:rFonts w:ascii="Times New Roman" w:hAnsi="Times New Roman" w:cs="Times New Roman"/>
          <w:b/>
          <w:bCs/>
        </w:rPr>
        <w:t>2</w:t>
      </w:r>
      <w:r w:rsidR="00665427" w:rsidRPr="00665427">
        <w:rPr>
          <w:rFonts w:ascii="Times New Roman" w:hAnsi="Times New Roman" w:cs="Times New Roman"/>
        </w:rPr>
        <w:t>: Change in Rural Patients Procedure Utilization Between Two Time Periods</w:t>
      </w:r>
    </w:p>
    <w:p w14:paraId="4ED2EDA4" w14:textId="10E90F38" w:rsidR="00665427" w:rsidRPr="00665427" w:rsidRDefault="00665427" w:rsidP="00665427">
      <w:pPr>
        <w:rPr>
          <w:rFonts w:ascii="Times New Roman" w:hAnsi="Times New Roman" w:cs="Times New Roman"/>
        </w:rPr>
      </w:pPr>
      <w:r w:rsidRPr="00665427">
        <w:rPr>
          <w:rFonts w:ascii="Times New Roman" w:hAnsi="Times New Roman" w:cs="Times New Roman"/>
          <w:b/>
          <w:bCs/>
        </w:rPr>
        <w:t>Legend</w:t>
      </w:r>
      <w:r w:rsidRPr="00665427">
        <w:rPr>
          <w:rFonts w:ascii="Times New Roman" w:hAnsi="Times New Roman" w:cs="Times New Roman"/>
        </w:rPr>
        <w:t>: Top procedure codes utilized on the rural mobile health clinic from April 1</w:t>
      </w:r>
      <w:r w:rsidRPr="00665427">
        <w:rPr>
          <w:rFonts w:ascii="Times New Roman" w:hAnsi="Times New Roman" w:cs="Times New Roman"/>
          <w:vertAlign w:val="superscript"/>
        </w:rPr>
        <w:t>st</w:t>
      </w:r>
      <w:r w:rsidRPr="00665427">
        <w:rPr>
          <w:rFonts w:ascii="Times New Roman" w:hAnsi="Times New Roman" w:cs="Times New Roman"/>
        </w:rPr>
        <w:t>, 2022, to April 1</w:t>
      </w:r>
      <w:r w:rsidRPr="00665427">
        <w:rPr>
          <w:rFonts w:ascii="Times New Roman" w:hAnsi="Times New Roman" w:cs="Times New Roman"/>
          <w:vertAlign w:val="superscript"/>
        </w:rPr>
        <w:t>st</w:t>
      </w:r>
      <w:r w:rsidRPr="00665427">
        <w:rPr>
          <w:rFonts w:ascii="Times New Roman" w:hAnsi="Times New Roman" w:cs="Times New Roman"/>
        </w:rPr>
        <w:t xml:space="preserve">, 2023, separated into two periods. Includes procedure frequency from initial year of operation of the mobile health clinic in the community. Procedures were compared between two patient sub-populations, </w:t>
      </w:r>
      <w:r w:rsidR="00ED7340">
        <w:rPr>
          <w:rFonts w:ascii="Times New Roman" w:hAnsi="Times New Roman" w:cs="Times New Roman"/>
        </w:rPr>
        <w:t xml:space="preserve">rural </w:t>
      </w:r>
      <w:r w:rsidRPr="00665427">
        <w:rPr>
          <w:rFonts w:ascii="Times New Roman" w:hAnsi="Times New Roman" w:cs="Times New Roman"/>
        </w:rPr>
        <w:t xml:space="preserve">PEH and </w:t>
      </w:r>
      <w:r w:rsidR="00ED7340">
        <w:rPr>
          <w:rFonts w:ascii="Times New Roman" w:hAnsi="Times New Roman" w:cs="Times New Roman"/>
        </w:rPr>
        <w:t xml:space="preserve">isolated </w:t>
      </w:r>
      <w:r w:rsidRPr="00665427">
        <w:rPr>
          <w:rFonts w:ascii="Times New Roman" w:hAnsi="Times New Roman" w:cs="Times New Roman"/>
        </w:rPr>
        <w:t xml:space="preserve">rural dwelling patients. The procedure codes were separated to assess initial use (before the assigned date) and recent use (after the assigned date, 09-08-2022). </w:t>
      </w:r>
    </w:p>
    <w:p w14:paraId="0CF38A2B" w14:textId="77777777" w:rsidR="00665427" w:rsidRPr="00665427" w:rsidRDefault="00665427" w:rsidP="00665427">
      <w:pPr>
        <w:rPr>
          <w:rFonts w:ascii="Times New Roman" w:hAnsi="Times New Roman" w:cs="Times New Roman"/>
        </w:rPr>
      </w:pPr>
      <w:r w:rsidRPr="00665427">
        <w:rPr>
          <w:rFonts w:ascii="Times New Roman" w:hAnsi="Times New Roman" w:cs="Times New Roman"/>
        </w:rPr>
        <w:t>PEH = patients experiencing houselessness.</w:t>
      </w:r>
    </w:p>
    <w:p w14:paraId="76084213" w14:textId="77777777" w:rsidR="00665427" w:rsidRPr="00665427" w:rsidRDefault="00665427" w:rsidP="00665427">
      <w:pPr>
        <w:rPr>
          <w:rFonts w:ascii="Times New Roman" w:hAnsi="Times New Roman" w:cs="Times New Roman"/>
        </w:rPr>
      </w:pPr>
    </w:p>
    <w:p w14:paraId="35DBC46B" w14:textId="77777777" w:rsidR="00665427" w:rsidRPr="00665427" w:rsidRDefault="00665427" w:rsidP="00665427">
      <w:pPr>
        <w:rPr>
          <w:rFonts w:ascii="Times New Roman" w:hAnsi="Times New Roman" w:cs="Times New Roman"/>
        </w:rPr>
      </w:pPr>
    </w:p>
    <w:p w14:paraId="4B0B1DE7" w14:textId="6657EB7A" w:rsidR="00665427" w:rsidRPr="00665427" w:rsidRDefault="004A45D9" w:rsidP="00665427">
      <w:pPr>
        <w:rPr>
          <w:rFonts w:ascii="Times New Roman" w:hAnsi="Times New Roman" w:cs="Times New Roman"/>
        </w:rPr>
      </w:pPr>
      <w:r w:rsidRPr="00532DC0">
        <w:rPr>
          <w:rFonts w:ascii="Times New Roman" w:hAnsi="Times New Roman" w:cs="Times New Roman"/>
          <w:b/>
          <w:bCs/>
        </w:rPr>
        <w:t xml:space="preserve">Supplementary </w:t>
      </w:r>
      <w:r w:rsidR="00665427" w:rsidRPr="00665427">
        <w:rPr>
          <w:rFonts w:ascii="Times New Roman" w:hAnsi="Times New Roman" w:cs="Times New Roman"/>
          <w:b/>
          <w:bCs/>
        </w:rPr>
        <w:t xml:space="preserve">Figure </w:t>
      </w:r>
      <w:r w:rsidRPr="00532DC0">
        <w:rPr>
          <w:rFonts w:ascii="Times New Roman" w:hAnsi="Times New Roman" w:cs="Times New Roman"/>
          <w:b/>
          <w:bCs/>
        </w:rPr>
        <w:t>3</w:t>
      </w:r>
      <w:r w:rsidR="00665427" w:rsidRPr="00665427">
        <w:rPr>
          <w:rFonts w:ascii="Times New Roman" w:hAnsi="Times New Roman" w:cs="Times New Roman"/>
        </w:rPr>
        <w:t>: Change in Patients Experiencing Houselessness Procedure Utilization Between Two Time Periods</w:t>
      </w:r>
    </w:p>
    <w:p w14:paraId="04870961" w14:textId="177FECC6" w:rsidR="00665427" w:rsidRPr="00665427" w:rsidRDefault="00665427" w:rsidP="00665427">
      <w:pPr>
        <w:rPr>
          <w:rFonts w:ascii="Times New Roman" w:hAnsi="Times New Roman" w:cs="Times New Roman"/>
        </w:rPr>
      </w:pPr>
      <w:r w:rsidRPr="00665427">
        <w:rPr>
          <w:rFonts w:ascii="Times New Roman" w:hAnsi="Times New Roman" w:cs="Times New Roman"/>
          <w:b/>
          <w:bCs/>
        </w:rPr>
        <w:t>Legend</w:t>
      </w:r>
      <w:r w:rsidRPr="00665427">
        <w:rPr>
          <w:rFonts w:ascii="Times New Roman" w:hAnsi="Times New Roman" w:cs="Times New Roman"/>
        </w:rPr>
        <w:t>: Top procedure codes utilized on the rural mobile health clinic from April 1</w:t>
      </w:r>
      <w:r w:rsidRPr="00665427">
        <w:rPr>
          <w:rFonts w:ascii="Times New Roman" w:hAnsi="Times New Roman" w:cs="Times New Roman"/>
          <w:vertAlign w:val="superscript"/>
        </w:rPr>
        <w:t>st</w:t>
      </w:r>
      <w:r w:rsidRPr="00665427">
        <w:rPr>
          <w:rFonts w:ascii="Times New Roman" w:hAnsi="Times New Roman" w:cs="Times New Roman"/>
        </w:rPr>
        <w:t>, 2022, to April 1</w:t>
      </w:r>
      <w:r w:rsidRPr="00665427">
        <w:rPr>
          <w:rFonts w:ascii="Times New Roman" w:hAnsi="Times New Roman" w:cs="Times New Roman"/>
          <w:vertAlign w:val="superscript"/>
        </w:rPr>
        <w:t>st</w:t>
      </w:r>
      <w:r w:rsidRPr="00665427">
        <w:rPr>
          <w:rFonts w:ascii="Times New Roman" w:hAnsi="Times New Roman" w:cs="Times New Roman"/>
        </w:rPr>
        <w:t xml:space="preserve">, 2023, separated into two periods. Includes procedure frequency from initial year of operation of the mobile health clinic in the community. Procedures were compared between two patient sub-populations, PEH and </w:t>
      </w:r>
      <w:r w:rsidR="00ED7340">
        <w:rPr>
          <w:rFonts w:ascii="Times New Roman" w:hAnsi="Times New Roman" w:cs="Times New Roman"/>
        </w:rPr>
        <w:t xml:space="preserve">isolated </w:t>
      </w:r>
      <w:r w:rsidRPr="00665427">
        <w:rPr>
          <w:rFonts w:ascii="Times New Roman" w:hAnsi="Times New Roman" w:cs="Times New Roman"/>
        </w:rPr>
        <w:t xml:space="preserve">rural dwelling patients. The procedure codes were separated to assess initial use (before the assigned date) and recent use (after the assigned date, 09-08-2022). </w:t>
      </w:r>
    </w:p>
    <w:p w14:paraId="4B7F7547" w14:textId="77777777" w:rsidR="00665427" w:rsidRPr="00665427" w:rsidRDefault="00665427" w:rsidP="00665427">
      <w:pPr>
        <w:rPr>
          <w:rFonts w:ascii="Times New Roman" w:hAnsi="Times New Roman" w:cs="Times New Roman"/>
        </w:rPr>
      </w:pPr>
      <w:r w:rsidRPr="00665427">
        <w:rPr>
          <w:rFonts w:ascii="Times New Roman" w:hAnsi="Times New Roman" w:cs="Times New Roman"/>
        </w:rPr>
        <w:t>PEH = patients experiencing houselessness.</w:t>
      </w:r>
    </w:p>
    <w:p w14:paraId="5660CDBA" w14:textId="77777777" w:rsidR="00313303" w:rsidRPr="00F6762C" w:rsidRDefault="00313303">
      <w:pPr>
        <w:rPr>
          <w:rFonts w:ascii="Times New Roman" w:hAnsi="Times New Roman" w:cs="Times New Roman"/>
        </w:rPr>
      </w:pPr>
    </w:p>
    <w:tbl>
      <w:tblPr>
        <w:tblStyle w:val="GridTable7Colorful"/>
        <w:tblW w:w="10440" w:type="dxa"/>
        <w:jc w:val="center"/>
        <w:tblLayout w:type="fixed"/>
        <w:tblLook w:val="04A0" w:firstRow="1" w:lastRow="0" w:firstColumn="1" w:lastColumn="0" w:noHBand="0" w:noVBand="1"/>
      </w:tblPr>
      <w:tblGrid>
        <w:gridCol w:w="3419"/>
        <w:gridCol w:w="1464"/>
        <w:gridCol w:w="1625"/>
        <w:gridCol w:w="1412"/>
        <w:gridCol w:w="1620"/>
        <w:gridCol w:w="900"/>
      </w:tblGrid>
      <w:tr w:rsidR="00430D57" w:rsidRPr="00665427" w14:paraId="10CCE36C" w14:textId="77777777" w:rsidTr="005A146C">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10440" w:type="dxa"/>
            <w:gridSpan w:val="6"/>
            <w:noWrap/>
          </w:tcPr>
          <w:p w14:paraId="01C229DE" w14:textId="788A2B88" w:rsidR="00430D57" w:rsidRPr="00665427" w:rsidRDefault="00430D57" w:rsidP="005A146C">
            <w:pPr>
              <w:spacing w:after="160" w:line="480" w:lineRule="auto"/>
              <w:jc w:val="left"/>
              <w:rPr>
                <w:rFonts w:ascii="Times New Roman" w:hAnsi="Times New Roman" w:cs="Times New Roman"/>
                <w:i w:val="0"/>
                <w:iCs w:val="0"/>
                <w:color w:val="auto"/>
              </w:rPr>
            </w:pPr>
            <w:r w:rsidRPr="00A23ACF">
              <w:rPr>
                <w:rFonts w:ascii="Times New Roman" w:hAnsi="Times New Roman" w:cs="Times New Roman"/>
                <w:i w:val="0"/>
                <w:iCs w:val="0"/>
                <w:color w:val="auto"/>
              </w:rPr>
              <w:t xml:space="preserve">Supplementary </w:t>
            </w:r>
            <w:r w:rsidRPr="00665427">
              <w:rPr>
                <w:rFonts w:ascii="Times New Roman" w:hAnsi="Times New Roman" w:cs="Times New Roman"/>
                <w:i w:val="0"/>
                <w:iCs w:val="0"/>
                <w:color w:val="auto"/>
              </w:rPr>
              <w:t xml:space="preserve">Table </w:t>
            </w:r>
            <w:r w:rsidR="008B15E1">
              <w:rPr>
                <w:rFonts w:ascii="Times New Roman" w:hAnsi="Times New Roman" w:cs="Times New Roman"/>
                <w:i w:val="0"/>
                <w:iCs w:val="0"/>
                <w:color w:val="auto"/>
              </w:rPr>
              <w:t>3</w:t>
            </w:r>
            <w:r w:rsidRPr="00665427">
              <w:rPr>
                <w:rFonts w:ascii="Times New Roman" w:hAnsi="Times New Roman" w:cs="Times New Roman"/>
                <w:i w:val="0"/>
                <w:iCs w:val="0"/>
                <w:color w:val="auto"/>
              </w:rPr>
              <w:t>: Top Procedure Code Utilization from MHC Patients, Overall and by Sub-Population</w:t>
            </w:r>
          </w:p>
        </w:tc>
      </w:tr>
      <w:tr w:rsidR="00430D57" w:rsidRPr="00665427" w14:paraId="010E8F36"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tcBorders>
              <w:left w:val="single" w:sz="4" w:space="0" w:color="666666" w:themeColor="text1" w:themeTint="99"/>
              <w:bottom w:val="single" w:sz="4" w:space="0" w:color="666666" w:themeColor="text1" w:themeTint="99"/>
            </w:tcBorders>
            <w:noWrap/>
            <w:hideMark/>
          </w:tcPr>
          <w:p w14:paraId="1F3D5B70" w14:textId="77777777" w:rsidR="00430D57" w:rsidRPr="00665427" w:rsidRDefault="00430D57" w:rsidP="005A146C">
            <w:pPr>
              <w:spacing w:after="160" w:line="480" w:lineRule="auto"/>
              <w:jc w:val="left"/>
              <w:rPr>
                <w:rFonts w:ascii="Times New Roman" w:hAnsi="Times New Roman" w:cs="Times New Roman"/>
                <w:b/>
                <w:bCs/>
                <w:i w:val="0"/>
                <w:iCs w:val="0"/>
                <w:color w:val="auto"/>
              </w:rPr>
            </w:pPr>
            <w:r w:rsidRPr="00665427">
              <w:rPr>
                <w:rFonts w:ascii="Times New Roman" w:hAnsi="Times New Roman" w:cs="Times New Roman"/>
                <w:b/>
                <w:bCs/>
                <w:i w:val="0"/>
                <w:iCs w:val="0"/>
                <w:color w:val="auto"/>
              </w:rPr>
              <w:t>Procedure Name</w:t>
            </w:r>
          </w:p>
        </w:tc>
        <w:tc>
          <w:tcPr>
            <w:tcW w:w="1464" w:type="dxa"/>
            <w:tcBorders>
              <w:bottom w:val="single" w:sz="4" w:space="0" w:color="666666" w:themeColor="text1" w:themeTint="99"/>
            </w:tcBorders>
            <w:shd w:val="clear" w:color="auto" w:fill="auto"/>
            <w:noWrap/>
            <w:hideMark/>
          </w:tcPr>
          <w:p w14:paraId="0FE9A0D2"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Cost per Procedure</w:t>
            </w:r>
          </w:p>
          <w:p w14:paraId="10CB568F"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USD 2023</w:t>
            </w:r>
          </w:p>
        </w:tc>
        <w:tc>
          <w:tcPr>
            <w:tcW w:w="1625" w:type="dxa"/>
            <w:shd w:val="clear" w:color="auto" w:fill="auto"/>
            <w:noWrap/>
            <w:hideMark/>
          </w:tcPr>
          <w:p w14:paraId="63C45D4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 xml:space="preserve">All Patients </w:t>
            </w:r>
          </w:p>
          <w:p w14:paraId="7F3A4E04"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N (%)</w:t>
            </w:r>
          </w:p>
        </w:tc>
        <w:tc>
          <w:tcPr>
            <w:tcW w:w="1412" w:type="dxa"/>
            <w:shd w:val="clear" w:color="auto" w:fill="auto"/>
          </w:tcPr>
          <w:p w14:paraId="7ACFF3A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Rural Patients</w:t>
            </w:r>
          </w:p>
          <w:p w14:paraId="16C22ADA"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N (%)</w:t>
            </w:r>
          </w:p>
        </w:tc>
        <w:tc>
          <w:tcPr>
            <w:tcW w:w="1620" w:type="dxa"/>
            <w:shd w:val="clear" w:color="auto" w:fill="auto"/>
          </w:tcPr>
          <w:p w14:paraId="31F2AC1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PEH</w:t>
            </w:r>
          </w:p>
          <w:p w14:paraId="45BFA48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N (%)</w:t>
            </w:r>
          </w:p>
        </w:tc>
        <w:tc>
          <w:tcPr>
            <w:tcW w:w="900" w:type="dxa"/>
            <w:shd w:val="clear" w:color="auto" w:fill="auto"/>
          </w:tcPr>
          <w:p w14:paraId="64168F4D"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P</w:t>
            </w:r>
          </w:p>
          <w:p w14:paraId="50845DC8"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vertAlign w:val="superscript"/>
              </w:rPr>
            </w:pPr>
            <w:r w:rsidRPr="00665427">
              <w:rPr>
                <w:rFonts w:ascii="Times New Roman" w:hAnsi="Times New Roman" w:cs="Times New Roman"/>
                <w:b/>
                <w:bCs/>
                <w:color w:val="auto"/>
              </w:rPr>
              <w:t>X</w:t>
            </w:r>
            <w:r w:rsidRPr="00665427">
              <w:rPr>
                <w:rFonts w:ascii="Times New Roman" w:hAnsi="Times New Roman" w:cs="Times New Roman"/>
                <w:b/>
                <w:bCs/>
                <w:color w:val="auto"/>
                <w:vertAlign w:val="superscript"/>
              </w:rPr>
              <w:t>2</w:t>
            </w:r>
          </w:p>
        </w:tc>
      </w:tr>
      <w:tr w:rsidR="00430D57" w:rsidRPr="00665427" w14:paraId="2DABA3AE"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3419" w:type="dxa"/>
            <w:tcBorders>
              <w:top w:val="single" w:sz="4" w:space="0" w:color="666666" w:themeColor="text1" w:themeTint="99"/>
              <w:left w:val="single" w:sz="4" w:space="0" w:color="666666" w:themeColor="text1" w:themeTint="99"/>
              <w:bottom w:val="single" w:sz="4" w:space="0" w:color="666666" w:themeColor="text1" w:themeTint="99"/>
            </w:tcBorders>
            <w:noWrap/>
          </w:tcPr>
          <w:p w14:paraId="2698BE05" w14:textId="77777777" w:rsidR="00430D57" w:rsidRPr="00665427" w:rsidRDefault="00430D57" w:rsidP="005A146C">
            <w:pPr>
              <w:spacing w:after="160" w:line="480" w:lineRule="auto"/>
              <w:jc w:val="left"/>
              <w:rPr>
                <w:rFonts w:ascii="Times New Roman" w:hAnsi="Times New Roman" w:cs="Times New Roman"/>
                <w:b/>
                <w:bCs/>
                <w:i w:val="0"/>
                <w:iCs w:val="0"/>
                <w:color w:val="auto"/>
              </w:rPr>
            </w:pPr>
            <w:r w:rsidRPr="00665427">
              <w:rPr>
                <w:rFonts w:ascii="Times New Roman" w:hAnsi="Times New Roman" w:cs="Times New Roman"/>
                <w:b/>
                <w:bCs/>
                <w:i w:val="0"/>
                <w:iCs w:val="0"/>
                <w:color w:val="auto"/>
              </w:rPr>
              <w:t xml:space="preserve">Overall </w:t>
            </w:r>
          </w:p>
        </w:tc>
        <w:tc>
          <w:tcPr>
            <w:tcW w:w="1464" w:type="dxa"/>
            <w:tcBorders>
              <w:bottom w:val="single" w:sz="4" w:space="0" w:color="666666" w:themeColor="text1" w:themeTint="99"/>
            </w:tcBorders>
            <w:shd w:val="clear" w:color="auto" w:fill="auto"/>
            <w:noWrap/>
          </w:tcPr>
          <w:p w14:paraId="4CBE9085"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p>
        </w:tc>
        <w:tc>
          <w:tcPr>
            <w:tcW w:w="1625" w:type="dxa"/>
            <w:shd w:val="clear" w:color="auto" w:fill="auto"/>
            <w:noWrap/>
          </w:tcPr>
          <w:p w14:paraId="45BB2754"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1398</w:t>
            </w:r>
          </w:p>
        </w:tc>
        <w:tc>
          <w:tcPr>
            <w:tcW w:w="1412" w:type="dxa"/>
            <w:shd w:val="clear" w:color="auto" w:fill="auto"/>
          </w:tcPr>
          <w:p w14:paraId="37E09E0E"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636</w:t>
            </w:r>
          </w:p>
        </w:tc>
        <w:tc>
          <w:tcPr>
            <w:tcW w:w="1620" w:type="dxa"/>
            <w:shd w:val="clear" w:color="auto" w:fill="auto"/>
          </w:tcPr>
          <w:p w14:paraId="3F1C3F13"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243</w:t>
            </w:r>
          </w:p>
        </w:tc>
        <w:tc>
          <w:tcPr>
            <w:tcW w:w="900" w:type="dxa"/>
            <w:shd w:val="clear" w:color="auto" w:fill="auto"/>
          </w:tcPr>
          <w:p w14:paraId="39AC9A63"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665427">
              <w:rPr>
                <w:rFonts w:ascii="Times New Roman" w:hAnsi="Times New Roman" w:cs="Times New Roman"/>
                <w:b/>
                <w:bCs/>
                <w:color w:val="auto"/>
              </w:rPr>
              <w:t>&lt;0.01</w:t>
            </w:r>
          </w:p>
        </w:tc>
      </w:tr>
      <w:tr w:rsidR="00430D57" w:rsidRPr="00665427" w14:paraId="4CC73896"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tcBorders>
              <w:top w:val="single" w:sz="4" w:space="0" w:color="666666" w:themeColor="text1" w:themeTint="99"/>
            </w:tcBorders>
            <w:noWrap/>
            <w:hideMark/>
          </w:tcPr>
          <w:p w14:paraId="2CB30A47"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Moderna Covid-19 Vaccine</w:t>
            </w:r>
          </w:p>
        </w:tc>
        <w:tc>
          <w:tcPr>
            <w:tcW w:w="1464" w:type="dxa"/>
            <w:tcBorders>
              <w:top w:val="single" w:sz="4" w:space="0" w:color="666666" w:themeColor="text1" w:themeTint="99"/>
            </w:tcBorders>
            <w:shd w:val="clear" w:color="auto" w:fill="auto"/>
            <w:noWrap/>
            <w:hideMark/>
          </w:tcPr>
          <w:p w14:paraId="6B9E04E1"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0.01</w:t>
            </w:r>
          </w:p>
        </w:tc>
        <w:tc>
          <w:tcPr>
            <w:tcW w:w="1625" w:type="dxa"/>
            <w:shd w:val="clear" w:color="auto" w:fill="auto"/>
            <w:noWrap/>
            <w:hideMark/>
          </w:tcPr>
          <w:p w14:paraId="282E29B2"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162 (12%)</w:t>
            </w:r>
          </w:p>
        </w:tc>
        <w:tc>
          <w:tcPr>
            <w:tcW w:w="1412" w:type="dxa"/>
            <w:shd w:val="clear" w:color="auto" w:fill="auto"/>
          </w:tcPr>
          <w:p w14:paraId="0E02522E"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53 (8%)</w:t>
            </w:r>
          </w:p>
        </w:tc>
        <w:tc>
          <w:tcPr>
            <w:tcW w:w="1620" w:type="dxa"/>
            <w:shd w:val="clear" w:color="auto" w:fill="auto"/>
          </w:tcPr>
          <w:p w14:paraId="0A17714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 (0%)</w:t>
            </w:r>
          </w:p>
        </w:tc>
        <w:tc>
          <w:tcPr>
            <w:tcW w:w="900" w:type="dxa"/>
            <w:shd w:val="clear" w:color="auto" w:fill="auto"/>
          </w:tcPr>
          <w:p w14:paraId="4060631D"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430D57" w:rsidRPr="00665427" w14:paraId="317951AC"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11D29F4C"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lastRenderedPageBreak/>
              <w:t>Moderna Covid-19, 2nd Dose</w:t>
            </w:r>
          </w:p>
        </w:tc>
        <w:tc>
          <w:tcPr>
            <w:tcW w:w="1464" w:type="dxa"/>
            <w:shd w:val="clear" w:color="auto" w:fill="auto"/>
            <w:noWrap/>
            <w:hideMark/>
          </w:tcPr>
          <w:p w14:paraId="5835E10D"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0.00</w:t>
            </w:r>
          </w:p>
        </w:tc>
        <w:tc>
          <w:tcPr>
            <w:tcW w:w="1625" w:type="dxa"/>
            <w:shd w:val="clear" w:color="auto" w:fill="auto"/>
            <w:noWrap/>
            <w:hideMark/>
          </w:tcPr>
          <w:p w14:paraId="2607A3A3"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94 (7%)</w:t>
            </w:r>
          </w:p>
        </w:tc>
        <w:tc>
          <w:tcPr>
            <w:tcW w:w="1412" w:type="dxa"/>
            <w:shd w:val="clear" w:color="auto" w:fill="auto"/>
          </w:tcPr>
          <w:p w14:paraId="0E1D7DFB"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28 (4%)</w:t>
            </w:r>
          </w:p>
        </w:tc>
        <w:tc>
          <w:tcPr>
            <w:tcW w:w="1620" w:type="dxa"/>
            <w:shd w:val="clear" w:color="auto" w:fill="auto"/>
          </w:tcPr>
          <w:p w14:paraId="1C76D0E4"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 (0%)</w:t>
            </w:r>
          </w:p>
        </w:tc>
        <w:tc>
          <w:tcPr>
            <w:tcW w:w="900" w:type="dxa"/>
            <w:shd w:val="clear" w:color="auto" w:fill="auto"/>
          </w:tcPr>
          <w:p w14:paraId="153871FA"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430D57" w:rsidRPr="00665427" w14:paraId="587FEF92"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163F02C3"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Influenza Vaccine</w:t>
            </w:r>
          </w:p>
        </w:tc>
        <w:tc>
          <w:tcPr>
            <w:tcW w:w="1464" w:type="dxa"/>
            <w:shd w:val="clear" w:color="auto" w:fill="auto"/>
            <w:noWrap/>
            <w:hideMark/>
          </w:tcPr>
          <w:p w14:paraId="0A59AD1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21.96</w:t>
            </w:r>
          </w:p>
        </w:tc>
        <w:tc>
          <w:tcPr>
            <w:tcW w:w="1625" w:type="dxa"/>
            <w:shd w:val="clear" w:color="auto" w:fill="auto"/>
            <w:noWrap/>
            <w:hideMark/>
          </w:tcPr>
          <w:p w14:paraId="2D50F776"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54 (4%)</w:t>
            </w:r>
          </w:p>
        </w:tc>
        <w:tc>
          <w:tcPr>
            <w:tcW w:w="1412" w:type="dxa"/>
            <w:shd w:val="clear" w:color="auto" w:fill="auto"/>
          </w:tcPr>
          <w:p w14:paraId="163229A2"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45 (7%)</w:t>
            </w:r>
          </w:p>
        </w:tc>
        <w:tc>
          <w:tcPr>
            <w:tcW w:w="1620" w:type="dxa"/>
            <w:shd w:val="clear" w:color="auto" w:fill="auto"/>
          </w:tcPr>
          <w:p w14:paraId="1D73F56F"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 (0%)</w:t>
            </w:r>
          </w:p>
        </w:tc>
        <w:tc>
          <w:tcPr>
            <w:tcW w:w="900" w:type="dxa"/>
            <w:shd w:val="clear" w:color="auto" w:fill="auto"/>
          </w:tcPr>
          <w:p w14:paraId="049B650A"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430D57" w:rsidRPr="00665427" w14:paraId="7A33C0CE"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3F16A40F"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A1c (POCT)</w:t>
            </w:r>
          </w:p>
        </w:tc>
        <w:tc>
          <w:tcPr>
            <w:tcW w:w="1464" w:type="dxa"/>
            <w:shd w:val="clear" w:color="auto" w:fill="auto"/>
            <w:noWrap/>
            <w:hideMark/>
          </w:tcPr>
          <w:p w14:paraId="62A09C21"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15.00</w:t>
            </w:r>
          </w:p>
        </w:tc>
        <w:tc>
          <w:tcPr>
            <w:tcW w:w="1625" w:type="dxa"/>
            <w:shd w:val="clear" w:color="auto" w:fill="auto"/>
            <w:noWrap/>
            <w:hideMark/>
          </w:tcPr>
          <w:p w14:paraId="46927F2C"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46 (3%)</w:t>
            </w:r>
          </w:p>
        </w:tc>
        <w:tc>
          <w:tcPr>
            <w:tcW w:w="1412" w:type="dxa"/>
            <w:shd w:val="clear" w:color="auto" w:fill="auto"/>
          </w:tcPr>
          <w:p w14:paraId="7D258503"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24 (4%)</w:t>
            </w:r>
          </w:p>
        </w:tc>
        <w:tc>
          <w:tcPr>
            <w:tcW w:w="1620" w:type="dxa"/>
            <w:shd w:val="clear" w:color="auto" w:fill="auto"/>
          </w:tcPr>
          <w:p w14:paraId="236CAF9D"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8 (3%)</w:t>
            </w:r>
          </w:p>
        </w:tc>
        <w:tc>
          <w:tcPr>
            <w:tcW w:w="900" w:type="dxa"/>
            <w:shd w:val="clear" w:color="auto" w:fill="auto"/>
          </w:tcPr>
          <w:p w14:paraId="1B99E6B0"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430D57" w:rsidRPr="00665427" w14:paraId="0F50D4AF"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2E789AFE"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Moderna Covid-19 Vaccine Bivalent</w:t>
            </w:r>
          </w:p>
        </w:tc>
        <w:tc>
          <w:tcPr>
            <w:tcW w:w="1464" w:type="dxa"/>
            <w:shd w:val="clear" w:color="auto" w:fill="auto"/>
            <w:noWrap/>
            <w:hideMark/>
          </w:tcPr>
          <w:p w14:paraId="63DEDB5C"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0.01</w:t>
            </w:r>
          </w:p>
        </w:tc>
        <w:tc>
          <w:tcPr>
            <w:tcW w:w="1625" w:type="dxa"/>
            <w:shd w:val="clear" w:color="auto" w:fill="auto"/>
            <w:noWrap/>
            <w:hideMark/>
          </w:tcPr>
          <w:p w14:paraId="7792577F"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43 (3%)</w:t>
            </w:r>
          </w:p>
        </w:tc>
        <w:tc>
          <w:tcPr>
            <w:tcW w:w="1412" w:type="dxa"/>
            <w:shd w:val="clear" w:color="auto" w:fill="auto"/>
          </w:tcPr>
          <w:p w14:paraId="4433A5BD"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33 (5%)</w:t>
            </w:r>
          </w:p>
        </w:tc>
        <w:tc>
          <w:tcPr>
            <w:tcW w:w="1620" w:type="dxa"/>
            <w:shd w:val="clear" w:color="auto" w:fill="auto"/>
          </w:tcPr>
          <w:p w14:paraId="0C6A0E38"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 (0%)</w:t>
            </w:r>
          </w:p>
        </w:tc>
        <w:tc>
          <w:tcPr>
            <w:tcW w:w="900" w:type="dxa"/>
            <w:shd w:val="clear" w:color="auto" w:fill="auto"/>
          </w:tcPr>
          <w:p w14:paraId="5BB0238E"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430D57" w:rsidRPr="00665427" w14:paraId="10CBCB32"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2AFBE5BD"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Sars Antigen Test (POCT)</w:t>
            </w:r>
          </w:p>
        </w:tc>
        <w:tc>
          <w:tcPr>
            <w:tcW w:w="1464" w:type="dxa"/>
            <w:shd w:val="clear" w:color="auto" w:fill="auto"/>
            <w:noWrap/>
            <w:hideMark/>
          </w:tcPr>
          <w:p w14:paraId="1CA944ED"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125.00</w:t>
            </w:r>
          </w:p>
        </w:tc>
        <w:tc>
          <w:tcPr>
            <w:tcW w:w="1625" w:type="dxa"/>
            <w:shd w:val="clear" w:color="auto" w:fill="auto"/>
            <w:noWrap/>
            <w:hideMark/>
          </w:tcPr>
          <w:p w14:paraId="24C5F398"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38 (3%)</w:t>
            </w:r>
          </w:p>
        </w:tc>
        <w:tc>
          <w:tcPr>
            <w:tcW w:w="1412" w:type="dxa"/>
            <w:shd w:val="clear" w:color="auto" w:fill="auto"/>
          </w:tcPr>
          <w:p w14:paraId="591ECA3C"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12 (2%)</w:t>
            </w:r>
          </w:p>
        </w:tc>
        <w:tc>
          <w:tcPr>
            <w:tcW w:w="1620" w:type="dxa"/>
            <w:shd w:val="clear" w:color="auto" w:fill="auto"/>
          </w:tcPr>
          <w:p w14:paraId="0D414C99"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 (2%)</w:t>
            </w:r>
          </w:p>
        </w:tc>
        <w:tc>
          <w:tcPr>
            <w:tcW w:w="900" w:type="dxa"/>
            <w:shd w:val="clear" w:color="auto" w:fill="auto"/>
          </w:tcPr>
          <w:p w14:paraId="1D24332B"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430D57" w:rsidRPr="00665427" w14:paraId="50AD356A"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753EF715"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Covid-19 Related Encounter</w:t>
            </w:r>
          </w:p>
        </w:tc>
        <w:tc>
          <w:tcPr>
            <w:tcW w:w="1464" w:type="dxa"/>
            <w:shd w:val="clear" w:color="auto" w:fill="auto"/>
            <w:noWrap/>
            <w:hideMark/>
          </w:tcPr>
          <w:p w14:paraId="0B99CA22"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0.00</w:t>
            </w:r>
          </w:p>
        </w:tc>
        <w:tc>
          <w:tcPr>
            <w:tcW w:w="1625" w:type="dxa"/>
            <w:shd w:val="clear" w:color="auto" w:fill="auto"/>
            <w:noWrap/>
            <w:hideMark/>
          </w:tcPr>
          <w:p w14:paraId="25EC243D"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31 (2%)</w:t>
            </w:r>
          </w:p>
        </w:tc>
        <w:tc>
          <w:tcPr>
            <w:tcW w:w="1412" w:type="dxa"/>
            <w:shd w:val="clear" w:color="auto" w:fill="auto"/>
          </w:tcPr>
          <w:p w14:paraId="6F37003D"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9 (1%)</w:t>
            </w:r>
          </w:p>
        </w:tc>
        <w:tc>
          <w:tcPr>
            <w:tcW w:w="1620" w:type="dxa"/>
            <w:shd w:val="clear" w:color="auto" w:fill="auto"/>
          </w:tcPr>
          <w:p w14:paraId="2C111A53"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 (0%)</w:t>
            </w:r>
          </w:p>
        </w:tc>
        <w:tc>
          <w:tcPr>
            <w:tcW w:w="900" w:type="dxa"/>
            <w:shd w:val="clear" w:color="auto" w:fill="auto"/>
          </w:tcPr>
          <w:p w14:paraId="272BA6DD"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430D57" w:rsidRPr="00665427" w14:paraId="416F7C62"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1FE70824"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X-Ray Referral</w:t>
            </w:r>
          </w:p>
        </w:tc>
        <w:tc>
          <w:tcPr>
            <w:tcW w:w="1464" w:type="dxa"/>
            <w:shd w:val="clear" w:color="auto" w:fill="auto"/>
            <w:noWrap/>
            <w:hideMark/>
          </w:tcPr>
          <w:p w14:paraId="7D2FFE61"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0.00</w:t>
            </w:r>
          </w:p>
        </w:tc>
        <w:tc>
          <w:tcPr>
            <w:tcW w:w="1625" w:type="dxa"/>
            <w:shd w:val="clear" w:color="auto" w:fill="auto"/>
            <w:noWrap/>
            <w:hideMark/>
          </w:tcPr>
          <w:p w14:paraId="353EBD02"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28 (2%)</w:t>
            </w:r>
          </w:p>
        </w:tc>
        <w:tc>
          <w:tcPr>
            <w:tcW w:w="1412" w:type="dxa"/>
            <w:shd w:val="clear" w:color="auto" w:fill="auto"/>
          </w:tcPr>
          <w:p w14:paraId="42E5D39D"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10 (2%)</w:t>
            </w:r>
          </w:p>
        </w:tc>
        <w:tc>
          <w:tcPr>
            <w:tcW w:w="1620" w:type="dxa"/>
            <w:shd w:val="clear" w:color="auto" w:fill="auto"/>
          </w:tcPr>
          <w:p w14:paraId="05F3F85E"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7 (3%)</w:t>
            </w:r>
          </w:p>
        </w:tc>
        <w:tc>
          <w:tcPr>
            <w:tcW w:w="900" w:type="dxa"/>
            <w:shd w:val="clear" w:color="auto" w:fill="auto"/>
          </w:tcPr>
          <w:p w14:paraId="7B8BE8D0"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430D57" w:rsidRPr="00665427" w14:paraId="1AD8D6A5"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6D038900"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Visual Screening Acuity Test</w:t>
            </w:r>
          </w:p>
        </w:tc>
        <w:tc>
          <w:tcPr>
            <w:tcW w:w="1464" w:type="dxa"/>
            <w:shd w:val="clear" w:color="auto" w:fill="auto"/>
            <w:noWrap/>
            <w:hideMark/>
          </w:tcPr>
          <w:p w14:paraId="3BABB731"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2.14</w:t>
            </w:r>
          </w:p>
        </w:tc>
        <w:tc>
          <w:tcPr>
            <w:tcW w:w="1625" w:type="dxa"/>
            <w:shd w:val="clear" w:color="auto" w:fill="auto"/>
            <w:noWrap/>
            <w:hideMark/>
          </w:tcPr>
          <w:p w14:paraId="459FA5BF"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26 (2%)</w:t>
            </w:r>
          </w:p>
        </w:tc>
        <w:tc>
          <w:tcPr>
            <w:tcW w:w="1412" w:type="dxa"/>
            <w:shd w:val="clear" w:color="auto" w:fill="auto"/>
          </w:tcPr>
          <w:p w14:paraId="18A66D27"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14 (2%)</w:t>
            </w:r>
          </w:p>
        </w:tc>
        <w:tc>
          <w:tcPr>
            <w:tcW w:w="1620" w:type="dxa"/>
            <w:shd w:val="clear" w:color="auto" w:fill="auto"/>
          </w:tcPr>
          <w:p w14:paraId="43B61FB3"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0 (2%)</w:t>
            </w:r>
          </w:p>
        </w:tc>
        <w:tc>
          <w:tcPr>
            <w:tcW w:w="900" w:type="dxa"/>
            <w:shd w:val="clear" w:color="auto" w:fill="auto"/>
          </w:tcPr>
          <w:p w14:paraId="3CEAE826"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430D57" w:rsidRPr="00665427" w14:paraId="5F42E3C2"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3419" w:type="dxa"/>
            <w:noWrap/>
            <w:hideMark/>
          </w:tcPr>
          <w:p w14:paraId="0BAF2D72"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Complete Blood Count with Differential</w:t>
            </w:r>
          </w:p>
        </w:tc>
        <w:tc>
          <w:tcPr>
            <w:tcW w:w="1464" w:type="dxa"/>
            <w:shd w:val="clear" w:color="auto" w:fill="auto"/>
            <w:noWrap/>
            <w:hideMark/>
          </w:tcPr>
          <w:p w14:paraId="5A6F160D"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5.44</w:t>
            </w:r>
          </w:p>
        </w:tc>
        <w:tc>
          <w:tcPr>
            <w:tcW w:w="1625" w:type="dxa"/>
            <w:shd w:val="clear" w:color="auto" w:fill="auto"/>
            <w:noWrap/>
            <w:hideMark/>
          </w:tcPr>
          <w:p w14:paraId="72ADCDEE"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24 (2%)</w:t>
            </w:r>
          </w:p>
        </w:tc>
        <w:tc>
          <w:tcPr>
            <w:tcW w:w="1412" w:type="dxa"/>
            <w:shd w:val="clear" w:color="auto" w:fill="auto"/>
          </w:tcPr>
          <w:p w14:paraId="10C2222B"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13 (2%)</w:t>
            </w:r>
          </w:p>
        </w:tc>
        <w:tc>
          <w:tcPr>
            <w:tcW w:w="1620" w:type="dxa"/>
            <w:shd w:val="clear" w:color="auto" w:fill="auto"/>
          </w:tcPr>
          <w:p w14:paraId="02A58518"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9 (2%)</w:t>
            </w:r>
          </w:p>
        </w:tc>
        <w:tc>
          <w:tcPr>
            <w:tcW w:w="900" w:type="dxa"/>
            <w:shd w:val="clear" w:color="auto" w:fill="auto"/>
          </w:tcPr>
          <w:p w14:paraId="22EFA969" w14:textId="77777777" w:rsidR="00430D57" w:rsidRPr="00665427" w:rsidRDefault="00430D57" w:rsidP="005A146C">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430D57" w:rsidRPr="00665427" w14:paraId="23D956FA" w14:textId="77777777" w:rsidTr="005A146C">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419" w:type="dxa"/>
            <w:tcBorders>
              <w:bottom w:val="single" w:sz="4" w:space="0" w:color="666666" w:themeColor="text1" w:themeTint="99"/>
            </w:tcBorders>
            <w:noWrap/>
            <w:hideMark/>
          </w:tcPr>
          <w:p w14:paraId="24286651"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Hepatitis C Antibody</w:t>
            </w:r>
          </w:p>
          <w:p w14:paraId="3CE9E6ED" w14:textId="77777777" w:rsidR="00430D57" w:rsidRPr="00665427" w:rsidRDefault="00430D57" w:rsidP="005A146C">
            <w:pPr>
              <w:spacing w:after="160" w:line="480" w:lineRule="auto"/>
              <w:jc w:val="left"/>
              <w:rPr>
                <w:rFonts w:ascii="Times New Roman" w:hAnsi="Times New Roman" w:cs="Times New Roman"/>
                <w:i w:val="0"/>
                <w:iCs w:val="0"/>
                <w:color w:val="auto"/>
              </w:rPr>
            </w:pPr>
          </w:p>
        </w:tc>
        <w:tc>
          <w:tcPr>
            <w:tcW w:w="1464" w:type="dxa"/>
            <w:tcBorders>
              <w:bottom w:val="single" w:sz="4" w:space="0" w:color="666666" w:themeColor="text1" w:themeTint="99"/>
            </w:tcBorders>
            <w:shd w:val="clear" w:color="auto" w:fill="auto"/>
            <w:noWrap/>
            <w:hideMark/>
          </w:tcPr>
          <w:p w14:paraId="744CE018"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9.99</w:t>
            </w:r>
          </w:p>
        </w:tc>
        <w:tc>
          <w:tcPr>
            <w:tcW w:w="1625" w:type="dxa"/>
            <w:tcBorders>
              <w:bottom w:val="single" w:sz="4" w:space="0" w:color="666666" w:themeColor="text1" w:themeTint="99"/>
            </w:tcBorders>
            <w:shd w:val="clear" w:color="auto" w:fill="auto"/>
            <w:noWrap/>
            <w:hideMark/>
          </w:tcPr>
          <w:p w14:paraId="443DFC4B"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23 (2%)</w:t>
            </w:r>
          </w:p>
        </w:tc>
        <w:tc>
          <w:tcPr>
            <w:tcW w:w="1412" w:type="dxa"/>
            <w:tcBorders>
              <w:bottom w:val="single" w:sz="4" w:space="0" w:color="666666" w:themeColor="text1" w:themeTint="99"/>
            </w:tcBorders>
            <w:shd w:val="clear" w:color="auto" w:fill="auto"/>
          </w:tcPr>
          <w:p w14:paraId="1904A197"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9 (1%)</w:t>
            </w:r>
          </w:p>
        </w:tc>
        <w:tc>
          <w:tcPr>
            <w:tcW w:w="1620" w:type="dxa"/>
            <w:tcBorders>
              <w:bottom w:val="single" w:sz="4" w:space="0" w:color="666666" w:themeColor="text1" w:themeTint="99"/>
            </w:tcBorders>
            <w:shd w:val="clear" w:color="auto" w:fill="auto"/>
          </w:tcPr>
          <w:p w14:paraId="61B7D740"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65427">
              <w:rPr>
                <w:rFonts w:ascii="Times New Roman" w:hAnsi="Times New Roman" w:cs="Times New Roman"/>
                <w:color w:val="auto"/>
              </w:rPr>
              <w:t>10 (4%)</w:t>
            </w:r>
          </w:p>
        </w:tc>
        <w:tc>
          <w:tcPr>
            <w:tcW w:w="900" w:type="dxa"/>
            <w:tcBorders>
              <w:bottom w:val="single" w:sz="4" w:space="0" w:color="666666" w:themeColor="text1" w:themeTint="99"/>
            </w:tcBorders>
            <w:shd w:val="clear" w:color="auto" w:fill="auto"/>
          </w:tcPr>
          <w:p w14:paraId="64C99155" w14:textId="77777777" w:rsidR="00430D57" w:rsidRPr="00665427" w:rsidRDefault="00430D57" w:rsidP="005A146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430D57" w:rsidRPr="00665427" w14:paraId="0697D24F" w14:textId="77777777" w:rsidTr="005A146C">
        <w:trPr>
          <w:trHeight w:val="320"/>
          <w:jc w:val="center"/>
        </w:trPr>
        <w:tc>
          <w:tcPr>
            <w:cnfStyle w:val="001000000000" w:firstRow="0" w:lastRow="0" w:firstColumn="1" w:lastColumn="0" w:oddVBand="0" w:evenVBand="0" w:oddHBand="0" w:evenHBand="0" w:firstRowFirstColumn="0" w:firstRowLastColumn="0" w:lastRowFirstColumn="0" w:lastRowLastColumn="0"/>
            <w:tcW w:w="10440" w:type="dxa"/>
            <w:gridSpan w:val="6"/>
            <w:tcBorders>
              <w:top w:val="single" w:sz="4" w:space="0" w:color="666666" w:themeColor="text1" w:themeTint="99"/>
              <w:left w:val="single" w:sz="4" w:space="0" w:color="666666" w:themeColor="text1" w:themeTint="99"/>
              <w:bottom w:val="single" w:sz="4" w:space="0" w:color="666666" w:themeColor="text1" w:themeTint="99"/>
            </w:tcBorders>
            <w:noWrap/>
          </w:tcPr>
          <w:p w14:paraId="63EA7A47"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Ranked top eleven procedure codes utilized over one year of MHC intervention operation compared between patient sub-populations using x</w:t>
            </w:r>
            <w:r w:rsidRPr="00665427">
              <w:rPr>
                <w:rFonts w:ascii="Times New Roman" w:hAnsi="Times New Roman" w:cs="Times New Roman"/>
                <w:i w:val="0"/>
                <w:iCs w:val="0"/>
                <w:color w:val="auto"/>
                <w:vertAlign w:val="superscript"/>
              </w:rPr>
              <w:t>2</w:t>
            </w:r>
            <w:r w:rsidRPr="00665427">
              <w:rPr>
                <w:rFonts w:ascii="Times New Roman" w:hAnsi="Times New Roman" w:cs="Times New Roman"/>
                <w:i w:val="0"/>
                <w:iCs w:val="0"/>
                <w:color w:val="auto"/>
              </w:rPr>
              <w:t xml:space="preserve"> (p &lt; 0.01). Cost per procedure unit cost reported using Oregon State Medicaid Fee Schedule 2023. </w:t>
            </w:r>
          </w:p>
          <w:p w14:paraId="3561DE3E" w14:textId="77777777" w:rsidR="00430D57" w:rsidRPr="00665427" w:rsidRDefault="00430D57" w:rsidP="005A146C">
            <w:pPr>
              <w:spacing w:after="160" w:line="480" w:lineRule="auto"/>
              <w:jc w:val="left"/>
              <w:rPr>
                <w:rFonts w:ascii="Times New Roman" w:hAnsi="Times New Roman" w:cs="Times New Roman"/>
                <w:i w:val="0"/>
                <w:iCs w:val="0"/>
                <w:color w:val="auto"/>
              </w:rPr>
            </w:pPr>
            <w:r w:rsidRPr="00665427">
              <w:rPr>
                <w:rFonts w:ascii="Times New Roman" w:hAnsi="Times New Roman" w:cs="Times New Roman"/>
                <w:i w:val="0"/>
                <w:iCs w:val="0"/>
                <w:color w:val="auto"/>
              </w:rPr>
              <w:t>PEH = Patients experiencing houselessness; POCT = Point of care testing; % Δ = percent change</w:t>
            </w:r>
          </w:p>
        </w:tc>
      </w:tr>
    </w:tbl>
    <w:p w14:paraId="0DD68A2E" w14:textId="77777777" w:rsidR="00F6762C" w:rsidRDefault="00F6762C"/>
    <w:p w14:paraId="785576F9" w14:textId="77777777" w:rsidR="00430D57" w:rsidRDefault="00430D57"/>
    <w:sectPr w:rsidR="00430D57" w:rsidSect="0074120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in, Tracy" w:date="2024-01-29T12:22:00Z" w:initials="TL">
    <w:p w14:paraId="73C2F09E" w14:textId="77777777" w:rsidR="00665427" w:rsidRDefault="00665427" w:rsidP="00665427">
      <w:r>
        <w:rPr>
          <w:rStyle w:val="CommentReference"/>
        </w:rPr>
        <w:annotationRef/>
      </w:r>
      <w:r>
        <w:rPr>
          <w:sz w:val="20"/>
          <w:szCs w:val="20"/>
        </w:rPr>
        <w:t>Inconsistent use of decimal points throughout manuscript. Please make sure they are consistent.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3C2F0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9B0EA9D" w16cex:dateUtc="2024-01-29T2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3C2F09E" w16cid:durableId="69B0EA9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in, Tracy">
    <w15:presenceInfo w15:providerId="AD" w15:userId="S::Tracy.Lin@ucsf.edu::1760ccec-5ba1-4362-bc48-63813bb5bb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2C"/>
    <w:rsid w:val="00080690"/>
    <w:rsid w:val="00183193"/>
    <w:rsid w:val="00247447"/>
    <w:rsid w:val="002F47E7"/>
    <w:rsid w:val="00313303"/>
    <w:rsid w:val="00430D57"/>
    <w:rsid w:val="00445D6D"/>
    <w:rsid w:val="004A45D9"/>
    <w:rsid w:val="005140EC"/>
    <w:rsid w:val="00532DC0"/>
    <w:rsid w:val="00590D26"/>
    <w:rsid w:val="00665427"/>
    <w:rsid w:val="00721ACA"/>
    <w:rsid w:val="00741200"/>
    <w:rsid w:val="008A494F"/>
    <w:rsid w:val="008B15E1"/>
    <w:rsid w:val="009B586E"/>
    <w:rsid w:val="00A23ACF"/>
    <w:rsid w:val="00BC1E4D"/>
    <w:rsid w:val="00C1667C"/>
    <w:rsid w:val="00D478E2"/>
    <w:rsid w:val="00D85636"/>
    <w:rsid w:val="00ED7340"/>
    <w:rsid w:val="00F67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F4D2"/>
  <w15:chartTrackingRefBased/>
  <w15:docId w15:val="{B8BA7A10-C461-2C46-9B60-30702177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6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6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6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6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62C"/>
    <w:rPr>
      <w:rFonts w:eastAsiaTheme="majorEastAsia" w:cstheme="majorBidi"/>
      <w:color w:val="272727" w:themeColor="text1" w:themeTint="D8"/>
    </w:rPr>
  </w:style>
  <w:style w:type="paragraph" w:styleId="Title">
    <w:name w:val="Title"/>
    <w:basedOn w:val="Normal"/>
    <w:next w:val="Normal"/>
    <w:link w:val="TitleChar"/>
    <w:uiPriority w:val="10"/>
    <w:qFormat/>
    <w:rsid w:val="00F676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62C"/>
    <w:pPr>
      <w:spacing w:before="160"/>
      <w:jc w:val="center"/>
    </w:pPr>
    <w:rPr>
      <w:i/>
      <w:iCs/>
      <w:color w:val="404040" w:themeColor="text1" w:themeTint="BF"/>
    </w:rPr>
  </w:style>
  <w:style w:type="character" w:customStyle="1" w:styleId="QuoteChar">
    <w:name w:val="Quote Char"/>
    <w:basedOn w:val="DefaultParagraphFont"/>
    <w:link w:val="Quote"/>
    <w:uiPriority w:val="29"/>
    <w:rsid w:val="00F6762C"/>
    <w:rPr>
      <w:i/>
      <w:iCs/>
      <w:color w:val="404040" w:themeColor="text1" w:themeTint="BF"/>
    </w:rPr>
  </w:style>
  <w:style w:type="paragraph" w:styleId="ListParagraph">
    <w:name w:val="List Paragraph"/>
    <w:basedOn w:val="Normal"/>
    <w:uiPriority w:val="34"/>
    <w:qFormat/>
    <w:rsid w:val="00F6762C"/>
    <w:pPr>
      <w:ind w:left="720"/>
      <w:contextualSpacing/>
    </w:pPr>
  </w:style>
  <w:style w:type="character" w:styleId="IntenseEmphasis">
    <w:name w:val="Intense Emphasis"/>
    <w:basedOn w:val="DefaultParagraphFont"/>
    <w:uiPriority w:val="21"/>
    <w:qFormat/>
    <w:rsid w:val="00F6762C"/>
    <w:rPr>
      <w:i/>
      <w:iCs/>
      <w:color w:val="0F4761" w:themeColor="accent1" w:themeShade="BF"/>
    </w:rPr>
  </w:style>
  <w:style w:type="paragraph" w:styleId="IntenseQuote">
    <w:name w:val="Intense Quote"/>
    <w:basedOn w:val="Normal"/>
    <w:next w:val="Normal"/>
    <w:link w:val="IntenseQuoteChar"/>
    <w:uiPriority w:val="30"/>
    <w:qFormat/>
    <w:rsid w:val="00F67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62C"/>
    <w:rPr>
      <w:i/>
      <w:iCs/>
      <w:color w:val="0F4761" w:themeColor="accent1" w:themeShade="BF"/>
    </w:rPr>
  </w:style>
  <w:style w:type="character" w:styleId="IntenseReference">
    <w:name w:val="Intense Reference"/>
    <w:basedOn w:val="DefaultParagraphFont"/>
    <w:uiPriority w:val="32"/>
    <w:qFormat/>
    <w:rsid w:val="00F6762C"/>
    <w:rPr>
      <w:b/>
      <w:bCs/>
      <w:smallCaps/>
      <w:color w:val="0F4761" w:themeColor="accent1" w:themeShade="BF"/>
      <w:spacing w:val="5"/>
    </w:rPr>
  </w:style>
  <w:style w:type="table" w:styleId="GridTable7Colorful">
    <w:name w:val="Grid Table 7 Colorful"/>
    <w:basedOn w:val="TableNormal"/>
    <w:uiPriority w:val="52"/>
    <w:rsid w:val="006654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CommentReference">
    <w:name w:val="annotation reference"/>
    <w:basedOn w:val="DefaultParagraphFont"/>
    <w:uiPriority w:val="99"/>
    <w:semiHidden/>
    <w:unhideWhenUsed/>
    <w:rsid w:val="0066542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Higgins,Abigail</dc:creator>
  <cp:keywords/>
  <dc:description/>
  <cp:lastModifiedBy>Higgins,Abigail</cp:lastModifiedBy>
  <cp:revision>2</cp:revision>
  <dcterms:created xsi:type="dcterms:W3CDTF">2024-11-22T01:17:00Z</dcterms:created>
  <dcterms:modified xsi:type="dcterms:W3CDTF">2024-11-22T01:17:00Z</dcterms:modified>
</cp:coreProperties>
</file>