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5E9B" w14:textId="77777777" w:rsidR="00EB0D7B" w:rsidRPr="00EB0D7B" w:rsidRDefault="00EB0D7B" w:rsidP="00EB0D7B">
      <w:pPr>
        <w:spacing w:after="0" w:line="480" w:lineRule="auto"/>
        <w:jc w:val="center"/>
        <w:rPr>
          <w:rFonts w:ascii="Times New Roman" w:eastAsia="Times New Roman" w:hAnsi="Times New Roman" w:cs="Times New Roman"/>
          <w:b/>
          <w:kern w:val="0"/>
          <w:sz w:val="24"/>
          <w:szCs w:val="24"/>
          <w:lang w:val="en-GB" w:eastAsia="en-IE"/>
          <w14:ligatures w14:val="none"/>
        </w:rPr>
      </w:pPr>
      <w:r w:rsidRPr="00EB0D7B">
        <w:rPr>
          <w:rFonts w:ascii="Times New Roman" w:eastAsia="Times New Roman" w:hAnsi="Times New Roman" w:cs="Times New Roman"/>
          <w:b/>
          <w:kern w:val="0"/>
          <w:sz w:val="24"/>
          <w:szCs w:val="24"/>
          <w:lang w:val="en-GB" w:eastAsia="en-IE"/>
          <w14:ligatures w14:val="none"/>
        </w:rPr>
        <w:t>Appendices</w:t>
      </w:r>
    </w:p>
    <w:p w14:paraId="72B10C24" w14:textId="77777777" w:rsidR="00EB0D7B" w:rsidRPr="00EB0D7B" w:rsidRDefault="00EB0D7B" w:rsidP="00EB0D7B">
      <w:pPr>
        <w:spacing w:after="0" w:line="480" w:lineRule="auto"/>
        <w:jc w:val="center"/>
        <w:rPr>
          <w:rFonts w:ascii="Times New Roman" w:eastAsia="Times New Roman" w:hAnsi="Times New Roman" w:cs="Times New Roman"/>
          <w:b/>
          <w:kern w:val="0"/>
          <w:sz w:val="24"/>
          <w:szCs w:val="24"/>
          <w:lang w:val="en-GB" w:eastAsia="en-IE"/>
          <w14:ligatures w14:val="none"/>
        </w:rPr>
      </w:pPr>
    </w:p>
    <w:p w14:paraId="0D2BA4E3" w14:textId="5FEB1382" w:rsidR="00EB0D7B" w:rsidRPr="00EB0D7B" w:rsidRDefault="00EB0D7B" w:rsidP="00EB0D7B">
      <w:pPr>
        <w:spacing w:after="0" w:line="480" w:lineRule="auto"/>
        <w:jc w:val="center"/>
        <w:rPr>
          <w:rFonts w:ascii="Arial" w:eastAsia="Arial" w:hAnsi="Arial" w:cs="Arial"/>
          <w:kern w:val="0"/>
          <w:sz w:val="24"/>
          <w:szCs w:val="24"/>
          <w:vertAlign w:val="superscript"/>
          <w:lang w:val="en-GB" w:eastAsia="en-IE"/>
          <w14:ligatures w14:val="none"/>
        </w:rPr>
      </w:pPr>
      <w:r w:rsidRPr="00EB0D7B">
        <w:rPr>
          <w:rFonts w:ascii="Times New Roman" w:eastAsia="Times New Roman" w:hAnsi="Times New Roman" w:cs="Times New Roman"/>
          <w:b/>
          <w:kern w:val="0"/>
          <w:sz w:val="24"/>
          <w:szCs w:val="24"/>
          <w:lang w:val="en-GB" w:eastAsia="en-IE"/>
          <w14:ligatures w14:val="none"/>
        </w:rPr>
        <w:t>Appendix A - PRISMA checklist for systematic review</w:t>
      </w:r>
      <w:r w:rsidR="007953D7">
        <w:rPr>
          <w:rFonts w:ascii="Times New Roman" w:eastAsia="Times New Roman" w:hAnsi="Times New Roman" w:cs="Times New Roman"/>
          <w:b/>
          <w:kern w:val="0"/>
          <w:sz w:val="24"/>
          <w:szCs w:val="24"/>
          <w:vertAlign w:val="superscript"/>
          <w:lang w:val="en-GB" w:eastAsia="en-IE"/>
          <w14:ligatures w14:val="none"/>
        </w:rPr>
        <w:t>16</w:t>
      </w:r>
    </w:p>
    <w:tbl>
      <w:tblPr>
        <w:tblW w:w="11205" w:type="dxa"/>
        <w:tblInd w:w="-1015" w:type="dxa"/>
        <w:tblLayout w:type="fixed"/>
        <w:tblLook w:val="04A0" w:firstRow="1" w:lastRow="0" w:firstColumn="1" w:lastColumn="0" w:noHBand="0" w:noVBand="1"/>
      </w:tblPr>
      <w:tblGrid>
        <w:gridCol w:w="1785"/>
        <w:gridCol w:w="675"/>
        <w:gridCol w:w="7680"/>
        <w:gridCol w:w="1065"/>
      </w:tblGrid>
      <w:tr w:rsidR="00EB0D7B" w:rsidRPr="00EB0D7B" w14:paraId="2859B71F" w14:textId="77777777" w:rsidTr="00EB0D7B">
        <w:trPr>
          <w:trHeight w:val="65"/>
          <w:tblHeader/>
        </w:trPr>
        <w:tc>
          <w:tcPr>
            <w:tcW w:w="1785" w:type="dxa"/>
            <w:tcBorders>
              <w:top w:val="single" w:sz="6" w:space="0" w:color="000000"/>
              <w:left w:val="single" w:sz="6" w:space="0" w:color="000000"/>
              <w:bottom w:val="single" w:sz="4" w:space="0" w:color="FFFFCC"/>
              <w:right w:val="single" w:sz="6" w:space="0" w:color="000000"/>
            </w:tcBorders>
            <w:shd w:val="clear" w:color="auto" w:fill="63639A"/>
            <w:vAlign w:val="center"/>
            <w:hideMark/>
          </w:tcPr>
          <w:p w14:paraId="5E6149D7" w14:textId="77777777" w:rsidR="00EB0D7B" w:rsidRPr="00EB0D7B" w:rsidRDefault="00EB0D7B" w:rsidP="00EB0D7B">
            <w:pPr>
              <w:widowControl w:val="0"/>
              <w:spacing w:after="0" w:line="240" w:lineRule="auto"/>
              <w:rPr>
                <w:rFonts w:ascii="Arial" w:eastAsia="Arial" w:hAnsi="Arial" w:cs="Arial"/>
                <w:color w:val="FFFFFF"/>
                <w:kern w:val="0"/>
                <w:sz w:val="18"/>
                <w:szCs w:val="18"/>
                <w:lang w:val="en-GB" w:eastAsia="en-IE"/>
                <w14:ligatures w14:val="none"/>
              </w:rPr>
            </w:pPr>
            <w:r w:rsidRPr="00EB0D7B">
              <w:rPr>
                <w:rFonts w:ascii="Arial" w:eastAsia="Arial" w:hAnsi="Arial" w:cs="Arial"/>
                <w:b/>
                <w:color w:val="FFFFFF"/>
                <w:kern w:val="0"/>
                <w:sz w:val="18"/>
                <w:szCs w:val="18"/>
                <w:lang w:val="en-GB" w:eastAsia="en-IE"/>
                <w14:ligatures w14:val="none"/>
              </w:rPr>
              <w:t xml:space="preserve">Section and Topic </w:t>
            </w:r>
          </w:p>
        </w:tc>
        <w:tc>
          <w:tcPr>
            <w:tcW w:w="675" w:type="dxa"/>
            <w:tcBorders>
              <w:top w:val="single" w:sz="6" w:space="0" w:color="000000"/>
              <w:left w:val="single" w:sz="6" w:space="0" w:color="000000"/>
              <w:bottom w:val="single" w:sz="4" w:space="0" w:color="FFFFCC"/>
              <w:right w:val="single" w:sz="6" w:space="0" w:color="000000"/>
            </w:tcBorders>
            <w:shd w:val="clear" w:color="auto" w:fill="63639A"/>
            <w:vAlign w:val="center"/>
            <w:hideMark/>
          </w:tcPr>
          <w:p w14:paraId="555AB1D8" w14:textId="77777777" w:rsidR="00EB0D7B" w:rsidRPr="00EB0D7B" w:rsidRDefault="00EB0D7B" w:rsidP="00EB0D7B">
            <w:pPr>
              <w:widowControl w:val="0"/>
              <w:spacing w:after="0" w:line="240" w:lineRule="auto"/>
              <w:rPr>
                <w:rFonts w:ascii="Arial" w:eastAsia="Arial" w:hAnsi="Arial" w:cs="Arial"/>
                <w:b/>
                <w:color w:val="FFFFFF"/>
                <w:kern w:val="0"/>
                <w:sz w:val="18"/>
                <w:szCs w:val="18"/>
                <w:lang w:val="en-GB" w:eastAsia="en-IE"/>
                <w14:ligatures w14:val="none"/>
              </w:rPr>
            </w:pPr>
            <w:r w:rsidRPr="00EB0D7B">
              <w:rPr>
                <w:rFonts w:ascii="Arial" w:eastAsia="Arial" w:hAnsi="Arial" w:cs="Arial"/>
                <w:b/>
                <w:color w:val="FFFFFF"/>
                <w:kern w:val="0"/>
                <w:sz w:val="18"/>
                <w:szCs w:val="18"/>
                <w:lang w:val="en-GB" w:eastAsia="en-IE"/>
                <w14:ligatures w14:val="none"/>
              </w:rPr>
              <w:t>Item #</w:t>
            </w:r>
          </w:p>
        </w:tc>
        <w:tc>
          <w:tcPr>
            <w:tcW w:w="7680" w:type="dxa"/>
            <w:tcBorders>
              <w:top w:val="single" w:sz="6" w:space="0" w:color="000000"/>
              <w:left w:val="single" w:sz="6" w:space="0" w:color="000000"/>
              <w:bottom w:val="single" w:sz="6" w:space="0" w:color="000000"/>
              <w:right w:val="single" w:sz="6" w:space="0" w:color="000000"/>
            </w:tcBorders>
            <w:shd w:val="clear" w:color="auto" w:fill="63639A"/>
            <w:vAlign w:val="center"/>
            <w:hideMark/>
          </w:tcPr>
          <w:p w14:paraId="13658529" w14:textId="77777777" w:rsidR="00EB0D7B" w:rsidRPr="00EB0D7B" w:rsidRDefault="00EB0D7B" w:rsidP="00EB0D7B">
            <w:pPr>
              <w:widowControl w:val="0"/>
              <w:spacing w:after="0" w:line="240" w:lineRule="auto"/>
              <w:rPr>
                <w:rFonts w:ascii="Arial" w:eastAsia="Arial" w:hAnsi="Arial" w:cs="Arial"/>
                <w:color w:val="FFFFFF"/>
                <w:kern w:val="0"/>
                <w:sz w:val="18"/>
                <w:szCs w:val="18"/>
                <w:lang w:val="en-GB" w:eastAsia="en-IE"/>
                <w14:ligatures w14:val="none"/>
              </w:rPr>
            </w:pPr>
            <w:r w:rsidRPr="00EB0D7B">
              <w:rPr>
                <w:rFonts w:ascii="Arial" w:eastAsia="Arial" w:hAnsi="Arial" w:cs="Arial"/>
                <w:b/>
                <w:color w:val="FFFFFF"/>
                <w:kern w:val="0"/>
                <w:sz w:val="18"/>
                <w:szCs w:val="18"/>
                <w:lang w:val="en-GB" w:eastAsia="en-IE"/>
                <w14:ligatures w14:val="none"/>
              </w:rPr>
              <w:t xml:space="preserve">Checklist item </w:t>
            </w:r>
          </w:p>
        </w:tc>
        <w:tc>
          <w:tcPr>
            <w:tcW w:w="1065" w:type="dxa"/>
            <w:tcBorders>
              <w:top w:val="single" w:sz="6" w:space="0" w:color="000000"/>
              <w:left w:val="single" w:sz="6" w:space="0" w:color="000000"/>
              <w:bottom w:val="single" w:sz="6" w:space="0" w:color="000000"/>
              <w:right w:val="single" w:sz="6" w:space="0" w:color="000000"/>
            </w:tcBorders>
            <w:shd w:val="clear" w:color="auto" w:fill="63639A"/>
            <w:vAlign w:val="center"/>
            <w:hideMark/>
          </w:tcPr>
          <w:p w14:paraId="38B239A1" w14:textId="77777777" w:rsidR="00EB0D7B" w:rsidRPr="00EB0D7B" w:rsidRDefault="00EB0D7B" w:rsidP="00EB0D7B">
            <w:pPr>
              <w:widowControl w:val="0"/>
              <w:spacing w:after="0" w:line="240" w:lineRule="auto"/>
              <w:rPr>
                <w:rFonts w:ascii="Arial" w:eastAsia="Arial" w:hAnsi="Arial" w:cs="Arial"/>
                <w:color w:val="FFFFFF"/>
                <w:kern w:val="0"/>
                <w:sz w:val="18"/>
                <w:szCs w:val="18"/>
                <w:lang w:val="en-GB" w:eastAsia="en-IE"/>
                <w14:ligatures w14:val="none"/>
              </w:rPr>
            </w:pPr>
            <w:r w:rsidRPr="00EB0D7B">
              <w:rPr>
                <w:rFonts w:ascii="Arial" w:eastAsia="Arial" w:hAnsi="Arial" w:cs="Arial"/>
                <w:b/>
                <w:color w:val="FFFFFF"/>
                <w:kern w:val="0"/>
                <w:sz w:val="18"/>
                <w:szCs w:val="18"/>
                <w:lang w:val="en-GB" w:eastAsia="en-IE"/>
                <w14:ligatures w14:val="none"/>
              </w:rPr>
              <w:t xml:space="preserve">Location where item is reported </w:t>
            </w:r>
          </w:p>
        </w:tc>
      </w:tr>
      <w:tr w:rsidR="00EB0D7B" w:rsidRPr="00EB0D7B" w14:paraId="7A23DD53" w14:textId="77777777" w:rsidTr="00EB0D7B">
        <w:trPr>
          <w:trHeight w:val="24"/>
        </w:trPr>
        <w:tc>
          <w:tcPr>
            <w:tcW w:w="10140"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hideMark/>
          </w:tcPr>
          <w:p w14:paraId="14D2EDBE" w14:textId="77777777" w:rsidR="00EB0D7B" w:rsidRPr="00EB0D7B" w:rsidRDefault="00EB0D7B" w:rsidP="00EB0D7B">
            <w:pPr>
              <w:widowControl w:val="0"/>
              <w:spacing w:after="0" w:line="240" w:lineRule="auto"/>
              <w:rPr>
                <w:rFonts w:ascii="Arial" w:eastAsia="Arial" w:hAnsi="Arial" w:cs="Arial"/>
                <w:kern w:val="0"/>
                <w:sz w:val="18"/>
                <w:szCs w:val="18"/>
                <w:lang w:val="en-GB" w:eastAsia="en-IE"/>
                <w14:ligatures w14:val="none"/>
              </w:rPr>
            </w:pPr>
            <w:r w:rsidRPr="00EB0D7B">
              <w:rPr>
                <w:rFonts w:ascii="Arial" w:eastAsia="Arial" w:hAnsi="Arial" w:cs="Arial"/>
                <w:b/>
                <w:kern w:val="0"/>
                <w:sz w:val="18"/>
                <w:szCs w:val="18"/>
                <w:lang w:val="en-GB" w:eastAsia="en-IE"/>
                <w14:ligatures w14:val="none"/>
              </w:rPr>
              <w:t xml:space="preserve">TITLE </w:t>
            </w:r>
          </w:p>
        </w:tc>
        <w:tc>
          <w:tcPr>
            <w:tcW w:w="1065" w:type="dxa"/>
            <w:tcBorders>
              <w:top w:val="single" w:sz="6" w:space="0" w:color="000000"/>
              <w:left w:val="single" w:sz="6" w:space="0" w:color="000000"/>
              <w:bottom w:val="single" w:sz="6" w:space="0" w:color="000000"/>
              <w:right w:val="single" w:sz="6" w:space="0" w:color="000000"/>
            </w:tcBorders>
            <w:shd w:val="clear" w:color="auto" w:fill="FFFFCC"/>
          </w:tcPr>
          <w:p w14:paraId="7AF73E74" w14:textId="77777777" w:rsidR="00EB0D7B" w:rsidRPr="00EB0D7B" w:rsidRDefault="00EB0D7B" w:rsidP="00EB0D7B">
            <w:pPr>
              <w:widowControl w:val="0"/>
              <w:spacing w:after="0" w:line="240" w:lineRule="auto"/>
              <w:jc w:val="right"/>
              <w:rPr>
                <w:rFonts w:ascii="Arial" w:eastAsia="Arial" w:hAnsi="Arial" w:cs="Arial"/>
                <w:kern w:val="0"/>
                <w:sz w:val="18"/>
                <w:szCs w:val="18"/>
                <w:lang w:val="en-GB" w:eastAsia="en-IE"/>
                <w14:ligatures w14:val="none"/>
              </w:rPr>
            </w:pPr>
          </w:p>
        </w:tc>
      </w:tr>
      <w:tr w:rsidR="00EB0D7B" w:rsidRPr="00EB0D7B" w14:paraId="03A4532D" w14:textId="77777777" w:rsidTr="00EB0D7B">
        <w:trPr>
          <w:trHeight w:val="48"/>
        </w:trPr>
        <w:tc>
          <w:tcPr>
            <w:tcW w:w="1785" w:type="dxa"/>
            <w:tcBorders>
              <w:top w:val="single" w:sz="6" w:space="0" w:color="000000"/>
              <w:left w:val="single" w:sz="6" w:space="0" w:color="000000"/>
              <w:bottom w:val="single" w:sz="4" w:space="0" w:color="FFFFCC"/>
              <w:right w:val="single" w:sz="6" w:space="0" w:color="000000"/>
            </w:tcBorders>
            <w:hideMark/>
          </w:tcPr>
          <w:p w14:paraId="4CEEBCA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Title </w:t>
            </w:r>
          </w:p>
        </w:tc>
        <w:tc>
          <w:tcPr>
            <w:tcW w:w="675" w:type="dxa"/>
            <w:tcBorders>
              <w:top w:val="single" w:sz="6" w:space="0" w:color="000000"/>
              <w:left w:val="single" w:sz="6" w:space="0" w:color="000000"/>
              <w:bottom w:val="single" w:sz="4" w:space="0" w:color="FFFFCC"/>
              <w:right w:val="single" w:sz="6" w:space="0" w:color="000000"/>
            </w:tcBorders>
            <w:hideMark/>
          </w:tcPr>
          <w:p w14:paraId="7DC8241D"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w:t>
            </w:r>
          </w:p>
        </w:tc>
        <w:tc>
          <w:tcPr>
            <w:tcW w:w="7680" w:type="dxa"/>
            <w:tcBorders>
              <w:top w:val="single" w:sz="6" w:space="0" w:color="000000"/>
              <w:left w:val="single" w:sz="6" w:space="0" w:color="000000"/>
              <w:bottom w:val="single" w:sz="6" w:space="0" w:color="000000"/>
              <w:right w:val="single" w:sz="6" w:space="0" w:color="000000"/>
            </w:tcBorders>
            <w:hideMark/>
          </w:tcPr>
          <w:p w14:paraId="021E576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Identify the report as a systematic review.</w:t>
            </w:r>
          </w:p>
        </w:tc>
        <w:tc>
          <w:tcPr>
            <w:tcW w:w="1065" w:type="dxa"/>
            <w:tcBorders>
              <w:top w:val="single" w:sz="6" w:space="0" w:color="000000"/>
              <w:left w:val="single" w:sz="6" w:space="0" w:color="000000"/>
              <w:bottom w:val="single" w:sz="6" w:space="0" w:color="000000"/>
              <w:right w:val="single" w:sz="6" w:space="0" w:color="000000"/>
            </w:tcBorders>
            <w:hideMark/>
          </w:tcPr>
          <w:p w14:paraId="610B255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w:t>
            </w:r>
          </w:p>
        </w:tc>
      </w:tr>
      <w:tr w:rsidR="00EB0D7B" w:rsidRPr="00EB0D7B" w14:paraId="42B19AD0" w14:textId="77777777" w:rsidTr="00EB0D7B">
        <w:trPr>
          <w:trHeight w:val="24"/>
        </w:trPr>
        <w:tc>
          <w:tcPr>
            <w:tcW w:w="10140"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hideMark/>
          </w:tcPr>
          <w:p w14:paraId="5217A449" w14:textId="77777777" w:rsidR="00EB0D7B" w:rsidRPr="00EB0D7B" w:rsidRDefault="00EB0D7B" w:rsidP="00EB0D7B">
            <w:pPr>
              <w:widowControl w:val="0"/>
              <w:spacing w:after="0" w:line="240" w:lineRule="auto"/>
              <w:rPr>
                <w:rFonts w:ascii="Arial" w:eastAsia="Arial" w:hAnsi="Arial" w:cs="Arial"/>
                <w:kern w:val="0"/>
                <w:sz w:val="18"/>
                <w:szCs w:val="18"/>
                <w:lang w:val="en-GB" w:eastAsia="en-IE"/>
                <w14:ligatures w14:val="none"/>
              </w:rPr>
            </w:pPr>
            <w:r w:rsidRPr="00EB0D7B">
              <w:rPr>
                <w:rFonts w:ascii="Arial" w:eastAsia="Arial" w:hAnsi="Arial" w:cs="Arial"/>
                <w:b/>
                <w:kern w:val="0"/>
                <w:sz w:val="18"/>
                <w:szCs w:val="18"/>
                <w:lang w:val="en-GB" w:eastAsia="en-IE"/>
                <w14:ligatures w14:val="none"/>
              </w:rPr>
              <w:t xml:space="preserve">ABSTRACT </w:t>
            </w:r>
          </w:p>
        </w:tc>
        <w:tc>
          <w:tcPr>
            <w:tcW w:w="1065" w:type="dxa"/>
            <w:tcBorders>
              <w:top w:val="single" w:sz="6" w:space="0" w:color="000000"/>
              <w:left w:val="single" w:sz="6" w:space="0" w:color="000000"/>
              <w:bottom w:val="single" w:sz="6" w:space="0" w:color="000000"/>
              <w:right w:val="single" w:sz="6" w:space="0" w:color="000000"/>
            </w:tcBorders>
            <w:shd w:val="clear" w:color="auto" w:fill="FFFFCC"/>
          </w:tcPr>
          <w:p w14:paraId="70067489" w14:textId="77777777" w:rsidR="00EB0D7B" w:rsidRPr="00EB0D7B" w:rsidRDefault="00EB0D7B" w:rsidP="00EB0D7B">
            <w:pPr>
              <w:widowControl w:val="0"/>
              <w:spacing w:after="0" w:line="240" w:lineRule="auto"/>
              <w:jc w:val="right"/>
              <w:rPr>
                <w:rFonts w:ascii="Arial" w:eastAsia="Arial" w:hAnsi="Arial" w:cs="Arial"/>
                <w:kern w:val="0"/>
                <w:sz w:val="18"/>
                <w:szCs w:val="18"/>
                <w:lang w:val="en-GB" w:eastAsia="en-IE"/>
                <w14:ligatures w14:val="none"/>
              </w:rPr>
            </w:pPr>
          </w:p>
        </w:tc>
      </w:tr>
      <w:tr w:rsidR="00EB0D7B" w:rsidRPr="00EB0D7B" w14:paraId="7C28DBAF" w14:textId="77777777" w:rsidTr="00EB0D7B">
        <w:trPr>
          <w:trHeight w:val="48"/>
        </w:trPr>
        <w:tc>
          <w:tcPr>
            <w:tcW w:w="1785" w:type="dxa"/>
            <w:tcBorders>
              <w:top w:val="single" w:sz="6" w:space="0" w:color="000000"/>
              <w:left w:val="single" w:sz="6" w:space="0" w:color="000000"/>
              <w:bottom w:val="single" w:sz="4" w:space="0" w:color="FFFFCC"/>
              <w:right w:val="single" w:sz="6" w:space="0" w:color="000000"/>
            </w:tcBorders>
            <w:hideMark/>
          </w:tcPr>
          <w:p w14:paraId="328CFEE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Abstract </w:t>
            </w:r>
          </w:p>
        </w:tc>
        <w:tc>
          <w:tcPr>
            <w:tcW w:w="675" w:type="dxa"/>
            <w:tcBorders>
              <w:top w:val="single" w:sz="6" w:space="0" w:color="000000"/>
              <w:left w:val="single" w:sz="6" w:space="0" w:color="000000"/>
              <w:bottom w:val="single" w:sz="4" w:space="0" w:color="FFFFCC"/>
              <w:right w:val="single" w:sz="6" w:space="0" w:color="000000"/>
            </w:tcBorders>
            <w:hideMark/>
          </w:tcPr>
          <w:p w14:paraId="661B6F28"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w:t>
            </w:r>
          </w:p>
        </w:tc>
        <w:tc>
          <w:tcPr>
            <w:tcW w:w="7680" w:type="dxa"/>
            <w:tcBorders>
              <w:top w:val="single" w:sz="6" w:space="0" w:color="000000"/>
              <w:left w:val="single" w:sz="6" w:space="0" w:color="000000"/>
              <w:bottom w:val="single" w:sz="6" w:space="0" w:color="000000"/>
              <w:right w:val="single" w:sz="6" w:space="0" w:color="000000"/>
            </w:tcBorders>
            <w:hideMark/>
          </w:tcPr>
          <w:p w14:paraId="458434D0"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See the PRISMA 2020 for Abstracts checklist.</w:t>
            </w:r>
          </w:p>
        </w:tc>
        <w:tc>
          <w:tcPr>
            <w:tcW w:w="1065" w:type="dxa"/>
            <w:tcBorders>
              <w:top w:val="single" w:sz="6" w:space="0" w:color="000000"/>
              <w:left w:val="single" w:sz="6" w:space="0" w:color="000000"/>
              <w:bottom w:val="single" w:sz="6" w:space="0" w:color="000000"/>
              <w:right w:val="single" w:sz="6" w:space="0" w:color="000000"/>
            </w:tcBorders>
            <w:hideMark/>
          </w:tcPr>
          <w:p w14:paraId="7BEADCE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1-2</w:t>
            </w:r>
          </w:p>
        </w:tc>
      </w:tr>
      <w:tr w:rsidR="00EB0D7B" w:rsidRPr="00EB0D7B" w14:paraId="72C217ED" w14:textId="77777777" w:rsidTr="00EB0D7B">
        <w:trPr>
          <w:trHeight w:val="24"/>
        </w:trPr>
        <w:tc>
          <w:tcPr>
            <w:tcW w:w="10140"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hideMark/>
          </w:tcPr>
          <w:p w14:paraId="4680C614" w14:textId="77777777" w:rsidR="00EB0D7B" w:rsidRPr="00EB0D7B" w:rsidRDefault="00EB0D7B" w:rsidP="00EB0D7B">
            <w:pPr>
              <w:widowControl w:val="0"/>
              <w:spacing w:after="0" w:line="240" w:lineRule="auto"/>
              <w:rPr>
                <w:rFonts w:ascii="Arial" w:eastAsia="Arial" w:hAnsi="Arial" w:cs="Arial"/>
                <w:kern w:val="0"/>
                <w:sz w:val="18"/>
                <w:szCs w:val="18"/>
                <w:lang w:val="en-GB" w:eastAsia="en-IE"/>
                <w14:ligatures w14:val="none"/>
              </w:rPr>
            </w:pPr>
            <w:r w:rsidRPr="00EB0D7B">
              <w:rPr>
                <w:rFonts w:ascii="Arial" w:eastAsia="Arial" w:hAnsi="Arial" w:cs="Arial"/>
                <w:b/>
                <w:kern w:val="0"/>
                <w:sz w:val="18"/>
                <w:szCs w:val="18"/>
                <w:lang w:val="en-GB" w:eastAsia="en-IE"/>
                <w14:ligatures w14:val="none"/>
              </w:rPr>
              <w:t xml:space="preserve">INTRODUCTION </w:t>
            </w:r>
          </w:p>
        </w:tc>
        <w:tc>
          <w:tcPr>
            <w:tcW w:w="1065" w:type="dxa"/>
            <w:tcBorders>
              <w:top w:val="single" w:sz="6" w:space="0" w:color="000000"/>
              <w:left w:val="single" w:sz="6" w:space="0" w:color="000000"/>
              <w:bottom w:val="single" w:sz="6" w:space="0" w:color="000000"/>
              <w:right w:val="single" w:sz="6" w:space="0" w:color="000000"/>
            </w:tcBorders>
            <w:shd w:val="clear" w:color="auto" w:fill="FFFFCC"/>
          </w:tcPr>
          <w:p w14:paraId="553BD0B2" w14:textId="77777777" w:rsidR="00EB0D7B" w:rsidRPr="00EB0D7B" w:rsidRDefault="00EB0D7B" w:rsidP="00EB0D7B">
            <w:pPr>
              <w:widowControl w:val="0"/>
              <w:spacing w:after="0" w:line="240" w:lineRule="auto"/>
              <w:jc w:val="right"/>
              <w:rPr>
                <w:rFonts w:ascii="Arial" w:eastAsia="Arial" w:hAnsi="Arial" w:cs="Arial"/>
                <w:kern w:val="0"/>
                <w:sz w:val="18"/>
                <w:szCs w:val="18"/>
                <w:lang w:val="en-GB" w:eastAsia="en-IE"/>
                <w14:ligatures w14:val="none"/>
              </w:rPr>
            </w:pPr>
          </w:p>
        </w:tc>
      </w:tr>
      <w:tr w:rsidR="00EB0D7B" w:rsidRPr="00EB0D7B" w14:paraId="1322CDDC"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1B1CC21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Rationale </w:t>
            </w:r>
          </w:p>
        </w:tc>
        <w:tc>
          <w:tcPr>
            <w:tcW w:w="675" w:type="dxa"/>
            <w:tcBorders>
              <w:top w:val="single" w:sz="6" w:space="0" w:color="000000"/>
              <w:left w:val="single" w:sz="6" w:space="0" w:color="000000"/>
              <w:bottom w:val="single" w:sz="6" w:space="0" w:color="000000"/>
              <w:right w:val="single" w:sz="6" w:space="0" w:color="000000"/>
            </w:tcBorders>
            <w:hideMark/>
          </w:tcPr>
          <w:p w14:paraId="394E5128"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3</w:t>
            </w:r>
          </w:p>
        </w:tc>
        <w:tc>
          <w:tcPr>
            <w:tcW w:w="7680" w:type="dxa"/>
            <w:tcBorders>
              <w:top w:val="single" w:sz="6" w:space="0" w:color="000000"/>
              <w:left w:val="single" w:sz="6" w:space="0" w:color="000000"/>
              <w:bottom w:val="single" w:sz="6" w:space="0" w:color="000000"/>
              <w:right w:val="single" w:sz="6" w:space="0" w:color="000000"/>
            </w:tcBorders>
            <w:hideMark/>
          </w:tcPr>
          <w:p w14:paraId="0C8C47D9"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the rationale for the review in the context of existing knowledge.</w:t>
            </w:r>
          </w:p>
        </w:tc>
        <w:tc>
          <w:tcPr>
            <w:tcW w:w="1065" w:type="dxa"/>
            <w:tcBorders>
              <w:top w:val="single" w:sz="6" w:space="0" w:color="000000"/>
              <w:left w:val="single" w:sz="6" w:space="0" w:color="000000"/>
              <w:bottom w:val="single" w:sz="6" w:space="0" w:color="000000"/>
              <w:right w:val="single" w:sz="6" w:space="0" w:color="000000"/>
            </w:tcBorders>
            <w:hideMark/>
          </w:tcPr>
          <w:p w14:paraId="7CACFAE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3-4</w:t>
            </w:r>
          </w:p>
        </w:tc>
      </w:tr>
      <w:tr w:rsidR="00EB0D7B" w:rsidRPr="00EB0D7B" w14:paraId="4BA40858" w14:textId="77777777" w:rsidTr="00EB0D7B">
        <w:trPr>
          <w:trHeight w:val="48"/>
        </w:trPr>
        <w:tc>
          <w:tcPr>
            <w:tcW w:w="1785" w:type="dxa"/>
            <w:tcBorders>
              <w:top w:val="single" w:sz="6" w:space="0" w:color="000000"/>
              <w:left w:val="single" w:sz="6" w:space="0" w:color="000000"/>
              <w:bottom w:val="single" w:sz="4" w:space="0" w:color="FFFFCC"/>
              <w:right w:val="single" w:sz="6" w:space="0" w:color="000000"/>
            </w:tcBorders>
            <w:hideMark/>
          </w:tcPr>
          <w:p w14:paraId="3940254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Objectives </w:t>
            </w:r>
          </w:p>
        </w:tc>
        <w:tc>
          <w:tcPr>
            <w:tcW w:w="675" w:type="dxa"/>
            <w:tcBorders>
              <w:top w:val="single" w:sz="6" w:space="0" w:color="000000"/>
              <w:left w:val="single" w:sz="6" w:space="0" w:color="000000"/>
              <w:bottom w:val="single" w:sz="4" w:space="0" w:color="FFFFCC"/>
              <w:right w:val="single" w:sz="6" w:space="0" w:color="000000"/>
            </w:tcBorders>
            <w:hideMark/>
          </w:tcPr>
          <w:p w14:paraId="6CE3AD2C"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4</w:t>
            </w:r>
          </w:p>
        </w:tc>
        <w:tc>
          <w:tcPr>
            <w:tcW w:w="7680" w:type="dxa"/>
            <w:tcBorders>
              <w:top w:val="single" w:sz="6" w:space="0" w:color="000000"/>
              <w:left w:val="single" w:sz="6" w:space="0" w:color="000000"/>
              <w:bottom w:val="single" w:sz="6" w:space="0" w:color="000000"/>
              <w:right w:val="single" w:sz="6" w:space="0" w:color="000000"/>
            </w:tcBorders>
            <w:hideMark/>
          </w:tcPr>
          <w:p w14:paraId="757765A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Provide an explicit statement of the objective(s) or question(s) the review addresses.</w:t>
            </w:r>
          </w:p>
        </w:tc>
        <w:tc>
          <w:tcPr>
            <w:tcW w:w="1065" w:type="dxa"/>
            <w:tcBorders>
              <w:top w:val="single" w:sz="6" w:space="0" w:color="000000"/>
              <w:left w:val="single" w:sz="6" w:space="0" w:color="000000"/>
              <w:bottom w:val="single" w:sz="6" w:space="0" w:color="000000"/>
              <w:right w:val="single" w:sz="6" w:space="0" w:color="000000"/>
            </w:tcBorders>
            <w:hideMark/>
          </w:tcPr>
          <w:p w14:paraId="0083641B"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4</w:t>
            </w:r>
          </w:p>
        </w:tc>
      </w:tr>
      <w:tr w:rsidR="00EB0D7B" w:rsidRPr="00EB0D7B" w14:paraId="70CFB2A2" w14:textId="77777777" w:rsidTr="00EB0D7B">
        <w:trPr>
          <w:trHeight w:val="24"/>
        </w:trPr>
        <w:tc>
          <w:tcPr>
            <w:tcW w:w="10140"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hideMark/>
          </w:tcPr>
          <w:p w14:paraId="6EE0FC12" w14:textId="77777777" w:rsidR="00EB0D7B" w:rsidRPr="00EB0D7B" w:rsidRDefault="00EB0D7B" w:rsidP="00EB0D7B">
            <w:pPr>
              <w:widowControl w:val="0"/>
              <w:spacing w:after="0" w:line="240" w:lineRule="auto"/>
              <w:rPr>
                <w:rFonts w:ascii="Arial" w:eastAsia="Arial" w:hAnsi="Arial" w:cs="Arial"/>
                <w:kern w:val="0"/>
                <w:sz w:val="18"/>
                <w:szCs w:val="18"/>
                <w:lang w:val="en-GB" w:eastAsia="en-IE"/>
                <w14:ligatures w14:val="none"/>
              </w:rPr>
            </w:pPr>
            <w:r w:rsidRPr="00EB0D7B">
              <w:rPr>
                <w:rFonts w:ascii="Arial" w:eastAsia="Arial" w:hAnsi="Arial" w:cs="Arial"/>
                <w:b/>
                <w:kern w:val="0"/>
                <w:sz w:val="18"/>
                <w:szCs w:val="18"/>
                <w:lang w:val="en-GB" w:eastAsia="en-IE"/>
                <w14:ligatures w14:val="none"/>
              </w:rPr>
              <w:t xml:space="preserve">METHODS </w:t>
            </w:r>
          </w:p>
        </w:tc>
        <w:tc>
          <w:tcPr>
            <w:tcW w:w="1065" w:type="dxa"/>
            <w:tcBorders>
              <w:top w:val="single" w:sz="6" w:space="0" w:color="000000"/>
              <w:left w:val="single" w:sz="6" w:space="0" w:color="000000"/>
              <w:bottom w:val="single" w:sz="6" w:space="0" w:color="000000"/>
              <w:right w:val="single" w:sz="6" w:space="0" w:color="000000"/>
            </w:tcBorders>
            <w:shd w:val="clear" w:color="auto" w:fill="FFFFCC"/>
          </w:tcPr>
          <w:p w14:paraId="48333D9E" w14:textId="77777777" w:rsidR="00EB0D7B" w:rsidRPr="00EB0D7B" w:rsidRDefault="00EB0D7B" w:rsidP="00EB0D7B">
            <w:pPr>
              <w:widowControl w:val="0"/>
              <w:spacing w:after="0" w:line="240" w:lineRule="auto"/>
              <w:jc w:val="right"/>
              <w:rPr>
                <w:rFonts w:ascii="Arial" w:eastAsia="Arial" w:hAnsi="Arial" w:cs="Arial"/>
                <w:kern w:val="0"/>
                <w:sz w:val="18"/>
                <w:szCs w:val="18"/>
                <w:lang w:val="en-GB" w:eastAsia="en-IE"/>
                <w14:ligatures w14:val="none"/>
              </w:rPr>
            </w:pPr>
          </w:p>
        </w:tc>
      </w:tr>
      <w:tr w:rsidR="00EB0D7B" w:rsidRPr="00EB0D7B" w14:paraId="1B2C50C8"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6B04E1B1"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Eligibility criteria </w:t>
            </w:r>
          </w:p>
        </w:tc>
        <w:tc>
          <w:tcPr>
            <w:tcW w:w="675" w:type="dxa"/>
            <w:tcBorders>
              <w:top w:val="single" w:sz="6" w:space="0" w:color="000000"/>
              <w:left w:val="single" w:sz="6" w:space="0" w:color="000000"/>
              <w:bottom w:val="single" w:sz="6" w:space="0" w:color="000000"/>
              <w:right w:val="single" w:sz="6" w:space="0" w:color="000000"/>
            </w:tcBorders>
            <w:hideMark/>
          </w:tcPr>
          <w:p w14:paraId="3553326C"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5</w:t>
            </w:r>
          </w:p>
        </w:tc>
        <w:tc>
          <w:tcPr>
            <w:tcW w:w="7680" w:type="dxa"/>
            <w:tcBorders>
              <w:top w:val="single" w:sz="6" w:space="0" w:color="000000"/>
              <w:left w:val="single" w:sz="6" w:space="0" w:color="000000"/>
              <w:bottom w:val="single" w:sz="6" w:space="0" w:color="000000"/>
              <w:right w:val="single" w:sz="6" w:space="0" w:color="000000"/>
            </w:tcBorders>
            <w:hideMark/>
          </w:tcPr>
          <w:p w14:paraId="53C21B1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Specify the inclusion and exclusion criteria for the review and how studies were grouped for the syntheses.</w:t>
            </w:r>
          </w:p>
        </w:tc>
        <w:tc>
          <w:tcPr>
            <w:tcW w:w="1065" w:type="dxa"/>
            <w:tcBorders>
              <w:top w:val="single" w:sz="6" w:space="0" w:color="000000"/>
              <w:left w:val="single" w:sz="6" w:space="0" w:color="000000"/>
              <w:bottom w:val="single" w:sz="6" w:space="0" w:color="000000"/>
              <w:right w:val="single" w:sz="6" w:space="0" w:color="000000"/>
            </w:tcBorders>
            <w:hideMark/>
          </w:tcPr>
          <w:p w14:paraId="58965AF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5-6</w:t>
            </w:r>
          </w:p>
        </w:tc>
      </w:tr>
      <w:tr w:rsidR="00EB0D7B" w:rsidRPr="00EB0D7B" w14:paraId="67891392" w14:textId="77777777" w:rsidTr="00EB0D7B">
        <w:trPr>
          <w:trHeight w:val="191"/>
        </w:trPr>
        <w:tc>
          <w:tcPr>
            <w:tcW w:w="1785" w:type="dxa"/>
            <w:tcBorders>
              <w:top w:val="single" w:sz="6" w:space="0" w:color="000000"/>
              <w:left w:val="single" w:sz="6" w:space="0" w:color="000000"/>
              <w:bottom w:val="single" w:sz="6" w:space="0" w:color="000000"/>
              <w:right w:val="single" w:sz="6" w:space="0" w:color="000000"/>
            </w:tcBorders>
            <w:hideMark/>
          </w:tcPr>
          <w:p w14:paraId="0E23D21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Information sources </w:t>
            </w:r>
          </w:p>
        </w:tc>
        <w:tc>
          <w:tcPr>
            <w:tcW w:w="675" w:type="dxa"/>
            <w:tcBorders>
              <w:top w:val="single" w:sz="6" w:space="0" w:color="000000"/>
              <w:left w:val="single" w:sz="6" w:space="0" w:color="000000"/>
              <w:bottom w:val="single" w:sz="6" w:space="0" w:color="000000"/>
              <w:right w:val="single" w:sz="6" w:space="0" w:color="000000"/>
            </w:tcBorders>
            <w:hideMark/>
          </w:tcPr>
          <w:p w14:paraId="0F3F7022"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w:t>
            </w:r>
          </w:p>
        </w:tc>
        <w:tc>
          <w:tcPr>
            <w:tcW w:w="7680" w:type="dxa"/>
            <w:tcBorders>
              <w:top w:val="single" w:sz="6" w:space="0" w:color="000000"/>
              <w:left w:val="single" w:sz="6" w:space="0" w:color="000000"/>
              <w:bottom w:val="single" w:sz="6" w:space="0" w:color="000000"/>
              <w:right w:val="single" w:sz="6" w:space="0" w:color="000000"/>
            </w:tcBorders>
            <w:hideMark/>
          </w:tcPr>
          <w:p w14:paraId="0FBD8F89"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Specify all databases, registers, websites, organisations, reference lists and other sources searched or consulted to identify studies. Specify the date when each source was last searched or consulted.</w:t>
            </w:r>
          </w:p>
        </w:tc>
        <w:tc>
          <w:tcPr>
            <w:tcW w:w="1065" w:type="dxa"/>
            <w:tcBorders>
              <w:top w:val="single" w:sz="6" w:space="0" w:color="000000"/>
              <w:left w:val="single" w:sz="6" w:space="0" w:color="000000"/>
              <w:bottom w:val="single" w:sz="6" w:space="0" w:color="000000"/>
              <w:right w:val="single" w:sz="6" w:space="0" w:color="000000"/>
            </w:tcBorders>
            <w:hideMark/>
          </w:tcPr>
          <w:p w14:paraId="763843A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4</w:t>
            </w:r>
          </w:p>
        </w:tc>
      </w:tr>
      <w:tr w:rsidR="00EB0D7B" w:rsidRPr="00EB0D7B" w14:paraId="18CC6893"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10C0AC12"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Search strategy</w:t>
            </w:r>
          </w:p>
        </w:tc>
        <w:tc>
          <w:tcPr>
            <w:tcW w:w="675" w:type="dxa"/>
            <w:tcBorders>
              <w:top w:val="single" w:sz="6" w:space="0" w:color="000000"/>
              <w:left w:val="single" w:sz="6" w:space="0" w:color="000000"/>
              <w:bottom w:val="single" w:sz="6" w:space="0" w:color="000000"/>
              <w:right w:val="single" w:sz="6" w:space="0" w:color="000000"/>
            </w:tcBorders>
            <w:hideMark/>
          </w:tcPr>
          <w:p w14:paraId="4A95F4D2"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7</w:t>
            </w:r>
          </w:p>
        </w:tc>
        <w:tc>
          <w:tcPr>
            <w:tcW w:w="7680" w:type="dxa"/>
            <w:tcBorders>
              <w:top w:val="single" w:sz="6" w:space="0" w:color="000000"/>
              <w:left w:val="single" w:sz="6" w:space="0" w:color="000000"/>
              <w:bottom w:val="single" w:sz="6" w:space="0" w:color="000000"/>
              <w:right w:val="single" w:sz="6" w:space="0" w:color="000000"/>
            </w:tcBorders>
            <w:hideMark/>
          </w:tcPr>
          <w:p w14:paraId="75DE04A9"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Present the full search strategies for all databases, registers and websites, including any filters and limits used.</w:t>
            </w:r>
          </w:p>
        </w:tc>
        <w:tc>
          <w:tcPr>
            <w:tcW w:w="1065" w:type="dxa"/>
            <w:tcBorders>
              <w:top w:val="single" w:sz="6" w:space="0" w:color="000000"/>
              <w:left w:val="single" w:sz="6" w:space="0" w:color="000000"/>
              <w:bottom w:val="single" w:sz="6" w:space="0" w:color="000000"/>
              <w:right w:val="single" w:sz="6" w:space="0" w:color="000000"/>
            </w:tcBorders>
            <w:hideMark/>
          </w:tcPr>
          <w:p w14:paraId="6165C892"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4-5 / 41</w:t>
            </w:r>
          </w:p>
        </w:tc>
      </w:tr>
      <w:tr w:rsidR="00EB0D7B" w:rsidRPr="00EB0D7B" w14:paraId="2DC10216"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74D49994"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Selection process</w:t>
            </w:r>
          </w:p>
        </w:tc>
        <w:tc>
          <w:tcPr>
            <w:tcW w:w="675" w:type="dxa"/>
            <w:tcBorders>
              <w:top w:val="single" w:sz="6" w:space="0" w:color="000000"/>
              <w:left w:val="single" w:sz="6" w:space="0" w:color="000000"/>
              <w:bottom w:val="single" w:sz="6" w:space="0" w:color="000000"/>
              <w:right w:val="single" w:sz="6" w:space="0" w:color="000000"/>
            </w:tcBorders>
            <w:hideMark/>
          </w:tcPr>
          <w:p w14:paraId="1B14BC3A"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8</w:t>
            </w:r>
          </w:p>
        </w:tc>
        <w:tc>
          <w:tcPr>
            <w:tcW w:w="7680" w:type="dxa"/>
            <w:tcBorders>
              <w:top w:val="single" w:sz="6" w:space="0" w:color="000000"/>
              <w:left w:val="single" w:sz="6" w:space="0" w:color="000000"/>
              <w:bottom w:val="single" w:sz="6" w:space="0" w:color="000000"/>
              <w:right w:val="single" w:sz="6" w:space="0" w:color="000000"/>
            </w:tcBorders>
            <w:hideMark/>
          </w:tcPr>
          <w:p w14:paraId="0585C17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065" w:type="dxa"/>
            <w:tcBorders>
              <w:top w:val="single" w:sz="6" w:space="0" w:color="000000"/>
              <w:left w:val="single" w:sz="6" w:space="0" w:color="000000"/>
              <w:bottom w:val="single" w:sz="6" w:space="0" w:color="000000"/>
              <w:right w:val="single" w:sz="6" w:space="0" w:color="000000"/>
            </w:tcBorders>
            <w:hideMark/>
          </w:tcPr>
          <w:p w14:paraId="775C5F4D"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6-7</w:t>
            </w:r>
          </w:p>
        </w:tc>
      </w:tr>
      <w:tr w:rsidR="00EB0D7B" w:rsidRPr="00EB0D7B" w14:paraId="0BDA5CE2" w14:textId="77777777" w:rsidTr="00EB0D7B">
        <w:trPr>
          <w:trHeight w:val="152"/>
        </w:trPr>
        <w:tc>
          <w:tcPr>
            <w:tcW w:w="1785" w:type="dxa"/>
            <w:tcBorders>
              <w:top w:val="single" w:sz="6" w:space="0" w:color="000000"/>
              <w:left w:val="single" w:sz="6" w:space="0" w:color="000000"/>
              <w:bottom w:val="single" w:sz="6" w:space="0" w:color="000000"/>
              <w:right w:val="single" w:sz="6" w:space="0" w:color="000000"/>
            </w:tcBorders>
            <w:hideMark/>
          </w:tcPr>
          <w:p w14:paraId="6079DC3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Data collection process </w:t>
            </w:r>
          </w:p>
        </w:tc>
        <w:tc>
          <w:tcPr>
            <w:tcW w:w="675" w:type="dxa"/>
            <w:tcBorders>
              <w:top w:val="single" w:sz="6" w:space="0" w:color="000000"/>
              <w:left w:val="single" w:sz="6" w:space="0" w:color="000000"/>
              <w:bottom w:val="single" w:sz="6" w:space="0" w:color="000000"/>
              <w:right w:val="single" w:sz="6" w:space="0" w:color="000000"/>
            </w:tcBorders>
            <w:hideMark/>
          </w:tcPr>
          <w:p w14:paraId="3E02C642"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9</w:t>
            </w:r>
          </w:p>
        </w:tc>
        <w:tc>
          <w:tcPr>
            <w:tcW w:w="7680" w:type="dxa"/>
            <w:tcBorders>
              <w:top w:val="single" w:sz="6" w:space="0" w:color="000000"/>
              <w:left w:val="single" w:sz="6" w:space="0" w:color="000000"/>
              <w:bottom w:val="single" w:sz="6" w:space="0" w:color="000000"/>
              <w:right w:val="single" w:sz="6" w:space="0" w:color="000000"/>
            </w:tcBorders>
            <w:hideMark/>
          </w:tcPr>
          <w:p w14:paraId="0B7CB15D"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065" w:type="dxa"/>
            <w:tcBorders>
              <w:top w:val="single" w:sz="6" w:space="0" w:color="000000"/>
              <w:left w:val="single" w:sz="6" w:space="0" w:color="000000"/>
              <w:bottom w:val="single" w:sz="6" w:space="0" w:color="000000"/>
              <w:right w:val="single" w:sz="6" w:space="0" w:color="000000"/>
            </w:tcBorders>
            <w:hideMark/>
          </w:tcPr>
          <w:p w14:paraId="49ACF90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6-7</w:t>
            </w:r>
          </w:p>
        </w:tc>
      </w:tr>
      <w:tr w:rsidR="00EB0D7B" w:rsidRPr="00EB0D7B" w14:paraId="5837C0DC" w14:textId="77777777" w:rsidTr="00EB0D7B">
        <w:trPr>
          <w:trHeight w:val="48"/>
        </w:trPr>
        <w:tc>
          <w:tcPr>
            <w:tcW w:w="1785" w:type="dxa"/>
            <w:vMerge w:val="restart"/>
            <w:tcBorders>
              <w:top w:val="single" w:sz="6" w:space="0" w:color="000000"/>
              <w:left w:val="single" w:sz="6" w:space="0" w:color="000000"/>
              <w:bottom w:val="nil"/>
              <w:right w:val="single" w:sz="6" w:space="0" w:color="000000"/>
            </w:tcBorders>
            <w:hideMark/>
          </w:tcPr>
          <w:p w14:paraId="532A0DB0"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Data items </w:t>
            </w:r>
          </w:p>
        </w:tc>
        <w:tc>
          <w:tcPr>
            <w:tcW w:w="675" w:type="dxa"/>
            <w:tcBorders>
              <w:top w:val="single" w:sz="6" w:space="0" w:color="000000"/>
              <w:left w:val="single" w:sz="6" w:space="0" w:color="000000"/>
              <w:bottom w:val="single" w:sz="6" w:space="0" w:color="000000"/>
              <w:right w:val="single" w:sz="6" w:space="0" w:color="000000"/>
            </w:tcBorders>
            <w:hideMark/>
          </w:tcPr>
          <w:p w14:paraId="0F5BECA3"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10a</w:t>
            </w:r>
          </w:p>
        </w:tc>
        <w:tc>
          <w:tcPr>
            <w:tcW w:w="7680" w:type="dxa"/>
            <w:tcBorders>
              <w:top w:val="single" w:sz="6" w:space="0" w:color="000000"/>
              <w:left w:val="single" w:sz="6" w:space="0" w:color="000000"/>
              <w:bottom w:val="single" w:sz="6" w:space="0" w:color="000000"/>
              <w:right w:val="single" w:sz="6" w:space="0" w:color="000000"/>
            </w:tcBorders>
            <w:hideMark/>
          </w:tcPr>
          <w:p w14:paraId="5491D892"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065" w:type="dxa"/>
            <w:tcBorders>
              <w:top w:val="single" w:sz="6" w:space="0" w:color="000000"/>
              <w:left w:val="single" w:sz="6" w:space="0" w:color="000000"/>
              <w:bottom w:val="single" w:sz="6" w:space="0" w:color="000000"/>
              <w:right w:val="single" w:sz="6" w:space="0" w:color="000000"/>
            </w:tcBorders>
            <w:hideMark/>
          </w:tcPr>
          <w:p w14:paraId="7A2E2B1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w:t>
            </w:r>
          </w:p>
        </w:tc>
      </w:tr>
      <w:tr w:rsidR="00EB0D7B" w:rsidRPr="00EB0D7B" w14:paraId="47F5228B"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6DEE980D"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754C2CA5"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10b</w:t>
            </w:r>
          </w:p>
        </w:tc>
        <w:tc>
          <w:tcPr>
            <w:tcW w:w="7680" w:type="dxa"/>
            <w:tcBorders>
              <w:top w:val="single" w:sz="6" w:space="0" w:color="000000"/>
              <w:left w:val="single" w:sz="6" w:space="0" w:color="000000"/>
              <w:bottom w:val="single" w:sz="6" w:space="0" w:color="000000"/>
              <w:right w:val="single" w:sz="6" w:space="0" w:color="000000"/>
            </w:tcBorders>
            <w:hideMark/>
          </w:tcPr>
          <w:p w14:paraId="0659B4F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List and define all other variables for which data were sought (e.g. participant and intervention characteristics, funding sources). Describe any assumptions made about any missing or unclear information.</w:t>
            </w:r>
          </w:p>
        </w:tc>
        <w:tc>
          <w:tcPr>
            <w:tcW w:w="1065" w:type="dxa"/>
            <w:tcBorders>
              <w:top w:val="single" w:sz="6" w:space="0" w:color="000000"/>
              <w:left w:val="single" w:sz="6" w:space="0" w:color="000000"/>
              <w:bottom w:val="single" w:sz="6" w:space="0" w:color="000000"/>
              <w:right w:val="single" w:sz="6" w:space="0" w:color="000000"/>
            </w:tcBorders>
            <w:hideMark/>
          </w:tcPr>
          <w:p w14:paraId="3A7F7D42"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w:t>
            </w:r>
          </w:p>
        </w:tc>
      </w:tr>
      <w:tr w:rsidR="00EB0D7B" w:rsidRPr="00EB0D7B" w14:paraId="581B7AD3"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223B18F9"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Study risk of bias assessment</w:t>
            </w:r>
          </w:p>
        </w:tc>
        <w:tc>
          <w:tcPr>
            <w:tcW w:w="675" w:type="dxa"/>
            <w:tcBorders>
              <w:top w:val="single" w:sz="6" w:space="0" w:color="000000"/>
              <w:left w:val="single" w:sz="6" w:space="0" w:color="000000"/>
              <w:bottom w:val="single" w:sz="6" w:space="0" w:color="000000"/>
              <w:right w:val="single" w:sz="6" w:space="0" w:color="000000"/>
            </w:tcBorders>
            <w:hideMark/>
          </w:tcPr>
          <w:p w14:paraId="5039C034"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11</w:t>
            </w:r>
          </w:p>
        </w:tc>
        <w:tc>
          <w:tcPr>
            <w:tcW w:w="7680" w:type="dxa"/>
            <w:tcBorders>
              <w:top w:val="single" w:sz="6" w:space="0" w:color="000000"/>
              <w:left w:val="single" w:sz="6" w:space="0" w:color="000000"/>
              <w:bottom w:val="single" w:sz="6" w:space="0" w:color="000000"/>
              <w:right w:val="single" w:sz="6" w:space="0" w:color="000000"/>
            </w:tcBorders>
            <w:hideMark/>
          </w:tcPr>
          <w:p w14:paraId="528F6A20"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065" w:type="dxa"/>
            <w:tcBorders>
              <w:top w:val="single" w:sz="6" w:space="0" w:color="000000"/>
              <w:left w:val="single" w:sz="6" w:space="0" w:color="000000"/>
              <w:bottom w:val="single" w:sz="6" w:space="0" w:color="000000"/>
              <w:right w:val="single" w:sz="6" w:space="0" w:color="000000"/>
            </w:tcBorders>
            <w:hideMark/>
          </w:tcPr>
          <w:p w14:paraId="62E7224B"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8</w:t>
            </w:r>
          </w:p>
        </w:tc>
      </w:tr>
      <w:tr w:rsidR="00EB0D7B" w:rsidRPr="00EB0D7B" w14:paraId="4CB1C835"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3143D9D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Effect measures </w:t>
            </w:r>
          </w:p>
        </w:tc>
        <w:tc>
          <w:tcPr>
            <w:tcW w:w="675" w:type="dxa"/>
            <w:tcBorders>
              <w:top w:val="single" w:sz="6" w:space="0" w:color="000000"/>
              <w:left w:val="single" w:sz="6" w:space="0" w:color="000000"/>
              <w:bottom w:val="single" w:sz="6" w:space="0" w:color="000000"/>
              <w:right w:val="single" w:sz="6" w:space="0" w:color="000000"/>
            </w:tcBorders>
            <w:hideMark/>
          </w:tcPr>
          <w:p w14:paraId="13095AF0"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12</w:t>
            </w:r>
          </w:p>
        </w:tc>
        <w:tc>
          <w:tcPr>
            <w:tcW w:w="7680" w:type="dxa"/>
            <w:tcBorders>
              <w:top w:val="single" w:sz="6" w:space="0" w:color="000000"/>
              <w:left w:val="single" w:sz="6" w:space="0" w:color="000000"/>
              <w:bottom w:val="single" w:sz="6" w:space="0" w:color="000000"/>
              <w:right w:val="single" w:sz="6" w:space="0" w:color="000000"/>
            </w:tcBorders>
            <w:hideMark/>
          </w:tcPr>
          <w:p w14:paraId="68F25B6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Specify for each outcome the effect measure(s) (e.g. risk ratio, mean difference) used in the synthesis or presentation of results.</w:t>
            </w:r>
          </w:p>
        </w:tc>
        <w:tc>
          <w:tcPr>
            <w:tcW w:w="1065" w:type="dxa"/>
            <w:tcBorders>
              <w:top w:val="single" w:sz="6" w:space="0" w:color="000000"/>
              <w:left w:val="single" w:sz="6" w:space="0" w:color="000000"/>
              <w:bottom w:val="single" w:sz="6" w:space="0" w:color="000000"/>
              <w:right w:val="single" w:sz="6" w:space="0" w:color="000000"/>
            </w:tcBorders>
            <w:hideMark/>
          </w:tcPr>
          <w:p w14:paraId="34A8D9A1"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8</w:t>
            </w:r>
          </w:p>
        </w:tc>
      </w:tr>
      <w:tr w:rsidR="00EB0D7B" w:rsidRPr="00EB0D7B" w14:paraId="535FC1A8" w14:textId="77777777" w:rsidTr="00EB0D7B">
        <w:trPr>
          <w:trHeight w:val="48"/>
        </w:trPr>
        <w:tc>
          <w:tcPr>
            <w:tcW w:w="1785" w:type="dxa"/>
            <w:vMerge w:val="restart"/>
            <w:tcBorders>
              <w:top w:val="single" w:sz="6" w:space="0" w:color="000000"/>
              <w:left w:val="single" w:sz="6" w:space="0" w:color="000000"/>
              <w:bottom w:val="nil"/>
              <w:right w:val="single" w:sz="6" w:space="0" w:color="000000"/>
            </w:tcBorders>
            <w:hideMark/>
          </w:tcPr>
          <w:p w14:paraId="5B5A8779"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Synthesis methods</w:t>
            </w:r>
          </w:p>
        </w:tc>
        <w:tc>
          <w:tcPr>
            <w:tcW w:w="675" w:type="dxa"/>
            <w:tcBorders>
              <w:top w:val="single" w:sz="6" w:space="0" w:color="000000"/>
              <w:left w:val="single" w:sz="6" w:space="0" w:color="000000"/>
              <w:bottom w:val="single" w:sz="6" w:space="0" w:color="000000"/>
              <w:right w:val="single" w:sz="6" w:space="0" w:color="000000"/>
            </w:tcBorders>
            <w:hideMark/>
          </w:tcPr>
          <w:p w14:paraId="3B0C0E37"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13a</w:t>
            </w:r>
          </w:p>
        </w:tc>
        <w:tc>
          <w:tcPr>
            <w:tcW w:w="7680" w:type="dxa"/>
            <w:tcBorders>
              <w:top w:val="single" w:sz="6" w:space="0" w:color="000000"/>
              <w:left w:val="single" w:sz="6" w:space="0" w:color="000000"/>
              <w:bottom w:val="single" w:sz="6" w:space="0" w:color="000000"/>
              <w:right w:val="single" w:sz="6" w:space="0" w:color="000000"/>
            </w:tcBorders>
            <w:hideMark/>
          </w:tcPr>
          <w:p w14:paraId="588A24F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the processes used to decide which studies were eligible for each synthesis (e.g. tabulating the study intervention characteristics and comparing against the planned groups for each synthesis (item #5)).</w:t>
            </w:r>
          </w:p>
        </w:tc>
        <w:tc>
          <w:tcPr>
            <w:tcW w:w="1065" w:type="dxa"/>
            <w:tcBorders>
              <w:top w:val="single" w:sz="6" w:space="0" w:color="000000"/>
              <w:left w:val="single" w:sz="6" w:space="0" w:color="000000"/>
              <w:bottom w:val="single" w:sz="6" w:space="0" w:color="000000"/>
              <w:right w:val="single" w:sz="6" w:space="0" w:color="000000"/>
            </w:tcBorders>
            <w:hideMark/>
          </w:tcPr>
          <w:p w14:paraId="46B97239"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6-7</w:t>
            </w:r>
          </w:p>
        </w:tc>
      </w:tr>
      <w:tr w:rsidR="00EB0D7B" w:rsidRPr="00EB0D7B" w14:paraId="333008B5"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1B9538C7"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46AFEF9A"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13b</w:t>
            </w:r>
          </w:p>
        </w:tc>
        <w:tc>
          <w:tcPr>
            <w:tcW w:w="7680" w:type="dxa"/>
            <w:tcBorders>
              <w:top w:val="single" w:sz="6" w:space="0" w:color="000000"/>
              <w:left w:val="single" w:sz="6" w:space="0" w:color="000000"/>
              <w:bottom w:val="single" w:sz="6" w:space="0" w:color="000000"/>
              <w:right w:val="single" w:sz="6" w:space="0" w:color="000000"/>
            </w:tcBorders>
            <w:hideMark/>
          </w:tcPr>
          <w:p w14:paraId="6687C17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any methods required to prepare the data for presentation or synthesis, such as handling of missing summary statistics, or data conversions.</w:t>
            </w:r>
          </w:p>
        </w:tc>
        <w:tc>
          <w:tcPr>
            <w:tcW w:w="1065" w:type="dxa"/>
            <w:tcBorders>
              <w:top w:val="single" w:sz="6" w:space="0" w:color="000000"/>
              <w:left w:val="single" w:sz="6" w:space="0" w:color="000000"/>
              <w:bottom w:val="single" w:sz="6" w:space="0" w:color="000000"/>
              <w:right w:val="single" w:sz="6" w:space="0" w:color="000000"/>
            </w:tcBorders>
            <w:hideMark/>
          </w:tcPr>
          <w:p w14:paraId="01158F8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6-7</w:t>
            </w:r>
          </w:p>
        </w:tc>
      </w:tr>
      <w:tr w:rsidR="00EB0D7B" w:rsidRPr="00EB0D7B" w14:paraId="63BCFB61"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54CAD95A"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05012F9F"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13c</w:t>
            </w:r>
          </w:p>
        </w:tc>
        <w:tc>
          <w:tcPr>
            <w:tcW w:w="7680" w:type="dxa"/>
            <w:tcBorders>
              <w:top w:val="single" w:sz="6" w:space="0" w:color="000000"/>
              <w:left w:val="single" w:sz="6" w:space="0" w:color="000000"/>
              <w:bottom w:val="single" w:sz="6" w:space="0" w:color="000000"/>
              <w:right w:val="single" w:sz="6" w:space="0" w:color="000000"/>
            </w:tcBorders>
            <w:hideMark/>
          </w:tcPr>
          <w:p w14:paraId="198CA15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any methods used to tabulate or visually display results of individual studies and syntheses.</w:t>
            </w:r>
          </w:p>
        </w:tc>
        <w:tc>
          <w:tcPr>
            <w:tcW w:w="1065" w:type="dxa"/>
            <w:tcBorders>
              <w:top w:val="single" w:sz="6" w:space="0" w:color="000000"/>
              <w:left w:val="single" w:sz="6" w:space="0" w:color="000000"/>
              <w:bottom w:val="single" w:sz="6" w:space="0" w:color="000000"/>
              <w:right w:val="single" w:sz="6" w:space="0" w:color="000000"/>
            </w:tcBorders>
            <w:hideMark/>
          </w:tcPr>
          <w:p w14:paraId="4316FB8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6-7</w:t>
            </w:r>
          </w:p>
        </w:tc>
      </w:tr>
      <w:tr w:rsidR="00EB0D7B" w:rsidRPr="00EB0D7B" w14:paraId="1462D31C"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6404AA0D"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21FCB18E"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13d</w:t>
            </w:r>
          </w:p>
        </w:tc>
        <w:tc>
          <w:tcPr>
            <w:tcW w:w="7680" w:type="dxa"/>
            <w:tcBorders>
              <w:top w:val="single" w:sz="6" w:space="0" w:color="000000"/>
              <w:left w:val="single" w:sz="6" w:space="0" w:color="000000"/>
              <w:bottom w:val="single" w:sz="6" w:space="0" w:color="000000"/>
              <w:right w:val="single" w:sz="6" w:space="0" w:color="000000"/>
            </w:tcBorders>
            <w:hideMark/>
          </w:tcPr>
          <w:p w14:paraId="76345F96"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1065" w:type="dxa"/>
            <w:tcBorders>
              <w:top w:val="single" w:sz="6" w:space="0" w:color="000000"/>
              <w:left w:val="single" w:sz="6" w:space="0" w:color="000000"/>
              <w:bottom w:val="single" w:sz="6" w:space="0" w:color="000000"/>
              <w:right w:val="single" w:sz="6" w:space="0" w:color="000000"/>
            </w:tcBorders>
            <w:hideMark/>
          </w:tcPr>
          <w:p w14:paraId="5243F6E0"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6-7</w:t>
            </w:r>
          </w:p>
        </w:tc>
      </w:tr>
      <w:tr w:rsidR="00EB0D7B" w:rsidRPr="00EB0D7B" w14:paraId="57B12092"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2E498395"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5549BDA0"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13e</w:t>
            </w:r>
          </w:p>
        </w:tc>
        <w:tc>
          <w:tcPr>
            <w:tcW w:w="7680" w:type="dxa"/>
            <w:tcBorders>
              <w:top w:val="single" w:sz="6" w:space="0" w:color="000000"/>
              <w:left w:val="single" w:sz="6" w:space="0" w:color="000000"/>
              <w:bottom w:val="single" w:sz="6" w:space="0" w:color="000000"/>
              <w:right w:val="single" w:sz="6" w:space="0" w:color="000000"/>
            </w:tcBorders>
            <w:hideMark/>
          </w:tcPr>
          <w:p w14:paraId="08FC7C71"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any methods used to explore possible causes of heterogeneity among study results (e.g. subgroup analysis, meta-regression).</w:t>
            </w:r>
          </w:p>
        </w:tc>
        <w:tc>
          <w:tcPr>
            <w:tcW w:w="1065" w:type="dxa"/>
            <w:tcBorders>
              <w:top w:val="single" w:sz="6" w:space="0" w:color="000000"/>
              <w:left w:val="single" w:sz="6" w:space="0" w:color="000000"/>
              <w:bottom w:val="single" w:sz="6" w:space="0" w:color="000000"/>
              <w:right w:val="single" w:sz="6" w:space="0" w:color="000000"/>
            </w:tcBorders>
            <w:hideMark/>
          </w:tcPr>
          <w:p w14:paraId="593EC24E"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N/A</w:t>
            </w:r>
          </w:p>
        </w:tc>
      </w:tr>
      <w:tr w:rsidR="00EB0D7B" w:rsidRPr="00EB0D7B" w14:paraId="7E48EC34" w14:textId="77777777" w:rsidTr="00EB0D7B">
        <w:trPr>
          <w:trHeight w:val="50"/>
        </w:trPr>
        <w:tc>
          <w:tcPr>
            <w:tcW w:w="10140" w:type="dxa"/>
            <w:vMerge/>
            <w:tcBorders>
              <w:top w:val="single" w:sz="6" w:space="0" w:color="000000"/>
              <w:left w:val="single" w:sz="6" w:space="0" w:color="000000"/>
              <w:bottom w:val="nil"/>
              <w:right w:val="single" w:sz="6" w:space="0" w:color="000000"/>
            </w:tcBorders>
            <w:vAlign w:val="center"/>
            <w:hideMark/>
          </w:tcPr>
          <w:p w14:paraId="413B7301"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20B7D1C5"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13f</w:t>
            </w:r>
          </w:p>
        </w:tc>
        <w:tc>
          <w:tcPr>
            <w:tcW w:w="7680" w:type="dxa"/>
            <w:tcBorders>
              <w:top w:val="single" w:sz="6" w:space="0" w:color="000000"/>
              <w:left w:val="single" w:sz="6" w:space="0" w:color="000000"/>
              <w:bottom w:val="single" w:sz="6" w:space="0" w:color="000000"/>
              <w:right w:val="single" w:sz="6" w:space="0" w:color="000000"/>
            </w:tcBorders>
            <w:hideMark/>
          </w:tcPr>
          <w:p w14:paraId="46F73554"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any sensitivity analyses conducted to assess robustness of the synthesized results.</w:t>
            </w:r>
          </w:p>
        </w:tc>
        <w:tc>
          <w:tcPr>
            <w:tcW w:w="1065" w:type="dxa"/>
            <w:tcBorders>
              <w:top w:val="single" w:sz="6" w:space="0" w:color="000000"/>
              <w:left w:val="single" w:sz="6" w:space="0" w:color="000000"/>
              <w:bottom w:val="single" w:sz="6" w:space="0" w:color="000000"/>
              <w:right w:val="single" w:sz="6" w:space="0" w:color="000000"/>
            </w:tcBorders>
            <w:hideMark/>
          </w:tcPr>
          <w:p w14:paraId="14C5AB4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N/A</w:t>
            </w:r>
          </w:p>
        </w:tc>
      </w:tr>
      <w:tr w:rsidR="00EB0D7B" w:rsidRPr="00EB0D7B" w14:paraId="09F17DA0"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4E9A7B2E"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lastRenderedPageBreak/>
              <w:t>Reporting bias assessment</w:t>
            </w:r>
          </w:p>
        </w:tc>
        <w:tc>
          <w:tcPr>
            <w:tcW w:w="675" w:type="dxa"/>
            <w:tcBorders>
              <w:top w:val="single" w:sz="6" w:space="0" w:color="000000"/>
              <w:left w:val="single" w:sz="6" w:space="0" w:color="000000"/>
              <w:bottom w:val="single" w:sz="6" w:space="0" w:color="000000"/>
              <w:right w:val="single" w:sz="6" w:space="0" w:color="000000"/>
            </w:tcBorders>
            <w:hideMark/>
          </w:tcPr>
          <w:p w14:paraId="177469F5"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14</w:t>
            </w:r>
          </w:p>
        </w:tc>
        <w:tc>
          <w:tcPr>
            <w:tcW w:w="7680" w:type="dxa"/>
            <w:tcBorders>
              <w:top w:val="single" w:sz="6" w:space="0" w:color="000000"/>
              <w:left w:val="single" w:sz="6" w:space="0" w:color="000000"/>
              <w:bottom w:val="single" w:sz="6" w:space="0" w:color="000000"/>
              <w:right w:val="single" w:sz="6" w:space="0" w:color="000000"/>
            </w:tcBorders>
            <w:hideMark/>
          </w:tcPr>
          <w:p w14:paraId="6811921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any methods used to assess risk of bias due to missing results in a synthesis (arising from reporting biases).</w:t>
            </w:r>
          </w:p>
        </w:tc>
        <w:tc>
          <w:tcPr>
            <w:tcW w:w="1065" w:type="dxa"/>
            <w:tcBorders>
              <w:top w:val="single" w:sz="6" w:space="0" w:color="000000"/>
              <w:left w:val="single" w:sz="6" w:space="0" w:color="000000"/>
              <w:bottom w:val="single" w:sz="6" w:space="0" w:color="000000"/>
              <w:right w:val="single" w:sz="6" w:space="0" w:color="000000"/>
            </w:tcBorders>
            <w:hideMark/>
          </w:tcPr>
          <w:p w14:paraId="051ECED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N/A</w:t>
            </w:r>
          </w:p>
        </w:tc>
      </w:tr>
      <w:tr w:rsidR="00EB0D7B" w:rsidRPr="00EB0D7B" w14:paraId="024C8BCF"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106D181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Certainty assessment</w:t>
            </w:r>
          </w:p>
        </w:tc>
        <w:tc>
          <w:tcPr>
            <w:tcW w:w="675" w:type="dxa"/>
            <w:tcBorders>
              <w:top w:val="single" w:sz="6" w:space="0" w:color="000000"/>
              <w:left w:val="single" w:sz="6" w:space="0" w:color="000000"/>
              <w:bottom w:val="single" w:sz="6" w:space="0" w:color="000000"/>
              <w:right w:val="single" w:sz="6" w:space="0" w:color="000000"/>
            </w:tcBorders>
            <w:hideMark/>
          </w:tcPr>
          <w:p w14:paraId="44426108"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15</w:t>
            </w:r>
          </w:p>
        </w:tc>
        <w:tc>
          <w:tcPr>
            <w:tcW w:w="7680" w:type="dxa"/>
            <w:tcBorders>
              <w:top w:val="single" w:sz="6" w:space="0" w:color="000000"/>
              <w:left w:val="single" w:sz="6" w:space="0" w:color="000000"/>
              <w:bottom w:val="single" w:sz="6" w:space="0" w:color="000000"/>
              <w:right w:val="single" w:sz="6" w:space="0" w:color="000000"/>
            </w:tcBorders>
            <w:hideMark/>
          </w:tcPr>
          <w:p w14:paraId="4191439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any methods used to assess certainty (or confidence) in the body of evidence for an outcome.</w:t>
            </w:r>
          </w:p>
        </w:tc>
        <w:tc>
          <w:tcPr>
            <w:tcW w:w="1065" w:type="dxa"/>
            <w:tcBorders>
              <w:top w:val="single" w:sz="6" w:space="0" w:color="000000"/>
              <w:left w:val="single" w:sz="6" w:space="0" w:color="000000"/>
              <w:bottom w:val="single" w:sz="6" w:space="0" w:color="000000"/>
              <w:right w:val="single" w:sz="6" w:space="0" w:color="000000"/>
            </w:tcBorders>
            <w:hideMark/>
          </w:tcPr>
          <w:p w14:paraId="7CDB40A9"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8</w:t>
            </w:r>
          </w:p>
        </w:tc>
      </w:tr>
      <w:tr w:rsidR="00EB0D7B" w:rsidRPr="00EB0D7B" w14:paraId="1F5C9166" w14:textId="77777777" w:rsidTr="00EB0D7B">
        <w:trPr>
          <w:trHeight w:val="24"/>
        </w:trPr>
        <w:tc>
          <w:tcPr>
            <w:tcW w:w="10140"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hideMark/>
          </w:tcPr>
          <w:p w14:paraId="4D9C33C7" w14:textId="77777777" w:rsidR="00EB0D7B" w:rsidRPr="00EB0D7B" w:rsidRDefault="00EB0D7B" w:rsidP="00EB0D7B">
            <w:pPr>
              <w:widowControl w:val="0"/>
              <w:spacing w:after="0" w:line="240" w:lineRule="auto"/>
              <w:rPr>
                <w:rFonts w:ascii="Arial" w:eastAsia="Arial" w:hAnsi="Arial" w:cs="Arial"/>
                <w:kern w:val="0"/>
                <w:sz w:val="18"/>
                <w:szCs w:val="18"/>
                <w:lang w:val="en-GB" w:eastAsia="en-IE"/>
                <w14:ligatures w14:val="none"/>
              </w:rPr>
            </w:pPr>
            <w:r w:rsidRPr="00EB0D7B">
              <w:rPr>
                <w:rFonts w:ascii="Arial" w:eastAsia="Arial" w:hAnsi="Arial" w:cs="Arial"/>
                <w:b/>
                <w:kern w:val="0"/>
                <w:sz w:val="18"/>
                <w:szCs w:val="18"/>
                <w:lang w:val="en-GB" w:eastAsia="en-IE"/>
                <w14:ligatures w14:val="none"/>
              </w:rPr>
              <w:t xml:space="preserve">RESULTS </w:t>
            </w:r>
          </w:p>
        </w:tc>
        <w:tc>
          <w:tcPr>
            <w:tcW w:w="1065" w:type="dxa"/>
            <w:tcBorders>
              <w:top w:val="single" w:sz="6" w:space="0" w:color="000000"/>
              <w:left w:val="single" w:sz="6" w:space="0" w:color="000000"/>
              <w:bottom w:val="single" w:sz="6" w:space="0" w:color="000000"/>
              <w:right w:val="single" w:sz="6" w:space="0" w:color="000000"/>
            </w:tcBorders>
            <w:shd w:val="clear" w:color="auto" w:fill="FFFFCC"/>
          </w:tcPr>
          <w:p w14:paraId="7C7B403E" w14:textId="77777777" w:rsidR="00EB0D7B" w:rsidRPr="00EB0D7B" w:rsidRDefault="00EB0D7B" w:rsidP="00EB0D7B">
            <w:pPr>
              <w:widowControl w:val="0"/>
              <w:spacing w:after="0" w:line="240" w:lineRule="auto"/>
              <w:jc w:val="center"/>
              <w:rPr>
                <w:rFonts w:ascii="Arial" w:eastAsia="Arial" w:hAnsi="Arial" w:cs="Arial"/>
                <w:kern w:val="0"/>
                <w:sz w:val="18"/>
                <w:szCs w:val="18"/>
                <w:lang w:val="en-GB" w:eastAsia="en-IE"/>
                <w14:ligatures w14:val="none"/>
              </w:rPr>
            </w:pPr>
          </w:p>
        </w:tc>
      </w:tr>
      <w:tr w:rsidR="00EB0D7B" w:rsidRPr="00EB0D7B" w14:paraId="0BE23DE0" w14:textId="77777777" w:rsidTr="00EB0D7B">
        <w:trPr>
          <w:trHeight w:val="48"/>
        </w:trPr>
        <w:tc>
          <w:tcPr>
            <w:tcW w:w="1785" w:type="dxa"/>
            <w:vMerge w:val="restart"/>
            <w:tcBorders>
              <w:top w:val="single" w:sz="6" w:space="0" w:color="000000"/>
              <w:left w:val="single" w:sz="6" w:space="0" w:color="000000"/>
              <w:bottom w:val="nil"/>
              <w:right w:val="single" w:sz="6" w:space="0" w:color="000000"/>
            </w:tcBorders>
            <w:hideMark/>
          </w:tcPr>
          <w:p w14:paraId="3D42A7B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Study selection </w:t>
            </w:r>
          </w:p>
        </w:tc>
        <w:tc>
          <w:tcPr>
            <w:tcW w:w="675" w:type="dxa"/>
            <w:tcBorders>
              <w:top w:val="single" w:sz="6" w:space="0" w:color="000000"/>
              <w:left w:val="single" w:sz="6" w:space="0" w:color="000000"/>
              <w:bottom w:val="single" w:sz="6" w:space="0" w:color="000000"/>
              <w:right w:val="single" w:sz="6" w:space="0" w:color="000000"/>
            </w:tcBorders>
            <w:hideMark/>
          </w:tcPr>
          <w:p w14:paraId="41299B2F"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16a</w:t>
            </w:r>
          </w:p>
        </w:tc>
        <w:tc>
          <w:tcPr>
            <w:tcW w:w="7680" w:type="dxa"/>
            <w:tcBorders>
              <w:top w:val="single" w:sz="6" w:space="0" w:color="000000"/>
              <w:left w:val="single" w:sz="6" w:space="0" w:color="000000"/>
              <w:bottom w:val="single" w:sz="6" w:space="0" w:color="000000"/>
              <w:right w:val="single" w:sz="6" w:space="0" w:color="000000"/>
            </w:tcBorders>
            <w:hideMark/>
          </w:tcPr>
          <w:p w14:paraId="7433234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the results of the search and selection process, from the number of records identified in the search to the number of studies included in the review, ideally using a flow diagram.</w:t>
            </w:r>
          </w:p>
        </w:tc>
        <w:tc>
          <w:tcPr>
            <w:tcW w:w="1065" w:type="dxa"/>
            <w:tcBorders>
              <w:top w:val="single" w:sz="6" w:space="0" w:color="000000"/>
              <w:left w:val="single" w:sz="6" w:space="0" w:color="000000"/>
              <w:bottom w:val="single" w:sz="6" w:space="0" w:color="000000"/>
              <w:right w:val="single" w:sz="6" w:space="0" w:color="000000"/>
            </w:tcBorders>
            <w:hideMark/>
          </w:tcPr>
          <w:p w14:paraId="68DD466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6-7</w:t>
            </w:r>
          </w:p>
        </w:tc>
      </w:tr>
      <w:tr w:rsidR="00EB0D7B" w:rsidRPr="00EB0D7B" w14:paraId="08487CE4"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016C8229"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3ACA12D2"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16b</w:t>
            </w:r>
          </w:p>
        </w:tc>
        <w:tc>
          <w:tcPr>
            <w:tcW w:w="7680" w:type="dxa"/>
            <w:tcBorders>
              <w:top w:val="single" w:sz="6" w:space="0" w:color="000000"/>
              <w:left w:val="single" w:sz="6" w:space="0" w:color="000000"/>
              <w:bottom w:val="single" w:sz="6" w:space="0" w:color="000000"/>
              <w:right w:val="single" w:sz="6" w:space="0" w:color="000000"/>
            </w:tcBorders>
            <w:hideMark/>
          </w:tcPr>
          <w:p w14:paraId="7540D76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Cite studies that might appear to meet the inclusion criteria, but which were excluded, and explain why they were excluded.</w:t>
            </w:r>
          </w:p>
        </w:tc>
        <w:tc>
          <w:tcPr>
            <w:tcW w:w="1065" w:type="dxa"/>
            <w:tcBorders>
              <w:top w:val="single" w:sz="6" w:space="0" w:color="000000"/>
              <w:left w:val="single" w:sz="6" w:space="0" w:color="000000"/>
              <w:bottom w:val="single" w:sz="6" w:space="0" w:color="000000"/>
              <w:right w:val="single" w:sz="6" w:space="0" w:color="000000"/>
            </w:tcBorders>
            <w:hideMark/>
          </w:tcPr>
          <w:p w14:paraId="5394A34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6-7</w:t>
            </w:r>
          </w:p>
        </w:tc>
      </w:tr>
      <w:tr w:rsidR="00EB0D7B" w:rsidRPr="00EB0D7B" w14:paraId="6C3BB496" w14:textId="77777777" w:rsidTr="00EB0D7B">
        <w:trPr>
          <w:trHeight w:val="103"/>
        </w:trPr>
        <w:tc>
          <w:tcPr>
            <w:tcW w:w="1785" w:type="dxa"/>
            <w:tcBorders>
              <w:top w:val="single" w:sz="6" w:space="0" w:color="000000"/>
              <w:left w:val="single" w:sz="6" w:space="0" w:color="000000"/>
              <w:bottom w:val="single" w:sz="6" w:space="0" w:color="000000"/>
              <w:right w:val="single" w:sz="6" w:space="0" w:color="000000"/>
            </w:tcBorders>
            <w:hideMark/>
          </w:tcPr>
          <w:p w14:paraId="5FEBDCBD"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Study characteristics </w:t>
            </w:r>
          </w:p>
        </w:tc>
        <w:tc>
          <w:tcPr>
            <w:tcW w:w="675" w:type="dxa"/>
            <w:tcBorders>
              <w:top w:val="single" w:sz="6" w:space="0" w:color="000000"/>
              <w:left w:val="single" w:sz="6" w:space="0" w:color="000000"/>
              <w:bottom w:val="single" w:sz="6" w:space="0" w:color="000000"/>
              <w:right w:val="single" w:sz="6" w:space="0" w:color="000000"/>
            </w:tcBorders>
            <w:hideMark/>
          </w:tcPr>
          <w:p w14:paraId="76803B6A"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17</w:t>
            </w:r>
          </w:p>
        </w:tc>
        <w:tc>
          <w:tcPr>
            <w:tcW w:w="7680" w:type="dxa"/>
            <w:tcBorders>
              <w:top w:val="single" w:sz="6" w:space="0" w:color="000000"/>
              <w:left w:val="single" w:sz="6" w:space="0" w:color="000000"/>
              <w:bottom w:val="single" w:sz="6" w:space="0" w:color="000000"/>
              <w:right w:val="single" w:sz="6" w:space="0" w:color="000000"/>
            </w:tcBorders>
            <w:hideMark/>
          </w:tcPr>
          <w:p w14:paraId="30743BE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Cite each included study and present its characteristics.</w:t>
            </w:r>
          </w:p>
        </w:tc>
        <w:tc>
          <w:tcPr>
            <w:tcW w:w="1065" w:type="dxa"/>
            <w:tcBorders>
              <w:top w:val="single" w:sz="6" w:space="0" w:color="000000"/>
              <w:left w:val="single" w:sz="6" w:space="0" w:color="000000"/>
              <w:bottom w:val="single" w:sz="6" w:space="0" w:color="000000"/>
              <w:right w:val="single" w:sz="6" w:space="0" w:color="000000"/>
            </w:tcBorders>
            <w:hideMark/>
          </w:tcPr>
          <w:p w14:paraId="762B0A6B"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8-9 / 42-43</w:t>
            </w:r>
          </w:p>
        </w:tc>
      </w:tr>
      <w:tr w:rsidR="00EB0D7B" w:rsidRPr="00EB0D7B" w14:paraId="776E79BA"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498BD94D"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Risk of bias in studies </w:t>
            </w:r>
          </w:p>
        </w:tc>
        <w:tc>
          <w:tcPr>
            <w:tcW w:w="675" w:type="dxa"/>
            <w:tcBorders>
              <w:top w:val="single" w:sz="6" w:space="0" w:color="000000"/>
              <w:left w:val="single" w:sz="6" w:space="0" w:color="000000"/>
              <w:bottom w:val="single" w:sz="6" w:space="0" w:color="000000"/>
              <w:right w:val="single" w:sz="6" w:space="0" w:color="000000"/>
            </w:tcBorders>
            <w:hideMark/>
          </w:tcPr>
          <w:p w14:paraId="151C2DBA"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18</w:t>
            </w:r>
          </w:p>
        </w:tc>
        <w:tc>
          <w:tcPr>
            <w:tcW w:w="7680" w:type="dxa"/>
            <w:tcBorders>
              <w:top w:val="single" w:sz="6" w:space="0" w:color="000000"/>
              <w:left w:val="single" w:sz="6" w:space="0" w:color="000000"/>
              <w:bottom w:val="single" w:sz="6" w:space="0" w:color="000000"/>
              <w:right w:val="single" w:sz="6" w:space="0" w:color="000000"/>
            </w:tcBorders>
            <w:hideMark/>
          </w:tcPr>
          <w:p w14:paraId="7512E85F"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Present assessments of risk of bias for each included study.</w:t>
            </w:r>
          </w:p>
        </w:tc>
        <w:tc>
          <w:tcPr>
            <w:tcW w:w="1065" w:type="dxa"/>
            <w:tcBorders>
              <w:top w:val="single" w:sz="6" w:space="0" w:color="000000"/>
              <w:left w:val="single" w:sz="6" w:space="0" w:color="000000"/>
              <w:bottom w:val="single" w:sz="6" w:space="0" w:color="000000"/>
              <w:right w:val="single" w:sz="6" w:space="0" w:color="000000"/>
            </w:tcBorders>
            <w:hideMark/>
          </w:tcPr>
          <w:p w14:paraId="7169805E"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14-15 / 50-54</w:t>
            </w:r>
          </w:p>
        </w:tc>
      </w:tr>
      <w:tr w:rsidR="00EB0D7B" w:rsidRPr="00EB0D7B" w14:paraId="31A88FA3"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6440BDD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Results of individual studies </w:t>
            </w:r>
          </w:p>
        </w:tc>
        <w:tc>
          <w:tcPr>
            <w:tcW w:w="675" w:type="dxa"/>
            <w:tcBorders>
              <w:top w:val="single" w:sz="6" w:space="0" w:color="000000"/>
              <w:left w:val="single" w:sz="6" w:space="0" w:color="000000"/>
              <w:bottom w:val="single" w:sz="6" w:space="0" w:color="000000"/>
              <w:right w:val="single" w:sz="6" w:space="0" w:color="000000"/>
            </w:tcBorders>
            <w:hideMark/>
          </w:tcPr>
          <w:p w14:paraId="22BFE941"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19</w:t>
            </w:r>
          </w:p>
        </w:tc>
        <w:tc>
          <w:tcPr>
            <w:tcW w:w="7680" w:type="dxa"/>
            <w:tcBorders>
              <w:top w:val="single" w:sz="6" w:space="0" w:color="000000"/>
              <w:left w:val="single" w:sz="6" w:space="0" w:color="000000"/>
              <w:bottom w:val="single" w:sz="6" w:space="0" w:color="000000"/>
              <w:right w:val="single" w:sz="6" w:space="0" w:color="000000"/>
            </w:tcBorders>
            <w:hideMark/>
          </w:tcPr>
          <w:p w14:paraId="376417A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For all outcomes, present, for each study: (a) summary statistics for each group (where appropriate) and (b) an effect estimate and its precision (e.g. confidence/credible interval), ideally using structured tables or plots.</w:t>
            </w:r>
          </w:p>
        </w:tc>
        <w:tc>
          <w:tcPr>
            <w:tcW w:w="1065" w:type="dxa"/>
            <w:tcBorders>
              <w:top w:val="single" w:sz="6" w:space="0" w:color="000000"/>
              <w:left w:val="single" w:sz="6" w:space="0" w:color="000000"/>
              <w:bottom w:val="single" w:sz="6" w:space="0" w:color="000000"/>
              <w:right w:val="single" w:sz="6" w:space="0" w:color="000000"/>
            </w:tcBorders>
            <w:hideMark/>
          </w:tcPr>
          <w:p w14:paraId="15EC9F50"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51-54</w:t>
            </w:r>
          </w:p>
        </w:tc>
      </w:tr>
      <w:tr w:rsidR="00EB0D7B" w:rsidRPr="00EB0D7B" w14:paraId="2AC045D4" w14:textId="77777777" w:rsidTr="00EB0D7B">
        <w:trPr>
          <w:trHeight w:val="48"/>
        </w:trPr>
        <w:tc>
          <w:tcPr>
            <w:tcW w:w="1785" w:type="dxa"/>
            <w:vMerge w:val="restart"/>
            <w:tcBorders>
              <w:top w:val="single" w:sz="6" w:space="0" w:color="000000"/>
              <w:left w:val="single" w:sz="6" w:space="0" w:color="000000"/>
              <w:bottom w:val="nil"/>
              <w:right w:val="single" w:sz="6" w:space="0" w:color="000000"/>
            </w:tcBorders>
            <w:hideMark/>
          </w:tcPr>
          <w:p w14:paraId="2A9B364F"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Results of syntheses</w:t>
            </w:r>
          </w:p>
        </w:tc>
        <w:tc>
          <w:tcPr>
            <w:tcW w:w="675" w:type="dxa"/>
            <w:tcBorders>
              <w:top w:val="single" w:sz="6" w:space="0" w:color="000000"/>
              <w:left w:val="single" w:sz="6" w:space="0" w:color="000000"/>
              <w:bottom w:val="single" w:sz="6" w:space="0" w:color="000000"/>
              <w:right w:val="single" w:sz="6" w:space="0" w:color="000000"/>
            </w:tcBorders>
            <w:hideMark/>
          </w:tcPr>
          <w:p w14:paraId="1F7F433A"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20a</w:t>
            </w:r>
          </w:p>
        </w:tc>
        <w:tc>
          <w:tcPr>
            <w:tcW w:w="7680" w:type="dxa"/>
            <w:tcBorders>
              <w:top w:val="single" w:sz="6" w:space="0" w:color="000000"/>
              <w:left w:val="single" w:sz="6" w:space="0" w:color="000000"/>
              <w:bottom w:val="single" w:sz="6" w:space="0" w:color="000000"/>
              <w:right w:val="single" w:sz="6" w:space="0" w:color="000000"/>
            </w:tcBorders>
            <w:hideMark/>
          </w:tcPr>
          <w:p w14:paraId="7042C95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For each synthesis, briefly summarise the characteristics and risk of bias among contributing studies.</w:t>
            </w:r>
          </w:p>
        </w:tc>
        <w:tc>
          <w:tcPr>
            <w:tcW w:w="1065" w:type="dxa"/>
            <w:tcBorders>
              <w:top w:val="single" w:sz="6" w:space="0" w:color="000000"/>
              <w:left w:val="single" w:sz="6" w:space="0" w:color="000000"/>
              <w:bottom w:val="single" w:sz="6" w:space="0" w:color="000000"/>
              <w:right w:val="single" w:sz="6" w:space="0" w:color="000000"/>
            </w:tcBorders>
            <w:hideMark/>
          </w:tcPr>
          <w:p w14:paraId="4D32A3B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14-15</w:t>
            </w:r>
          </w:p>
        </w:tc>
      </w:tr>
      <w:tr w:rsidR="00EB0D7B" w:rsidRPr="00EB0D7B" w14:paraId="5D5A938D" w14:textId="77777777" w:rsidTr="00EB0D7B">
        <w:trPr>
          <w:trHeight w:val="203"/>
        </w:trPr>
        <w:tc>
          <w:tcPr>
            <w:tcW w:w="10140" w:type="dxa"/>
            <w:vMerge/>
            <w:tcBorders>
              <w:top w:val="single" w:sz="6" w:space="0" w:color="000000"/>
              <w:left w:val="single" w:sz="6" w:space="0" w:color="000000"/>
              <w:bottom w:val="nil"/>
              <w:right w:val="single" w:sz="6" w:space="0" w:color="000000"/>
            </w:tcBorders>
            <w:vAlign w:val="center"/>
            <w:hideMark/>
          </w:tcPr>
          <w:p w14:paraId="2D43AA63"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17EC5FAD"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20b</w:t>
            </w:r>
          </w:p>
        </w:tc>
        <w:tc>
          <w:tcPr>
            <w:tcW w:w="7680" w:type="dxa"/>
            <w:tcBorders>
              <w:top w:val="single" w:sz="6" w:space="0" w:color="000000"/>
              <w:left w:val="single" w:sz="6" w:space="0" w:color="000000"/>
              <w:bottom w:val="single" w:sz="6" w:space="0" w:color="000000"/>
              <w:right w:val="single" w:sz="6" w:space="0" w:color="000000"/>
            </w:tcBorders>
            <w:hideMark/>
          </w:tcPr>
          <w:p w14:paraId="621F1CCE"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065" w:type="dxa"/>
            <w:tcBorders>
              <w:top w:val="single" w:sz="6" w:space="0" w:color="000000"/>
              <w:left w:val="single" w:sz="6" w:space="0" w:color="000000"/>
              <w:bottom w:val="single" w:sz="6" w:space="0" w:color="000000"/>
              <w:right w:val="single" w:sz="6" w:space="0" w:color="000000"/>
            </w:tcBorders>
            <w:hideMark/>
          </w:tcPr>
          <w:p w14:paraId="5EA0E41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N/A</w:t>
            </w:r>
          </w:p>
        </w:tc>
      </w:tr>
      <w:tr w:rsidR="00EB0D7B" w:rsidRPr="00EB0D7B" w14:paraId="7490EBE7"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76DB8294"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5E2D595B"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20c</w:t>
            </w:r>
          </w:p>
        </w:tc>
        <w:tc>
          <w:tcPr>
            <w:tcW w:w="7680" w:type="dxa"/>
            <w:tcBorders>
              <w:top w:val="single" w:sz="6" w:space="0" w:color="000000"/>
              <w:left w:val="single" w:sz="6" w:space="0" w:color="000000"/>
              <w:bottom w:val="single" w:sz="6" w:space="0" w:color="000000"/>
              <w:right w:val="single" w:sz="6" w:space="0" w:color="000000"/>
            </w:tcBorders>
            <w:hideMark/>
          </w:tcPr>
          <w:p w14:paraId="0CC9DFFD"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Present results of all investigations of possible causes of heterogeneity among study results.</w:t>
            </w:r>
          </w:p>
        </w:tc>
        <w:tc>
          <w:tcPr>
            <w:tcW w:w="1065" w:type="dxa"/>
            <w:tcBorders>
              <w:top w:val="single" w:sz="6" w:space="0" w:color="000000"/>
              <w:left w:val="single" w:sz="6" w:space="0" w:color="000000"/>
              <w:bottom w:val="single" w:sz="6" w:space="0" w:color="000000"/>
              <w:right w:val="single" w:sz="6" w:space="0" w:color="000000"/>
            </w:tcBorders>
            <w:hideMark/>
          </w:tcPr>
          <w:p w14:paraId="37A29DEA"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15-22</w:t>
            </w:r>
          </w:p>
        </w:tc>
      </w:tr>
      <w:tr w:rsidR="00EB0D7B" w:rsidRPr="00EB0D7B" w14:paraId="050DC6B6"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76B6EB36"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626A5ED7"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20d</w:t>
            </w:r>
          </w:p>
        </w:tc>
        <w:tc>
          <w:tcPr>
            <w:tcW w:w="7680" w:type="dxa"/>
            <w:tcBorders>
              <w:top w:val="single" w:sz="6" w:space="0" w:color="000000"/>
              <w:left w:val="single" w:sz="6" w:space="0" w:color="000000"/>
              <w:bottom w:val="single" w:sz="6" w:space="0" w:color="000000"/>
              <w:right w:val="single" w:sz="6" w:space="0" w:color="000000"/>
            </w:tcBorders>
            <w:hideMark/>
          </w:tcPr>
          <w:p w14:paraId="25C5516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Present results of all sensitivity analyses conducted to assess the robustness of the synthesized results.</w:t>
            </w:r>
          </w:p>
        </w:tc>
        <w:tc>
          <w:tcPr>
            <w:tcW w:w="1065" w:type="dxa"/>
            <w:tcBorders>
              <w:top w:val="single" w:sz="6" w:space="0" w:color="000000"/>
              <w:left w:val="single" w:sz="6" w:space="0" w:color="000000"/>
              <w:bottom w:val="single" w:sz="6" w:space="0" w:color="000000"/>
              <w:right w:val="single" w:sz="6" w:space="0" w:color="000000"/>
            </w:tcBorders>
            <w:hideMark/>
          </w:tcPr>
          <w:p w14:paraId="1DD1649E"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N/A</w:t>
            </w:r>
          </w:p>
        </w:tc>
      </w:tr>
      <w:tr w:rsidR="00EB0D7B" w:rsidRPr="00EB0D7B" w14:paraId="29798601"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7C8CE844"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Reporting biases</w:t>
            </w:r>
          </w:p>
        </w:tc>
        <w:tc>
          <w:tcPr>
            <w:tcW w:w="675" w:type="dxa"/>
            <w:tcBorders>
              <w:top w:val="single" w:sz="6" w:space="0" w:color="000000"/>
              <w:left w:val="single" w:sz="6" w:space="0" w:color="000000"/>
              <w:bottom w:val="single" w:sz="6" w:space="0" w:color="000000"/>
              <w:right w:val="single" w:sz="6" w:space="0" w:color="000000"/>
            </w:tcBorders>
            <w:hideMark/>
          </w:tcPr>
          <w:p w14:paraId="44B762BA"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21</w:t>
            </w:r>
          </w:p>
        </w:tc>
        <w:tc>
          <w:tcPr>
            <w:tcW w:w="7680" w:type="dxa"/>
            <w:tcBorders>
              <w:top w:val="single" w:sz="6" w:space="0" w:color="000000"/>
              <w:left w:val="single" w:sz="6" w:space="0" w:color="000000"/>
              <w:bottom w:val="single" w:sz="6" w:space="0" w:color="000000"/>
              <w:right w:val="single" w:sz="6" w:space="0" w:color="000000"/>
            </w:tcBorders>
            <w:hideMark/>
          </w:tcPr>
          <w:p w14:paraId="4A53544F"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Present assessments of risk of bias due to missing results (arising from reporting biases) for each synthesis assessed.</w:t>
            </w:r>
          </w:p>
        </w:tc>
        <w:tc>
          <w:tcPr>
            <w:tcW w:w="1065" w:type="dxa"/>
            <w:tcBorders>
              <w:top w:val="single" w:sz="6" w:space="0" w:color="000000"/>
              <w:left w:val="single" w:sz="6" w:space="0" w:color="000000"/>
              <w:bottom w:val="single" w:sz="6" w:space="0" w:color="000000"/>
              <w:right w:val="single" w:sz="6" w:space="0" w:color="000000"/>
            </w:tcBorders>
            <w:hideMark/>
          </w:tcPr>
          <w:p w14:paraId="79D6334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14-15</w:t>
            </w:r>
          </w:p>
        </w:tc>
      </w:tr>
      <w:tr w:rsidR="00EB0D7B" w:rsidRPr="00EB0D7B" w14:paraId="3A605E77"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3616A729"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Certainty of evidence </w:t>
            </w:r>
          </w:p>
        </w:tc>
        <w:tc>
          <w:tcPr>
            <w:tcW w:w="675" w:type="dxa"/>
            <w:tcBorders>
              <w:top w:val="single" w:sz="6" w:space="0" w:color="000000"/>
              <w:left w:val="single" w:sz="6" w:space="0" w:color="000000"/>
              <w:bottom w:val="single" w:sz="6" w:space="0" w:color="000000"/>
              <w:right w:val="single" w:sz="6" w:space="0" w:color="000000"/>
            </w:tcBorders>
            <w:hideMark/>
          </w:tcPr>
          <w:p w14:paraId="1E179EB9"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22</w:t>
            </w:r>
          </w:p>
        </w:tc>
        <w:tc>
          <w:tcPr>
            <w:tcW w:w="7680" w:type="dxa"/>
            <w:tcBorders>
              <w:top w:val="single" w:sz="6" w:space="0" w:color="000000"/>
              <w:left w:val="single" w:sz="6" w:space="0" w:color="000000"/>
              <w:bottom w:val="single" w:sz="6" w:space="0" w:color="000000"/>
              <w:right w:val="single" w:sz="6" w:space="0" w:color="000000"/>
            </w:tcBorders>
            <w:hideMark/>
          </w:tcPr>
          <w:p w14:paraId="0B30D5F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Present assessments of certainty (or confidence) in the body of evidence for each outcome assessed.</w:t>
            </w:r>
          </w:p>
        </w:tc>
        <w:tc>
          <w:tcPr>
            <w:tcW w:w="1065" w:type="dxa"/>
            <w:tcBorders>
              <w:top w:val="single" w:sz="6" w:space="0" w:color="000000"/>
              <w:left w:val="single" w:sz="6" w:space="0" w:color="000000"/>
              <w:bottom w:val="single" w:sz="6" w:space="0" w:color="000000"/>
              <w:right w:val="single" w:sz="6" w:space="0" w:color="000000"/>
            </w:tcBorders>
            <w:hideMark/>
          </w:tcPr>
          <w:p w14:paraId="6B8DCF8E"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14-15 / 50-54</w:t>
            </w:r>
          </w:p>
        </w:tc>
      </w:tr>
      <w:tr w:rsidR="00EB0D7B" w:rsidRPr="00EB0D7B" w14:paraId="16136ECB" w14:textId="77777777" w:rsidTr="00EB0D7B">
        <w:trPr>
          <w:trHeight w:val="24"/>
        </w:trPr>
        <w:tc>
          <w:tcPr>
            <w:tcW w:w="10140"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hideMark/>
          </w:tcPr>
          <w:p w14:paraId="1E14DA04" w14:textId="77777777" w:rsidR="00EB0D7B" w:rsidRPr="00EB0D7B" w:rsidRDefault="00EB0D7B" w:rsidP="00EB0D7B">
            <w:pPr>
              <w:widowControl w:val="0"/>
              <w:spacing w:after="0" w:line="240" w:lineRule="auto"/>
              <w:rPr>
                <w:rFonts w:ascii="Arial" w:eastAsia="Arial" w:hAnsi="Arial" w:cs="Arial"/>
                <w:kern w:val="0"/>
                <w:sz w:val="18"/>
                <w:szCs w:val="18"/>
                <w:lang w:val="en-GB" w:eastAsia="en-IE"/>
                <w14:ligatures w14:val="none"/>
              </w:rPr>
            </w:pPr>
            <w:r w:rsidRPr="00EB0D7B">
              <w:rPr>
                <w:rFonts w:ascii="Arial" w:eastAsia="Arial" w:hAnsi="Arial" w:cs="Arial"/>
                <w:b/>
                <w:kern w:val="0"/>
                <w:sz w:val="18"/>
                <w:szCs w:val="18"/>
                <w:lang w:val="en-GB" w:eastAsia="en-IE"/>
                <w14:ligatures w14:val="none"/>
              </w:rPr>
              <w:t xml:space="preserve">DISCUSSION </w:t>
            </w:r>
          </w:p>
        </w:tc>
        <w:tc>
          <w:tcPr>
            <w:tcW w:w="1065" w:type="dxa"/>
            <w:tcBorders>
              <w:top w:val="single" w:sz="6" w:space="0" w:color="000000"/>
              <w:left w:val="single" w:sz="6" w:space="0" w:color="000000"/>
              <w:bottom w:val="single" w:sz="6" w:space="0" w:color="000000"/>
              <w:right w:val="single" w:sz="6" w:space="0" w:color="000000"/>
            </w:tcBorders>
            <w:shd w:val="clear" w:color="auto" w:fill="FFFFCC"/>
          </w:tcPr>
          <w:p w14:paraId="20FC9CAD" w14:textId="77777777" w:rsidR="00EB0D7B" w:rsidRPr="00EB0D7B" w:rsidRDefault="00EB0D7B" w:rsidP="00EB0D7B">
            <w:pPr>
              <w:widowControl w:val="0"/>
              <w:spacing w:after="0" w:line="240" w:lineRule="auto"/>
              <w:jc w:val="center"/>
              <w:rPr>
                <w:rFonts w:ascii="Arial" w:eastAsia="Arial" w:hAnsi="Arial" w:cs="Arial"/>
                <w:kern w:val="0"/>
                <w:sz w:val="18"/>
                <w:szCs w:val="18"/>
                <w:lang w:val="en-GB" w:eastAsia="en-IE"/>
                <w14:ligatures w14:val="none"/>
              </w:rPr>
            </w:pPr>
          </w:p>
        </w:tc>
      </w:tr>
      <w:tr w:rsidR="00EB0D7B" w:rsidRPr="00EB0D7B" w14:paraId="07E3431C" w14:textId="77777777" w:rsidTr="00EB0D7B">
        <w:trPr>
          <w:trHeight w:val="48"/>
        </w:trPr>
        <w:tc>
          <w:tcPr>
            <w:tcW w:w="1785" w:type="dxa"/>
            <w:vMerge w:val="restart"/>
            <w:tcBorders>
              <w:top w:val="single" w:sz="6" w:space="0" w:color="000000"/>
              <w:left w:val="single" w:sz="6" w:space="0" w:color="000000"/>
              <w:bottom w:val="nil"/>
              <w:right w:val="single" w:sz="6" w:space="0" w:color="000000"/>
            </w:tcBorders>
            <w:hideMark/>
          </w:tcPr>
          <w:p w14:paraId="028E225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 xml:space="preserve">Discussion </w:t>
            </w:r>
          </w:p>
        </w:tc>
        <w:tc>
          <w:tcPr>
            <w:tcW w:w="675" w:type="dxa"/>
            <w:tcBorders>
              <w:top w:val="single" w:sz="6" w:space="0" w:color="000000"/>
              <w:left w:val="single" w:sz="6" w:space="0" w:color="000000"/>
              <w:bottom w:val="single" w:sz="6" w:space="0" w:color="000000"/>
              <w:right w:val="single" w:sz="6" w:space="0" w:color="000000"/>
            </w:tcBorders>
            <w:hideMark/>
          </w:tcPr>
          <w:p w14:paraId="21C806C0"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23a</w:t>
            </w:r>
          </w:p>
        </w:tc>
        <w:tc>
          <w:tcPr>
            <w:tcW w:w="7680" w:type="dxa"/>
            <w:tcBorders>
              <w:top w:val="single" w:sz="6" w:space="0" w:color="000000"/>
              <w:left w:val="single" w:sz="6" w:space="0" w:color="000000"/>
              <w:bottom w:val="single" w:sz="6" w:space="0" w:color="000000"/>
              <w:right w:val="single" w:sz="6" w:space="0" w:color="000000"/>
            </w:tcBorders>
            <w:hideMark/>
          </w:tcPr>
          <w:p w14:paraId="11B7AE80"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Provide a general interpretation of the results in the context of other evidence.</w:t>
            </w:r>
          </w:p>
        </w:tc>
        <w:tc>
          <w:tcPr>
            <w:tcW w:w="1065" w:type="dxa"/>
            <w:tcBorders>
              <w:top w:val="single" w:sz="6" w:space="0" w:color="000000"/>
              <w:left w:val="single" w:sz="6" w:space="0" w:color="000000"/>
              <w:bottom w:val="single" w:sz="6" w:space="0" w:color="000000"/>
              <w:right w:val="single" w:sz="6" w:space="0" w:color="000000"/>
            </w:tcBorders>
            <w:hideMark/>
          </w:tcPr>
          <w:p w14:paraId="4EAE183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21-22</w:t>
            </w:r>
          </w:p>
        </w:tc>
      </w:tr>
      <w:tr w:rsidR="00EB0D7B" w:rsidRPr="00EB0D7B" w14:paraId="6C6EC01F"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34922FD6"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6741F417"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23b</w:t>
            </w:r>
          </w:p>
        </w:tc>
        <w:tc>
          <w:tcPr>
            <w:tcW w:w="7680" w:type="dxa"/>
            <w:tcBorders>
              <w:top w:val="single" w:sz="6" w:space="0" w:color="000000"/>
              <w:left w:val="single" w:sz="6" w:space="0" w:color="000000"/>
              <w:bottom w:val="single" w:sz="6" w:space="0" w:color="000000"/>
              <w:right w:val="single" w:sz="6" w:space="0" w:color="000000"/>
            </w:tcBorders>
            <w:hideMark/>
          </w:tcPr>
          <w:p w14:paraId="683DFDE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Discuss any limitations of the evidence included in the review.</w:t>
            </w:r>
          </w:p>
        </w:tc>
        <w:tc>
          <w:tcPr>
            <w:tcW w:w="1065" w:type="dxa"/>
            <w:tcBorders>
              <w:top w:val="single" w:sz="6" w:space="0" w:color="000000"/>
              <w:left w:val="single" w:sz="6" w:space="0" w:color="000000"/>
              <w:bottom w:val="single" w:sz="6" w:space="0" w:color="000000"/>
              <w:right w:val="single" w:sz="6" w:space="0" w:color="000000"/>
            </w:tcBorders>
            <w:hideMark/>
          </w:tcPr>
          <w:p w14:paraId="2D42882C"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23</w:t>
            </w:r>
          </w:p>
        </w:tc>
      </w:tr>
      <w:tr w:rsidR="00EB0D7B" w:rsidRPr="00EB0D7B" w14:paraId="38EBA688"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6FCD51AE"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4" w:space="0" w:color="000000"/>
              <w:right w:val="single" w:sz="6" w:space="0" w:color="000000"/>
            </w:tcBorders>
            <w:hideMark/>
          </w:tcPr>
          <w:p w14:paraId="32C37A1F"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23c</w:t>
            </w:r>
          </w:p>
        </w:tc>
        <w:tc>
          <w:tcPr>
            <w:tcW w:w="7680" w:type="dxa"/>
            <w:tcBorders>
              <w:top w:val="single" w:sz="6" w:space="0" w:color="000000"/>
              <w:left w:val="single" w:sz="6" w:space="0" w:color="000000"/>
              <w:bottom w:val="single" w:sz="6" w:space="0" w:color="000000"/>
              <w:right w:val="single" w:sz="6" w:space="0" w:color="000000"/>
            </w:tcBorders>
            <w:hideMark/>
          </w:tcPr>
          <w:p w14:paraId="1030BF1F"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Discuss any limitations of the review processes used.</w:t>
            </w:r>
          </w:p>
        </w:tc>
        <w:tc>
          <w:tcPr>
            <w:tcW w:w="1065" w:type="dxa"/>
            <w:tcBorders>
              <w:top w:val="single" w:sz="6" w:space="0" w:color="000000"/>
              <w:left w:val="single" w:sz="6" w:space="0" w:color="000000"/>
              <w:bottom w:val="single" w:sz="6" w:space="0" w:color="000000"/>
              <w:right w:val="single" w:sz="6" w:space="0" w:color="000000"/>
            </w:tcBorders>
            <w:hideMark/>
          </w:tcPr>
          <w:p w14:paraId="3920C32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23</w:t>
            </w:r>
          </w:p>
        </w:tc>
      </w:tr>
      <w:tr w:rsidR="00EB0D7B" w:rsidRPr="00EB0D7B" w14:paraId="16C63CFF"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43607072"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4" w:space="0" w:color="000000"/>
              <w:left w:val="single" w:sz="6" w:space="0" w:color="000000"/>
              <w:bottom w:val="single" w:sz="4" w:space="0" w:color="000000"/>
              <w:right w:val="single" w:sz="4" w:space="0" w:color="000000"/>
            </w:tcBorders>
            <w:hideMark/>
          </w:tcPr>
          <w:p w14:paraId="65C6925D"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23d</w:t>
            </w:r>
          </w:p>
        </w:tc>
        <w:tc>
          <w:tcPr>
            <w:tcW w:w="7680" w:type="dxa"/>
            <w:tcBorders>
              <w:top w:val="single" w:sz="6" w:space="0" w:color="000000"/>
              <w:left w:val="single" w:sz="4" w:space="0" w:color="000000"/>
              <w:bottom w:val="single" w:sz="6" w:space="0" w:color="000000"/>
              <w:right w:val="single" w:sz="6" w:space="0" w:color="000000"/>
            </w:tcBorders>
            <w:hideMark/>
          </w:tcPr>
          <w:p w14:paraId="0DE9E88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Discuss implications of the results for practice, policy, and future research.</w:t>
            </w:r>
          </w:p>
        </w:tc>
        <w:tc>
          <w:tcPr>
            <w:tcW w:w="1065" w:type="dxa"/>
            <w:tcBorders>
              <w:top w:val="single" w:sz="6" w:space="0" w:color="000000"/>
              <w:left w:val="single" w:sz="6" w:space="0" w:color="000000"/>
              <w:bottom w:val="single" w:sz="6" w:space="0" w:color="000000"/>
              <w:right w:val="single" w:sz="6" w:space="0" w:color="000000"/>
            </w:tcBorders>
            <w:hideMark/>
          </w:tcPr>
          <w:p w14:paraId="618A6EB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21-25</w:t>
            </w:r>
          </w:p>
        </w:tc>
      </w:tr>
      <w:tr w:rsidR="00EB0D7B" w:rsidRPr="00EB0D7B" w14:paraId="54714B07" w14:textId="77777777" w:rsidTr="00EB0D7B">
        <w:trPr>
          <w:trHeight w:val="24"/>
        </w:trPr>
        <w:tc>
          <w:tcPr>
            <w:tcW w:w="10140"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hideMark/>
          </w:tcPr>
          <w:p w14:paraId="4E1EC64C" w14:textId="77777777" w:rsidR="00EB0D7B" w:rsidRPr="00EB0D7B" w:rsidRDefault="00EB0D7B" w:rsidP="00EB0D7B">
            <w:pPr>
              <w:widowControl w:val="0"/>
              <w:spacing w:after="0" w:line="240" w:lineRule="auto"/>
              <w:rPr>
                <w:rFonts w:ascii="Arial" w:eastAsia="Arial" w:hAnsi="Arial" w:cs="Arial"/>
                <w:kern w:val="0"/>
                <w:sz w:val="18"/>
                <w:szCs w:val="18"/>
                <w:lang w:val="en-GB" w:eastAsia="en-IE"/>
                <w14:ligatures w14:val="none"/>
              </w:rPr>
            </w:pPr>
            <w:r w:rsidRPr="00EB0D7B">
              <w:rPr>
                <w:rFonts w:ascii="Arial" w:eastAsia="Arial" w:hAnsi="Arial" w:cs="Arial"/>
                <w:b/>
                <w:kern w:val="0"/>
                <w:sz w:val="18"/>
                <w:szCs w:val="18"/>
                <w:lang w:val="en-GB" w:eastAsia="en-IE"/>
                <w14:ligatures w14:val="none"/>
              </w:rPr>
              <w:t>OTHER INFORMATION</w:t>
            </w:r>
          </w:p>
        </w:tc>
        <w:tc>
          <w:tcPr>
            <w:tcW w:w="1065" w:type="dxa"/>
            <w:tcBorders>
              <w:top w:val="single" w:sz="6" w:space="0" w:color="000000"/>
              <w:left w:val="single" w:sz="6" w:space="0" w:color="000000"/>
              <w:bottom w:val="single" w:sz="6" w:space="0" w:color="000000"/>
              <w:right w:val="single" w:sz="6" w:space="0" w:color="000000"/>
            </w:tcBorders>
            <w:shd w:val="clear" w:color="auto" w:fill="FFFFCC"/>
          </w:tcPr>
          <w:p w14:paraId="0DAA2C47" w14:textId="77777777" w:rsidR="00EB0D7B" w:rsidRPr="00EB0D7B" w:rsidRDefault="00EB0D7B" w:rsidP="00EB0D7B">
            <w:pPr>
              <w:widowControl w:val="0"/>
              <w:spacing w:after="0" w:line="240" w:lineRule="auto"/>
              <w:jc w:val="center"/>
              <w:rPr>
                <w:rFonts w:ascii="Arial" w:eastAsia="Arial" w:hAnsi="Arial" w:cs="Arial"/>
                <w:kern w:val="0"/>
                <w:sz w:val="18"/>
                <w:szCs w:val="18"/>
                <w:lang w:val="en-GB" w:eastAsia="en-IE"/>
                <w14:ligatures w14:val="none"/>
              </w:rPr>
            </w:pPr>
          </w:p>
        </w:tc>
      </w:tr>
      <w:tr w:rsidR="00EB0D7B" w:rsidRPr="00EB0D7B" w14:paraId="4561F840" w14:textId="77777777" w:rsidTr="00EB0D7B">
        <w:trPr>
          <w:trHeight w:val="48"/>
        </w:trPr>
        <w:tc>
          <w:tcPr>
            <w:tcW w:w="1785" w:type="dxa"/>
            <w:vMerge w:val="restart"/>
            <w:tcBorders>
              <w:top w:val="single" w:sz="6" w:space="0" w:color="000000"/>
              <w:left w:val="single" w:sz="6" w:space="0" w:color="000000"/>
              <w:bottom w:val="nil"/>
              <w:right w:val="single" w:sz="6" w:space="0" w:color="000000"/>
            </w:tcBorders>
            <w:hideMark/>
          </w:tcPr>
          <w:p w14:paraId="19581DF7"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Registration and protocol</w:t>
            </w:r>
          </w:p>
        </w:tc>
        <w:tc>
          <w:tcPr>
            <w:tcW w:w="675" w:type="dxa"/>
            <w:tcBorders>
              <w:top w:val="single" w:sz="6" w:space="0" w:color="000000"/>
              <w:left w:val="single" w:sz="6" w:space="0" w:color="000000"/>
              <w:bottom w:val="single" w:sz="6" w:space="0" w:color="000000"/>
              <w:right w:val="single" w:sz="6" w:space="0" w:color="000000"/>
            </w:tcBorders>
            <w:hideMark/>
          </w:tcPr>
          <w:p w14:paraId="64825F13"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24a</w:t>
            </w:r>
          </w:p>
        </w:tc>
        <w:tc>
          <w:tcPr>
            <w:tcW w:w="7680" w:type="dxa"/>
            <w:tcBorders>
              <w:top w:val="single" w:sz="6" w:space="0" w:color="000000"/>
              <w:left w:val="single" w:sz="6" w:space="0" w:color="000000"/>
              <w:bottom w:val="single" w:sz="6" w:space="0" w:color="000000"/>
              <w:right w:val="single" w:sz="6" w:space="0" w:color="000000"/>
            </w:tcBorders>
            <w:hideMark/>
          </w:tcPr>
          <w:p w14:paraId="78864DA4"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Provide registration information for the review, including register name and registration number, or state that the review was not registered.</w:t>
            </w:r>
          </w:p>
        </w:tc>
        <w:tc>
          <w:tcPr>
            <w:tcW w:w="1065" w:type="dxa"/>
            <w:tcBorders>
              <w:top w:val="single" w:sz="6" w:space="0" w:color="000000"/>
              <w:left w:val="single" w:sz="6" w:space="0" w:color="000000"/>
              <w:bottom w:val="single" w:sz="6" w:space="0" w:color="000000"/>
              <w:right w:val="single" w:sz="6" w:space="0" w:color="000000"/>
            </w:tcBorders>
            <w:hideMark/>
          </w:tcPr>
          <w:p w14:paraId="535D8271"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4</w:t>
            </w:r>
          </w:p>
        </w:tc>
      </w:tr>
      <w:tr w:rsidR="00EB0D7B" w:rsidRPr="00EB0D7B" w14:paraId="4576F55F" w14:textId="77777777" w:rsidTr="00EB0D7B">
        <w:trPr>
          <w:trHeight w:val="57"/>
        </w:trPr>
        <w:tc>
          <w:tcPr>
            <w:tcW w:w="10140" w:type="dxa"/>
            <w:vMerge/>
            <w:tcBorders>
              <w:top w:val="single" w:sz="6" w:space="0" w:color="000000"/>
              <w:left w:val="single" w:sz="6" w:space="0" w:color="000000"/>
              <w:bottom w:val="nil"/>
              <w:right w:val="single" w:sz="6" w:space="0" w:color="000000"/>
            </w:tcBorders>
            <w:vAlign w:val="center"/>
            <w:hideMark/>
          </w:tcPr>
          <w:p w14:paraId="5A7D88DD"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1CF8696B"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24b</w:t>
            </w:r>
          </w:p>
        </w:tc>
        <w:tc>
          <w:tcPr>
            <w:tcW w:w="7680" w:type="dxa"/>
            <w:tcBorders>
              <w:top w:val="single" w:sz="6" w:space="0" w:color="000000"/>
              <w:left w:val="single" w:sz="6" w:space="0" w:color="000000"/>
              <w:bottom w:val="single" w:sz="6" w:space="0" w:color="000000"/>
              <w:right w:val="single" w:sz="6" w:space="0" w:color="000000"/>
            </w:tcBorders>
            <w:hideMark/>
          </w:tcPr>
          <w:p w14:paraId="00F0ED44"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Indicate where the review protocol can be accessed, or state that a protocol was not prepared.</w:t>
            </w:r>
          </w:p>
        </w:tc>
        <w:tc>
          <w:tcPr>
            <w:tcW w:w="1065" w:type="dxa"/>
            <w:tcBorders>
              <w:top w:val="single" w:sz="6" w:space="0" w:color="000000"/>
              <w:left w:val="single" w:sz="6" w:space="0" w:color="000000"/>
              <w:bottom w:val="single" w:sz="6" w:space="0" w:color="000000"/>
              <w:right w:val="single" w:sz="6" w:space="0" w:color="000000"/>
            </w:tcBorders>
            <w:hideMark/>
          </w:tcPr>
          <w:p w14:paraId="35CAF071"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4</w:t>
            </w:r>
          </w:p>
        </w:tc>
      </w:tr>
      <w:tr w:rsidR="00EB0D7B" w:rsidRPr="00EB0D7B" w14:paraId="33E0A8D4" w14:textId="77777777" w:rsidTr="00EB0D7B">
        <w:trPr>
          <w:trHeight w:val="48"/>
        </w:trPr>
        <w:tc>
          <w:tcPr>
            <w:tcW w:w="10140" w:type="dxa"/>
            <w:vMerge/>
            <w:tcBorders>
              <w:top w:val="single" w:sz="6" w:space="0" w:color="000000"/>
              <w:left w:val="single" w:sz="6" w:space="0" w:color="000000"/>
              <w:bottom w:val="nil"/>
              <w:right w:val="single" w:sz="6" w:space="0" w:color="000000"/>
            </w:tcBorders>
            <w:vAlign w:val="center"/>
            <w:hideMark/>
          </w:tcPr>
          <w:p w14:paraId="7FB0060A" w14:textId="77777777" w:rsidR="00EB0D7B" w:rsidRPr="00EB0D7B" w:rsidRDefault="00EB0D7B" w:rsidP="00EB0D7B">
            <w:pPr>
              <w:spacing w:after="0" w:line="276" w:lineRule="auto"/>
              <w:rPr>
                <w:rFonts w:ascii="Arial" w:eastAsia="Arial" w:hAnsi="Arial" w:cs="Arial"/>
                <w:kern w:val="0"/>
                <w:sz w:val="18"/>
                <w:szCs w:val="18"/>
                <w:lang w:val="en-GB" w:eastAsia="en-IE"/>
                <w14:ligatures w14:val="none"/>
              </w:rPr>
            </w:pPr>
          </w:p>
        </w:tc>
        <w:tc>
          <w:tcPr>
            <w:tcW w:w="675" w:type="dxa"/>
            <w:tcBorders>
              <w:top w:val="single" w:sz="6" w:space="0" w:color="000000"/>
              <w:left w:val="single" w:sz="6" w:space="0" w:color="000000"/>
              <w:bottom w:val="single" w:sz="6" w:space="0" w:color="000000"/>
              <w:right w:val="single" w:sz="6" w:space="0" w:color="000000"/>
            </w:tcBorders>
            <w:hideMark/>
          </w:tcPr>
          <w:p w14:paraId="1EE4A73E"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24c</w:t>
            </w:r>
          </w:p>
        </w:tc>
        <w:tc>
          <w:tcPr>
            <w:tcW w:w="7680" w:type="dxa"/>
            <w:tcBorders>
              <w:top w:val="single" w:sz="6" w:space="0" w:color="000000"/>
              <w:left w:val="single" w:sz="6" w:space="0" w:color="000000"/>
              <w:bottom w:val="single" w:sz="6" w:space="0" w:color="000000"/>
              <w:right w:val="single" w:sz="6" w:space="0" w:color="000000"/>
            </w:tcBorders>
            <w:hideMark/>
          </w:tcPr>
          <w:p w14:paraId="44F0C7DF"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and explain any amendments to information provided at registration or in the protocol.</w:t>
            </w:r>
          </w:p>
        </w:tc>
        <w:tc>
          <w:tcPr>
            <w:tcW w:w="1065" w:type="dxa"/>
            <w:tcBorders>
              <w:top w:val="single" w:sz="6" w:space="0" w:color="000000"/>
              <w:left w:val="single" w:sz="6" w:space="0" w:color="000000"/>
              <w:bottom w:val="single" w:sz="6" w:space="0" w:color="000000"/>
              <w:right w:val="single" w:sz="6" w:space="0" w:color="000000"/>
            </w:tcBorders>
            <w:hideMark/>
          </w:tcPr>
          <w:p w14:paraId="64308163"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N/A</w:t>
            </w:r>
          </w:p>
        </w:tc>
      </w:tr>
      <w:tr w:rsidR="00EB0D7B" w:rsidRPr="00EB0D7B" w14:paraId="130F56BA"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4CB99C24"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Support</w:t>
            </w:r>
          </w:p>
        </w:tc>
        <w:tc>
          <w:tcPr>
            <w:tcW w:w="675" w:type="dxa"/>
            <w:tcBorders>
              <w:top w:val="single" w:sz="6" w:space="0" w:color="000000"/>
              <w:left w:val="single" w:sz="6" w:space="0" w:color="000000"/>
              <w:bottom w:val="single" w:sz="6" w:space="0" w:color="000000"/>
              <w:right w:val="single" w:sz="6" w:space="0" w:color="000000"/>
            </w:tcBorders>
            <w:hideMark/>
          </w:tcPr>
          <w:p w14:paraId="07A7E3BA"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25</w:t>
            </w:r>
          </w:p>
        </w:tc>
        <w:tc>
          <w:tcPr>
            <w:tcW w:w="7680" w:type="dxa"/>
            <w:tcBorders>
              <w:top w:val="single" w:sz="6" w:space="0" w:color="000000"/>
              <w:left w:val="single" w:sz="6" w:space="0" w:color="000000"/>
              <w:bottom w:val="single" w:sz="6" w:space="0" w:color="000000"/>
              <w:right w:val="single" w:sz="6" w:space="0" w:color="000000"/>
            </w:tcBorders>
            <w:hideMark/>
          </w:tcPr>
          <w:p w14:paraId="4ED81775"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Describe sources of financial or non-financial support for the review, and the role of the funders or sponsors in the review.</w:t>
            </w:r>
          </w:p>
        </w:tc>
        <w:tc>
          <w:tcPr>
            <w:tcW w:w="1065" w:type="dxa"/>
            <w:tcBorders>
              <w:top w:val="single" w:sz="6" w:space="0" w:color="000000"/>
              <w:left w:val="single" w:sz="6" w:space="0" w:color="000000"/>
              <w:bottom w:val="single" w:sz="6" w:space="0" w:color="000000"/>
              <w:right w:val="single" w:sz="6" w:space="0" w:color="000000"/>
            </w:tcBorders>
            <w:hideMark/>
          </w:tcPr>
          <w:p w14:paraId="5308C8E2"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25</w:t>
            </w:r>
          </w:p>
        </w:tc>
      </w:tr>
      <w:tr w:rsidR="00EB0D7B" w:rsidRPr="00EB0D7B" w14:paraId="6ABB7D7F" w14:textId="77777777" w:rsidTr="00EB0D7B">
        <w:trPr>
          <w:trHeight w:val="48"/>
        </w:trPr>
        <w:tc>
          <w:tcPr>
            <w:tcW w:w="1785" w:type="dxa"/>
            <w:tcBorders>
              <w:top w:val="single" w:sz="6" w:space="0" w:color="000000"/>
              <w:left w:val="single" w:sz="6" w:space="0" w:color="000000"/>
              <w:bottom w:val="single" w:sz="6" w:space="0" w:color="000000"/>
              <w:right w:val="single" w:sz="6" w:space="0" w:color="000000"/>
            </w:tcBorders>
            <w:hideMark/>
          </w:tcPr>
          <w:p w14:paraId="4E7EE221"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Competing interests</w:t>
            </w:r>
          </w:p>
        </w:tc>
        <w:tc>
          <w:tcPr>
            <w:tcW w:w="675" w:type="dxa"/>
            <w:tcBorders>
              <w:top w:val="single" w:sz="6" w:space="0" w:color="000000"/>
              <w:left w:val="single" w:sz="6" w:space="0" w:color="000000"/>
              <w:bottom w:val="single" w:sz="6" w:space="0" w:color="000000"/>
              <w:right w:val="single" w:sz="6" w:space="0" w:color="000000"/>
            </w:tcBorders>
            <w:hideMark/>
          </w:tcPr>
          <w:p w14:paraId="74B5ED8B"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26</w:t>
            </w:r>
          </w:p>
        </w:tc>
        <w:tc>
          <w:tcPr>
            <w:tcW w:w="7680" w:type="dxa"/>
            <w:tcBorders>
              <w:top w:val="single" w:sz="6" w:space="0" w:color="000000"/>
              <w:left w:val="single" w:sz="6" w:space="0" w:color="000000"/>
              <w:bottom w:val="single" w:sz="6" w:space="0" w:color="000000"/>
              <w:right w:val="single" w:sz="6" w:space="0" w:color="000000"/>
            </w:tcBorders>
            <w:hideMark/>
          </w:tcPr>
          <w:p w14:paraId="0266DA5F"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Declare any competing interests of review authors.</w:t>
            </w:r>
          </w:p>
        </w:tc>
        <w:tc>
          <w:tcPr>
            <w:tcW w:w="1065" w:type="dxa"/>
            <w:tcBorders>
              <w:top w:val="single" w:sz="6" w:space="0" w:color="000000"/>
              <w:left w:val="single" w:sz="6" w:space="0" w:color="000000"/>
              <w:bottom w:val="single" w:sz="6" w:space="0" w:color="000000"/>
              <w:right w:val="single" w:sz="6" w:space="0" w:color="000000"/>
            </w:tcBorders>
            <w:hideMark/>
          </w:tcPr>
          <w:p w14:paraId="3ED41F24"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25</w:t>
            </w:r>
          </w:p>
        </w:tc>
      </w:tr>
      <w:tr w:rsidR="00EB0D7B" w:rsidRPr="00EB0D7B" w14:paraId="1C66AA71" w14:textId="77777777" w:rsidTr="00EB0D7B">
        <w:trPr>
          <w:trHeight w:val="219"/>
        </w:trPr>
        <w:tc>
          <w:tcPr>
            <w:tcW w:w="1785" w:type="dxa"/>
            <w:tcBorders>
              <w:top w:val="single" w:sz="6" w:space="0" w:color="000000"/>
              <w:left w:val="single" w:sz="6" w:space="0" w:color="000000"/>
              <w:bottom w:val="single" w:sz="6" w:space="0" w:color="000000"/>
              <w:right w:val="single" w:sz="6" w:space="0" w:color="000000"/>
            </w:tcBorders>
            <w:hideMark/>
          </w:tcPr>
          <w:p w14:paraId="35CA64AD"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Availability of data, code and other materials</w:t>
            </w:r>
          </w:p>
        </w:tc>
        <w:tc>
          <w:tcPr>
            <w:tcW w:w="675" w:type="dxa"/>
            <w:tcBorders>
              <w:top w:val="single" w:sz="6" w:space="0" w:color="000000"/>
              <w:left w:val="single" w:sz="6" w:space="0" w:color="000000"/>
              <w:bottom w:val="single" w:sz="6" w:space="0" w:color="000000"/>
              <w:right w:val="single" w:sz="6" w:space="0" w:color="000000"/>
            </w:tcBorders>
            <w:hideMark/>
          </w:tcPr>
          <w:p w14:paraId="30851E22" w14:textId="77777777" w:rsidR="00EB0D7B" w:rsidRPr="00EB0D7B" w:rsidRDefault="00EB0D7B" w:rsidP="00EB0D7B">
            <w:pPr>
              <w:widowControl w:val="0"/>
              <w:spacing w:before="40" w:after="40" w:line="240" w:lineRule="auto"/>
              <w:jc w:val="right"/>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27</w:t>
            </w:r>
          </w:p>
        </w:tc>
        <w:tc>
          <w:tcPr>
            <w:tcW w:w="7680" w:type="dxa"/>
            <w:tcBorders>
              <w:top w:val="single" w:sz="6" w:space="0" w:color="000000"/>
              <w:left w:val="single" w:sz="6" w:space="0" w:color="000000"/>
              <w:bottom w:val="single" w:sz="6" w:space="0" w:color="000000"/>
              <w:right w:val="single" w:sz="6" w:space="0" w:color="000000"/>
            </w:tcBorders>
            <w:hideMark/>
          </w:tcPr>
          <w:p w14:paraId="7DE1DDA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Report which of the following are publicly available and where they can be found: template data collection forms; data extracted from included studies; data used for all analyses; analytic code; any other materials used in the review.</w:t>
            </w:r>
          </w:p>
        </w:tc>
        <w:tc>
          <w:tcPr>
            <w:tcW w:w="1065" w:type="dxa"/>
            <w:tcBorders>
              <w:top w:val="single" w:sz="6" w:space="0" w:color="000000"/>
              <w:left w:val="single" w:sz="6" w:space="0" w:color="000000"/>
              <w:bottom w:val="single" w:sz="6" w:space="0" w:color="000000"/>
              <w:right w:val="single" w:sz="6" w:space="0" w:color="000000"/>
            </w:tcBorders>
            <w:hideMark/>
          </w:tcPr>
          <w:p w14:paraId="5D017808" w14:textId="77777777" w:rsidR="00EB0D7B" w:rsidRPr="00EB0D7B" w:rsidRDefault="00EB0D7B" w:rsidP="00EB0D7B">
            <w:pPr>
              <w:widowControl w:val="0"/>
              <w:spacing w:before="40" w:after="40" w:line="240" w:lineRule="auto"/>
              <w:rPr>
                <w:rFonts w:ascii="Arial" w:eastAsia="Arial" w:hAnsi="Arial" w:cs="Arial"/>
                <w:kern w:val="0"/>
                <w:sz w:val="18"/>
                <w:szCs w:val="18"/>
                <w:lang w:val="en-GB" w:eastAsia="en-IE"/>
                <w14:ligatures w14:val="none"/>
              </w:rPr>
            </w:pPr>
            <w:r w:rsidRPr="00EB0D7B">
              <w:rPr>
                <w:rFonts w:ascii="Arial" w:eastAsia="Arial" w:hAnsi="Arial" w:cs="Arial"/>
                <w:kern w:val="0"/>
                <w:sz w:val="18"/>
                <w:szCs w:val="18"/>
                <w:lang w:val="en-GB" w:eastAsia="en-IE"/>
                <w14:ligatures w14:val="none"/>
              </w:rPr>
              <w:t>N/A</w:t>
            </w:r>
          </w:p>
        </w:tc>
      </w:tr>
    </w:tbl>
    <w:p w14:paraId="29A57B3B" w14:textId="77777777" w:rsidR="00EB0D7B" w:rsidRPr="00EB0D7B" w:rsidRDefault="00EB0D7B" w:rsidP="00EB0D7B">
      <w:pPr>
        <w:widowControl w:val="0"/>
        <w:spacing w:after="130" w:line="240" w:lineRule="auto"/>
        <w:rPr>
          <w:rFonts w:ascii="Arial" w:eastAsia="Arial" w:hAnsi="Arial" w:cs="Arial"/>
          <w:kern w:val="0"/>
          <w:sz w:val="24"/>
          <w:szCs w:val="24"/>
          <w:lang w:val="en-GB" w:eastAsia="en-IE"/>
          <w14:ligatures w14:val="none"/>
        </w:rPr>
      </w:pPr>
    </w:p>
    <w:p w14:paraId="1A5FB7FA" w14:textId="77777777" w:rsidR="00EB0D7B" w:rsidRPr="00EB0D7B" w:rsidRDefault="00EB0D7B" w:rsidP="00EB0D7B">
      <w:pPr>
        <w:widowControl w:val="0"/>
        <w:spacing w:after="130" w:line="240" w:lineRule="auto"/>
        <w:rPr>
          <w:rFonts w:ascii="Times New Roman" w:eastAsia="Times New Roman" w:hAnsi="Times New Roman" w:cs="Times New Roman"/>
          <w:b/>
          <w:kern w:val="0"/>
          <w:sz w:val="24"/>
          <w:szCs w:val="24"/>
          <w:lang w:val="en-GB" w:eastAsia="en-IE"/>
          <w14:ligatures w14:val="none"/>
        </w:rPr>
      </w:pPr>
    </w:p>
    <w:p w14:paraId="6521A076" w14:textId="77777777" w:rsidR="00EB0D7B" w:rsidRPr="00EB0D7B" w:rsidRDefault="00EB0D7B" w:rsidP="00EB0D7B">
      <w:pPr>
        <w:widowControl w:val="0"/>
        <w:spacing w:after="130" w:line="240" w:lineRule="auto"/>
        <w:jc w:val="center"/>
        <w:rPr>
          <w:rFonts w:ascii="Times New Roman" w:eastAsia="Times New Roman" w:hAnsi="Times New Roman" w:cs="Times New Roman"/>
          <w:b/>
          <w:kern w:val="0"/>
          <w:sz w:val="24"/>
          <w:szCs w:val="24"/>
          <w:lang w:val="en-GB" w:eastAsia="en-IE"/>
          <w14:ligatures w14:val="none"/>
        </w:rPr>
      </w:pPr>
      <w:r w:rsidRPr="00EB0D7B">
        <w:rPr>
          <w:rFonts w:ascii="Times New Roman" w:eastAsia="Times New Roman" w:hAnsi="Times New Roman" w:cs="Times New Roman"/>
          <w:b/>
          <w:kern w:val="0"/>
          <w:sz w:val="24"/>
          <w:szCs w:val="24"/>
          <w:lang w:val="en-GB" w:eastAsia="en-IE"/>
          <w14:ligatures w14:val="none"/>
        </w:rPr>
        <w:lastRenderedPageBreak/>
        <w:t>Appendix B - Literature search strategy</w:t>
      </w:r>
    </w:p>
    <w:p w14:paraId="5615BE9F" w14:textId="77777777" w:rsidR="00EB0D7B" w:rsidRPr="00EB0D7B" w:rsidRDefault="00EB0D7B" w:rsidP="00EB0D7B">
      <w:pPr>
        <w:widowControl w:val="0"/>
        <w:spacing w:after="130" w:line="240" w:lineRule="auto"/>
        <w:rPr>
          <w:rFonts w:ascii="Times New Roman" w:eastAsia="Times New Roman" w:hAnsi="Times New Roman" w:cs="Times New Roman"/>
          <w:kern w:val="0"/>
          <w:sz w:val="24"/>
          <w:szCs w:val="24"/>
          <w:lang w:val="en-GB" w:eastAsia="en-IE"/>
          <w14:ligatures w14:val="none"/>
        </w:rPr>
      </w:pPr>
    </w:p>
    <w:p w14:paraId="1B3EC390"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 xml:space="preserve">Keywords: </w:t>
      </w:r>
      <w:r w:rsidRPr="00EB0D7B">
        <w:rPr>
          <w:rFonts w:ascii="Times New Roman" w:eastAsia="Times New Roman" w:hAnsi="Times New Roman" w:cs="Times New Roman"/>
          <w:color w:val="FF0000"/>
          <w:kern w:val="0"/>
          <w:sz w:val="24"/>
          <w:szCs w:val="24"/>
          <w:lang w:val="en-GB" w:eastAsia="en-IE"/>
          <w14:ligatures w14:val="none"/>
        </w:rPr>
        <w:t>Health literacy</w:t>
      </w:r>
      <w:r w:rsidRPr="00EB0D7B">
        <w:rPr>
          <w:rFonts w:ascii="Times New Roman" w:eastAsia="Times New Roman" w:hAnsi="Times New Roman" w:cs="Times New Roman"/>
          <w:kern w:val="0"/>
          <w:sz w:val="24"/>
          <w:szCs w:val="24"/>
          <w:lang w:val="en-GB" w:eastAsia="en-IE"/>
          <w14:ligatures w14:val="none"/>
        </w:rPr>
        <w:t xml:space="preserve"> OR </w:t>
      </w:r>
      <w:r w:rsidRPr="00EB0D7B">
        <w:rPr>
          <w:rFonts w:ascii="Times New Roman" w:eastAsia="Times New Roman" w:hAnsi="Times New Roman" w:cs="Times New Roman"/>
          <w:color w:val="FF0000"/>
          <w:kern w:val="0"/>
          <w:sz w:val="24"/>
          <w:szCs w:val="24"/>
          <w:lang w:val="en-GB" w:eastAsia="en-IE"/>
          <w14:ligatures w14:val="none"/>
        </w:rPr>
        <w:t>consumer health information</w:t>
      </w:r>
      <w:r w:rsidRPr="00EB0D7B">
        <w:rPr>
          <w:rFonts w:ascii="Times New Roman" w:eastAsia="Times New Roman" w:hAnsi="Times New Roman" w:cs="Times New Roman"/>
          <w:kern w:val="0"/>
          <w:sz w:val="24"/>
          <w:szCs w:val="24"/>
          <w:lang w:val="en-GB" w:eastAsia="en-IE"/>
          <w14:ligatures w14:val="none"/>
        </w:rPr>
        <w:t xml:space="preserve"> AND (intervention OR tool OR skills OR education OR program OR programme) AND (older adults OR </w:t>
      </w:r>
      <w:r w:rsidRPr="00EB0D7B">
        <w:rPr>
          <w:rFonts w:ascii="Times New Roman" w:eastAsia="Times New Roman" w:hAnsi="Times New Roman" w:cs="Times New Roman"/>
          <w:color w:val="FF0000"/>
          <w:kern w:val="0"/>
          <w:sz w:val="24"/>
          <w:szCs w:val="24"/>
          <w:lang w:val="en-GB" w:eastAsia="en-IE"/>
          <w14:ligatures w14:val="none"/>
        </w:rPr>
        <w:t>aging</w:t>
      </w:r>
      <w:r w:rsidRPr="00EB0D7B">
        <w:rPr>
          <w:rFonts w:ascii="Times New Roman" w:eastAsia="Times New Roman" w:hAnsi="Times New Roman" w:cs="Times New Roman"/>
          <w:kern w:val="0"/>
          <w:sz w:val="24"/>
          <w:szCs w:val="24"/>
          <w:lang w:val="en-GB" w:eastAsia="en-IE"/>
          <w14:ligatures w14:val="none"/>
        </w:rPr>
        <w:t xml:space="preserve"> OR ageing OR </w:t>
      </w:r>
      <w:r w:rsidRPr="00EB0D7B">
        <w:rPr>
          <w:rFonts w:ascii="Times New Roman" w:eastAsia="Times New Roman" w:hAnsi="Times New Roman" w:cs="Times New Roman"/>
          <w:color w:val="FF0000"/>
          <w:kern w:val="0"/>
          <w:sz w:val="24"/>
          <w:szCs w:val="24"/>
          <w:lang w:val="en-GB" w:eastAsia="en-IE"/>
          <w14:ligatures w14:val="none"/>
        </w:rPr>
        <w:t>aged</w:t>
      </w:r>
      <w:r w:rsidRPr="00EB0D7B">
        <w:rPr>
          <w:rFonts w:ascii="Times New Roman" w:eastAsia="Times New Roman" w:hAnsi="Times New Roman" w:cs="Times New Roman"/>
          <w:kern w:val="0"/>
          <w:sz w:val="24"/>
          <w:szCs w:val="24"/>
          <w:lang w:val="en-GB" w:eastAsia="en-IE"/>
          <w14:ligatures w14:val="none"/>
        </w:rPr>
        <w:t xml:space="preserve"> OR </w:t>
      </w:r>
      <w:r w:rsidRPr="00EB0D7B">
        <w:rPr>
          <w:rFonts w:ascii="Times New Roman" w:eastAsia="Times New Roman" w:hAnsi="Times New Roman" w:cs="Times New Roman"/>
          <w:color w:val="FF0000"/>
          <w:kern w:val="0"/>
          <w:sz w:val="24"/>
          <w:szCs w:val="24"/>
          <w:lang w:val="en-GB" w:eastAsia="en-IE"/>
          <w14:ligatures w14:val="none"/>
        </w:rPr>
        <w:t>frail elderly</w:t>
      </w:r>
      <w:r w:rsidRPr="00EB0D7B">
        <w:rPr>
          <w:rFonts w:ascii="Times New Roman" w:eastAsia="Times New Roman" w:hAnsi="Times New Roman" w:cs="Times New Roman"/>
          <w:kern w:val="0"/>
          <w:sz w:val="24"/>
          <w:szCs w:val="24"/>
          <w:lang w:val="en-GB" w:eastAsia="en-IE"/>
          <w14:ligatures w14:val="none"/>
        </w:rPr>
        <w:t>)</w:t>
      </w:r>
    </w:p>
    <w:p w14:paraId="51E13112"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color w:val="FF0000"/>
          <w:kern w:val="0"/>
          <w:sz w:val="24"/>
          <w:szCs w:val="24"/>
          <w:lang w:val="en-GB" w:eastAsia="en-IE"/>
          <w14:ligatures w14:val="none"/>
        </w:rPr>
        <w:t xml:space="preserve">abc </w:t>
      </w:r>
      <w:r w:rsidRPr="00EB0D7B">
        <w:rPr>
          <w:rFonts w:ascii="Times New Roman" w:eastAsia="Times New Roman" w:hAnsi="Times New Roman" w:cs="Times New Roman"/>
          <w:kern w:val="0"/>
          <w:sz w:val="24"/>
          <w:szCs w:val="24"/>
          <w:lang w:val="en-GB" w:eastAsia="en-IE"/>
          <w14:ligatures w14:val="none"/>
        </w:rPr>
        <w:t>= MeSH (Medical Subject Heading)</w:t>
      </w:r>
    </w:p>
    <w:p w14:paraId="47245D80"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Search engines / databases: PubMed (8,746), Embase (6,085), Scopus (259)</w:t>
      </w:r>
    </w:p>
    <w:p w14:paraId="5923C8CC"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Publication language filter: English</w:t>
      </w:r>
    </w:p>
    <w:p w14:paraId="4CDB1705"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Publications years filter: 2012 - 2023</w:t>
      </w:r>
    </w:p>
    <w:p w14:paraId="0C0EFDA6"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Formats included filter: Peer-reviewed journal articles, conference papers, reviews</w:t>
      </w:r>
    </w:p>
    <w:p w14:paraId="3625932F"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Formats excluded filter: Book chapters, newspaper articles, unpublished theses</w:t>
      </w:r>
    </w:p>
    <w:p w14:paraId="5A8C4FA9"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p>
    <w:p w14:paraId="53D8DB36"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Total publications identified: (n=15,090)</w:t>
      </w:r>
    </w:p>
    <w:p w14:paraId="415E9822"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Publications after duplicates removed: (n=10,908)</w:t>
      </w:r>
    </w:p>
    <w:p w14:paraId="64FF314F" w14:textId="77777777" w:rsidR="00EB0D7B" w:rsidRPr="00EB0D7B" w:rsidRDefault="00EB0D7B" w:rsidP="00EB0D7B">
      <w:pPr>
        <w:spacing w:line="256" w:lineRule="auto"/>
        <w:rPr>
          <w:rFonts w:ascii="Times New Roman" w:eastAsia="Times New Roman" w:hAnsi="Times New Roman" w:cs="Times New Roman"/>
          <w:color w:val="FF0000"/>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Publications excluded after first title/abstract screening: (n=10,745)</w:t>
      </w:r>
    </w:p>
    <w:p w14:paraId="2D137F30"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Total publications after first abstract/title screening: (n=163)</w:t>
      </w:r>
    </w:p>
    <w:p w14:paraId="600325F5"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p>
    <w:p w14:paraId="73D419D1"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Publications excluded after second screening (abstract and body): (n=129)</w:t>
      </w:r>
    </w:p>
    <w:p w14:paraId="2AEF63C2" w14:textId="77777777" w:rsidR="00EB0D7B" w:rsidRPr="00EB0D7B" w:rsidRDefault="00EB0D7B" w:rsidP="00EB0D7B">
      <w:pPr>
        <w:spacing w:line="256" w:lineRule="auto"/>
        <w:rPr>
          <w:rFonts w:ascii="Times New Roman" w:eastAsia="Times New Roman" w:hAnsi="Times New Roman" w:cs="Times New Roman"/>
          <w:kern w:val="0"/>
          <w:sz w:val="24"/>
          <w:szCs w:val="24"/>
          <w:lang w:val="en-GB" w:eastAsia="en-IE"/>
          <w14:ligatures w14:val="none"/>
        </w:rPr>
      </w:pPr>
      <w:r w:rsidRPr="00EB0D7B">
        <w:rPr>
          <w:rFonts w:ascii="Times New Roman" w:eastAsia="Times New Roman" w:hAnsi="Times New Roman" w:cs="Times New Roman"/>
          <w:kern w:val="0"/>
          <w:sz w:val="24"/>
          <w:szCs w:val="24"/>
          <w:lang w:val="en-GB" w:eastAsia="en-IE"/>
          <w14:ligatures w14:val="none"/>
        </w:rPr>
        <w:t>Total publications included in review: (n=34)</w:t>
      </w:r>
    </w:p>
    <w:p w14:paraId="3CD2D4A1"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7F340571"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09C1C1E8"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69388C83"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39737660"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1D911339"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619B3D15"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1B83447E"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15E764E7"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69169E33"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23BFF1C8"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15AB44AD" w14:textId="77777777" w:rsidR="00EB0D7B" w:rsidRPr="00EB0D7B" w:rsidRDefault="00EB0D7B" w:rsidP="00EB0D7B">
      <w:pPr>
        <w:spacing w:after="0" w:line="480" w:lineRule="auto"/>
        <w:jc w:val="center"/>
        <w:rPr>
          <w:rFonts w:ascii="Times New Roman" w:eastAsia="Times New Roman" w:hAnsi="Times New Roman" w:cs="Times New Roman"/>
          <w:b/>
          <w:kern w:val="0"/>
          <w:sz w:val="24"/>
          <w:szCs w:val="24"/>
          <w:lang w:val="en-GB" w:eastAsia="en-IE"/>
          <w14:ligatures w14:val="none"/>
        </w:rPr>
      </w:pPr>
      <w:r w:rsidRPr="00EB0D7B">
        <w:rPr>
          <w:rFonts w:ascii="Times New Roman" w:eastAsia="Times New Roman" w:hAnsi="Times New Roman" w:cs="Times New Roman"/>
          <w:b/>
          <w:kern w:val="0"/>
          <w:sz w:val="24"/>
          <w:szCs w:val="24"/>
          <w:lang w:val="en-GB" w:eastAsia="en-IE"/>
          <w14:ligatures w14:val="none"/>
        </w:rPr>
        <w:lastRenderedPageBreak/>
        <w:t>Appendix C - Methodological characteristics of included studies</w:t>
      </w:r>
    </w:p>
    <w:p w14:paraId="66764B1B"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632C35BB" w14:textId="77777777" w:rsidR="00EB0D7B" w:rsidRPr="00EB0D7B" w:rsidRDefault="00EB0D7B" w:rsidP="00EB0D7B">
      <w:pPr>
        <w:spacing w:after="0" w:line="276" w:lineRule="auto"/>
        <w:rPr>
          <w:rFonts w:ascii="Calibri" w:eastAsia="Calibri" w:hAnsi="Calibri" w:cs="Calibri"/>
          <w:kern w:val="0"/>
          <w:lang w:val="en-GB" w:eastAsia="en-IE"/>
          <w14:ligatures w14:val="none"/>
        </w:rP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3672"/>
        <w:gridCol w:w="1017"/>
        <w:gridCol w:w="2625"/>
      </w:tblGrid>
      <w:tr w:rsidR="00EB0D7B" w:rsidRPr="00EB0D7B" w14:paraId="220B615B"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6287E"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Authors (year) / Country</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1C3049"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Sample and Aim / Objective</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51113"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Number of participants</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CD45A"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Health literacy assessment / measure</w:t>
            </w:r>
          </w:p>
        </w:tc>
      </w:tr>
      <w:tr w:rsidR="00EB0D7B" w:rsidRPr="00EB0D7B" w14:paraId="46D32A53"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29FA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Aspinall et al. (2012)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46B7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55 or older. Accessing, understanding and using health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C8ABB"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31</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2E62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39D41B96"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B7DA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Becker et al. (2023)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159A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Accessing and understanding medication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8FC30"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131</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F90D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Rapid Estimate of Adult Literacy in Medicine- Revised (REALM-R)</w:t>
            </w:r>
          </w:p>
        </w:tc>
      </w:tr>
      <w:tr w:rsidR="00EB0D7B" w:rsidRPr="00EB0D7B" w14:paraId="544CF0E5"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32C0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Berthenet et al. (2016) - Canada</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CB68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Medication instruction pictogram comprehension.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406ED"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135</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AABC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0A10B468"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267D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Blaylock et al. (2022)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69D7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Accessing and understanding fall prevention information for older adults with low vision.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3A974"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9</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8D56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34A15FDC"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5AC4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Bonderski et al. (2018)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F305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50 or older with heart failure and limited health literacy. Accessing, understanding, and using cardiovascular medication instruction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DEF1D"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314</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B1B4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51B5FEA1"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74D3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Boonasa et al. (2022) - Thailand</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93B9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60 or older with chronic kidney disease. Functional, interactive and critical health literacy. Accessing, understanding, and applying.</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F4A06"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18</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796E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6E52B3BE"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63BF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Chin et al. (2018)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7EFA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Mean age = 70.8. Comprehension of online health information for those with hypertension.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3152C"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128</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FF18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Short Test of Functional Health Literacy in Adults (STOFHLA)</w:t>
            </w:r>
          </w:p>
        </w:tc>
      </w:tr>
      <w:tr w:rsidR="00EB0D7B" w:rsidRPr="00EB0D7B" w14:paraId="71A64B36"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6827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Choi (2016)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83EF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Comprehension and recall of discharge instruction-related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35515"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42</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3BC9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Short Test of Functional Health Literacy in Adults (STOFHLA)</w:t>
            </w:r>
          </w:p>
        </w:tc>
      </w:tr>
      <w:tr w:rsidR="00EB0D7B" w:rsidRPr="00EB0D7B" w14:paraId="4547118D"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0418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Doi-Kanno et al. (2021) - Brazil</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F2CC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General health literacy intervention in native language.</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528AE"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21</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66E0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Health Literacy Scale for Japanese Adults (HLS-14)</w:t>
            </w:r>
          </w:p>
        </w:tc>
      </w:tr>
      <w:tr w:rsidR="00EB0D7B" w:rsidRPr="00EB0D7B" w14:paraId="620177FF"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92B5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Freed et al. (2013)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139C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50 or older. Colorectal cancer health information comprehension and recognition memory.</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304A0"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60</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54CD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44B534B5"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54BC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Hsu et al. (2023) - Taiwan</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8D87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Mean age = 71.1. Understanding and applying health-related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5895F"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221</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4058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1D8777E7"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3D8B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Lai &amp; Chan (2023) - Hong Kong</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E0A4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60 or older.</w:t>
            </w:r>
          </w:p>
          <w:p w14:paraId="202DDE6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Accessing and understanding information in relation to advance care planning (ACP).</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9D256"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182</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6FA9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5FACB943"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F899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Lam et al. (2017)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F752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Mean age = 71.1 (standard treatment) / 68.9 (intervention). Understanding medication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E0B4B"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134</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42A0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Short Test of Functional Health Literacy in Adults (STOFHLA)</w:t>
            </w:r>
          </w:p>
        </w:tc>
      </w:tr>
      <w:tr w:rsidR="00EB0D7B" w:rsidRPr="00EB0D7B" w14:paraId="08B016B6"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C291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Lee et al. (2018)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02FF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55 or older. Medication label information comprehension.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CF8D0"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92</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222D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Modified LaRue Tool (MLT)</w:t>
            </w:r>
          </w:p>
        </w:tc>
      </w:tr>
      <w:tr w:rsidR="00EB0D7B" w:rsidRPr="00EB0D7B" w14:paraId="1F23EA90"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3EE0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Leung et al (2018) - Hong Kong</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E647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60 or over. Health literacy and medication compliance.</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03937"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165</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FB79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Chinese Health Literacy Scale for Chronic Care (CHLCC)</w:t>
            </w:r>
          </w:p>
        </w:tc>
      </w:tr>
      <w:tr w:rsidR="00EB0D7B" w:rsidRPr="00EB0D7B" w14:paraId="18A2E261"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A58C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Lin et al (2014) - Australia</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C823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Mean age = 63.4 (control) / 62.1 (intervention).</w:t>
            </w:r>
          </w:p>
          <w:p w14:paraId="23FB589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Understanding diagnosis, treatment plan, and post-discharge recommendation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32518"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67</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3146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163A18E7"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35BB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Lin et al (2019) - Taiwan</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3137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50 or over. Effects of health literacy intervention on health empowerment.</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F743B"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172</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AE2C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short-form Mandarin Health Literacy Scale (s-MHLS)</w:t>
            </w:r>
          </w:p>
        </w:tc>
      </w:tr>
      <w:tr w:rsidR="00EB0D7B" w:rsidRPr="00EB0D7B" w14:paraId="0CD61ACB"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A030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Liu et al (2018) - China</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2E45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60 or older. Health literacy of nursing home residents.</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F5578"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260</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EB15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2F47DE87"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E9C7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Malhotra et al. (2019) - Singapore</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535F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60 or older. Understanding prescription medication label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4B339"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1,414</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C983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22F351C6"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0C08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Martin et al. (2013) - Canada</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5D81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Understanding risk-related information concerning inappropriate prescriptions (benzodiazepine).</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F2831"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144</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5D11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19D0C380"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4DA6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Martin et al. (2012)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C0B4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55 or older. Medication information comprehension, recall, and adherence.</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92C29"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20</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FEF6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Newest Vital Sign (NVS)</w:t>
            </w:r>
          </w:p>
        </w:tc>
      </w:tr>
      <w:tr w:rsidR="00EB0D7B" w:rsidRPr="00EB0D7B" w14:paraId="2D679895"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8C11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Meppelink et al. (2015) - Netherlands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3928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55 or older. Colorectal cancer-related screening information comprehension and recall.</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90780"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231</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1BE2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Short Assessment of Health Literacy in Dutch (SAHL-D)</w:t>
            </w:r>
          </w:p>
        </w:tc>
      </w:tr>
      <w:tr w:rsidR="00EB0D7B" w:rsidRPr="00EB0D7B" w14:paraId="73BFA3A3"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5667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Mohsen &amp; Elabbassy (2021) - Egypt</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9CBD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60 or older. Understanding diabetes and hypertension-related information, and medication adherence.</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E99E7"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140</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30AB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01475CEB"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5A02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Ng et al. (2017) - Hong Kong</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D961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Medication information comprehension.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2CFDC"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50</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D021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Rapid Estimate of Adult Literacy in Medicine-</w:t>
            </w:r>
          </w:p>
          <w:p w14:paraId="7EB5032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Revised (REALM-R)</w:t>
            </w:r>
          </w:p>
        </w:tc>
      </w:tr>
      <w:tr w:rsidR="00EB0D7B" w:rsidRPr="00EB0D7B" w14:paraId="13431291"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4643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Qvarfordt et al. (2021) - Sweden</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43D7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Understanding medication utilisation-related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79E4B"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260</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0763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3EFA112F"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BF33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Serbim et al. (2022) - Brazil</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E0A6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60 or older. Accessing, appraising, communicating, and understanding health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0E1B6"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42</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FDEF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Short Assessment of Health Literacy for Portuguese Speaking Adults (SAHLPA)</w:t>
            </w:r>
          </w:p>
        </w:tc>
      </w:tr>
      <w:tr w:rsidR="00EB0D7B" w:rsidRPr="00EB0D7B" w14:paraId="6FD0C7B5"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72155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Shah et al. (2023)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A49B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55 or older. Remote versus in-person health education in relation to health literacy outcomes.</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B6693"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130</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ACE7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Rapid Estimate of Adult Literacy in Medicine (REALM), and Short Test of Functional Health Literacy in Adults (STOFHLA)</w:t>
            </w:r>
          </w:p>
        </w:tc>
      </w:tr>
      <w:tr w:rsidR="00EB0D7B" w:rsidRPr="00EB0D7B" w14:paraId="1280C1CE"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A685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Shreffler-Grant et al. (2021)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16F3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55 or older. General health literacy, and health literacy concerning complementary and alternative therapies medicine (CAM).</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3EE11"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127</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0C34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Newest Vital Sign (NVS), Single Item, and MSU CAM Health Literacy Scale</w:t>
            </w:r>
          </w:p>
        </w:tc>
      </w:tr>
      <w:tr w:rsidR="00EB0D7B" w:rsidRPr="00EB0D7B" w14:paraId="4EFCE572"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7C01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Smith et al. (2019) - Australia</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144C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General health literacy and self-efficacy in relation to complementary medicine (CM) health literacy intervention.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7EA59"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153</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6155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032E72D2"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B2D8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Taherian &amp; Motamendi (2022) - Iran</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DF86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60 or older. Accessing, understanding and appraising health information.</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F138F"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76</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E18E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Health Literacy for Iranian Adults (HELIA)</w:t>
            </w:r>
          </w:p>
        </w:tc>
      </w:tr>
      <w:tr w:rsidR="00EB0D7B" w:rsidRPr="00EB0D7B" w14:paraId="4E018961"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7A36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Tai et al. (2016) - US</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47A5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55 or older. Prescription label comprehension and functional health literacy (FHL).</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636DD"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118</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3C5A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Modified LaRue Tool (MLT) and Short Test of Functional Health Literacy in Adults (STOFHLA)</w:t>
            </w:r>
          </w:p>
        </w:tc>
      </w:tr>
      <w:tr w:rsidR="00EB0D7B" w:rsidRPr="00EB0D7B" w14:paraId="63D0D634"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02A8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Uemura et al. (2021) - Japan</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D34A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Comprehensive health literacy, lifestyle behaviours, and mental health for older adults with low health literacy.</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A6EF9"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60</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FFAA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Health Literacy Scale-14 (HLS-14)</w:t>
            </w:r>
          </w:p>
        </w:tc>
      </w:tr>
      <w:tr w:rsidR="00EB0D7B" w:rsidRPr="00EB0D7B" w14:paraId="134FD997"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66AE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Vaillancourt et al. (2019) - Canada</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FC38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65 or older. Comprehension and recall of pharmaceutical / medication pictograms.</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C36C8"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58</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E675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tc>
      </w:tr>
      <w:tr w:rsidR="00EB0D7B" w:rsidRPr="00EB0D7B" w14:paraId="49377596" w14:textId="77777777" w:rsidTr="00EB0D7B">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B2CE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Yu et al. (2017) - Hong Kong</w:t>
            </w:r>
          </w:p>
        </w:tc>
        <w:tc>
          <w:tcPr>
            <w:tcW w:w="3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76D5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Aged 50 or older. Health literacy of older adults with type II diabetes mellitus (T2DM)</w:t>
            </w:r>
          </w:p>
        </w:tc>
        <w:tc>
          <w:tcPr>
            <w:tcW w:w="1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A9C84" w14:textId="77777777" w:rsidR="00EB0D7B" w:rsidRPr="00EB0D7B" w:rsidRDefault="00EB0D7B" w:rsidP="00EB0D7B">
            <w:pPr>
              <w:widowControl w:val="0"/>
              <w:spacing w:after="0" w:line="240" w:lineRule="auto"/>
              <w:jc w:val="center"/>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165</w:t>
            </w:r>
          </w:p>
        </w:tc>
        <w:tc>
          <w:tcPr>
            <w:tcW w:w="26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33BB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Chinese Health Literacy Scale for Diabetes - Multiple Choice Version (CHLSD-MC)</w:t>
            </w:r>
          </w:p>
        </w:tc>
      </w:tr>
    </w:tbl>
    <w:p w14:paraId="6FA6D09C" w14:textId="77777777" w:rsidR="00EB0D7B" w:rsidRPr="00EB0D7B" w:rsidRDefault="00EB0D7B" w:rsidP="00EB0D7B">
      <w:pPr>
        <w:spacing w:after="0" w:line="276" w:lineRule="auto"/>
        <w:rPr>
          <w:rFonts w:ascii="Times New Roman" w:eastAsia="Times New Roman" w:hAnsi="Times New Roman" w:cs="Times New Roman"/>
          <w:kern w:val="0"/>
          <w:lang w:val="en-GB" w:eastAsia="en-IE"/>
          <w14:ligatures w14:val="none"/>
        </w:rPr>
      </w:pPr>
    </w:p>
    <w:p w14:paraId="6D9DD7B2" w14:textId="77777777" w:rsidR="00EB0D7B" w:rsidRPr="00EB0D7B" w:rsidRDefault="00EB0D7B" w:rsidP="00EB0D7B">
      <w:pPr>
        <w:spacing w:after="0" w:line="480" w:lineRule="auto"/>
        <w:rPr>
          <w:rFonts w:ascii="Times New Roman" w:eastAsia="Times New Roman" w:hAnsi="Times New Roman" w:cs="Times New Roman"/>
          <w:kern w:val="0"/>
          <w:lang w:val="en-GB" w:eastAsia="en-IE"/>
          <w14:ligatures w14:val="none"/>
        </w:rPr>
      </w:pPr>
    </w:p>
    <w:p w14:paraId="5B68BE93" w14:textId="77777777" w:rsidR="00EB0D7B" w:rsidRPr="00EB0D7B" w:rsidRDefault="00EB0D7B" w:rsidP="00EB0D7B">
      <w:pPr>
        <w:spacing w:after="0" w:line="480" w:lineRule="auto"/>
        <w:rPr>
          <w:rFonts w:ascii="Times New Roman" w:eastAsia="Times New Roman" w:hAnsi="Times New Roman" w:cs="Times New Roman"/>
          <w:b/>
          <w:kern w:val="0"/>
          <w:lang w:val="en-GB" w:eastAsia="en-IE"/>
          <w14:ligatures w14:val="none"/>
        </w:rPr>
      </w:pPr>
    </w:p>
    <w:p w14:paraId="5C63F16E" w14:textId="77777777" w:rsidR="00EB0D7B" w:rsidRPr="00EB0D7B" w:rsidRDefault="00EB0D7B" w:rsidP="00EB0D7B">
      <w:pPr>
        <w:spacing w:after="0" w:line="480" w:lineRule="auto"/>
        <w:jc w:val="center"/>
        <w:rPr>
          <w:rFonts w:ascii="Times New Roman" w:eastAsia="Times New Roman" w:hAnsi="Times New Roman" w:cs="Times New Roman"/>
          <w:b/>
          <w:kern w:val="0"/>
          <w:sz w:val="24"/>
          <w:szCs w:val="24"/>
          <w:lang w:val="en-GB" w:eastAsia="en-IE"/>
          <w14:ligatures w14:val="none"/>
        </w:rPr>
      </w:pPr>
      <w:r w:rsidRPr="00EB0D7B">
        <w:rPr>
          <w:rFonts w:ascii="Times New Roman" w:eastAsia="Times New Roman" w:hAnsi="Times New Roman" w:cs="Times New Roman"/>
          <w:b/>
          <w:kern w:val="0"/>
          <w:sz w:val="24"/>
          <w:szCs w:val="24"/>
          <w:lang w:val="en-GB" w:eastAsia="en-IE"/>
          <w14:ligatures w14:val="none"/>
        </w:rPr>
        <w:lastRenderedPageBreak/>
        <w:t>Appendix D - Key findings pertaining to health literacy interventions and</w:t>
      </w:r>
    </w:p>
    <w:p w14:paraId="0131F59C" w14:textId="77777777" w:rsidR="00EB0D7B" w:rsidRPr="00EB0D7B" w:rsidRDefault="00EB0D7B" w:rsidP="00EB0D7B">
      <w:pPr>
        <w:spacing w:after="0" w:line="480" w:lineRule="auto"/>
        <w:jc w:val="center"/>
        <w:rPr>
          <w:rFonts w:ascii="Calibri" w:eastAsia="Calibri" w:hAnsi="Calibri" w:cs="Calibri"/>
          <w:kern w:val="0"/>
          <w:sz w:val="24"/>
          <w:szCs w:val="24"/>
          <w:lang w:val="en-GB" w:eastAsia="en-IE"/>
          <w14:ligatures w14:val="none"/>
        </w:rPr>
      </w:pPr>
      <w:r w:rsidRPr="00EB0D7B">
        <w:rPr>
          <w:rFonts w:ascii="Times New Roman" w:eastAsia="Times New Roman" w:hAnsi="Times New Roman" w:cs="Times New Roman"/>
          <w:b/>
          <w:kern w:val="0"/>
          <w:sz w:val="24"/>
          <w:szCs w:val="24"/>
          <w:lang w:val="en-GB" w:eastAsia="en-IE"/>
          <w14:ligatures w14:val="none"/>
        </w:rPr>
        <w:t>health literacy-related outcomes</w:t>
      </w:r>
    </w:p>
    <w:p w14:paraId="74A823AE" w14:textId="77777777" w:rsidR="00EB0D7B" w:rsidRPr="00EB0D7B" w:rsidRDefault="00EB0D7B" w:rsidP="00EB0D7B">
      <w:pPr>
        <w:spacing w:after="0" w:line="276" w:lineRule="auto"/>
        <w:rPr>
          <w:rFonts w:ascii="Calibri" w:eastAsia="Calibri" w:hAnsi="Calibri" w:cs="Calibri"/>
          <w:kern w:val="0"/>
          <w:lang w:val="en-GB" w:eastAsia="en-IE"/>
          <w14:ligatures w14:val="none"/>
        </w:rP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6"/>
        <w:gridCol w:w="1328"/>
        <w:gridCol w:w="1608"/>
        <w:gridCol w:w="3323"/>
        <w:gridCol w:w="1860"/>
      </w:tblGrid>
      <w:tr w:rsidR="00EB0D7B" w:rsidRPr="00EB0D7B" w14:paraId="2BF175F3"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DCB63"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Author (Year)</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0800A"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Study objective</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CC8D7"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Intervention type</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1A557"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Intervention characteristics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0CE27" w14:textId="77777777" w:rsidR="00EB0D7B" w:rsidRPr="00EB0D7B" w:rsidRDefault="00EB0D7B" w:rsidP="00EB0D7B">
            <w:pPr>
              <w:widowControl w:val="0"/>
              <w:spacing w:after="0" w:line="240" w:lineRule="auto"/>
              <w:jc w:val="center"/>
              <w:rPr>
                <w:rFonts w:ascii="Calibri" w:eastAsia="Calibri" w:hAnsi="Calibri" w:cs="Calibri"/>
                <w:b/>
                <w:kern w:val="0"/>
                <w:sz w:val="16"/>
                <w:szCs w:val="16"/>
                <w:lang w:val="en-GB" w:eastAsia="en-IE"/>
                <w14:ligatures w14:val="none"/>
              </w:rPr>
            </w:pPr>
            <w:r w:rsidRPr="00EB0D7B">
              <w:rPr>
                <w:rFonts w:ascii="Calibri" w:eastAsia="Calibri" w:hAnsi="Calibri" w:cs="Calibri"/>
                <w:b/>
                <w:kern w:val="0"/>
                <w:sz w:val="16"/>
                <w:szCs w:val="16"/>
                <w:lang w:val="en-GB" w:eastAsia="en-IE"/>
                <w14:ligatures w14:val="none"/>
              </w:rPr>
              <w:t>Health literacy-related outcomes</w:t>
            </w:r>
          </w:p>
        </w:tc>
      </w:tr>
      <w:tr w:rsidR="00EB0D7B" w:rsidRPr="00EB0D7B" w14:paraId="798948CF"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6C59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Aspinall et al. (2012)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620C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Develop an evidence- based educational program to improve older adult health literacy.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4F2C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face to face researcher-led education and information workshops.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2666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2 x 90-minute educational workshops, including knowledge assessment concerning: communication with healthcare providers, seeking online health information.</w:t>
            </w:r>
          </w:p>
          <w:p w14:paraId="36EF5A8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771CAF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educational handouts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3FCE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Participants self-reported improved ability to find and access health information. Also able to use that information to better engage with healthcare providers.</w:t>
            </w:r>
          </w:p>
        </w:tc>
      </w:tr>
      <w:tr w:rsidR="00EB0D7B" w:rsidRPr="00EB0D7B" w14:paraId="346A7E9D"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B1DD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Becker et al. (2023)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3B51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how novel medication label designs impact older persons’ attention to, and use of, critical information.</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6145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computer-based medication label information tests.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7D67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Computer-based tasks - 2 x medication label information tests. Find and understand information and answer questions concerning medication appropriateness.</w:t>
            </w:r>
          </w:p>
          <w:p w14:paraId="736BE3F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0D15EFF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Computer</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3EA9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Highlighting or placing critical information on front of medication packaging labels improved response accuracy. Easier to access and understand.</w:t>
            </w:r>
          </w:p>
        </w:tc>
      </w:tr>
      <w:tr w:rsidR="00EB0D7B" w:rsidRPr="00EB0D7B" w14:paraId="474763A3"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820E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Berthenet et al. (2016)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23B6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Validate a set of pictograms depicting medication instructions for use by older persons to support health literacy.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D5BA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pictogram comprehension test / interview.</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1AD7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medication instruction-related pictogram comprehension test.</w:t>
            </w:r>
          </w:p>
          <w:p w14:paraId="2169B1D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6ED82A5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Pictogram cards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D565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Pictograms depicting warnings and precautions against side effects were not well understood. Fewer pictograms understood in the elderly population compared to previous study involving younger persons. Tailored validation of pictograms needed for older persons.</w:t>
            </w:r>
          </w:p>
        </w:tc>
      </w:tr>
      <w:tr w:rsidR="00EB0D7B" w:rsidRPr="00EB0D7B" w14:paraId="4DB9F6BF"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6381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Blaylock et al. (2022)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17B1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Modify an evidence-based fall prevention intervention for older adults with low vision.</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C849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researcher-led education classes.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851A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2 classes per week for 2 weeks. Included demonstrations and discussion. Multiple-choice questions (10 questions) and teach-back exercises (2 educational concepts) to assess comprehension of educational handouts modified for low vision.</w:t>
            </w:r>
          </w:p>
          <w:p w14:paraId="23A14C9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7E04C78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Modified printed information handouts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74B2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Modified educational handouts increased comprehension of fall prevention information and strategies for those with low vision.</w:t>
            </w:r>
          </w:p>
        </w:tc>
      </w:tr>
      <w:tr w:rsidR="00EB0D7B" w:rsidRPr="00EB0D7B" w14:paraId="06A8FC37"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BDB5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Bonderski et al. (2018)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AB6A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Design and test instructional pharmacy-based protocol and tailored patient instruction materials to assist heart failure patients to better manage and adhere to treatments.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D1B7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pharmacist-led discussion and medication instruction tailoring.</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3DAD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patient-pharmacist discussion. Modified, tailored, patient-centred medication instructions provided by pharmacist.</w:t>
            </w:r>
          </w:p>
          <w:p w14:paraId="45DEEA1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3C7E7A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medication instructions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E9CF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adherence to cardiovascular medications.</w:t>
            </w:r>
          </w:p>
        </w:tc>
      </w:tr>
      <w:tr w:rsidR="00EB0D7B" w:rsidRPr="00EB0D7B" w14:paraId="7894896D"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071E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Boonasa et al. (2022)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F171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 xml:space="preserve">Examine feasibility and acceptability of </w:t>
            </w:r>
            <w:r w:rsidRPr="00EB0D7B">
              <w:rPr>
                <w:rFonts w:ascii="Calibri" w:eastAsia="Calibri" w:hAnsi="Calibri" w:cs="Calibri"/>
                <w:kern w:val="0"/>
                <w:sz w:val="16"/>
                <w:szCs w:val="16"/>
                <w:lang w:val="en-GB" w:eastAsia="en-IE"/>
                <w14:ligatures w14:val="none"/>
              </w:rPr>
              <w:lastRenderedPageBreak/>
              <w:t>health literacy enhancement program for older people with chronic kidney disease receiving hemodialysis.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5BB9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 xml:space="preserve">Group nurse-led information and activity sessions and </w:t>
            </w:r>
            <w:r w:rsidRPr="00EB0D7B">
              <w:rPr>
                <w:rFonts w:ascii="Calibri" w:eastAsia="Calibri" w:hAnsi="Calibri" w:cs="Calibri"/>
                <w:kern w:val="0"/>
                <w:sz w:val="16"/>
                <w:szCs w:val="16"/>
                <w:lang w:val="en-GB" w:eastAsia="en-IE"/>
                <w14:ligatures w14:val="none"/>
              </w:rPr>
              <w:lastRenderedPageBreak/>
              <w:t>health literacy questionnaire.</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9D7A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 xml:space="preserve">Strategy: Weekly 30-minute session for 4 weeks. Group activities: providing health information, communication practice, critical </w:t>
            </w:r>
            <w:r w:rsidRPr="00EB0D7B">
              <w:rPr>
                <w:rFonts w:ascii="Calibri" w:eastAsia="Calibri" w:hAnsi="Calibri" w:cs="Calibri"/>
                <w:kern w:val="0"/>
                <w:sz w:val="16"/>
                <w:szCs w:val="16"/>
                <w:lang w:val="en-GB" w:eastAsia="en-IE"/>
                <w14:ligatures w14:val="none"/>
              </w:rPr>
              <w:lastRenderedPageBreak/>
              <w:t>appraisal training, and decision-making exercises.</w:t>
            </w:r>
          </w:p>
          <w:p w14:paraId="19733F6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7553DDB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questionnaire</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E392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 xml:space="preserve">Higher health literacy scores overall, including accessing, </w:t>
            </w:r>
            <w:r w:rsidRPr="00EB0D7B">
              <w:rPr>
                <w:rFonts w:ascii="Calibri" w:eastAsia="Calibri" w:hAnsi="Calibri" w:cs="Calibri"/>
                <w:kern w:val="0"/>
                <w:sz w:val="16"/>
                <w:szCs w:val="16"/>
                <w:lang w:val="en-GB" w:eastAsia="en-IE"/>
                <w14:ligatures w14:val="none"/>
              </w:rPr>
              <w:lastRenderedPageBreak/>
              <w:t>understanding, and applying health information.</w:t>
            </w:r>
          </w:p>
        </w:tc>
      </w:tr>
      <w:tr w:rsidR="00EB0D7B" w:rsidRPr="00EB0D7B" w14:paraId="4C714848"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9142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Chin et al. (2018)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627C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 comprehension of online health information for older adults with hypertension.</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1E06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information reading and questions exercise.</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9BB3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computer-based exercise: Read typical and revised health information passages, followed by passage summary exercise and multiple-choice questions.</w:t>
            </w:r>
          </w:p>
          <w:p w14:paraId="63FFD58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68AF0D0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Computer</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94C5B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health information comprehension and recall in relation to revised passages.</w:t>
            </w:r>
          </w:p>
        </w:tc>
      </w:tr>
      <w:tr w:rsidR="00EB0D7B" w:rsidRPr="00EB0D7B" w14:paraId="7C4D3E8E"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ECD5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Choi (2016)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884F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 of pictograph-based discharge instructions on comprehension and recall of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26D1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teaching session.</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1133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60-minute pre-discharge teaching session and discussion accompanied by pictograph-based discharge instructions.</w:t>
            </w:r>
          </w:p>
          <w:p w14:paraId="060B97A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Pictograph definitions and meanings discussed.</w:t>
            </w:r>
          </w:p>
          <w:p w14:paraId="05C6882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Follow up interview 4 weeks after discharge.</w:t>
            </w:r>
          </w:p>
          <w:p w14:paraId="2C617AB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32AD635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pictograph-based discharge instruction booklet.</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90EE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Significant improvement in comprehension and recall scores.</w:t>
            </w:r>
          </w:p>
        </w:tc>
      </w:tr>
      <w:tr w:rsidR="00EB0D7B" w:rsidRPr="00EB0D7B" w14:paraId="34628B48"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5C5D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Doi-Kanno et al. (2021)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3DDD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effects of leaflet-based health guide for older Japanese- Brazilian adults on health literacy, self efficacy, and satisfaction.</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249F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information and guidance session.</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B44F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Single 20-minute health information and guidance session and discussion in native language (Japanese). Topics: lifestyle-related diseases, recommended salt and sugar intake levels, graphical charts.</w:t>
            </w:r>
          </w:p>
          <w:p w14:paraId="1630B9B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6650F44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information leaflet in native language.</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8F38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No significant difference in health literacy score. Slight improvement in satisfaction.</w:t>
            </w:r>
          </w:p>
        </w:tc>
      </w:tr>
      <w:tr w:rsidR="00EB0D7B" w:rsidRPr="00EB0D7B" w14:paraId="16A9809C"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626D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Freed et al. (2013)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BFBB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Compare the effects of health information texts on patient recognition memory, aged 50-75.</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4628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text reading and statement recognition test.</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41CE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text reading exercise followed by a comprehension test. Topics: CRC screening test options, benefits, and potential harms. Text written at a low reading grade.</w:t>
            </w:r>
          </w:p>
          <w:p w14:paraId="525661C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56F1D32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text document</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F54E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Adapted text to low reading grade improved recognition memory and comprehension.</w:t>
            </w:r>
          </w:p>
        </w:tc>
      </w:tr>
      <w:tr w:rsidR="00EB0D7B" w:rsidRPr="00EB0D7B" w14:paraId="3863199D"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78DD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Hsu et al.</w:t>
            </w:r>
          </w:p>
          <w:p w14:paraId="3FC9D25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(2023)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72E0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Evaluate the effectiveness of game-based health promotion program on older adults health literacy and quality of life.</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E3F0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trained program game instructor-led face to face health promotion gamification approach.</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5B48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game session. Social interaction, cooking games, physical exercise/games, slogan teaching, cognitive training, oral health skills.</w:t>
            </w:r>
          </w:p>
          <w:p w14:paraId="07FAB07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375001B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educational materials - Informational posters, playing cards, postcards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5ED6C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health knowledge, information understanding and application.</w:t>
            </w:r>
          </w:p>
        </w:tc>
      </w:tr>
      <w:tr w:rsidR="00EB0D7B" w:rsidRPr="00EB0D7B" w14:paraId="60710CEE"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A7D2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Lai &amp; Chan (2023)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FB78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Compare the effects of a video decision aid with verbal narratives &amp; photos in preparing older adults for advance care planning.</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F992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nurse-led face to face educational talk followed by video decision aid, and question and answer session.</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2ECC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45-minute educational talk concerning end-of-life care, 6-minute video decision aid, 15-minute question and answer session.</w:t>
            </w:r>
          </w:p>
          <w:p w14:paraId="7313051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3BB7C31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Computer slides, video.</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3FA9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Readiness for discussing end-of-life care increased. Significant improvement in ACP-related knowledge. Decrease in decisional conflicts.</w:t>
            </w:r>
          </w:p>
        </w:tc>
      </w:tr>
      <w:tr w:rsidR="00EB0D7B" w:rsidRPr="00EB0D7B" w14:paraId="79E0D03A"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9E86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Lam et al. (2017)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52DA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 xml:space="preserve">Test effect of ‘talking pill bottles’ on medication self-efficacy, </w:t>
            </w:r>
            <w:r w:rsidRPr="00EB0D7B">
              <w:rPr>
                <w:rFonts w:ascii="Calibri" w:eastAsia="Calibri" w:hAnsi="Calibri" w:cs="Calibri"/>
                <w:kern w:val="0"/>
                <w:sz w:val="16"/>
                <w:szCs w:val="16"/>
                <w:lang w:val="en-GB" w:eastAsia="en-IE"/>
                <w14:ligatures w14:val="none"/>
              </w:rPr>
              <w:lastRenderedPageBreak/>
              <w:t>knowledge and adherence for older adults with hypertension and low health literacy.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62EA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Individual pharmacist-led talking pill bottle informational recording</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95AB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60-second medication instructions and information recording utilised by patients daily for 90 days.</w:t>
            </w:r>
          </w:p>
          <w:p w14:paraId="5E2B183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364C029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Talking pill bottle device</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C3F3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medication-related knowledge and understanding.</w:t>
            </w:r>
          </w:p>
        </w:tc>
      </w:tr>
      <w:tr w:rsidR="00EB0D7B" w:rsidRPr="00EB0D7B" w14:paraId="221E6253"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13F5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Lee et al. (2018)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72F8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Assess effectiveness of tailored education to improve prescription label understanding and health literacy.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7998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face to face education session, individual face to face medication information comprehension and pillbox tests.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A769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5-30 minute education session, 15-minute prescription label comprehension survey and 15-minute pillbox fill test. Survey and test repeated at one-month follow-up.</w:t>
            </w:r>
          </w:p>
          <w:p w14:paraId="77F4338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6E69B67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Educational brochure, pillbox</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A710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Redesigned prescription labels improved medication information comprehension.</w:t>
            </w:r>
          </w:p>
        </w:tc>
      </w:tr>
      <w:tr w:rsidR="00EB0D7B" w:rsidRPr="00EB0D7B" w14:paraId="3EF8ACAB"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EC2A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Leung et al (2018)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328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 of verbal advice and comic books on health literacy and medication compliance of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403F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60-minute</w:t>
            </w:r>
          </w:p>
          <w:p w14:paraId="1C68CC5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home visits: 1 intervention per individual, either verbal advice or comic book.</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3604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home visit. Verbal advice: how to read, understand and interpret drug label information.</w:t>
            </w:r>
          </w:p>
          <w:p w14:paraId="14421CC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Comic book: explaining medication instructions, interpreting figures on labels, applying medication-related instructions and knowledge.</w:t>
            </w:r>
          </w:p>
          <w:p w14:paraId="4756B7C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64D499E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Comic book</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0A8C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Comic book significantly improved capacity to access, understand and interpret medication label information. Also, improved decision-making / applying information in relation to how to take and store medication.</w:t>
            </w:r>
          </w:p>
        </w:tc>
      </w:tr>
      <w:tr w:rsidR="00EB0D7B" w:rsidRPr="00EB0D7B" w14:paraId="714F3D34"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5010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Lin et al (2014)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61CE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 of patient-directed discharge letter on older adult understanding.</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F80D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physician-led patient-physician discussion and discharge letter.</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E976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patient-physician discussion, followed by a patient-directed discharge letter (PADDLE) explained by physician, and a questionnaire.</w:t>
            </w:r>
          </w:p>
          <w:p w14:paraId="3713992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05E6FFE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discharge information letter</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4042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understanding of diagnosis, treatment plan and post-discharge recommendations.</w:t>
            </w:r>
          </w:p>
        </w:tc>
      </w:tr>
      <w:tr w:rsidR="00EB0D7B" w:rsidRPr="00EB0D7B" w14:paraId="48E7E9B1"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EBDE3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Lin et al (2019)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8B43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Evaluate effect of community-based participatory health literacy program on older adults’ health behaviours and health empowerment.</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7038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primary intervention provider-led education and discussion workshops (community-based participatory design)</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EAEE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1 x 2-hr workshop per week for 12 weeks. Community-based participatory design including cognitive and social skills necessary for accessing, understanding, appraising and applying health information. Discussion, interactive games, role play. Teach back method applied by facilitators to assess participants’ understanding of learning materials and their ability to use skills relevant to the topics covered.</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8A67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Community-based participatory design health literacy programme aided overall health literacy and improved health empowerment.</w:t>
            </w:r>
          </w:p>
        </w:tc>
      </w:tr>
      <w:tr w:rsidR="00EB0D7B" w:rsidRPr="00EB0D7B" w14:paraId="6013E249"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D14C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Liu et al (2018)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3CCB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effectiveness of teach-back method on older adult health literacy.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19D4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health educational session, questionnaire and teach-back session.</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BEFA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health educational session and health literacy brochure study, followed by questionnaire and an 8-question teach-back session to assess understanding of general health-related information.</w:t>
            </w:r>
          </w:p>
          <w:p w14:paraId="2EC6D13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C54C6C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brochure and questionnaire.</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AA90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Education session and teach-back session improved health literacy score.</w:t>
            </w:r>
          </w:p>
        </w:tc>
      </w:tr>
      <w:tr w:rsidR="00EB0D7B" w:rsidRPr="00EB0D7B" w14:paraId="2AC166CF"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CFBE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Malhotra et al. (2019)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8067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Explore whether bilingual text and pictograms can improve prescription medication label understanding.</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DA6C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face to face label information comprehension assessment.</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3F11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survey  assessing understanding of prescription medication label information, featuring bilingual text and pictograms, and home visit interviews.</w:t>
            </w:r>
          </w:p>
          <w:p w14:paraId="3453EBA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284FEC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Medication labels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FC5B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Bilingual text, with or without pictograms, significantly improved understanding of prescription medication label information.</w:t>
            </w:r>
          </w:p>
        </w:tc>
      </w:tr>
      <w:tr w:rsidR="00EB0D7B" w:rsidRPr="00EB0D7B" w14:paraId="729A08FC"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1DEC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Martin et al. (2013)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D42E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 xml:space="preserve">Develop and test and educational tool, which increases older adult knowledge, </w:t>
            </w:r>
            <w:r w:rsidRPr="00EB0D7B">
              <w:rPr>
                <w:rFonts w:ascii="Calibri" w:eastAsia="Calibri" w:hAnsi="Calibri" w:cs="Calibri"/>
                <w:kern w:val="0"/>
                <w:sz w:val="16"/>
                <w:szCs w:val="16"/>
                <w:lang w:val="en-GB" w:eastAsia="en-IE"/>
                <w14:ligatures w14:val="none"/>
              </w:rPr>
              <w:lastRenderedPageBreak/>
              <w:t>beliefs and risk perceptions.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B748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Individual researcher-led medication education brochure and questions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1265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Pharmacists identified eligible patients. Participants read  an educational brochure concerning risks of benzodiazepine, and completed follow up questions via home visit by researcher.</w:t>
            </w:r>
          </w:p>
          <w:p w14:paraId="50B8E19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5FB4811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educational brochure.</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8C0D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Improved knowledge acquisition and risk perception concerning inappropriate prescriptions.</w:t>
            </w:r>
          </w:p>
        </w:tc>
      </w:tr>
      <w:tr w:rsidR="00EB0D7B" w:rsidRPr="00EB0D7B" w14:paraId="306F7FD8"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79D7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Martin et al. (2012)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FAF2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Effects of personalised, illustrated medication schedules on health literacy for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E258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illustrated medication schedule card and educational instruction.</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1BF9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Single educational instruction concerning medication picture icons and dosing instructions, followed by teach-back exercise to confirm understanding. Supplied with illustrated daily medication schedule card which patient used for 6 weeks.</w:t>
            </w:r>
          </w:p>
          <w:p w14:paraId="4E0116F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ADB0AA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illustrated daily medication schedule card.</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3707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comprehension and recall concerning medication purpose and dosing. Improved medication adherence and self-efficacy.</w:t>
            </w:r>
          </w:p>
        </w:tc>
      </w:tr>
      <w:tr w:rsidR="00EB0D7B" w:rsidRPr="00EB0D7B" w14:paraId="05794795"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854C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Meppelink et al. (2015)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9A29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Effects of health animations on improving information and recall in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0946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web-based information messaging.</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A7A8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Participants received either spoken, written, illustrated, or animated web-based informational messages concerning colorectal cancer and screening.</w:t>
            </w:r>
          </w:p>
          <w:p w14:paraId="651A721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4297C44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Computer.</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1D58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Spoken messages improved information recall compared to written messages for people with low health literacy. Recall also improved when spoken messages were combined with animations.</w:t>
            </w:r>
          </w:p>
        </w:tc>
      </w:tr>
      <w:tr w:rsidR="00EB0D7B" w:rsidRPr="00EB0D7B" w14:paraId="7175873C"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BC0B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Mohsen &amp; Elabbassy (2021)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C54E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 of health literacy intervention on medication adherence in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17BB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researcher-led face to face information sessions, and educational intervention booklet.</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3905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3 x 20-30 minute educational sessions concerning diabetes and hypertension information, diet and exercise regimen, and medication adherence. Followed by an educational booklet.</w:t>
            </w:r>
          </w:p>
          <w:p w14:paraId="5C244AC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77561FA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educational booklet</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8C4D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knowledge in relation to medication use. Improved medication adherence.</w:t>
            </w:r>
          </w:p>
        </w:tc>
      </w:tr>
      <w:tr w:rsidR="00EB0D7B" w:rsidRPr="00EB0D7B" w14:paraId="0C866EE4"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1FC0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Ng et al. (2017)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ECD3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benefits of pharmaceutical pictograms for improving medication information comprehension for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2CE8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face to face medication information comprehension reading exercise.</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A094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test - read five different medication information labels. Re-read with the addition of pictograms.</w:t>
            </w:r>
          </w:p>
          <w:p w14:paraId="7D53BD4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090C1E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Medication boxes and labels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C946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Addition of pictograms significantly improved comprehension of medication information.</w:t>
            </w:r>
          </w:p>
        </w:tc>
      </w:tr>
      <w:tr w:rsidR="00EB0D7B" w:rsidRPr="00EB0D7B" w14:paraId="7296D764"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8E62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Qvarfordt et al. (2021)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1A73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Explore effects of web-based education on older persons’ knowledge and understanding of drug utilisation.</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9461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web-based medication utilisation literacy-focused education modules.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2E16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10 short online lectures, 1 hour to complete all. Topics: OTC medication, generic drug substitution, medication lists, Pharmacy Benefit Scheme, adverse drug reactions. Followed by a questionnaire, multiple choice questions.</w:t>
            </w:r>
          </w:p>
          <w:p w14:paraId="2C8D3E3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4197FD0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Computer</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2A87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medication utilisation information understanding and literacy.</w:t>
            </w:r>
          </w:p>
        </w:tc>
      </w:tr>
      <w:tr w:rsidR="00EB0D7B" w:rsidRPr="00EB0D7B" w14:paraId="018C0921"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20DA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Serbim et al. (2022)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21F3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effects of Alpha-Health intervention on health literacy of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4B4F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face to face nurse-led educational meetings/workshops.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F006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20 x weekly 1hr 30min educational meetings, followed by a final interview.</w:t>
            </w:r>
          </w:p>
          <w:p w14:paraId="2FAE803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Skills: accessing/searching, understanding, communicating/applying, and assessing health information.</w:t>
            </w:r>
          </w:p>
          <w:p w14:paraId="5479F5A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Topics: Use of health services, medication storage, healthy eating, oral health, mental health, falls, physical activity, men’s and women’s health, sexuality, human rights, elderly’s rights, work and retirement, healthy environments.</w:t>
            </w:r>
          </w:p>
          <w:p w14:paraId="65D1030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E6EA9D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Methods/Materials: videos, games, workshops, discussion, printed material, figures, visit to an elder association.</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7809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health literacy score in relation to accessing, appraising, communicating/applying, and understanding health information.</w:t>
            </w:r>
          </w:p>
        </w:tc>
      </w:tr>
      <w:tr w:rsidR="00EB0D7B" w:rsidRPr="00EB0D7B" w14:paraId="0CAF578D"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6F14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Shah et al. (2023)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33D2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 xml:space="preserve">Evaluate remote vs in-person </w:t>
            </w:r>
            <w:r w:rsidRPr="00EB0D7B">
              <w:rPr>
                <w:rFonts w:ascii="Calibri" w:eastAsia="Calibri" w:hAnsi="Calibri" w:cs="Calibri"/>
                <w:kern w:val="0"/>
                <w:sz w:val="16"/>
                <w:szCs w:val="16"/>
                <w:lang w:val="en-GB" w:eastAsia="en-IE"/>
                <w14:ligatures w14:val="none"/>
              </w:rPr>
              <w:lastRenderedPageBreak/>
              <w:t>education in relation to older adults’ adherence and health literacy.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D2EF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 xml:space="preserve">Group-based researcher-led </w:t>
            </w:r>
            <w:r w:rsidRPr="00EB0D7B">
              <w:rPr>
                <w:rFonts w:ascii="Calibri" w:eastAsia="Calibri" w:hAnsi="Calibri" w:cs="Calibri"/>
                <w:kern w:val="0"/>
                <w:sz w:val="16"/>
                <w:szCs w:val="16"/>
                <w:lang w:val="en-GB" w:eastAsia="en-IE"/>
                <w14:ligatures w14:val="none"/>
              </w:rPr>
              <w:lastRenderedPageBreak/>
              <w:t>lectures (in-person), and individual computer-based lessons (remote).</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FD65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 xml:space="preserve">Strategy: In-person: 8 x weekly 90-minute meeting (60-minute lecture, 30-minute group </w:t>
            </w:r>
            <w:r w:rsidRPr="00EB0D7B">
              <w:rPr>
                <w:rFonts w:ascii="Calibri" w:eastAsia="Calibri" w:hAnsi="Calibri" w:cs="Calibri"/>
                <w:kern w:val="0"/>
                <w:sz w:val="16"/>
                <w:szCs w:val="16"/>
                <w:lang w:val="en-GB" w:eastAsia="en-IE"/>
                <w14:ligatures w14:val="none"/>
              </w:rPr>
              <w:lastRenderedPageBreak/>
              <w:t>discussion).</w:t>
            </w:r>
          </w:p>
          <w:p w14:paraId="68BE46A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Remote: Complete one online lesson (1hr 30min) per week for 8 weeks. Topics: research, creativity, exercise, nutrition, infectious disease, family caregiving, kidney disease, health disparities.</w:t>
            </w:r>
          </w:p>
          <w:p w14:paraId="66A880D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696325E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version of lecture slides (in-person). Printed lesson plans, and supplemental websites and videos (remote).</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1BD1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 xml:space="preserve">No significant difference in health literacy </w:t>
            </w:r>
            <w:r w:rsidRPr="00EB0D7B">
              <w:rPr>
                <w:rFonts w:ascii="Calibri" w:eastAsia="Calibri" w:hAnsi="Calibri" w:cs="Calibri"/>
                <w:kern w:val="0"/>
                <w:sz w:val="16"/>
                <w:szCs w:val="16"/>
                <w:lang w:val="en-GB" w:eastAsia="en-IE"/>
                <w14:ligatures w14:val="none"/>
              </w:rPr>
              <w:lastRenderedPageBreak/>
              <w:t>performance outcomes between in-person and remote participants.</w:t>
            </w:r>
          </w:p>
        </w:tc>
      </w:tr>
      <w:tr w:rsidR="00EB0D7B" w:rsidRPr="00EB0D7B" w14:paraId="33CC35D4"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E60F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Shreffler-</w:t>
            </w:r>
          </w:p>
          <w:p w14:paraId="4B99B12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Grant et al. (2021)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EEAF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effects of community-based skill-building intervention on older adults’ health literacy.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88A2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researcher-led community-based skill building educational intervention</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8C92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30-minute educational session and discussion every other week for 7 weeks. Topics: importance of health literacy, CAM dietary supplement and OTC medicine safety, finding and evaluating health information, patient-healthcare provider relations.</w:t>
            </w:r>
          </w:p>
          <w:p w14:paraId="08A9552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6334824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Skill-building session materials also provided in digital format.</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7823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general health literacy and CAM health literacy scores, but decline at 5 month follow-up. Need for a continuing strategy.</w:t>
            </w:r>
          </w:p>
        </w:tc>
      </w:tr>
      <w:tr w:rsidR="00EB0D7B" w:rsidRPr="00EB0D7B" w14:paraId="1C534E23"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9CD9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Smith et al. (2019)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045C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effectiveness of complementary medicine web or dvd-based educational intervention on older adults’ health literacy and self-efficacy.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2118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educational website and/or interactive DVD lessons at home.</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6416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2 x 30-minute DVD/website modules per week over 3 weeks. DVD topics: CM evidence, finding and evaluating CM evidence, decision-making, working with practitioners, monitoring CM decisions. Control group only received an informational booklet.</w:t>
            </w:r>
          </w:p>
          <w:p w14:paraId="3437E775"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5FB7419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accompanying booklet.</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BAEF3"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Health literacy scores improved for the booklet-only group (DVD group reported greater internet use at baseline). No difference in health literacy or decision self-efficacy scores between DVD intervention group and control booklet group.</w:t>
            </w:r>
          </w:p>
        </w:tc>
      </w:tr>
      <w:tr w:rsidR="00EB0D7B" w:rsidRPr="00EB0D7B" w14:paraId="66FF045A"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94E7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Taherian &amp; Mota- mendi (2022)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4C69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Assess effect of community-based intervention on older persons’ social capital, quality of life, self care and health literacy.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4272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face to face healthcare practitioner-led education and participation sessions.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F3D97"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12 weekly 2-hr sessions, education and group discussions concerning: self-care, physical activity, emotional health, healthy eating, personal autonomy, communicating with HC professionals.</w:t>
            </w:r>
          </w:p>
          <w:p w14:paraId="003AA0B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6433BA8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Photos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6F20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Improved accessing, understanding and appraising of health information.</w:t>
            </w:r>
          </w:p>
        </w:tc>
      </w:tr>
      <w:tr w:rsidR="00EB0D7B" w:rsidRPr="00EB0D7B" w14:paraId="429E7525"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6D16D"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Tai et al. (2016)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D2F8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Assess effectiveness of educational intervention on prescription label comprehension and functional health literacy in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5C56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face to face student pharmacist-led educational session. Also, redesigned label exercise.</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20B0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Single 10-minute educational session; identifying and understanding critical informational elements on prescription labels.</w:t>
            </w:r>
          </w:p>
          <w:p w14:paraId="021D0D71"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2F9966F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Educational brochure and sample labels.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0E7EF"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Redesigned labels improved prescription label comprehension and functional health literacy scores.</w:t>
            </w:r>
          </w:p>
        </w:tc>
      </w:tr>
      <w:tr w:rsidR="00EB0D7B" w:rsidRPr="00EB0D7B" w14:paraId="170E02D1"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0E48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Uemura et al. (2021)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D0CC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Examine effects of an active learning program on health literacy, behaviours, physical function and mental health in older adults.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0FFE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Group-based physical therapist and physical education teacher-led educational active learning sessions.</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6C65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1 x weekly 90-minute active learning session for 24 weeks. Group discussions and exercises concerning accessing and appraising health information.</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3EDF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Significant increase in communicative health literacy scores, including critical and functional health literacy.</w:t>
            </w:r>
          </w:p>
        </w:tc>
      </w:tr>
      <w:tr w:rsidR="00EB0D7B" w:rsidRPr="00EB0D7B" w14:paraId="771C9A78"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EC1B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Vaillan- court et al. (2019)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AC01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 xml:space="preserve">Evaluate ability of older adults to recall meaning of pharmaceutical </w:t>
            </w:r>
            <w:r w:rsidRPr="00EB0D7B">
              <w:rPr>
                <w:rFonts w:ascii="Calibri" w:eastAsia="Calibri" w:hAnsi="Calibri" w:cs="Calibri"/>
                <w:kern w:val="0"/>
                <w:sz w:val="16"/>
                <w:szCs w:val="16"/>
                <w:lang w:val="en-GB" w:eastAsia="en-IE"/>
                <w14:ligatures w14:val="none"/>
              </w:rPr>
              <w:lastRenderedPageBreak/>
              <w:t>pictograms.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7B25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 xml:space="preserve">Individual, face to face pharmacist-led pictogram comprehension </w:t>
            </w:r>
            <w:r w:rsidRPr="00EB0D7B">
              <w:rPr>
                <w:rFonts w:ascii="Calibri" w:eastAsia="Calibri" w:hAnsi="Calibri" w:cs="Calibri"/>
                <w:kern w:val="0"/>
                <w:sz w:val="16"/>
                <w:szCs w:val="16"/>
                <w:lang w:val="en-GB" w:eastAsia="en-IE"/>
                <w14:ligatures w14:val="none"/>
              </w:rPr>
              <w:lastRenderedPageBreak/>
              <w:t>assessment.</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226E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Strategy: Single pictogram comprehension assessment, followed by recall test four weeks later.</w:t>
            </w:r>
          </w:p>
          <w:p w14:paraId="58BB173A"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C76E576"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Materials: 25cm² cue cards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DAE18"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 xml:space="preserve">Participants were able to recall pictogram meanings after four weeks, aided recall and </w:t>
            </w:r>
            <w:r w:rsidRPr="00EB0D7B">
              <w:rPr>
                <w:rFonts w:ascii="Calibri" w:eastAsia="Calibri" w:hAnsi="Calibri" w:cs="Calibri"/>
                <w:kern w:val="0"/>
                <w:sz w:val="16"/>
                <w:szCs w:val="16"/>
                <w:lang w:val="en-GB" w:eastAsia="en-IE"/>
                <w14:ligatures w14:val="none"/>
              </w:rPr>
              <w:lastRenderedPageBreak/>
              <w:t>comprehension.</w:t>
            </w:r>
          </w:p>
        </w:tc>
      </w:tr>
      <w:tr w:rsidR="00EB0D7B" w:rsidRPr="00EB0D7B" w14:paraId="1C4BBAF9" w14:textId="77777777" w:rsidTr="00EB0D7B">
        <w:tc>
          <w:tcPr>
            <w:tcW w:w="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EDFF0"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lastRenderedPageBreak/>
              <w:t>Yu et al. (2017)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1B4DC"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Compare efficacy of educational comic book versus pamphlet in relation to health literacy of older persons with type II diabetes mellitus.</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41804"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Individual researcher-led educational comic book</w:t>
            </w:r>
          </w:p>
        </w:tc>
        <w:tc>
          <w:tcPr>
            <w:tcW w:w="3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A1EDB"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Strategy: 20-page educational comic book.</w:t>
            </w:r>
          </w:p>
          <w:p w14:paraId="6A5E8362"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Topics: medication labels, correct timing of drug taking, medication storage. Control group: Educational pamphlet from Hong Kong Department of Health. Topics: anti-diabetic medication, medication side effects, timing of drug taking, lifestyle modifications, medication storage.</w:t>
            </w:r>
          </w:p>
          <w:p w14:paraId="46E33FE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p>
          <w:p w14:paraId="1717AA69"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Materials: Printed comic book and pamphlet.</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12CAE" w14:textId="77777777" w:rsidR="00EB0D7B" w:rsidRPr="00EB0D7B" w:rsidRDefault="00EB0D7B" w:rsidP="00EB0D7B">
            <w:pPr>
              <w:widowControl w:val="0"/>
              <w:spacing w:after="0" w:line="240" w:lineRule="auto"/>
              <w:rPr>
                <w:rFonts w:ascii="Calibri" w:eastAsia="Calibri" w:hAnsi="Calibri" w:cs="Calibri"/>
                <w:kern w:val="0"/>
                <w:sz w:val="16"/>
                <w:szCs w:val="16"/>
                <w:lang w:val="en-GB" w:eastAsia="en-IE"/>
                <w14:ligatures w14:val="none"/>
              </w:rPr>
            </w:pPr>
            <w:r w:rsidRPr="00EB0D7B">
              <w:rPr>
                <w:rFonts w:ascii="Calibri" w:eastAsia="Calibri" w:hAnsi="Calibri" w:cs="Calibri"/>
                <w:kern w:val="0"/>
                <w:sz w:val="16"/>
                <w:szCs w:val="16"/>
                <w:lang w:val="en-GB" w:eastAsia="en-IE"/>
                <w14:ligatures w14:val="none"/>
              </w:rPr>
              <w:t>Significant improvement in health literacy scores for those who read the comic book.</w:t>
            </w:r>
          </w:p>
        </w:tc>
      </w:tr>
    </w:tbl>
    <w:p w14:paraId="205098EF"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4F07D553"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7A8FBC72"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773D65CF"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0977B4E8"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5063E1C0"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22D868CE"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63396972"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2C8F269D"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0AC9139B"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5F01C81F"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62672A8C"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2AD81C2B"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3FBD7942"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62E1B86F"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086D63E7"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679E45C5"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3DE780E4"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75487B00"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78A39679"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36D09A51"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7BBCE0BA"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18062E78"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40315E7A"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41024098"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0E74CBA2"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31B4B31C"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7C4807EB"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7264BEE6"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1DFC7990"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79D05476"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48453A30"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22D61F14"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0B72FB5D"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5521E1FF"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p>
    <w:p w14:paraId="0FE7CADB"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r w:rsidRPr="00EB0D7B">
        <w:rPr>
          <w:rFonts w:ascii="Times New Roman" w:eastAsia="Times New Roman" w:hAnsi="Times New Roman" w:cs="Times New Roman"/>
          <w:b/>
          <w:kern w:val="0"/>
          <w:sz w:val="24"/>
          <w:szCs w:val="24"/>
          <w:lang w:val="en-GB" w:eastAsia="en-IE"/>
          <w14:ligatures w14:val="none"/>
        </w:rPr>
        <w:lastRenderedPageBreak/>
        <w:t>Appendix E - GRADE evidence profile quality assessment</w:t>
      </w:r>
    </w:p>
    <w:p w14:paraId="4A5DF785" w14:textId="77777777" w:rsidR="00EB0D7B" w:rsidRPr="00EB0D7B" w:rsidRDefault="00EB0D7B" w:rsidP="00EB0D7B">
      <w:pPr>
        <w:spacing w:after="0" w:line="276" w:lineRule="auto"/>
        <w:rPr>
          <w:rFonts w:ascii="Arial" w:eastAsia="Arial" w:hAnsi="Arial" w:cs="Arial"/>
          <w:kern w:val="0"/>
          <w:lang w:val="en-GB" w:eastAsia="en-IE"/>
          <w14:ligatures w14:val="none"/>
        </w:rPr>
      </w:pPr>
    </w:p>
    <w:p w14:paraId="11ED797E" w14:textId="77777777" w:rsidR="00EB0D7B" w:rsidRPr="00EB0D7B" w:rsidRDefault="00EB0D7B" w:rsidP="00EB0D7B">
      <w:pPr>
        <w:spacing w:after="0" w:line="276" w:lineRule="auto"/>
        <w:rPr>
          <w:rFonts w:ascii="Arial" w:eastAsia="Arial" w:hAnsi="Arial" w:cs="Arial"/>
          <w:kern w:val="0"/>
          <w:lang w:val="en-GB" w:eastAsia="en-IE"/>
          <w14:ligatures w14:val="none"/>
        </w:rPr>
      </w:pPr>
    </w:p>
    <w:p w14:paraId="5E5A97E2" w14:textId="77777777" w:rsidR="00EB0D7B" w:rsidRPr="00EB0D7B" w:rsidRDefault="00EB0D7B" w:rsidP="00EB0D7B">
      <w:pPr>
        <w:spacing w:after="0" w:line="276" w:lineRule="auto"/>
        <w:rPr>
          <w:rFonts w:ascii="Arial" w:eastAsia="Arial" w:hAnsi="Arial" w:cs="Arial"/>
          <w:kern w:val="0"/>
          <w:lang w:val="en-GB" w:eastAsia="en-IE"/>
          <w14:ligatures w14:val="none"/>
        </w:rPr>
      </w:pPr>
    </w:p>
    <w:tbl>
      <w:tblPr>
        <w:tblW w:w="11520" w:type="dxa"/>
        <w:tblInd w:w="-1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1245"/>
        <w:gridCol w:w="1605"/>
        <w:gridCol w:w="1485"/>
        <w:gridCol w:w="1515"/>
        <w:gridCol w:w="1305"/>
        <w:gridCol w:w="1140"/>
        <w:gridCol w:w="1050"/>
      </w:tblGrid>
      <w:tr w:rsidR="00EB0D7B" w:rsidRPr="00EB0D7B" w14:paraId="616D3473" w14:textId="77777777" w:rsidTr="00EB0D7B">
        <w:tc>
          <w:tcPr>
            <w:tcW w:w="21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5481B362" w14:textId="77777777" w:rsidR="00EB0D7B" w:rsidRPr="00EB0D7B" w:rsidRDefault="00EB0D7B" w:rsidP="00EB0D7B">
            <w:pPr>
              <w:widowControl w:val="0"/>
              <w:spacing w:after="0" w:line="240" w:lineRule="auto"/>
              <w:jc w:val="center"/>
              <w:rPr>
                <w:rFonts w:ascii="Arial" w:eastAsia="Arial" w:hAnsi="Arial" w:cs="Arial"/>
                <w:b/>
                <w:kern w:val="0"/>
                <w:sz w:val="16"/>
                <w:szCs w:val="16"/>
                <w:lang w:val="en-GB" w:eastAsia="en-IE"/>
                <w14:ligatures w14:val="none"/>
              </w:rPr>
            </w:pPr>
            <w:r w:rsidRPr="00EB0D7B">
              <w:rPr>
                <w:rFonts w:ascii="Arial" w:eastAsia="Arial" w:hAnsi="Arial" w:cs="Arial"/>
                <w:b/>
                <w:kern w:val="0"/>
                <w:sz w:val="16"/>
                <w:szCs w:val="16"/>
                <w:lang w:val="en-GB" w:eastAsia="en-IE"/>
                <w14:ligatures w14:val="none"/>
              </w:rPr>
              <w:t>No. of studies / design / outcome</w:t>
            </w:r>
          </w:p>
        </w:tc>
        <w:tc>
          <w:tcPr>
            <w:tcW w:w="124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0ECBA13A" w14:textId="77777777" w:rsidR="00EB0D7B" w:rsidRPr="00EB0D7B" w:rsidRDefault="00EB0D7B" w:rsidP="00EB0D7B">
            <w:pPr>
              <w:widowControl w:val="0"/>
              <w:spacing w:after="0" w:line="240" w:lineRule="auto"/>
              <w:jc w:val="center"/>
              <w:rPr>
                <w:rFonts w:ascii="Arial" w:eastAsia="Arial" w:hAnsi="Arial" w:cs="Arial"/>
                <w:b/>
                <w:kern w:val="0"/>
                <w:sz w:val="16"/>
                <w:szCs w:val="16"/>
                <w:lang w:val="en-GB" w:eastAsia="en-IE"/>
                <w14:ligatures w14:val="none"/>
              </w:rPr>
            </w:pPr>
            <w:r w:rsidRPr="00EB0D7B">
              <w:rPr>
                <w:rFonts w:ascii="Arial" w:eastAsia="Arial" w:hAnsi="Arial" w:cs="Arial"/>
                <w:b/>
                <w:kern w:val="0"/>
                <w:sz w:val="16"/>
                <w:szCs w:val="16"/>
                <w:lang w:val="en-GB" w:eastAsia="en-IE"/>
                <w14:ligatures w14:val="none"/>
              </w:rPr>
              <w:t>Risk of bias</w:t>
            </w:r>
          </w:p>
        </w:tc>
        <w:tc>
          <w:tcPr>
            <w:tcW w:w="16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4F4F3C1" w14:textId="77777777" w:rsidR="00EB0D7B" w:rsidRPr="00EB0D7B" w:rsidRDefault="00EB0D7B" w:rsidP="00EB0D7B">
            <w:pPr>
              <w:widowControl w:val="0"/>
              <w:spacing w:after="0" w:line="240" w:lineRule="auto"/>
              <w:jc w:val="center"/>
              <w:rPr>
                <w:rFonts w:ascii="Arial" w:eastAsia="Arial" w:hAnsi="Arial" w:cs="Arial"/>
                <w:b/>
                <w:kern w:val="0"/>
                <w:sz w:val="16"/>
                <w:szCs w:val="16"/>
                <w:lang w:val="en-GB" w:eastAsia="en-IE"/>
                <w14:ligatures w14:val="none"/>
              </w:rPr>
            </w:pPr>
            <w:r w:rsidRPr="00EB0D7B">
              <w:rPr>
                <w:rFonts w:ascii="Arial" w:eastAsia="Arial" w:hAnsi="Arial" w:cs="Arial"/>
                <w:b/>
                <w:kern w:val="0"/>
                <w:sz w:val="16"/>
                <w:szCs w:val="16"/>
                <w:lang w:val="en-GB" w:eastAsia="en-IE"/>
                <w14:ligatures w14:val="none"/>
              </w:rPr>
              <w:t>Inconsistency</w:t>
            </w:r>
          </w:p>
        </w:tc>
        <w:tc>
          <w:tcPr>
            <w:tcW w:w="148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4380A1B" w14:textId="77777777" w:rsidR="00EB0D7B" w:rsidRPr="00EB0D7B" w:rsidRDefault="00EB0D7B" w:rsidP="00EB0D7B">
            <w:pPr>
              <w:widowControl w:val="0"/>
              <w:spacing w:after="0" w:line="240" w:lineRule="auto"/>
              <w:jc w:val="center"/>
              <w:rPr>
                <w:rFonts w:ascii="Arial" w:eastAsia="Arial" w:hAnsi="Arial" w:cs="Arial"/>
                <w:b/>
                <w:kern w:val="0"/>
                <w:sz w:val="16"/>
                <w:szCs w:val="16"/>
                <w:lang w:val="en-GB" w:eastAsia="en-IE"/>
                <w14:ligatures w14:val="none"/>
              </w:rPr>
            </w:pPr>
            <w:r w:rsidRPr="00EB0D7B">
              <w:rPr>
                <w:rFonts w:ascii="Arial" w:eastAsia="Arial" w:hAnsi="Arial" w:cs="Arial"/>
                <w:b/>
                <w:kern w:val="0"/>
                <w:sz w:val="16"/>
                <w:szCs w:val="16"/>
                <w:lang w:val="en-GB" w:eastAsia="en-IE"/>
                <w14:ligatures w14:val="none"/>
              </w:rPr>
              <w:t>Indirectness</w:t>
            </w:r>
          </w:p>
        </w:tc>
        <w:tc>
          <w:tcPr>
            <w:tcW w:w="15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64E8833A" w14:textId="77777777" w:rsidR="00EB0D7B" w:rsidRPr="00EB0D7B" w:rsidRDefault="00EB0D7B" w:rsidP="00EB0D7B">
            <w:pPr>
              <w:widowControl w:val="0"/>
              <w:spacing w:after="0" w:line="240" w:lineRule="auto"/>
              <w:jc w:val="center"/>
              <w:rPr>
                <w:rFonts w:ascii="Arial" w:eastAsia="Arial" w:hAnsi="Arial" w:cs="Arial"/>
                <w:b/>
                <w:kern w:val="0"/>
                <w:sz w:val="16"/>
                <w:szCs w:val="16"/>
                <w:lang w:val="en-GB" w:eastAsia="en-IE"/>
                <w14:ligatures w14:val="none"/>
              </w:rPr>
            </w:pPr>
            <w:r w:rsidRPr="00EB0D7B">
              <w:rPr>
                <w:rFonts w:ascii="Arial" w:eastAsia="Arial" w:hAnsi="Arial" w:cs="Arial"/>
                <w:b/>
                <w:kern w:val="0"/>
                <w:sz w:val="16"/>
                <w:szCs w:val="16"/>
                <w:lang w:val="en-GB" w:eastAsia="en-IE"/>
                <w14:ligatures w14:val="none"/>
              </w:rPr>
              <w:t>Imprecision</w:t>
            </w:r>
          </w:p>
        </w:tc>
        <w:tc>
          <w:tcPr>
            <w:tcW w:w="13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6FF249B" w14:textId="77777777" w:rsidR="00EB0D7B" w:rsidRPr="00EB0D7B" w:rsidRDefault="00EB0D7B" w:rsidP="00EB0D7B">
            <w:pPr>
              <w:widowControl w:val="0"/>
              <w:spacing w:after="0" w:line="240" w:lineRule="auto"/>
              <w:jc w:val="center"/>
              <w:rPr>
                <w:rFonts w:ascii="Arial" w:eastAsia="Arial" w:hAnsi="Arial" w:cs="Arial"/>
                <w:b/>
                <w:kern w:val="0"/>
                <w:sz w:val="16"/>
                <w:szCs w:val="16"/>
                <w:lang w:val="en-GB" w:eastAsia="en-IE"/>
                <w14:ligatures w14:val="none"/>
              </w:rPr>
            </w:pPr>
            <w:r w:rsidRPr="00EB0D7B">
              <w:rPr>
                <w:rFonts w:ascii="Arial" w:eastAsia="Arial" w:hAnsi="Arial" w:cs="Arial"/>
                <w:b/>
                <w:kern w:val="0"/>
                <w:sz w:val="16"/>
                <w:szCs w:val="16"/>
                <w:lang w:val="en-GB" w:eastAsia="en-IE"/>
                <w14:ligatures w14:val="none"/>
              </w:rPr>
              <w:t>Publication bias</w:t>
            </w:r>
          </w:p>
        </w:tc>
        <w:tc>
          <w:tcPr>
            <w:tcW w:w="114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52C34A9" w14:textId="77777777" w:rsidR="00EB0D7B" w:rsidRPr="00EB0D7B" w:rsidRDefault="00EB0D7B" w:rsidP="00EB0D7B">
            <w:pPr>
              <w:widowControl w:val="0"/>
              <w:spacing w:after="0" w:line="240" w:lineRule="auto"/>
              <w:jc w:val="center"/>
              <w:rPr>
                <w:rFonts w:ascii="Arial" w:eastAsia="Arial" w:hAnsi="Arial" w:cs="Arial"/>
                <w:b/>
                <w:kern w:val="0"/>
                <w:sz w:val="16"/>
                <w:szCs w:val="16"/>
                <w:lang w:val="en-GB" w:eastAsia="en-IE"/>
                <w14:ligatures w14:val="none"/>
              </w:rPr>
            </w:pPr>
            <w:r w:rsidRPr="00EB0D7B">
              <w:rPr>
                <w:rFonts w:ascii="Arial" w:eastAsia="Arial" w:hAnsi="Arial" w:cs="Arial"/>
                <w:b/>
                <w:kern w:val="0"/>
                <w:sz w:val="16"/>
                <w:szCs w:val="16"/>
                <w:lang w:val="en-GB" w:eastAsia="en-IE"/>
                <w14:ligatures w14:val="none"/>
              </w:rPr>
              <w:t>CI</w:t>
            </w:r>
          </w:p>
        </w:tc>
        <w:tc>
          <w:tcPr>
            <w:tcW w:w="10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BED15E1" w14:textId="77777777" w:rsidR="00EB0D7B" w:rsidRPr="00EB0D7B" w:rsidRDefault="00EB0D7B" w:rsidP="00EB0D7B">
            <w:pPr>
              <w:widowControl w:val="0"/>
              <w:spacing w:after="0" w:line="240" w:lineRule="auto"/>
              <w:jc w:val="center"/>
              <w:rPr>
                <w:rFonts w:ascii="Arial" w:eastAsia="Arial" w:hAnsi="Arial" w:cs="Arial"/>
                <w:b/>
                <w:kern w:val="0"/>
                <w:sz w:val="16"/>
                <w:szCs w:val="16"/>
                <w:lang w:val="en-GB" w:eastAsia="en-IE"/>
                <w14:ligatures w14:val="none"/>
              </w:rPr>
            </w:pPr>
            <w:r w:rsidRPr="00EB0D7B">
              <w:rPr>
                <w:rFonts w:ascii="Arial" w:eastAsia="Arial" w:hAnsi="Arial" w:cs="Arial"/>
                <w:b/>
                <w:kern w:val="0"/>
                <w:sz w:val="16"/>
                <w:szCs w:val="16"/>
                <w:lang w:val="en-GB" w:eastAsia="en-IE"/>
                <w14:ligatures w14:val="none"/>
              </w:rPr>
              <w:t>Quality</w:t>
            </w:r>
          </w:p>
        </w:tc>
      </w:tr>
      <w:tr w:rsidR="00EB0D7B" w:rsidRPr="00EB0D7B" w14:paraId="215336B2" w14:textId="77777777" w:rsidTr="00EB0D7B">
        <w:tc>
          <w:tcPr>
            <w:tcW w:w="21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5820635" w14:textId="77777777" w:rsidR="00EB0D7B" w:rsidRPr="00EB0D7B" w:rsidRDefault="00EB0D7B" w:rsidP="00EB0D7B">
            <w:pPr>
              <w:widowControl w:val="0"/>
              <w:spacing w:after="0" w:line="240"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Accessing, understanding, and using health information (5 RCT / 8 Non-RCT)</w:t>
            </w:r>
          </w:p>
        </w:tc>
        <w:tc>
          <w:tcPr>
            <w:tcW w:w="124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5834DE58"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Serious risk of bias¹</w:t>
            </w:r>
          </w:p>
        </w:tc>
        <w:tc>
          <w:tcPr>
            <w:tcW w:w="16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7F42AD8E"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No serious inconsistency</w:t>
            </w:r>
          </w:p>
        </w:tc>
        <w:tc>
          <w:tcPr>
            <w:tcW w:w="148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C092DC0"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No serious indirectness</w:t>
            </w:r>
          </w:p>
        </w:tc>
        <w:tc>
          <w:tcPr>
            <w:tcW w:w="15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72D00AE"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Some imprecision²</w:t>
            </w:r>
          </w:p>
        </w:tc>
        <w:tc>
          <w:tcPr>
            <w:tcW w:w="13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247FFC90"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Undetected</w:t>
            </w:r>
          </w:p>
        </w:tc>
        <w:tc>
          <w:tcPr>
            <w:tcW w:w="114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D08E29F" w14:textId="77777777" w:rsidR="00EB0D7B" w:rsidRPr="00EB0D7B" w:rsidRDefault="00EB0D7B" w:rsidP="00EB0D7B">
            <w:pPr>
              <w:widowControl w:val="0"/>
              <w:spacing w:after="0" w:line="240" w:lineRule="auto"/>
              <w:rPr>
                <w:rFonts w:ascii="Arial" w:eastAsia="Arial" w:hAnsi="Arial" w:cs="Arial"/>
                <w:kern w:val="0"/>
                <w:sz w:val="16"/>
                <w:szCs w:val="16"/>
                <w:lang w:val="en-GB" w:eastAsia="en-IE"/>
                <w14:ligatures w14:val="none"/>
              </w:rPr>
            </w:pPr>
          </w:p>
        </w:tc>
        <w:tc>
          <w:tcPr>
            <w:tcW w:w="10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8EAE473" w14:textId="77777777" w:rsidR="00EB0D7B" w:rsidRPr="00EB0D7B" w:rsidRDefault="00000000" w:rsidP="00EB0D7B">
            <w:pPr>
              <w:widowControl w:val="0"/>
              <w:spacing w:after="0" w:line="240" w:lineRule="auto"/>
              <w:jc w:val="center"/>
              <w:rPr>
                <w:rFonts w:ascii="Arial" w:eastAsia="Arial" w:hAnsi="Arial" w:cs="Arial"/>
                <w:kern w:val="0"/>
                <w:sz w:val="16"/>
                <w:szCs w:val="16"/>
                <w:lang w:val="en-GB" w:eastAsia="en-IE"/>
                <w14:ligatures w14:val="none"/>
              </w:rPr>
            </w:pPr>
            <w:sdt>
              <w:sdtPr>
                <w:rPr>
                  <w:rFonts w:ascii="Arial" w:eastAsia="Arial" w:hAnsi="Arial" w:cs="Arial"/>
                  <w:kern w:val="0"/>
                  <w:lang w:val="en-GB" w:eastAsia="en-IE"/>
                  <w14:ligatures w14:val="none"/>
                </w:rPr>
                <w:tag w:val="goog_rdk_74"/>
                <w:id w:val="1585184516"/>
              </w:sdtPr>
              <w:sdtContent>
                <w:r w:rsidR="00EB0D7B" w:rsidRPr="00EB0D7B">
                  <w:rPr>
                    <w:rFonts w:ascii="Cambria Math" w:eastAsia="Arial Unicode MS" w:hAnsi="Cambria Math" w:cs="Cambria Math"/>
                    <w:kern w:val="0"/>
                    <w:sz w:val="16"/>
                    <w:szCs w:val="16"/>
                    <w:lang w:val="en-GB" w:eastAsia="en-IE"/>
                    <w14:ligatures w14:val="none"/>
                  </w:rPr>
                  <w:t>⊕◯◯◯</w:t>
                </w:r>
              </w:sdtContent>
            </w:sdt>
          </w:p>
          <w:p w14:paraId="264ADED4"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Very Low</w:t>
            </w:r>
          </w:p>
        </w:tc>
      </w:tr>
      <w:tr w:rsidR="00EB0D7B" w:rsidRPr="00EB0D7B" w14:paraId="06F1C8EC" w14:textId="77777777" w:rsidTr="00EB0D7B">
        <w:tc>
          <w:tcPr>
            <w:tcW w:w="21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0660FAD" w14:textId="77777777" w:rsidR="00EB0D7B" w:rsidRPr="00EB0D7B" w:rsidRDefault="00EB0D7B" w:rsidP="00EB0D7B">
            <w:pPr>
              <w:widowControl w:val="0"/>
              <w:spacing w:after="0" w:line="240"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Understanding health information (9 RCT / 7 Non-RCT)</w:t>
            </w:r>
          </w:p>
        </w:tc>
        <w:tc>
          <w:tcPr>
            <w:tcW w:w="124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6741E7D"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Serious risk of bias³</w:t>
            </w:r>
          </w:p>
        </w:tc>
        <w:tc>
          <w:tcPr>
            <w:tcW w:w="16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FC2758F"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No serious inconsistency</w:t>
            </w:r>
          </w:p>
        </w:tc>
        <w:tc>
          <w:tcPr>
            <w:tcW w:w="148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0224A1C1"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Serious indirectness⁴</w:t>
            </w:r>
          </w:p>
        </w:tc>
        <w:tc>
          <w:tcPr>
            <w:tcW w:w="15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525E226F"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Some imprecision²</w:t>
            </w:r>
          </w:p>
        </w:tc>
        <w:tc>
          <w:tcPr>
            <w:tcW w:w="13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005BD472"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Undetected</w:t>
            </w:r>
          </w:p>
        </w:tc>
        <w:tc>
          <w:tcPr>
            <w:tcW w:w="114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DF1D4E8" w14:textId="77777777" w:rsidR="00EB0D7B" w:rsidRPr="00EB0D7B" w:rsidRDefault="00EB0D7B" w:rsidP="00EB0D7B">
            <w:pPr>
              <w:widowControl w:val="0"/>
              <w:spacing w:after="0" w:line="240" w:lineRule="auto"/>
              <w:rPr>
                <w:rFonts w:ascii="Arial" w:eastAsia="Arial" w:hAnsi="Arial" w:cs="Arial"/>
                <w:kern w:val="0"/>
                <w:sz w:val="16"/>
                <w:szCs w:val="16"/>
                <w:lang w:val="en-GB" w:eastAsia="en-IE"/>
                <w14:ligatures w14:val="none"/>
              </w:rPr>
            </w:pPr>
          </w:p>
        </w:tc>
        <w:tc>
          <w:tcPr>
            <w:tcW w:w="10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2181AAAA" w14:textId="77777777" w:rsidR="00EB0D7B" w:rsidRPr="00EB0D7B" w:rsidRDefault="00000000" w:rsidP="00EB0D7B">
            <w:pPr>
              <w:widowControl w:val="0"/>
              <w:spacing w:after="0" w:line="240" w:lineRule="auto"/>
              <w:jc w:val="center"/>
              <w:rPr>
                <w:rFonts w:ascii="Arial" w:eastAsia="Arial" w:hAnsi="Arial" w:cs="Arial"/>
                <w:kern w:val="0"/>
                <w:sz w:val="16"/>
                <w:szCs w:val="16"/>
                <w:lang w:val="en-GB" w:eastAsia="en-IE"/>
                <w14:ligatures w14:val="none"/>
              </w:rPr>
            </w:pPr>
            <w:sdt>
              <w:sdtPr>
                <w:rPr>
                  <w:rFonts w:ascii="Arial" w:eastAsia="Arial" w:hAnsi="Arial" w:cs="Arial"/>
                  <w:kern w:val="0"/>
                  <w:lang w:val="en-GB" w:eastAsia="en-IE"/>
                  <w14:ligatures w14:val="none"/>
                </w:rPr>
                <w:tag w:val="goog_rdk_75"/>
                <w:id w:val="-1391643624"/>
              </w:sdtPr>
              <w:sdtContent>
                <w:r w:rsidR="00EB0D7B" w:rsidRPr="00EB0D7B">
                  <w:rPr>
                    <w:rFonts w:ascii="Cambria Math" w:eastAsia="Arial Unicode MS" w:hAnsi="Cambria Math" w:cs="Cambria Math"/>
                    <w:kern w:val="0"/>
                    <w:sz w:val="16"/>
                    <w:szCs w:val="16"/>
                    <w:lang w:val="en-GB" w:eastAsia="en-IE"/>
                    <w14:ligatures w14:val="none"/>
                  </w:rPr>
                  <w:t>⊕◯◯◯</w:t>
                </w:r>
              </w:sdtContent>
            </w:sdt>
          </w:p>
          <w:p w14:paraId="067D1095"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Very Low</w:t>
            </w:r>
          </w:p>
        </w:tc>
      </w:tr>
      <w:tr w:rsidR="00EB0D7B" w:rsidRPr="00EB0D7B" w14:paraId="1334B55C" w14:textId="77777777" w:rsidTr="00EB0D7B">
        <w:tc>
          <w:tcPr>
            <w:tcW w:w="21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04B5C055" w14:textId="77777777" w:rsidR="00EB0D7B" w:rsidRPr="00EB0D7B" w:rsidRDefault="00EB0D7B" w:rsidP="00EB0D7B">
            <w:pPr>
              <w:widowControl w:val="0"/>
              <w:spacing w:after="0" w:line="240"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Accessing and understanding health information (1 RCT / 3 Non-RCT)</w:t>
            </w:r>
          </w:p>
        </w:tc>
        <w:tc>
          <w:tcPr>
            <w:tcW w:w="124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BA03201"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Serious risk of bias⁵</w:t>
            </w:r>
          </w:p>
        </w:tc>
        <w:tc>
          <w:tcPr>
            <w:tcW w:w="16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5BAB21E2"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No serious inconsistency</w:t>
            </w:r>
          </w:p>
        </w:tc>
        <w:tc>
          <w:tcPr>
            <w:tcW w:w="148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F3FCCEB"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Serious indirectness⁴</w:t>
            </w:r>
          </w:p>
        </w:tc>
        <w:tc>
          <w:tcPr>
            <w:tcW w:w="15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5DA529D6"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Some imprecision²</w:t>
            </w:r>
          </w:p>
        </w:tc>
        <w:tc>
          <w:tcPr>
            <w:tcW w:w="13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2442E81C"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Undetected</w:t>
            </w:r>
          </w:p>
        </w:tc>
        <w:tc>
          <w:tcPr>
            <w:tcW w:w="114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5CF4D32" w14:textId="77777777" w:rsidR="00EB0D7B" w:rsidRPr="00EB0D7B" w:rsidRDefault="00EB0D7B" w:rsidP="00EB0D7B">
            <w:pPr>
              <w:widowControl w:val="0"/>
              <w:spacing w:after="0" w:line="240" w:lineRule="auto"/>
              <w:rPr>
                <w:rFonts w:ascii="Arial" w:eastAsia="Arial" w:hAnsi="Arial" w:cs="Arial"/>
                <w:kern w:val="0"/>
                <w:sz w:val="16"/>
                <w:szCs w:val="16"/>
                <w:lang w:val="en-GB" w:eastAsia="en-IE"/>
                <w14:ligatures w14:val="none"/>
              </w:rPr>
            </w:pPr>
          </w:p>
        </w:tc>
        <w:tc>
          <w:tcPr>
            <w:tcW w:w="10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6CD13487" w14:textId="77777777" w:rsidR="00EB0D7B" w:rsidRPr="00EB0D7B" w:rsidRDefault="00000000" w:rsidP="00EB0D7B">
            <w:pPr>
              <w:widowControl w:val="0"/>
              <w:spacing w:after="0" w:line="240" w:lineRule="auto"/>
              <w:jc w:val="center"/>
              <w:rPr>
                <w:rFonts w:ascii="Arial" w:eastAsia="Arial" w:hAnsi="Arial" w:cs="Arial"/>
                <w:kern w:val="0"/>
                <w:sz w:val="16"/>
                <w:szCs w:val="16"/>
                <w:lang w:val="en-GB" w:eastAsia="en-IE"/>
                <w14:ligatures w14:val="none"/>
              </w:rPr>
            </w:pPr>
            <w:sdt>
              <w:sdtPr>
                <w:rPr>
                  <w:rFonts w:ascii="Arial" w:eastAsia="Arial" w:hAnsi="Arial" w:cs="Arial"/>
                  <w:kern w:val="0"/>
                  <w:lang w:val="en-GB" w:eastAsia="en-IE"/>
                  <w14:ligatures w14:val="none"/>
                </w:rPr>
                <w:tag w:val="goog_rdk_76"/>
                <w:id w:val="-1014754306"/>
              </w:sdtPr>
              <w:sdtContent>
                <w:r w:rsidR="00EB0D7B" w:rsidRPr="00EB0D7B">
                  <w:rPr>
                    <w:rFonts w:ascii="Cambria Math" w:eastAsia="Arial Unicode MS" w:hAnsi="Cambria Math" w:cs="Cambria Math"/>
                    <w:kern w:val="0"/>
                    <w:sz w:val="16"/>
                    <w:szCs w:val="16"/>
                    <w:lang w:val="en-GB" w:eastAsia="en-IE"/>
                    <w14:ligatures w14:val="none"/>
                  </w:rPr>
                  <w:t>⊕◯◯◯</w:t>
                </w:r>
              </w:sdtContent>
            </w:sdt>
          </w:p>
          <w:p w14:paraId="30D9162E"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Very Low</w:t>
            </w:r>
          </w:p>
        </w:tc>
      </w:tr>
      <w:tr w:rsidR="00EB0D7B" w:rsidRPr="00EB0D7B" w14:paraId="57B5173A" w14:textId="77777777" w:rsidTr="00EB0D7B">
        <w:tc>
          <w:tcPr>
            <w:tcW w:w="21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681E4B4F" w14:textId="77777777" w:rsidR="00EB0D7B" w:rsidRPr="00EB0D7B" w:rsidRDefault="00EB0D7B" w:rsidP="00EB0D7B">
            <w:pPr>
              <w:widowControl w:val="0"/>
              <w:spacing w:after="0" w:line="240"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Understanding and using health information (1 Non-RCT)</w:t>
            </w:r>
          </w:p>
        </w:tc>
        <w:tc>
          <w:tcPr>
            <w:tcW w:w="124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6D3BFB13"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Serious risk of bias⁶</w:t>
            </w:r>
          </w:p>
        </w:tc>
        <w:tc>
          <w:tcPr>
            <w:tcW w:w="16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11BFEE4"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No serious inconsistency</w:t>
            </w:r>
          </w:p>
        </w:tc>
        <w:tc>
          <w:tcPr>
            <w:tcW w:w="148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A0E3564"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Serious indirectness⁴</w:t>
            </w:r>
          </w:p>
        </w:tc>
        <w:tc>
          <w:tcPr>
            <w:tcW w:w="15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2E22F886"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Some imprecision²</w:t>
            </w:r>
          </w:p>
        </w:tc>
        <w:tc>
          <w:tcPr>
            <w:tcW w:w="13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0EA4F331"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Undetected</w:t>
            </w:r>
          </w:p>
        </w:tc>
        <w:tc>
          <w:tcPr>
            <w:tcW w:w="114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9124F5A" w14:textId="77777777" w:rsidR="00EB0D7B" w:rsidRPr="00EB0D7B" w:rsidRDefault="00EB0D7B" w:rsidP="00EB0D7B">
            <w:pPr>
              <w:widowControl w:val="0"/>
              <w:spacing w:after="0" w:line="240" w:lineRule="auto"/>
              <w:rPr>
                <w:rFonts w:ascii="Arial" w:eastAsia="Arial" w:hAnsi="Arial" w:cs="Arial"/>
                <w:kern w:val="0"/>
                <w:sz w:val="16"/>
                <w:szCs w:val="16"/>
                <w:lang w:val="en-GB" w:eastAsia="en-IE"/>
                <w14:ligatures w14:val="none"/>
              </w:rPr>
            </w:pPr>
          </w:p>
        </w:tc>
        <w:tc>
          <w:tcPr>
            <w:tcW w:w="10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7E7B2481" w14:textId="77777777" w:rsidR="00EB0D7B" w:rsidRPr="00EB0D7B" w:rsidRDefault="00000000" w:rsidP="00EB0D7B">
            <w:pPr>
              <w:widowControl w:val="0"/>
              <w:spacing w:after="0" w:line="240" w:lineRule="auto"/>
              <w:jc w:val="center"/>
              <w:rPr>
                <w:rFonts w:ascii="Arial" w:eastAsia="Arial" w:hAnsi="Arial" w:cs="Arial"/>
                <w:kern w:val="0"/>
                <w:sz w:val="16"/>
                <w:szCs w:val="16"/>
                <w:lang w:val="en-GB" w:eastAsia="en-IE"/>
                <w14:ligatures w14:val="none"/>
              </w:rPr>
            </w:pPr>
            <w:sdt>
              <w:sdtPr>
                <w:rPr>
                  <w:rFonts w:ascii="Arial" w:eastAsia="Arial" w:hAnsi="Arial" w:cs="Arial"/>
                  <w:kern w:val="0"/>
                  <w:lang w:val="en-GB" w:eastAsia="en-IE"/>
                  <w14:ligatures w14:val="none"/>
                </w:rPr>
                <w:tag w:val="goog_rdk_77"/>
                <w:id w:val="1237525102"/>
              </w:sdtPr>
              <w:sdtContent>
                <w:r w:rsidR="00EB0D7B" w:rsidRPr="00EB0D7B">
                  <w:rPr>
                    <w:rFonts w:ascii="Cambria Math" w:eastAsia="Arial Unicode MS" w:hAnsi="Cambria Math" w:cs="Cambria Math"/>
                    <w:kern w:val="0"/>
                    <w:sz w:val="16"/>
                    <w:szCs w:val="16"/>
                    <w:lang w:val="en-GB" w:eastAsia="en-IE"/>
                    <w14:ligatures w14:val="none"/>
                  </w:rPr>
                  <w:t>⊕◯◯◯</w:t>
                </w:r>
              </w:sdtContent>
            </w:sdt>
          </w:p>
          <w:p w14:paraId="55346FE2" w14:textId="77777777" w:rsidR="00EB0D7B" w:rsidRPr="00EB0D7B" w:rsidRDefault="00EB0D7B" w:rsidP="00EB0D7B">
            <w:pPr>
              <w:widowControl w:val="0"/>
              <w:spacing w:after="0" w:line="240" w:lineRule="auto"/>
              <w:jc w:val="center"/>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Very Low</w:t>
            </w:r>
          </w:p>
        </w:tc>
      </w:tr>
    </w:tbl>
    <w:p w14:paraId="5948FC03" w14:textId="77777777" w:rsidR="00EB0D7B" w:rsidRPr="00EB0D7B" w:rsidRDefault="00EB0D7B" w:rsidP="00EB0D7B">
      <w:pPr>
        <w:spacing w:after="0" w:line="276" w:lineRule="auto"/>
        <w:rPr>
          <w:rFonts w:ascii="Arial" w:eastAsia="Arial" w:hAnsi="Arial" w:cs="Arial"/>
          <w:kern w:val="0"/>
          <w:sz w:val="16"/>
          <w:szCs w:val="16"/>
          <w:lang w:val="en-GB" w:eastAsia="en-IE"/>
          <w14:ligatures w14:val="none"/>
        </w:rPr>
      </w:pPr>
    </w:p>
    <w:p w14:paraId="5FF8E72A" w14:textId="77777777" w:rsidR="00EB0D7B" w:rsidRPr="00EB0D7B" w:rsidRDefault="00EB0D7B" w:rsidP="00EB0D7B">
      <w:pPr>
        <w:spacing w:after="0" w:line="276"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¹No control group / sampling bias (convenience / consecutive) / no sampling information / single-blind or not blinded.</w:t>
      </w:r>
    </w:p>
    <w:p w14:paraId="6AC91B8F" w14:textId="77777777" w:rsidR="00EB0D7B" w:rsidRPr="00EB0D7B" w:rsidRDefault="00EB0D7B" w:rsidP="00EB0D7B">
      <w:pPr>
        <w:spacing w:after="0" w:line="276"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²Small sample size</w:t>
      </w:r>
    </w:p>
    <w:p w14:paraId="40332CF8" w14:textId="77777777" w:rsidR="00EB0D7B" w:rsidRPr="00EB0D7B" w:rsidRDefault="00EB0D7B" w:rsidP="00EB0D7B">
      <w:pPr>
        <w:spacing w:after="0" w:line="276"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³No control group / sampling bias (convenience / purposive) / no sampling information / single-blind / loss to follow up.</w:t>
      </w:r>
    </w:p>
    <w:p w14:paraId="0650EEDA" w14:textId="77777777" w:rsidR="00EB0D7B" w:rsidRPr="00EB0D7B" w:rsidRDefault="00EB0D7B" w:rsidP="00EB0D7B">
      <w:pPr>
        <w:spacing w:after="0" w:line="276"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⁴Evidence does not fully answer the review question - health literacy interventions addressing all elements and outcomes of health literacy (accessing, understanding and using health information).</w:t>
      </w:r>
    </w:p>
    <w:p w14:paraId="69E7E2FB" w14:textId="77777777" w:rsidR="00EB0D7B" w:rsidRPr="00EB0D7B" w:rsidRDefault="00EB0D7B" w:rsidP="00EB0D7B">
      <w:pPr>
        <w:spacing w:after="0" w:line="276"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⁵No control group / sampling bias (convenience).</w:t>
      </w:r>
    </w:p>
    <w:p w14:paraId="7FFBA374" w14:textId="77777777" w:rsidR="00EB0D7B" w:rsidRPr="00EB0D7B" w:rsidRDefault="00EB0D7B" w:rsidP="00EB0D7B">
      <w:pPr>
        <w:spacing w:after="0" w:line="276" w:lineRule="auto"/>
        <w:rPr>
          <w:rFonts w:ascii="Arial" w:eastAsia="Arial" w:hAnsi="Arial" w:cs="Arial"/>
          <w:kern w:val="0"/>
          <w:sz w:val="16"/>
          <w:szCs w:val="16"/>
          <w:lang w:val="en-GB" w:eastAsia="en-IE"/>
          <w14:ligatures w14:val="none"/>
        </w:rPr>
      </w:pPr>
      <w:r w:rsidRPr="00EB0D7B">
        <w:rPr>
          <w:rFonts w:ascii="Arial" w:eastAsia="Arial" w:hAnsi="Arial" w:cs="Arial"/>
          <w:kern w:val="0"/>
          <w:sz w:val="16"/>
          <w:szCs w:val="16"/>
          <w:lang w:val="en-GB" w:eastAsia="en-IE"/>
          <w14:ligatures w14:val="none"/>
        </w:rPr>
        <w:t>⁶No control group.</w:t>
      </w:r>
    </w:p>
    <w:p w14:paraId="73BA8509"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558E99B0"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5AAAD2AC"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6660F33D"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30605470"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7A940807"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1C04EF5A"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045F1E73"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501FD195"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6FB8169F"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0448B545"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745ED3EE"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74F556AE"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030B4FEB"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6405A3D7"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476B5529"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7BAEDF81"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7EC1615A"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5BC0C5E3"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0D74699D"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46045ED6"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30B7176D"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7B0A88B6"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5E2B9F55"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4A8C6B67"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08011B00" w14:textId="77777777" w:rsidR="00EB0D7B" w:rsidRPr="00EB0D7B" w:rsidRDefault="00EB0D7B" w:rsidP="00EB0D7B">
      <w:pPr>
        <w:spacing w:after="0" w:line="276" w:lineRule="auto"/>
        <w:rPr>
          <w:rFonts w:ascii="Arial" w:eastAsia="Arial" w:hAnsi="Arial" w:cs="Arial"/>
          <w:kern w:val="0"/>
          <w:sz w:val="20"/>
          <w:szCs w:val="20"/>
          <w:lang w:val="en-GB" w:eastAsia="en-IE"/>
          <w14:ligatures w14:val="none"/>
        </w:rPr>
      </w:pPr>
    </w:p>
    <w:p w14:paraId="2D75748A" w14:textId="77777777" w:rsidR="00EB0D7B" w:rsidRPr="00EB0D7B" w:rsidRDefault="00EB0D7B" w:rsidP="00EB0D7B">
      <w:pPr>
        <w:spacing w:after="0" w:line="276" w:lineRule="auto"/>
        <w:jc w:val="center"/>
        <w:rPr>
          <w:rFonts w:ascii="Times New Roman" w:eastAsia="Times New Roman" w:hAnsi="Times New Roman" w:cs="Times New Roman"/>
          <w:b/>
          <w:kern w:val="0"/>
          <w:sz w:val="24"/>
          <w:szCs w:val="24"/>
          <w:lang w:val="en-GB" w:eastAsia="en-IE"/>
          <w14:ligatures w14:val="none"/>
        </w:rPr>
      </w:pPr>
      <w:r w:rsidRPr="00EB0D7B">
        <w:rPr>
          <w:rFonts w:ascii="Times New Roman" w:eastAsia="Times New Roman" w:hAnsi="Times New Roman" w:cs="Times New Roman"/>
          <w:b/>
          <w:kern w:val="0"/>
          <w:sz w:val="24"/>
          <w:szCs w:val="24"/>
          <w:lang w:val="en-GB" w:eastAsia="en-IE"/>
          <w14:ligatures w14:val="none"/>
        </w:rPr>
        <w:lastRenderedPageBreak/>
        <w:t>Appendix F - GRADE evidence profile quality assessment table (Individual study level)</w:t>
      </w:r>
    </w:p>
    <w:p w14:paraId="0E04AC0D" w14:textId="77777777" w:rsidR="00EB0D7B" w:rsidRPr="00EB0D7B" w:rsidRDefault="00EB0D7B" w:rsidP="00EB0D7B">
      <w:pPr>
        <w:spacing w:after="0" w:line="276" w:lineRule="auto"/>
        <w:jc w:val="center"/>
        <w:rPr>
          <w:rFonts w:ascii="Times New Roman" w:eastAsia="Times New Roman" w:hAnsi="Times New Roman" w:cs="Times New Roman"/>
          <w:b/>
          <w:kern w:val="0"/>
          <w:lang w:val="en-GB" w:eastAsia="en-IE"/>
          <w14:ligatures w14:val="none"/>
        </w:rPr>
      </w:pPr>
    </w:p>
    <w:p w14:paraId="644920FF" w14:textId="77777777" w:rsidR="00EB0D7B" w:rsidRPr="00EB0D7B" w:rsidRDefault="00EB0D7B" w:rsidP="00EB0D7B">
      <w:pPr>
        <w:spacing w:after="0" w:line="276" w:lineRule="auto"/>
        <w:rPr>
          <w:rFonts w:ascii="Arial" w:eastAsia="Arial" w:hAnsi="Arial" w:cs="Arial"/>
          <w:kern w:val="0"/>
          <w:lang w:val="en-GB" w:eastAsia="en-IE"/>
          <w14:ligatures w14:val="none"/>
        </w:rPr>
      </w:pPr>
    </w:p>
    <w:tbl>
      <w:tblPr>
        <w:tblW w:w="11775" w:type="dxa"/>
        <w:tblInd w:w="-1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1230"/>
        <w:gridCol w:w="930"/>
        <w:gridCol w:w="1140"/>
        <w:gridCol w:w="1095"/>
        <w:gridCol w:w="1290"/>
        <w:gridCol w:w="1170"/>
        <w:gridCol w:w="1155"/>
        <w:gridCol w:w="975"/>
        <w:gridCol w:w="960"/>
        <w:gridCol w:w="945"/>
      </w:tblGrid>
      <w:tr w:rsidR="00EB0D7B" w:rsidRPr="00EB0D7B" w14:paraId="63F8294A" w14:textId="77777777" w:rsidTr="00EB0D7B">
        <w:tc>
          <w:tcPr>
            <w:tcW w:w="88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6483D244"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Source</w:t>
            </w:r>
          </w:p>
        </w:tc>
        <w:tc>
          <w:tcPr>
            <w:tcW w:w="123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0266FAB"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Outcome</w:t>
            </w:r>
          </w:p>
        </w:tc>
        <w:tc>
          <w:tcPr>
            <w:tcW w:w="93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D96BB5A"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Study design / baseline quality</w:t>
            </w:r>
          </w:p>
        </w:tc>
        <w:tc>
          <w:tcPr>
            <w:tcW w:w="114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2A9E496F"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Number of participants</w:t>
            </w:r>
          </w:p>
        </w:tc>
        <w:tc>
          <w:tcPr>
            <w:tcW w:w="109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573E3B8"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Risk of bias</w:t>
            </w:r>
          </w:p>
        </w:tc>
        <w:tc>
          <w:tcPr>
            <w:tcW w:w="129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9F3CCC2"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Inconsistency (across studies)</w:t>
            </w:r>
          </w:p>
        </w:tc>
        <w:tc>
          <w:tcPr>
            <w:tcW w:w="117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902E9D2"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Indirectness</w:t>
            </w:r>
          </w:p>
        </w:tc>
        <w:tc>
          <w:tcPr>
            <w:tcW w:w="115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FD0F1BC"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Imprecision</w:t>
            </w:r>
          </w:p>
        </w:tc>
        <w:tc>
          <w:tcPr>
            <w:tcW w:w="9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4DD687F9"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Publication bias (across studies)</w:t>
            </w:r>
          </w:p>
        </w:tc>
        <w:tc>
          <w:tcPr>
            <w:tcW w:w="96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3A2B2AA8"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Confidence Interval</w:t>
            </w:r>
          </w:p>
          <w:p w14:paraId="251048A6"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(CI)</w:t>
            </w:r>
          </w:p>
        </w:tc>
        <w:tc>
          <w:tcPr>
            <w:tcW w:w="94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7CBFC511" w14:textId="77777777" w:rsidR="00EB0D7B" w:rsidRPr="00EB0D7B" w:rsidRDefault="00EB0D7B" w:rsidP="00EB0D7B">
            <w:pPr>
              <w:widowControl w:val="0"/>
              <w:spacing w:after="0" w:line="240" w:lineRule="auto"/>
              <w:jc w:val="center"/>
              <w:rPr>
                <w:rFonts w:ascii="Arial" w:eastAsia="Arial" w:hAnsi="Arial" w:cs="Arial"/>
                <w:b/>
                <w:kern w:val="0"/>
                <w:sz w:val="12"/>
                <w:szCs w:val="12"/>
                <w:lang w:val="en-GB" w:eastAsia="en-IE"/>
                <w14:ligatures w14:val="none"/>
              </w:rPr>
            </w:pPr>
            <w:r w:rsidRPr="00EB0D7B">
              <w:rPr>
                <w:rFonts w:ascii="Arial" w:eastAsia="Arial" w:hAnsi="Arial" w:cs="Arial"/>
                <w:b/>
                <w:kern w:val="0"/>
                <w:sz w:val="12"/>
                <w:szCs w:val="12"/>
                <w:lang w:val="en-GB" w:eastAsia="en-IE"/>
                <w14:ligatures w14:val="none"/>
              </w:rPr>
              <w:t>Quality of evidence</w:t>
            </w:r>
          </w:p>
        </w:tc>
      </w:tr>
      <w:tr w:rsidR="00EB0D7B" w:rsidRPr="00EB0D7B" w14:paraId="3799D096" w14:textId="77777777" w:rsidTr="00EB0D7B">
        <w:tc>
          <w:tcPr>
            <w:tcW w:w="885"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4EF7F"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Aspinall et al (2012)</w:t>
            </w:r>
          </w:p>
        </w:tc>
        <w:tc>
          <w:tcPr>
            <w:tcW w:w="123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4BF6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Accessing, understanding, and using health information</w:t>
            </w:r>
          </w:p>
        </w:tc>
        <w:tc>
          <w:tcPr>
            <w:tcW w:w="93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F3A8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4B5F7"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31</w:t>
            </w:r>
          </w:p>
        </w:tc>
        <w:tc>
          <w:tcPr>
            <w:tcW w:w="1095"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5A0A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w:t>
            </w:r>
          </w:p>
          <w:p w14:paraId="1901951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16C7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A2A2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F103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E4B8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528D3"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C273B"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78"/>
                <w:id w:val="895005313"/>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21536773"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3CF47" w14:textId="77777777" w:rsidR="00EB0D7B" w:rsidRPr="00EB0D7B" w:rsidRDefault="00EB0D7B" w:rsidP="00EB0D7B">
            <w:pPr>
              <w:widowControl w:val="0"/>
              <w:spacing w:after="0" w:line="240" w:lineRule="auto"/>
              <w:rPr>
                <w:rFonts w:ascii="Arial" w:eastAsia="Arial" w:hAnsi="Arial" w:cs="Arial"/>
                <w:color w:val="3D85C6"/>
                <w:kern w:val="0"/>
                <w:sz w:val="12"/>
                <w:szCs w:val="12"/>
                <w:lang w:val="en-GB" w:eastAsia="en-IE"/>
                <w14:ligatures w14:val="none"/>
              </w:rPr>
            </w:pPr>
            <w:r w:rsidRPr="00EB0D7B">
              <w:rPr>
                <w:rFonts w:ascii="Arial" w:eastAsia="Arial" w:hAnsi="Arial" w:cs="Arial"/>
                <w:color w:val="3D85C6"/>
                <w:kern w:val="0"/>
                <w:sz w:val="12"/>
                <w:szCs w:val="12"/>
                <w:lang w:val="en-GB" w:eastAsia="en-IE"/>
                <w14:ligatures w14:val="none"/>
              </w:rPr>
              <w:t>Becker et al. (2023)</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3A6E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Accessing and understanding medication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6595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E1049"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131</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3847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risk of bias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E32D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1E30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using health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FA43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Although small sample size, sufficiently powered</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AB01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11B9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Front warning label 95% CI 0.46 - 5.2%. Label highlighting 95% CI 2.7 - 7.5%.</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B8E00"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79"/>
                <w:id w:val="1945802377"/>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Low</w:t>
                </w:r>
              </w:sdtContent>
            </w:sdt>
          </w:p>
        </w:tc>
      </w:tr>
      <w:tr w:rsidR="00EB0D7B" w:rsidRPr="00EB0D7B" w14:paraId="31FC8627"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46B44"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Berthenet et al. (2016)</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3C3E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Medication instruction pictogram comprehension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04C1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3E4E7"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135</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11D9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w:t>
            </w:r>
          </w:p>
          <w:p w14:paraId="4D7972D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675B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E093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health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4CE9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531A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E5DC9"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0AF93"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0"/>
                <w:id w:val="1897698155"/>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27AF5DC9"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34149" w14:textId="77777777" w:rsidR="00EB0D7B" w:rsidRPr="00EB0D7B" w:rsidRDefault="00EB0D7B" w:rsidP="00EB0D7B">
            <w:pPr>
              <w:widowControl w:val="0"/>
              <w:spacing w:after="0" w:line="240" w:lineRule="auto"/>
              <w:rPr>
                <w:rFonts w:ascii="Arial" w:eastAsia="Arial" w:hAnsi="Arial" w:cs="Arial"/>
                <w:color w:val="3D85C6"/>
                <w:kern w:val="0"/>
                <w:sz w:val="12"/>
                <w:szCs w:val="12"/>
                <w:lang w:val="en-GB" w:eastAsia="en-IE"/>
                <w14:ligatures w14:val="none"/>
              </w:rPr>
            </w:pPr>
            <w:r w:rsidRPr="00EB0D7B">
              <w:rPr>
                <w:rFonts w:ascii="Arial" w:eastAsia="Arial" w:hAnsi="Arial" w:cs="Arial"/>
                <w:color w:val="3D85C6"/>
                <w:kern w:val="0"/>
                <w:sz w:val="12"/>
                <w:szCs w:val="12"/>
                <w:lang w:val="en-GB" w:eastAsia="en-IE"/>
                <w14:ligatures w14:val="none"/>
              </w:rPr>
              <w:t>Blaylock et al. (2022)</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C736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Accessing and understanding fall prevention information for older adults with low vision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4D14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D3882"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9</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D910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 Sampling bias - convenience sampling (-1). 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2273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7491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CB91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5CCB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BAA79"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7D912"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1"/>
                <w:id w:val="-526257351"/>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6CFDA7CF"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D9E1F"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Bonderski et al. (2018)</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7C44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Accessing, understanding, and using cardiovascular medication instruction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1E0C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8742D"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314</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FDCC4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risk of bias. Although 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3534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FAD0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CEC42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7223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89E53"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ECA24"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2"/>
                <w:id w:val="1226410272"/>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Moderate</w:t>
                </w:r>
              </w:sdtContent>
            </w:sdt>
          </w:p>
        </w:tc>
      </w:tr>
      <w:tr w:rsidR="00EB0D7B" w:rsidRPr="00EB0D7B" w14:paraId="669DFD44"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B9D25"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Boonasa et al. (2022)</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8727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Accessing, understanding, and applying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C8A9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D7570"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18</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EEE2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 Sampling bias - consecutive sampling (-1). 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41FC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4A91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83C0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40D3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B0E88"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9494D"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3"/>
                <w:id w:val="-144671141"/>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22521951"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A01ED"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Chin et al. (2018)</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8D45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Comprehension of online health information for those with hypertension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6CF0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70BC40"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128</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2970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lack of bias.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8AEB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3DE7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ABE1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C6FE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D8CB6"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C313A"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4"/>
                <w:id w:val="-966189301"/>
              </w:sdtPr>
              <w:sdtContent>
                <w:r w:rsidR="00EB0D7B" w:rsidRPr="00EB0D7B">
                  <w:rPr>
                    <w:rFonts w:ascii="Cambria Math" w:eastAsia="Arial Unicode MS" w:hAnsi="Cambria Math" w:cs="Cambria Math"/>
                    <w:kern w:val="0"/>
                    <w:sz w:val="12"/>
                    <w:szCs w:val="12"/>
                    <w:lang w:val="en-GB" w:eastAsia="en-IE"/>
                    <w14:ligatures w14:val="none"/>
                  </w:rPr>
                  <w:t>⊕⊕⊕</w:t>
                </w:r>
              </w:sdtContent>
            </w:sdt>
          </w:p>
          <w:p w14:paraId="72397BD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Moderate</w:t>
            </w:r>
          </w:p>
        </w:tc>
      </w:tr>
      <w:tr w:rsidR="00EB0D7B" w:rsidRPr="00EB0D7B" w14:paraId="40617BE1"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20348"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Choi (2016)</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4A63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Comprehension and recall of discharge instruction- related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A5E2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A0E5F"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42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6526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488B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ED1D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5FA4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E69D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EB82B"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C0E68"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5"/>
                <w:id w:val="1229273003"/>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4B0E3984"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A473E"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Doi Kanno et al. (2021)</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C13E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General health literacy intervention in native language</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5556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AE068"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21</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FDD4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800F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A1BC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7D05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19FC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AA7B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95% CI 4.09 - 28.51.</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23528"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6"/>
                <w:id w:val="-338774505"/>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13E3DBBB"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14BB3"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Freed et al. (2013)</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20E8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Colorectal cancer information comprehension and recognition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5599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AE74B"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60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8289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risk of bias.</w:t>
            </w:r>
          </w:p>
          <w:p w14:paraId="1F8A554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5E9D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7E82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1988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538A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B2EB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95% CI 0.17 - 0.68.</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B15D6"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7"/>
                <w:id w:val="-95862270"/>
              </w:sdtPr>
              <w:sdtContent>
                <w:r w:rsidR="00EB0D7B" w:rsidRPr="00EB0D7B">
                  <w:rPr>
                    <w:rFonts w:ascii="Cambria Math" w:eastAsia="Arial Unicode MS" w:hAnsi="Cambria Math" w:cs="Cambria Math"/>
                    <w:kern w:val="0"/>
                    <w:sz w:val="12"/>
                    <w:szCs w:val="12"/>
                    <w:lang w:val="en-GB" w:eastAsia="en-IE"/>
                    <w14:ligatures w14:val="none"/>
                  </w:rPr>
                  <w:t>⊕⊕◯◯</w:t>
                </w:r>
              </w:sdtContent>
            </w:sdt>
          </w:p>
          <w:p w14:paraId="7F91B54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Low</w:t>
            </w:r>
          </w:p>
        </w:tc>
      </w:tr>
      <w:tr w:rsidR="00EB0D7B" w:rsidRPr="00EB0D7B" w14:paraId="108E87E8"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1494F" w14:textId="77777777" w:rsidR="00EB0D7B" w:rsidRPr="00EB0D7B" w:rsidRDefault="00EB0D7B" w:rsidP="00EB0D7B">
            <w:pPr>
              <w:widowControl w:val="0"/>
              <w:spacing w:after="0" w:line="240" w:lineRule="auto"/>
              <w:rPr>
                <w:rFonts w:ascii="Arial" w:eastAsia="Arial" w:hAnsi="Arial" w:cs="Arial"/>
                <w:color w:val="E69138"/>
                <w:kern w:val="0"/>
                <w:sz w:val="12"/>
                <w:szCs w:val="12"/>
                <w:lang w:val="en-GB" w:eastAsia="en-IE"/>
                <w14:ligatures w14:val="none"/>
              </w:rPr>
            </w:pPr>
            <w:r w:rsidRPr="00EB0D7B">
              <w:rPr>
                <w:rFonts w:ascii="Arial" w:eastAsia="Arial" w:hAnsi="Arial" w:cs="Arial"/>
                <w:color w:val="E69138"/>
                <w:kern w:val="0"/>
                <w:sz w:val="12"/>
                <w:szCs w:val="12"/>
                <w:lang w:val="en-GB" w:eastAsia="en-IE"/>
                <w14:ligatures w14:val="none"/>
              </w:rPr>
              <w:lastRenderedPageBreak/>
              <w:t>Hsu et al. (2023)</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6344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Understanding and applying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FE30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47015"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221</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CC3D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w:t>
            </w:r>
          </w:p>
          <w:p w14:paraId="57923D1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E6C5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FA01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DAC0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D9DA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5D4F9"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85556"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8"/>
                <w:id w:val="-1931646666"/>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6C41E8C5"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08395" w14:textId="77777777" w:rsidR="00EB0D7B" w:rsidRPr="00EB0D7B" w:rsidRDefault="00EB0D7B" w:rsidP="00EB0D7B">
            <w:pPr>
              <w:widowControl w:val="0"/>
              <w:spacing w:after="0" w:line="240" w:lineRule="auto"/>
              <w:rPr>
                <w:rFonts w:ascii="Arial" w:eastAsia="Arial" w:hAnsi="Arial" w:cs="Arial"/>
                <w:color w:val="3D85C6"/>
                <w:kern w:val="0"/>
                <w:sz w:val="12"/>
                <w:szCs w:val="12"/>
                <w:lang w:val="en-GB" w:eastAsia="en-IE"/>
                <w14:ligatures w14:val="none"/>
              </w:rPr>
            </w:pPr>
            <w:r w:rsidRPr="00EB0D7B">
              <w:rPr>
                <w:rFonts w:ascii="Arial" w:eastAsia="Arial" w:hAnsi="Arial" w:cs="Arial"/>
                <w:color w:val="3D85C6"/>
                <w:kern w:val="0"/>
                <w:sz w:val="12"/>
                <w:szCs w:val="12"/>
                <w:lang w:val="en-GB" w:eastAsia="en-IE"/>
                <w14:ligatures w14:val="none"/>
              </w:rPr>
              <w:t>Lai &amp; Chan (2023)</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4BCB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Accessing and understanding information in relation to advance care planning (ACP)</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8FDF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4CB9F"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182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45E2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w:t>
            </w:r>
          </w:p>
          <w:p w14:paraId="371C5A9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BAEF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4135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6FA1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576D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CD3E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95% CI 0.50 - 1.21.</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AD8F4"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89"/>
                <w:id w:val="-2075276219"/>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2C714D0F"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BCF7E"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Lam et al. (2017)</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3ED6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Understanding medication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7D0C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130E5"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134</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D897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0B1D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363B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6334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B3BE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5334F"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E07E3"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0"/>
                <w:id w:val="-856888482"/>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47C363BC"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5F7C4"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Lee et al. (2018)</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EE05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Medication label information comprehension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11DA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C7F44"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92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B327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purposive sampling (-1). Loss to follow up, 36.6% drop out rate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CB6A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73AC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764B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EF08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E7283"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BF503"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1"/>
                <w:id w:val="-448774281"/>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423A3A22"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5EF80"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Leung et al. (2018)</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1D0E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Health literacy and medication compliance</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8DC4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68062"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165</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8073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risk of bias.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8C99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AFAE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74CC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A1DC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44177"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04F97"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2"/>
                <w:id w:val="487607187"/>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Low</w:t>
                </w:r>
              </w:sdtContent>
            </w:sdt>
          </w:p>
        </w:tc>
      </w:tr>
      <w:tr w:rsidR="00EB0D7B" w:rsidRPr="00EB0D7B" w14:paraId="364F8CCD"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501DE"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Lin et al. (2014)</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5817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Understanding diagnosis, treatment plan, and post-discharge recommendation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531B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1E246"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67</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25D4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sampling/ recruitment information (-1).</w:t>
            </w:r>
          </w:p>
          <w:p w14:paraId="4D90B84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9FC3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EB3C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4EB8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BB5D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CBEBF"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E689A"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3"/>
                <w:id w:val="-1624145807"/>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0618F446"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9586F"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Lin et al. (2019)</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26A7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Effects of health literacy intervention on health empowerment</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C719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F67F4"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172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3E64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sampling/ recruitment information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5846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4A0F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FAC6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687C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376E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95% CI 1.16 - 5.84.</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5F3DB"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4"/>
                <w:id w:val="-720749699"/>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64491538"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FE17F"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Liu et al. (2018)</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A843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Health literacy of nursing home residents</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F7CA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E4632"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260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7CE1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Single-blind; intervention provider not blinded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A581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16CD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9B78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92385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939D4"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C3F06"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5"/>
                <w:id w:val="-1970739366"/>
              </w:sdtPr>
              <w:sdtContent>
                <w:r w:rsidR="00EB0D7B" w:rsidRPr="00EB0D7B">
                  <w:rPr>
                    <w:rFonts w:ascii="Cambria Math" w:eastAsia="Arial Unicode MS" w:hAnsi="Cambria Math" w:cs="Cambria Math"/>
                    <w:kern w:val="0"/>
                    <w:sz w:val="12"/>
                    <w:szCs w:val="12"/>
                    <w:lang w:val="en-GB" w:eastAsia="en-IE"/>
                    <w14:ligatures w14:val="none"/>
                  </w:rPr>
                  <w:t>⊕⊕◯◯</w:t>
                </w:r>
              </w:sdtContent>
            </w:sdt>
          </w:p>
          <w:p w14:paraId="758AAE2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Low</w:t>
            </w:r>
          </w:p>
        </w:tc>
      </w:tr>
      <w:tr w:rsidR="00EB0D7B" w:rsidRPr="00EB0D7B" w14:paraId="3F754431"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FDE95"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Malhotra et al. (2019)</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AE0C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Understanding prescription medication label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E2CA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3CDF9"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1,414</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191F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risk of bias. 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A812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9CB1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169C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imprecision</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2EBA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64327"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AE379"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6"/>
                <w:id w:val="-597640735"/>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Moderate</w:t>
                </w:r>
              </w:sdtContent>
            </w:sdt>
          </w:p>
        </w:tc>
      </w:tr>
      <w:tr w:rsidR="00EB0D7B" w:rsidRPr="00EB0D7B" w14:paraId="40FE8E0C"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5E9B9"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Martin et al. (2012)</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4283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Education information comprehension, recall, and adherence</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8715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0235E"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20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9990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w:t>
            </w:r>
          </w:p>
          <w:p w14:paraId="6CE161A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B82D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7E0E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BD37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D268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B9A6D"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026D4"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7"/>
                <w:id w:val="1164444640"/>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79D64E09"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C45F1"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Martin et al. (2013)</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3F16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Understanding risk-related information concerning inappropriate prescriptions (benzodiazepine)</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03DB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C0675"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144</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0657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w:t>
            </w:r>
          </w:p>
          <w:p w14:paraId="642163A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8A60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73D4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5BC4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3FB0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3223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95% CI</w:t>
            </w:r>
          </w:p>
          <w:p w14:paraId="2054D24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0.5 - 1.3.</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2D084"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8"/>
                <w:id w:val="-151300305"/>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4FD98BA5"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CB9AA"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Meppelink et al. (2015)</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B751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Colorectal cancer-related screening information comprehension and recall</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8C8E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F366F"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231</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7F9F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risk of bias</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C868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23CD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5D73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ED05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AA41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Written test 95% CI 11.06 - 12.89. Spoken test 95% CI 12.58 - 14.61.</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6F3EF"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99"/>
                <w:id w:val="-374472893"/>
              </w:sdtPr>
              <w:sdtContent>
                <w:r w:rsidR="00EB0D7B" w:rsidRPr="00EB0D7B">
                  <w:rPr>
                    <w:rFonts w:ascii="Cambria Math" w:eastAsia="Arial Unicode MS" w:hAnsi="Cambria Math" w:cs="Cambria Math"/>
                    <w:kern w:val="0"/>
                    <w:sz w:val="12"/>
                    <w:szCs w:val="12"/>
                    <w:lang w:val="en-GB" w:eastAsia="en-IE"/>
                    <w14:ligatures w14:val="none"/>
                  </w:rPr>
                  <w:t>⊕⊕◯◯</w:t>
                </w:r>
              </w:sdtContent>
            </w:sdt>
          </w:p>
          <w:p w14:paraId="08A8D3F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Low</w:t>
            </w:r>
          </w:p>
        </w:tc>
      </w:tr>
      <w:tr w:rsidR="00EB0D7B" w:rsidRPr="00EB0D7B" w14:paraId="5EF76108"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F0F06"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lastRenderedPageBreak/>
              <w:t>Mohsen &amp; Elabbassy (2021)</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03EC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Understanding diabetes and hypertension- related information, and medication adherence</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5643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13DA2"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140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6528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purposive sampling (-1).</w:t>
            </w:r>
          </w:p>
          <w:p w14:paraId="26490DB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FE4F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EEBF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FF4B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D00D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59CC1"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B8CD9"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0"/>
                <w:id w:val="1273362189"/>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5DFD56E4"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26804"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Ng et al. (2017)</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D41D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Medication information comprehension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292A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17640"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50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23DB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sampling/ recruitment information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6150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1AA4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F100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5F3D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696F14"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72D9A"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1"/>
                <w:id w:val="165837654"/>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1153B4A7"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B62E3"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Qvarfordt et al. (2021)</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D742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Understanding medication utilisation-related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2F012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AD834"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260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529D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Single-blind; intervention provider not blinded (-1). Sampling bias - convenience sampling (-1)</w:t>
            </w:r>
          </w:p>
          <w:p w14:paraId="62330CF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58D9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4B6B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339F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29EC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1218A"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0734A"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2"/>
                <w:id w:val="-407225148"/>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2D4A62FB"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62B2E"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Serbim et al. (2022)</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36C9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Accessing, appraising, communicating, and understanding health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A81E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63D9B"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42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6301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 Sampling bias - consecutive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082F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DA4B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59A0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4228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CFF76"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14616"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3"/>
                <w:id w:val="2035149851"/>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58035414"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3F860"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Shah et al. (2023)</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C2F6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Remote vs in-person health education in relation to health literacy outcomes</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3428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D2E03"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130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AD63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 Not blinded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8235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09F0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1313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935C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14C23"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2DF09"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4"/>
                <w:id w:val="583115371"/>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210C0598"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D6E31"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Shreffler-Grant et al. (2021)</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908F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General health literacy, and health literacy concerning complementary and alternative therapies medicine (CAM)</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AE52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5935C"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127</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2FED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control group (-1). Sampling bias - convenience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891A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9331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A281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0C44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7EF42"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26150"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5"/>
                <w:id w:val="1332569767"/>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5BE9148D"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F4F4A"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Smith et al. (2019)</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1B72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General health literacy and self-efficacy in relation to complementary medicine (CM) health literacy intervention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6B406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1CFD0"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153</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E1AB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44C4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0143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37D0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1797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CF1D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95% CI</w:t>
            </w:r>
          </w:p>
          <w:p w14:paraId="0F05ABE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2.8 - 15.4.</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9F9F1E"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6"/>
                <w:id w:val="1771440570"/>
              </w:sdtPr>
              <w:sdtContent>
                <w:r w:rsidR="00EB0D7B" w:rsidRPr="00EB0D7B">
                  <w:rPr>
                    <w:rFonts w:ascii="Cambria Math" w:eastAsia="Arial Unicode MS" w:hAnsi="Cambria Math" w:cs="Cambria Math"/>
                    <w:kern w:val="0"/>
                    <w:sz w:val="12"/>
                    <w:szCs w:val="12"/>
                    <w:lang w:val="en-GB" w:eastAsia="en-IE"/>
                    <w14:ligatures w14:val="none"/>
                  </w:rPr>
                  <w:t>⊕◯◯◯</w:t>
                </w:r>
              </w:sdtContent>
            </w:sdt>
          </w:p>
          <w:p w14:paraId="71A82D91"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Very Low</w:t>
            </w:r>
          </w:p>
        </w:tc>
      </w:tr>
      <w:tr w:rsidR="00EB0D7B" w:rsidRPr="00EB0D7B" w14:paraId="5FDEE4C3"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64F40" w14:textId="77777777" w:rsidR="00EB0D7B" w:rsidRPr="00EB0D7B" w:rsidRDefault="00EB0D7B" w:rsidP="00EB0D7B">
            <w:pPr>
              <w:widowControl w:val="0"/>
              <w:spacing w:after="0" w:line="240" w:lineRule="auto"/>
              <w:rPr>
                <w:rFonts w:ascii="Arial" w:eastAsia="Arial" w:hAnsi="Arial" w:cs="Arial"/>
                <w:color w:val="3D85C6"/>
                <w:kern w:val="0"/>
                <w:sz w:val="12"/>
                <w:szCs w:val="12"/>
                <w:lang w:val="en-GB" w:eastAsia="en-IE"/>
                <w14:ligatures w14:val="none"/>
              </w:rPr>
            </w:pPr>
            <w:r w:rsidRPr="00EB0D7B">
              <w:rPr>
                <w:rFonts w:ascii="Arial" w:eastAsia="Arial" w:hAnsi="Arial" w:cs="Arial"/>
                <w:color w:val="3D85C6"/>
                <w:kern w:val="0"/>
                <w:sz w:val="12"/>
                <w:szCs w:val="12"/>
                <w:lang w:val="en-GB" w:eastAsia="en-IE"/>
                <w14:ligatures w14:val="none"/>
              </w:rPr>
              <w:t>Taherian &amp; Motamendi (2022)</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AFE8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Accessing, understanding, and appraising information</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438D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4A2B6"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76</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2F27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C8A9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E522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3312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2B1C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A6FF0"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52BD2"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7"/>
                <w:id w:val="2005864609"/>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78148569"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B0601"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Tai et al. (2016)</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1FCD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Prescription label comprehension and functional health literacy (FHL)</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D07C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0A1C2"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118</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A4CF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88AF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8AFCC"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D258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5DF7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BE62D"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A1A6C"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8"/>
                <w:id w:val="1297261830"/>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08D6BBF1"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F07BA"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Uemura et al. (2021)</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84AB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Comprehensive health literacy, lifestyle behaviours, and mental health for older adults with low health literacy</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6B6F4"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58722"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60</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DEAB0"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Single-blind (-1). Sampling bias - convenience sampling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1126A"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C5A5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3139F"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4AE4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F9D6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Communicative health literacy 95% CI 0.3 - 4.3. Critical health literacy 95% CI -0.09 - 2.8.</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68C07"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09"/>
                <w:id w:val="1025059046"/>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7DFD584E"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4C666" w14:textId="77777777" w:rsidR="00EB0D7B" w:rsidRPr="00EB0D7B" w:rsidRDefault="00EB0D7B" w:rsidP="00EB0D7B">
            <w:pPr>
              <w:widowControl w:val="0"/>
              <w:spacing w:after="0" w:line="240"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Vaillancourt et al. (2019)</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BF33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Comprehension and recall of pharmaceutical / medication pictograms</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EA61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Non-RCT / Low</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614F9"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58</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F67D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Sampling bias - convenience sampling (-1). No control group (-1).</w:t>
            </w:r>
          </w:p>
          <w:p w14:paraId="42AFF667"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Lacks validated measure of health literacy.</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CAFF2"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6D1A5"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Does not fully address review question - outcome fails to address accessing and using information (-1)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5952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Some imprecision - small sample 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82739"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5B41D"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B807E"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10"/>
                <w:id w:val="1276676590"/>
              </w:sdtPr>
              <w:sdtContent>
                <w:r w:rsidR="00EB0D7B" w:rsidRPr="00EB0D7B">
                  <w:rPr>
                    <w:rFonts w:ascii="Cambria Math" w:eastAsia="Arial Unicode MS" w:hAnsi="Cambria Math" w:cs="Cambria Math"/>
                    <w:kern w:val="0"/>
                    <w:sz w:val="12"/>
                    <w:szCs w:val="12"/>
                    <w:lang w:val="en-GB" w:eastAsia="en-IE"/>
                    <w14:ligatures w14:val="none"/>
                  </w:rPr>
                  <w:t>⊕◯◯◯</w:t>
                </w:r>
                <w:r w:rsidR="00EB0D7B" w:rsidRPr="00EB0D7B">
                  <w:rPr>
                    <w:rFonts w:ascii="Arial Unicode MS" w:eastAsia="Arial Unicode MS" w:hAnsi="Arial Unicode MS" w:cs="Arial Unicode MS"/>
                    <w:kern w:val="0"/>
                    <w:sz w:val="12"/>
                    <w:szCs w:val="12"/>
                    <w:lang w:val="en-GB" w:eastAsia="en-IE"/>
                    <w14:ligatures w14:val="none"/>
                  </w:rPr>
                  <w:t xml:space="preserve"> Very Low</w:t>
                </w:r>
              </w:sdtContent>
            </w:sdt>
          </w:p>
        </w:tc>
      </w:tr>
      <w:tr w:rsidR="00EB0D7B" w:rsidRPr="00EB0D7B" w14:paraId="7AA1C815" w14:textId="77777777" w:rsidTr="00EB0D7B">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1B62C" w14:textId="77777777" w:rsidR="00EB0D7B" w:rsidRPr="00EB0D7B" w:rsidRDefault="00EB0D7B" w:rsidP="00EB0D7B">
            <w:pPr>
              <w:widowControl w:val="0"/>
              <w:spacing w:after="0" w:line="240"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Yu et al. (2017)</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6B058"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 xml:space="preserve">Health literacy of older adults with </w:t>
            </w:r>
            <w:r w:rsidRPr="00EB0D7B">
              <w:rPr>
                <w:rFonts w:ascii="Arial" w:eastAsia="Arial" w:hAnsi="Arial" w:cs="Arial"/>
                <w:kern w:val="0"/>
                <w:sz w:val="12"/>
                <w:szCs w:val="12"/>
                <w:lang w:val="en-GB" w:eastAsia="en-IE"/>
                <w14:ligatures w14:val="none"/>
              </w:rPr>
              <w:lastRenderedPageBreak/>
              <w:t>type II diabetes mellitus (T2DM)</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7EB46"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lastRenderedPageBreak/>
              <w:t>RCT / High</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9A4F6"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165</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A449D"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 xml:space="preserve">Sampling bias - convenience </w:t>
            </w:r>
            <w:r w:rsidRPr="00EB0D7B">
              <w:rPr>
                <w:rFonts w:ascii="Arial" w:eastAsia="Arial" w:hAnsi="Arial" w:cs="Arial"/>
                <w:kern w:val="0"/>
                <w:sz w:val="12"/>
                <w:szCs w:val="12"/>
                <w:lang w:val="en-GB" w:eastAsia="en-IE"/>
                <w14:ligatures w14:val="none"/>
              </w:rPr>
              <w:lastRenderedPageBreak/>
              <w:t>sampling (-1).</w:t>
            </w:r>
          </w:p>
          <w:p w14:paraId="7C870D4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Stats used incorrectly (-1).</w:t>
            </w:r>
          </w:p>
        </w:tc>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6541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lastRenderedPageBreak/>
              <w:t>No serious inconsistency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589D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No serious indirectness</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6DF5E"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 xml:space="preserve">Some imprecision - small sample </w:t>
            </w:r>
            <w:r w:rsidRPr="00EB0D7B">
              <w:rPr>
                <w:rFonts w:ascii="Arial" w:eastAsia="Arial" w:hAnsi="Arial" w:cs="Arial"/>
                <w:kern w:val="0"/>
                <w:sz w:val="12"/>
                <w:szCs w:val="12"/>
                <w:lang w:val="en-GB" w:eastAsia="en-IE"/>
                <w14:ligatures w14:val="none"/>
              </w:rPr>
              <w:lastRenderedPageBreak/>
              <w:t>size (-1)</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3EB33"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lastRenderedPageBreak/>
              <w:t>Undetected</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2B308" w14:textId="77777777" w:rsidR="00EB0D7B" w:rsidRPr="00EB0D7B" w:rsidRDefault="00EB0D7B" w:rsidP="00EB0D7B">
            <w:pPr>
              <w:widowControl w:val="0"/>
              <w:spacing w:after="0" w:line="240" w:lineRule="auto"/>
              <w:jc w:val="center"/>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CB19E3" w14:textId="77777777" w:rsidR="00EB0D7B" w:rsidRPr="00EB0D7B" w:rsidRDefault="00000000" w:rsidP="00EB0D7B">
            <w:pPr>
              <w:widowControl w:val="0"/>
              <w:spacing w:after="0" w:line="240" w:lineRule="auto"/>
              <w:rPr>
                <w:rFonts w:ascii="Arial" w:eastAsia="Arial" w:hAnsi="Arial" w:cs="Arial"/>
                <w:kern w:val="0"/>
                <w:sz w:val="12"/>
                <w:szCs w:val="12"/>
                <w:lang w:val="en-GB" w:eastAsia="en-IE"/>
                <w14:ligatures w14:val="none"/>
              </w:rPr>
            </w:pPr>
            <w:sdt>
              <w:sdtPr>
                <w:rPr>
                  <w:rFonts w:ascii="Arial" w:eastAsia="Arial" w:hAnsi="Arial" w:cs="Arial"/>
                  <w:kern w:val="0"/>
                  <w:lang w:val="en-GB" w:eastAsia="en-IE"/>
                  <w14:ligatures w14:val="none"/>
                </w:rPr>
                <w:tag w:val="goog_rdk_111"/>
                <w:id w:val="-900139062"/>
              </w:sdtPr>
              <w:sdtContent>
                <w:r w:rsidR="00EB0D7B" w:rsidRPr="00EB0D7B">
                  <w:rPr>
                    <w:rFonts w:ascii="Cambria Math" w:eastAsia="Arial Unicode MS" w:hAnsi="Cambria Math" w:cs="Cambria Math"/>
                    <w:kern w:val="0"/>
                    <w:sz w:val="12"/>
                    <w:szCs w:val="12"/>
                    <w:lang w:val="en-GB" w:eastAsia="en-IE"/>
                    <w14:ligatures w14:val="none"/>
                  </w:rPr>
                  <w:t>⊕◯◯◯</w:t>
                </w:r>
              </w:sdtContent>
            </w:sdt>
          </w:p>
          <w:p w14:paraId="3BAD18EB" w14:textId="77777777" w:rsidR="00EB0D7B" w:rsidRPr="00EB0D7B" w:rsidRDefault="00EB0D7B" w:rsidP="00EB0D7B">
            <w:pPr>
              <w:widowControl w:val="0"/>
              <w:spacing w:after="0" w:line="240"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Very Low</w:t>
            </w:r>
          </w:p>
        </w:tc>
      </w:tr>
    </w:tbl>
    <w:p w14:paraId="2B85D03B" w14:textId="77777777" w:rsidR="00EB0D7B" w:rsidRPr="00EB0D7B" w:rsidRDefault="00EB0D7B" w:rsidP="00EB0D7B">
      <w:pPr>
        <w:spacing w:after="0" w:line="276" w:lineRule="auto"/>
        <w:rPr>
          <w:rFonts w:ascii="Arial" w:eastAsia="Arial" w:hAnsi="Arial" w:cs="Arial"/>
          <w:kern w:val="0"/>
          <w:sz w:val="12"/>
          <w:szCs w:val="12"/>
          <w:lang w:val="en-GB" w:eastAsia="en-IE"/>
          <w14:ligatures w14:val="none"/>
        </w:rPr>
      </w:pPr>
    </w:p>
    <w:p w14:paraId="479231FD" w14:textId="77777777" w:rsidR="00EB0D7B" w:rsidRPr="00EB0D7B" w:rsidRDefault="00EB0D7B" w:rsidP="00EB0D7B">
      <w:pPr>
        <w:spacing w:after="0" w:line="276" w:lineRule="auto"/>
        <w:rPr>
          <w:rFonts w:ascii="Arial" w:eastAsia="Arial" w:hAnsi="Arial" w:cs="Arial"/>
          <w:kern w:val="0"/>
          <w:sz w:val="12"/>
          <w:szCs w:val="12"/>
          <w:lang w:val="en-GB" w:eastAsia="en-IE"/>
          <w14:ligatures w14:val="none"/>
        </w:rPr>
      </w:pPr>
    </w:p>
    <w:p w14:paraId="4E94867C" w14:textId="77777777" w:rsidR="00EB0D7B" w:rsidRPr="00EB0D7B" w:rsidRDefault="00EB0D7B" w:rsidP="00EB0D7B">
      <w:pPr>
        <w:spacing w:after="0" w:line="276" w:lineRule="auto"/>
        <w:rPr>
          <w:rFonts w:ascii="Arial" w:eastAsia="Arial" w:hAnsi="Arial" w:cs="Arial"/>
          <w:kern w:val="0"/>
          <w:sz w:val="12"/>
          <w:szCs w:val="12"/>
          <w:lang w:val="en-GB" w:eastAsia="en-IE"/>
          <w14:ligatures w14:val="none"/>
        </w:rPr>
      </w:pPr>
    </w:p>
    <w:p w14:paraId="32F81924" w14:textId="77777777" w:rsidR="00EB0D7B" w:rsidRPr="00EB0D7B" w:rsidRDefault="00EB0D7B" w:rsidP="00EB0D7B">
      <w:pPr>
        <w:spacing w:after="0" w:line="276" w:lineRule="auto"/>
        <w:rPr>
          <w:rFonts w:ascii="Arial" w:eastAsia="Arial" w:hAnsi="Arial" w:cs="Arial"/>
          <w:kern w:val="0"/>
          <w:sz w:val="12"/>
          <w:szCs w:val="12"/>
          <w:lang w:val="en-GB" w:eastAsia="en-IE"/>
          <w14:ligatures w14:val="none"/>
        </w:rPr>
      </w:pPr>
      <w:r w:rsidRPr="00EB0D7B">
        <w:rPr>
          <w:rFonts w:ascii="Arial" w:eastAsia="Arial" w:hAnsi="Arial" w:cs="Arial"/>
          <w:kern w:val="0"/>
          <w:sz w:val="12"/>
          <w:szCs w:val="12"/>
          <w:lang w:val="en-GB" w:eastAsia="en-IE"/>
          <w14:ligatures w14:val="none"/>
        </w:rPr>
        <w:t>Outcome key (elements of health literacy):</w:t>
      </w:r>
    </w:p>
    <w:p w14:paraId="72E9489A" w14:textId="77777777" w:rsidR="00EB0D7B" w:rsidRPr="00EB0D7B" w:rsidRDefault="00EB0D7B" w:rsidP="00EB0D7B">
      <w:pPr>
        <w:spacing w:after="0" w:line="276" w:lineRule="auto"/>
        <w:rPr>
          <w:rFonts w:ascii="Arial" w:eastAsia="Arial" w:hAnsi="Arial" w:cs="Arial"/>
          <w:kern w:val="0"/>
          <w:sz w:val="12"/>
          <w:szCs w:val="12"/>
          <w:lang w:val="en-GB" w:eastAsia="en-IE"/>
          <w14:ligatures w14:val="none"/>
        </w:rPr>
      </w:pPr>
    </w:p>
    <w:p w14:paraId="7A932391" w14:textId="77777777" w:rsidR="00EB0D7B" w:rsidRPr="00EB0D7B" w:rsidRDefault="00EB0D7B" w:rsidP="00EB0D7B">
      <w:pPr>
        <w:spacing w:after="0" w:line="276" w:lineRule="auto"/>
        <w:rPr>
          <w:rFonts w:ascii="Arial" w:eastAsia="Arial" w:hAnsi="Arial" w:cs="Arial"/>
          <w:color w:val="CC0000"/>
          <w:kern w:val="0"/>
          <w:sz w:val="12"/>
          <w:szCs w:val="12"/>
          <w:lang w:val="en-GB" w:eastAsia="en-IE"/>
          <w14:ligatures w14:val="none"/>
        </w:rPr>
      </w:pPr>
      <w:r w:rsidRPr="00EB0D7B">
        <w:rPr>
          <w:rFonts w:ascii="Arial" w:eastAsia="Arial" w:hAnsi="Arial" w:cs="Arial"/>
          <w:color w:val="CC0000"/>
          <w:kern w:val="0"/>
          <w:sz w:val="12"/>
          <w:szCs w:val="12"/>
          <w:lang w:val="en-GB" w:eastAsia="en-IE"/>
          <w14:ligatures w14:val="none"/>
        </w:rPr>
        <w:t>Accessing, understanding, and using health information (n=13)</w:t>
      </w:r>
    </w:p>
    <w:p w14:paraId="79C879F8" w14:textId="77777777" w:rsidR="00EB0D7B" w:rsidRPr="00EB0D7B" w:rsidRDefault="00EB0D7B" w:rsidP="00EB0D7B">
      <w:pPr>
        <w:spacing w:after="0" w:line="276" w:lineRule="auto"/>
        <w:rPr>
          <w:rFonts w:ascii="Arial" w:eastAsia="Arial" w:hAnsi="Arial" w:cs="Arial"/>
          <w:color w:val="6AA84F"/>
          <w:kern w:val="0"/>
          <w:sz w:val="12"/>
          <w:szCs w:val="12"/>
          <w:lang w:val="en-GB" w:eastAsia="en-IE"/>
          <w14:ligatures w14:val="none"/>
        </w:rPr>
      </w:pPr>
      <w:r w:rsidRPr="00EB0D7B">
        <w:rPr>
          <w:rFonts w:ascii="Arial" w:eastAsia="Arial" w:hAnsi="Arial" w:cs="Arial"/>
          <w:color w:val="6AA84F"/>
          <w:kern w:val="0"/>
          <w:sz w:val="12"/>
          <w:szCs w:val="12"/>
          <w:lang w:val="en-GB" w:eastAsia="en-IE"/>
          <w14:ligatures w14:val="none"/>
        </w:rPr>
        <w:t>Understanding health information (n=16)</w:t>
      </w:r>
    </w:p>
    <w:p w14:paraId="1AFC0885" w14:textId="77777777" w:rsidR="00EB0D7B" w:rsidRPr="00EB0D7B" w:rsidRDefault="00EB0D7B" w:rsidP="00EB0D7B">
      <w:pPr>
        <w:spacing w:after="0" w:line="276" w:lineRule="auto"/>
        <w:rPr>
          <w:rFonts w:ascii="Arial" w:eastAsia="Arial" w:hAnsi="Arial" w:cs="Arial"/>
          <w:color w:val="3D85C6"/>
          <w:kern w:val="0"/>
          <w:sz w:val="12"/>
          <w:szCs w:val="12"/>
          <w:lang w:val="en-GB" w:eastAsia="en-IE"/>
          <w14:ligatures w14:val="none"/>
        </w:rPr>
      </w:pPr>
      <w:r w:rsidRPr="00EB0D7B">
        <w:rPr>
          <w:rFonts w:ascii="Arial" w:eastAsia="Arial" w:hAnsi="Arial" w:cs="Arial"/>
          <w:color w:val="3D85C6"/>
          <w:kern w:val="0"/>
          <w:sz w:val="12"/>
          <w:szCs w:val="12"/>
          <w:lang w:val="en-GB" w:eastAsia="en-IE"/>
          <w14:ligatures w14:val="none"/>
        </w:rPr>
        <w:t>Accessing and understanding health information (n=4)</w:t>
      </w:r>
    </w:p>
    <w:p w14:paraId="51DF9FAC" w14:textId="77777777" w:rsidR="00EB0D7B" w:rsidRPr="00EB0D7B" w:rsidRDefault="00EB0D7B" w:rsidP="00EB0D7B">
      <w:pPr>
        <w:spacing w:after="0" w:line="276" w:lineRule="auto"/>
        <w:rPr>
          <w:rFonts w:ascii="Arial" w:eastAsia="Arial" w:hAnsi="Arial" w:cs="Arial"/>
          <w:color w:val="E69138"/>
          <w:kern w:val="0"/>
          <w:sz w:val="12"/>
          <w:szCs w:val="12"/>
          <w:lang w:val="en-GB" w:eastAsia="en-IE"/>
          <w14:ligatures w14:val="none"/>
        </w:rPr>
      </w:pPr>
      <w:r w:rsidRPr="00EB0D7B">
        <w:rPr>
          <w:rFonts w:ascii="Arial" w:eastAsia="Arial" w:hAnsi="Arial" w:cs="Arial"/>
          <w:color w:val="E69138"/>
          <w:kern w:val="0"/>
          <w:sz w:val="12"/>
          <w:szCs w:val="12"/>
          <w:lang w:val="en-GB" w:eastAsia="en-IE"/>
          <w14:ligatures w14:val="none"/>
        </w:rPr>
        <w:t>Understanding and using health information (n=1)</w:t>
      </w:r>
    </w:p>
    <w:p w14:paraId="563A0561" w14:textId="77777777" w:rsidR="004D6170" w:rsidRDefault="004D6170">
      <w:pPr>
        <w:rPr>
          <w:rFonts w:ascii="Arial" w:eastAsia="Arial" w:hAnsi="Arial" w:cs="Arial"/>
          <w:kern w:val="0"/>
          <w:sz w:val="16"/>
          <w:szCs w:val="16"/>
          <w:lang w:val="en-GB" w:eastAsia="en-IE"/>
          <w14:ligatures w14:val="none"/>
        </w:rPr>
      </w:pPr>
    </w:p>
    <w:p w14:paraId="4A5DE4A4" w14:textId="77777777" w:rsidR="004D6170" w:rsidRDefault="004D6170">
      <w:pPr>
        <w:rPr>
          <w:rFonts w:ascii="Arial" w:eastAsia="Arial" w:hAnsi="Arial" w:cs="Arial"/>
          <w:kern w:val="0"/>
          <w:sz w:val="16"/>
          <w:szCs w:val="16"/>
          <w:lang w:val="en-GB" w:eastAsia="en-IE"/>
          <w14:ligatures w14:val="none"/>
        </w:rPr>
      </w:pPr>
    </w:p>
    <w:p w14:paraId="41094023" w14:textId="77777777" w:rsidR="004D6170" w:rsidRDefault="004D6170" w:rsidP="004D6170">
      <w:pPr>
        <w:jc w:val="center"/>
        <w:rPr>
          <w:rFonts w:ascii="Times New Roman" w:hAnsi="Times New Roman" w:cs="Times New Roman"/>
          <w:b/>
          <w:bCs/>
          <w:sz w:val="24"/>
          <w:szCs w:val="24"/>
        </w:rPr>
      </w:pPr>
    </w:p>
    <w:p w14:paraId="4692CE14" w14:textId="77777777" w:rsidR="004D6170" w:rsidRDefault="004D6170" w:rsidP="004D6170">
      <w:pPr>
        <w:jc w:val="center"/>
        <w:rPr>
          <w:rFonts w:ascii="Times New Roman" w:hAnsi="Times New Roman" w:cs="Times New Roman"/>
          <w:b/>
          <w:bCs/>
          <w:sz w:val="24"/>
          <w:szCs w:val="24"/>
        </w:rPr>
      </w:pPr>
    </w:p>
    <w:p w14:paraId="4A1FD0ED" w14:textId="77777777" w:rsidR="004D6170" w:rsidRDefault="004D6170" w:rsidP="004D6170">
      <w:pPr>
        <w:jc w:val="center"/>
        <w:rPr>
          <w:rFonts w:ascii="Times New Roman" w:hAnsi="Times New Roman" w:cs="Times New Roman"/>
          <w:b/>
          <w:bCs/>
          <w:sz w:val="24"/>
          <w:szCs w:val="24"/>
        </w:rPr>
      </w:pPr>
    </w:p>
    <w:p w14:paraId="07D3309B" w14:textId="77777777" w:rsidR="004D6170" w:rsidRDefault="004D6170" w:rsidP="004D6170">
      <w:pPr>
        <w:jc w:val="center"/>
        <w:rPr>
          <w:rFonts w:ascii="Times New Roman" w:hAnsi="Times New Roman" w:cs="Times New Roman"/>
          <w:b/>
          <w:bCs/>
          <w:sz w:val="24"/>
          <w:szCs w:val="24"/>
        </w:rPr>
      </w:pPr>
    </w:p>
    <w:p w14:paraId="2CFFAA2C" w14:textId="77777777" w:rsidR="004D6170" w:rsidRDefault="004D6170" w:rsidP="004D6170">
      <w:pPr>
        <w:jc w:val="center"/>
        <w:rPr>
          <w:rFonts w:ascii="Times New Roman" w:hAnsi="Times New Roman" w:cs="Times New Roman"/>
          <w:b/>
          <w:bCs/>
          <w:sz w:val="24"/>
          <w:szCs w:val="24"/>
        </w:rPr>
      </w:pPr>
    </w:p>
    <w:p w14:paraId="3FD0B0DC" w14:textId="77777777" w:rsidR="004D6170" w:rsidRDefault="004D6170" w:rsidP="004D6170">
      <w:pPr>
        <w:jc w:val="center"/>
        <w:rPr>
          <w:rFonts w:ascii="Times New Roman" w:hAnsi="Times New Roman" w:cs="Times New Roman"/>
          <w:b/>
          <w:bCs/>
          <w:sz w:val="24"/>
          <w:szCs w:val="24"/>
        </w:rPr>
      </w:pPr>
    </w:p>
    <w:p w14:paraId="426BC0DC" w14:textId="77777777" w:rsidR="004D6170" w:rsidRDefault="004D6170" w:rsidP="004D6170">
      <w:pPr>
        <w:jc w:val="center"/>
        <w:rPr>
          <w:rFonts w:ascii="Times New Roman" w:hAnsi="Times New Roman" w:cs="Times New Roman"/>
          <w:b/>
          <w:bCs/>
          <w:sz w:val="24"/>
          <w:szCs w:val="24"/>
        </w:rPr>
      </w:pPr>
    </w:p>
    <w:p w14:paraId="3B6DF4AB" w14:textId="77777777" w:rsidR="004D6170" w:rsidRDefault="004D6170" w:rsidP="004D6170">
      <w:pPr>
        <w:jc w:val="center"/>
        <w:rPr>
          <w:rFonts w:ascii="Times New Roman" w:hAnsi="Times New Roman" w:cs="Times New Roman"/>
          <w:b/>
          <w:bCs/>
          <w:sz w:val="24"/>
          <w:szCs w:val="24"/>
        </w:rPr>
      </w:pPr>
    </w:p>
    <w:p w14:paraId="0E7250DF" w14:textId="77777777" w:rsidR="004D6170" w:rsidRDefault="004D6170" w:rsidP="004D6170">
      <w:pPr>
        <w:jc w:val="center"/>
        <w:rPr>
          <w:rFonts w:ascii="Times New Roman" w:hAnsi="Times New Roman" w:cs="Times New Roman"/>
          <w:b/>
          <w:bCs/>
          <w:sz w:val="24"/>
          <w:szCs w:val="24"/>
        </w:rPr>
      </w:pPr>
    </w:p>
    <w:p w14:paraId="43ABDA79" w14:textId="77777777" w:rsidR="004D6170" w:rsidRDefault="004D6170" w:rsidP="004D6170">
      <w:pPr>
        <w:jc w:val="center"/>
        <w:rPr>
          <w:rFonts w:ascii="Times New Roman" w:hAnsi="Times New Roman" w:cs="Times New Roman"/>
          <w:b/>
          <w:bCs/>
          <w:sz w:val="24"/>
          <w:szCs w:val="24"/>
        </w:rPr>
      </w:pPr>
    </w:p>
    <w:p w14:paraId="380A2BB6" w14:textId="77777777" w:rsidR="004D6170" w:rsidRDefault="004D6170" w:rsidP="004D6170">
      <w:pPr>
        <w:jc w:val="center"/>
        <w:rPr>
          <w:rFonts w:ascii="Times New Roman" w:hAnsi="Times New Roman" w:cs="Times New Roman"/>
          <w:b/>
          <w:bCs/>
          <w:sz w:val="24"/>
          <w:szCs w:val="24"/>
        </w:rPr>
      </w:pPr>
    </w:p>
    <w:p w14:paraId="02FFDB5B" w14:textId="77777777" w:rsidR="004D6170" w:rsidRDefault="004D6170" w:rsidP="004D6170">
      <w:pPr>
        <w:jc w:val="center"/>
        <w:rPr>
          <w:rFonts w:ascii="Times New Roman" w:hAnsi="Times New Roman" w:cs="Times New Roman"/>
          <w:b/>
          <w:bCs/>
          <w:sz w:val="24"/>
          <w:szCs w:val="24"/>
        </w:rPr>
      </w:pPr>
    </w:p>
    <w:p w14:paraId="7E3FAA83" w14:textId="77777777" w:rsidR="004D6170" w:rsidRDefault="004D6170" w:rsidP="004D6170">
      <w:pPr>
        <w:jc w:val="center"/>
        <w:rPr>
          <w:rFonts w:ascii="Times New Roman" w:hAnsi="Times New Roman" w:cs="Times New Roman"/>
          <w:b/>
          <w:bCs/>
          <w:sz w:val="24"/>
          <w:szCs w:val="24"/>
        </w:rPr>
      </w:pPr>
    </w:p>
    <w:p w14:paraId="45BA8549" w14:textId="77777777" w:rsidR="004D6170" w:rsidRDefault="004D6170" w:rsidP="004D6170">
      <w:pPr>
        <w:jc w:val="center"/>
        <w:rPr>
          <w:rFonts w:ascii="Times New Roman" w:hAnsi="Times New Roman" w:cs="Times New Roman"/>
          <w:b/>
          <w:bCs/>
          <w:sz w:val="24"/>
          <w:szCs w:val="24"/>
        </w:rPr>
      </w:pPr>
    </w:p>
    <w:p w14:paraId="2BCB4E29" w14:textId="77777777" w:rsidR="004D6170" w:rsidRDefault="004D6170" w:rsidP="004D6170">
      <w:pPr>
        <w:jc w:val="center"/>
        <w:rPr>
          <w:rFonts w:ascii="Times New Roman" w:hAnsi="Times New Roman" w:cs="Times New Roman"/>
          <w:b/>
          <w:bCs/>
          <w:sz w:val="24"/>
          <w:szCs w:val="24"/>
        </w:rPr>
      </w:pPr>
    </w:p>
    <w:p w14:paraId="6EBD5031" w14:textId="77777777" w:rsidR="004D6170" w:rsidRDefault="004D6170" w:rsidP="004D6170">
      <w:pPr>
        <w:jc w:val="center"/>
        <w:rPr>
          <w:rFonts w:ascii="Times New Roman" w:hAnsi="Times New Roman" w:cs="Times New Roman"/>
          <w:b/>
          <w:bCs/>
          <w:sz w:val="24"/>
          <w:szCs w:val="24"/>
        </w:rPr>
      </w:pPr>
    </w:p>
    <w:p w14:paraId="5C154D0B" w14:textId="77777777" w:rsidR="004D6170" w:rsidRDefault="004D6170" w:rsidP="004D6170">
      <w:pPr>
        <w:jc w:val="center"/>
        <w:rPr>
          <w:rFonts w:ascii="Times New Roman" w:hAnsi="Times New Roman" w:cs="Times New Roman"/>
          <w:b/>
          <w:bCs/>
          <w:sz w:val="24"/>
          <w:szCs w:val="24"/>
        </w:rPr>
      </w:pPr>
    </w:p>
    <w:p w14:paraId="0F5F011C" w14:textId="77777777" w:rsidR="004D6170" w:rsidRDefault="004D6170" w:rsidP="004D6170">
      <w:pPr>
        <w:jc w:val="center"/>
        <w:rPr>
          <w:rFonts w:ascii="Times New Roman" w:hAnsi="Times New Roman" w:cs="Times New Roman"/>
          <w:b/>
          <w:bCs/>
          <w:sz w:val="24"/>
          <w:szCs w:val="24"/>
        </w:rPr>
      </w:pPr>
    </w:p>
    <w:p w14:paraId="64F7FEDB" w14:textId="77777777" w:rsidR="004D6170" w:rsidRDefault="004D6170" w:rsidP="004D6170">
      <w:pPr>
        <w:jc w:val="center"/>
        <w:rPr>
          <w:rFonts w:ascii="Times New Roman" w:hAnsi="Times New Roman" w:cs="Times New Roman"/>
          <w:b/>
          <w:bCs/>
          <w:sz w:val="24"/>
          <w:szCs w:val="24"/>
        </w:rPr>
      </w:pPr>
    </w:p>
    <w:p w14:paraId="252E7B3E" w14:textId="77777777" w:rsidR="004D6170" w:rsidRDefault="004D6170" w:rsidP="004D6170">
      <w:pPr>
        <w:jc w:val="center"/>
        <w:rPr>
          <w:rFonts w:ascii="Times New Roman" w:hAnsi="Times New Roman" w:cs="Times New Roman"/>
          <w:b/>
          <w:bCs/>
          <w:sz w:val="24"/>
          <w:szCs w:val="24"/>
        </w:rPr>
      </w:pPr>
    </w:p>
    <w:p w14:paraId="7D3F6857" w14:textId="77777777" w:rsidR="004D6170" w:rsidRDefault="004D6170" w:rsidP="004D6170">
      <w:pPr>
        <w:jc w:val="center"/>
        <w:rPr>
          <w:rFonts w:ascii="Times New Roman" w:hAnsi="Times New Roman" w:cs="Times New Roman"/>
          <w:b/>
          <w:bCs/>
          <w:sz w:val="24"/>
          <w:szCs w:val="24"/>
        </w:rPr>
      </w:pPr>
    </w:p>
    <w:p w14:paraId="0FD85742" w14:textId="77777777" w:rsidR="004D6170" w:rsidRDefault="004D6170" w:rsidP="004D6170">
      <w:pPr>
        <w:jc w:val="center"/>
        <w:rPr>
          <w:rFonts w:ascii="Times New Roman" w:hAnsi="Times New Roman" w:cs="Times New Roman"/>
          <w:b/>
          <w:bCs/>
          <w:sz w:val="24"/>
          <w:szCs w:val="24"/>
        </w:rPr>
      </w:pPr>
    </w:p>
    <w:p w14:paraId="5D5BCEC1" w14:textId="77777777" w:rsidR="004D6170" w:rsidRDefault="004D6170" w:rsidP="004D6170">
      <w:pPr>
        <w:jc w:val="center"/>
        <w:rPr>
          <w:rFonts w:ascii="Times New Roman" w:hAnsi="Times New Roman" w:cs="Times New Roman"/>
          <w:b/>
          <w:bCs/>
          <w:sz w:val="24"/>
          <w:szCs w:val="24"/>
        </w:rPr>
      </w:pPr>
    </w:p>
    <w:p w14:paraId="7322AD2C" w14:textId="77777777" w:rsidR="004D6170" w:rsidRDefault="004D6170" w:rsidP="004D6170">
      <w:pPr>
        <w:jc w:val="center"/>
        <w:rPr>
          <w:rFonts w:ascii="Times New Roman" w:hAnsi="Times New Roman" w:cs="Times New Roman"/>
          <w:b/>
          <w:bCs/>
          <w:sz w:val="24"/>
          <w:szCs w:val="24"/>
        </w:rPr>
      </w:pPr>
    </w:p>
    <w:p w14:paraId="4920C9BB" w14:textId="26179E5A" w:rsidR="004D6170" w:rsidRDefault="004D6170" w:rsidP="004D617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G – Description of health literacy assessment tools used in included studies</w:t>
      </w:r>
    </w:p>
    <w:p w14:paraId="5D12CEA7" w14:textId="77777777" w:rsidR="004D6170" w:rsidRDefault="004D6170" w:rsidP="004D6170">
      <w:pPr>
        <w:rPr>
          <w:rFonts w:ascii="Times New Roman" w:hAnsi="Times New Roman" w:cs="Times New Roman"/>
          <w:b/>
          <w:bCs/>
          <w:sz w:val="24"/>
          <w:szCs w:val="24"/>
        </w:rPr>
      </w:pPr>
    </w:p>
    <w:p w14:paraId="407AB9B3" w14:textId="77777777" w:rsidR="004D6170" w:rsidRDefault="004D6170" w:rsidP="004D6170">
      <w:pPr>
        <w:rPr>
          <w:rFonts w:ascii="Times New Roman" w:hAnsi="Times New Roman" w:cs="Times New Roman"/>
          <w:b/>
          <w:bCs/>
          <w:sz w:val="24"/>
          <w:szCs w:val="24"/>
        </w:rPr>
      </w:pPr>
    </w:p>
    <w:p w14:paraId="781580E7" w14:textId="77777777" w:rsidR="004D6170" w:rsidRPr="00094F5F" w:rsidRDefault="004D6170" w:rsidP="004D6170">
      <w:pPr>
        <w:spacing w:line="480" w:lineRule="auto"/>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The Short Test of Functional Health Literacy in Adults (STOFHLA)</w:t>
      </w:r>
    </w:p>
    <w:p w14:paraId="6BFF25E9" w14:textId="0D27090F" w:rsidR="004D6170" w:rsidRPr="00094F5F" w:rsidRDefault="004D6170" w:rsidP="004D6170">
      <w:pPr>
        <w:spacing w:line="480" w:lineRule="auto"/>
        <w:ind w:firstLine="720"/>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The STOFHLA determines patient functional health literacy, with a focus on reading comprehension through testing patients’ ability to read and interpret health text passages</w:t>
      </w:r>
      <w:r w:rsidR="000C7D31">
        <w:rPr>
          <w:rFonts w:ascii="Times New Roman" w:eastAsia="Times New Roman" w:hAnsi="Times New Roman" w:cs="Times New Roman"/>
          <w:sz w:val="24"/>
          <w:szCs w:val="24"/>
          <w:vertAlign w:val="superscript"/>
        </w:rPr>
        <w:t>56</w:t>
      </w:r>
      <w:r w:rsidRPr="00094F5F">
        <w:rPr>
          <w:rFonts w:ascii="Times New Roman" w:eastAsia="Times New Roman" w:hAnsi="Times New Roman" w:cs="Times New Roman"/>
          <w:sz w:val="24"/>
          <w:szCs w:val="24"/>
        </w:rPr>
        <w:t>. The test is timed, with participants attempting to correctly interpret the maximum number of text passages within seven minutes.</w:t>
      </w:r>
      <w:r w:rsidR="000C7D31">
        <w:rPr>
          <w:rFonts w:ascii="Times New Roman" w:eastAsia="Times New Roman" w:hAnsi="Times New Roman" w:cs="Times New Roman"/>
          <w:sz w:val="24"/>
          <w:szCs w:val="24"/>
          <w:vertAlign w:val="superscript"/>
        </w:rPr>
        <w:t>56</w:t>
      </w:r>
      <w:r w:rsidRPr="00094F5F">
        <w:rPr>
          <w:rFonts w:ascii="Times New Roman" w:eastAsia="Times New Roman" w:hAnsi="Times New Roman" w:cs="Times New Roman"/>
          <w:sz w:val="24"/>
          <w:szCs w:val="24"/>
        </w:rPr>
        <w:t xml:space="preserve"> One point is given for each correctly interpreted text passage, with the total points score corresponding with the relevant functional health literacy level as defined in Table 1.</w:t>
      </w:r>
    </w:p>
    <w:p w14:paraId="365E4F8F" w14:textId="77777777" w:rsidR="004D6170" w:rsidRPr="00094F5F" w:rsidRDefault="004D6170" w:rsidP="004D6170">
      <w:pPr>
        <w:spacing w:line="480" w:lineRule="auto"/>
        <w:ind w:firstLine="720"/>
        <w:rPr>
          <w:rFonts w:ascii="Times New Roman" w:eastAsia="Times New Roman" w:hAnsi="Times New Roman" w:cs="Times New Roman"/>
          <w:sz w:val="24"/>
          <w:szCs w:val="24"/>
        </w:rPr>
      </w:pPr>
    </w:p>
    <w:p w14:paraId="5B1EFAC9" w14:textId="6A3C6B02" w:rsidR="004D6170" w:rsidRPr="00094F5F" w:rsidRDefault="004D6170" w:rsidP="004D6170">
      <w:pPr>
        <w:spacing w:line="480" w:lineRule="auto"/>
        <w:jc w:val="center"/>
        <w:rPr>
          <w:rFonts w:ascii="Times New Roman" w:eastAsia="Times New Roman" w:hAnsi="Times New Roman" w:cs="Times New Roman"/>
          <w:sz w:val="24"/>
          <w:szCs w:val="24"/>
          <w:vertAlign w:val="superscript"/>
        </w:rPr>
      </w:pPr>
      <w:r w:rsidRPr="00094F5F">
        <w:rPr>
          <w:rFonts w:ascii="Times New Roman" w:eastAsia="Times New Roman" w:hAnsi="Times New Roman" w:cs="Times New Roman"/>
          <w:sz w:val="24"/>
          <w:szCs w:val="24"/>
        </w:rPr>
        <w:t>Table 1: TOFHLA Functional Health Literacy Levels</w:t>
      </w:r>
      <w:r w:rsidR="000C7D31">
        <w:rPr>
          <w:rFonts w:ascii="Times New Roman" w:eastAsia="Times New Roman" w:hAnsi="Times New Roman" w:cs="Times New Roman"/>
          <w:sz w:val="24"/>
          <w:szCs w:val="24"/>
          <w:vertAlign w:val="superscript"/>
        </w:rPr>
        <w:t>56</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4D6170" w:rsidRPr="00094F5F" w14:paraId="29C6539D" w14:textId="77777777" w:rsidTr="00A941AF">
        <w:tc>
          <w:tcPr>
            <w:tcW w:w="3009" w:type="dxa"/>
            <w:shd w:val="clear" w:color="auto" w:fill="auto"/>
            <w:tcMar>
              <w:top w:w="100" w:type="dxa"/>
              <w:left w:w="100" w:type="dxa"/>
              <w:bottom w:w="100" w:type="dxa"/>
              <w:right w:w="100" w:type="dxa"/>
            </w:tcMar>
          </w:tcPr>
          <w:p w14:paraId="4E87E90E" w14:textId="77777777" w:rsidR="004D6170" w:rsidRPr="00094F5F" w:rsidRDefault="004D6170" w:rsidP="00A941AF">
            <w:pPr>
              <w:widowControl w:val="0"/>
              <w:spacing w:line="240" w:lineRule="auto"/>
              <w:jc w:val="center"/>
              <w:rPr>
                <w:rFonts w:ascii="Times New Roman" w:eastAsia="Times New Roman" w:hAnsi="Times New Roman" w:cs="Times New Roman"/>
                <w:b/>
                <w:sz w:val="24"/>
                <w:szCs w:val="24"/>
              </w:rPr>
            </w:pPr>
            <w:r w:rsidRPr="00094F5F">
              <w:rPr>
                <w:rFonts w:ascii="Times New Roman" w:eastAsia="Times New Roman" w:hAnsi="Times New Roman" w:cs="Times New Roman"/>
                <w:b/>
                <w:sz w:val="24"/>
                <w:szCs w:val="24"/>
              </w:rPr>
              <w:t>Level</w:t>
            </w:r>
          </w:p>
        </w:tc>
        <w:tc>
          <w:tcPr>
            <w:tcW w:w="3010" w:type="dxa"/>
            <w:shd w:val="clear" w:color="auto" w:fill="auto"/>
            <w:tcMar>
              <w:top w:w="100" w:type="dxa"/>
              <w:left w:w="100" w:type="dxa"/>
              <w:bottom w:w="100" w:type="dxa"/>
              <w:right w:w="100" w:type="dxa"/>
            </w:tcMar>
          </w:tcPr>
          <w:p w14:paraId="4F04977A" w14:textId="77777777" w:rsidR="004D6170" w:rsidRPr="00094F5F" w:rsidRDefault="004D6170" w:rsidP="00A941AF">
            <w:pPr>
              <w:widowControl w:val="0"/>
              <w:spacing w:line="240" w:lineRule="auto"/>
              <w:jc w:val="center"/>
              <w:rPr>
                <w:rFonts w:ascii="Times New Roman" w:eastAsia="Times New Roman" w:hAnsi="Times New Roman" w:cs="Times New Roman"/>
                <w:b/>
                <w:sz w:val="24"/>
                <w:szCs w:val="24"/>
              </w:rPr>
            </w:pPr>
            <w:r w:rsidRPr="00094F5F">
              <w:rPr>
                <w:rFonts w:ascii="Times New Roman" w:eastAsia="Times New Roman" w:hAnsi="Times New Roman" w:cs="Times New Roman"/>
                <w:b/>
                <w:sz w:val="24"/>
                <w:szCs w:val="24"/>
              </w:rPr>
              <w:t>TOFHLA Score</w:t>
            </w:r>
          </w:p>
        </w:tc>
        <w:tc>
          <w:tcPr>
            <w:tcW w:w="3010" w:type="dxa"/>
            <w:shd w:val="clear" w:color="auto" w:fill="auto"/>
            <w:tcMar>
              <w:top w:w="100" w:type="dxa"/>
              <w:left w:w="100" w:type="dxa"/>
              <w:bottom w:w="100" w:type="dxa"/>
              <w:right w:w="100" w:type="dxa"/>
            </w:tcMar>
          </w:tcPr>
          <w:p w14:paraId="7E33F18B" w14:textId="77777777" w:rsidR="004D6170" w:rsidRPr="00094F5F" w:rsidRDefault="004D6170" w:rsidP="00A941AF">
            <w:pPr>
              <w:widowControl w:val="0"/>
              <w:spacing w:line="240" w:lineRule="auto"/>
              <w:jc w:val="center"/>
              <w:rPr>
                <w:rFonts w:ascii="Times New Roman" w:eastAsia="Times New Roman" w:hAnsi="Times New Roman" w:cs="Times New Roman"/>
                <w:b/>
                <w:sz w:val="24"/>
                <w:szCs w:val="24"/>
              </w:rPr>
            </w:pPr>
            <w:r w:rsidRPr="00094F5F">
              <w:rPr>
                <w:rFonts w:ascii="Times New Roman" w:eastAsia="Times New Roman" w:hAnsi="Times New Roman" w:cs="Times New Roman"/>
                <w:b/>
                <w:sz w:val="24"/>
                <w:szCs w:val="24"/>
              </w:rPr>
              <w:t>Functional Health Literacy Description</w:t>
            </w:r>
          </w:p>
        </w:tc>
      </w:tr>
      <w:tr w:rsidR="004D6170" w:rsidRPr="00094F5F" w14:paraId="09A73DAC" w14:textId="77777777" w:rsidTr="00A941AF">
        <w:tc>
          <w:tcPr>
            <w:tcW w:w="3009" w:type="dxa"/>
            <w:shd w:val="clear" w:color="auto" w:fill="auto"/>
            <w:tcMar>
              <w:top w:w="100" w:type="dxa"/>
              <w:left w:w="100" w:type="dxa"/>
              <w:bottom w:w="100" w:type="dxa"/>
              <w:right w:w="100" w:type="dxa"/>
            </w:tcMar>
          </w:tcPr>
          <w:p w14:paraId="38827A17"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Inadequate Functional Health Literacy</w:t>
            </w:r>
          </w:p>
        </w:tc>
        <w:tc>
          <w:tcPr>
            <w:tcW w:w="3010" w:type="dxa"/>
            <w:shd w:val="clear" w:color="auto" w:fill="auto"/>
            <w:tcMar>
              <w:top w:w="100" w:type="dxa"/>
              <w:left w:w="100" w:type="dxa"/>
              <w:bottom w:w="100" w:type="dxa"/>
              <w:right w:w="100" w:type="dxa"/>
            </w:tcMar>
          </w:tcPr>
          <w:p w14:paraId="009285D9"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0-16</w:t>
            </w:r>
          </w:p>
        </w:tc>
        <w:tc>
          <w:tcPr>
            <w:tcW w:w="3010" w:type="dxa"/>
            <w:shd w:val="clear" w:color="auto" w:fill="auto"/>
            <w:tcMar>
              <w:top w:w="100" w:type="dxa"/>
              <w:left w:w="100" w:type="dxa"/>
              <w:bottom w:w="100" w:type="dxa"/>
              <w:right w:w="100" w:type="dxa"/>
            </w:tcMar>
          </w:tcPr>
          <w:p w14:paraId="10257FDF"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Unable to read and interpret health texts</w:t>
            </w:r>
          </w:p>
        </w:tc>
      </w:tr>
      <w:tr w:rsidR="004D6170" w:rsidRPr="00094F5F" w14:paraId="5B92AFFD" w14:textId="77777777" w:rsidTr="00A941AF">
        <w:tc>
          <w:tcPr>
            <w:tcW w:w="3009" w:type="dxa"/>
            <w:shd w:val="clear" w:color="auto" w:fill="auto"/>
            <w:tcMar>
              <w:top w:w="100" w:type="dxa"/>
              <w:left w:w="100" w:type="dxa"/>
              <w:bottom w:w="100" w:type="dxa"/>
              <w:right w:w="100" w:type="dxa"/>
            </w:tcMar>
          </w:tcPr>
          <w:p w14:paraId="6FF59C2D"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Marginal Functional Health Literacy</w:t>
            </w:r>
          </w:p>
        </w:tc>
        <w:tc>
          <w:tcPr>
            <w:tcW w:w="3010" w:type="dxa"/>
            <w:shd w:val="clear" w:color="auto" w:fill="auto"/>
            <w:tcMar>
              <w:top w:w="100" w:type="dxa"/>
              <w:left w:w="100" w:type="dxa"/>
              <w:bottom w:w="100" w:type="dxa"/>
              <w:right w:w="100" w:type="dxa"/>
            </w:tcMar>
          </w:tcPr>
          <w:p w14:paraId="3C7564BE"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17-22</w:t>
            </w:r>
          </w:p>
        </w:tc>
        <w:tc>
          <w:tcPr>
            <w:tcW w:w="3010" w:type="dxa"/>
            <w:shd w:val="clear" w:color="auto" w:fill="auto"/>
            <w:tcMar>
              <w:top w:w="100" w:type="dxa"/>
              <w:left w:w="100" w:type="dxa"/>
              <w:bottom w:w="100" w:type="dxa"/>
              <w:right w:w="100" w:type="dxa"/>
            </w:tcMar>
          </w:tcPr>
          <w:p w14:paraId="7EA6AEF4"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Has difficulty reading and interpreting health texts</w:t>
            </w:r>
          </w:p>
        </w:tc>
      </w:tr>
      <w:tr w:rsidR="004D6170" w:rsidRPr="00094F5F" w14:paraId="192195E8" w14:textId="77777777" w:rsidTr="00A941AF">
        <w:tc>
          <w:tcPr>
            <w:tcW w:w="3009" w:type="dxa"/>
            <w:shd w:val="clear" w:color="auto" w:fill="auto"/>
            <w:tcMar>
              <w:top w:w="100" w:type="dxa"/>
              <w:left w:w="100" w:type="dxa"/>
              <w:bottom w:w="100" w:type="dxa"/>
              <w:right w:w="100" w:type="dxa"/>
            </w:tcMar>
          </w:tcPr>
          <w:p w14:paraId="257665BD"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Adequate Functional Health Literacy</w:t>
            </w:r>
          </w:p>
        </w:tc>
        <w:tc>
          <w:tcPr>
            <w:tcW w:w="3010" w:type="dxa"/>
            <w:shd w:val="clear" w:color="auto" w:fill="auto"/>
            <w:tcMar>
              <w:top w:w="100" w:type="dxa"/>
              <w:left w:w="100" w:type="dxa"/>
              <w:bottom w:w="100" w:type="dxa"/>
              <w:right w:w="100" w:type="dxa"/>
            </w:tcMar>
          </w:tcPr>
          <w:p w14:paraId="4A29BB8E"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23-36</w:t>
            </w:r>
          </w:p>
        </w:tc>
        <w:tc>
          <w:tcPr>
            <w:tcW w:w="3010" w:type="dxa"/>
            <w:shd w:val="clear" w:color="auto" w:fill="auto"/>
            <w:tcMar>
              <w:top w:w="100" w:type="dxa"/>
              <w:left w:w="100" w:type="dxa"/>
              <w:bottom w:w="100" w:type="dxa"/>
              <w:right w:w="100" w:type="dxa"/>
            </w:tcMar>
          </w:tcPr>
          <w:p w14:paraId="3E0D23C2" w14:textId="77777777" w:rsidR="004D6170" w:rsidRPr="00094F5F" w:rsidRDefault="004D6170" w:rsidP="00A941AF">
            <w:pPr>
              <w:widowControl w:val="0"/>
              <w:spacing w:line="24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Can read and interpret most health texts</w:t>
            </w:r>
          </w:p>
        </w:tc>
      </w:tr>
    </w:tbl>
    <w:p w14:paraId="3880A33F" w14:textId="77777777" w:rsidR="004D6170" w:rsidRPr="00094F5F" w:rsidRDefault="004D6170" w:rsidP="004D6170">
      <w:pPr>
        <w:spacing w:line="480" w:lineRule="auto"/>
        <w:rPr>
          <w:rFonts w:ascii="Times New Roman" w:eastAsia="Times New Roman" w:hAnsi="Times New Roman" w:cs="Times New Roman"/>
          <w:sz w:val="24"/>
          <w:szCs w:val="24"/>
        </w:rPr>
      </w:pPr>
    </w:p>
    <w:p w14:paraId="34D39FE3" w14:textId="77777777" w:rsidR="004D6170" w:rsidRPr="00094F5F" w:rsidRDefault="004D6170" w:rsidP="004D6170">
      <w:pPr>
        <w:spacing w:line="480" w:lineRule="auto"/>
        <w:rPr>
          <w:rFonts w:ascii="Times New Roman" w:eastAsia="Times New Roman" w:hAnsi="Times New Roman" w:cs="Times New Roman"/>
          <w:sz w:val="24"/>
          <w:szCs w:val="24"/>
          <w:vertAlign w:val="superscript"/>
        </w:rPr>
      </w:pPr>
    </w:p>
    <w:p w14:paraId="35A9A3C7" w14:textId="77777777" w:rsidR="004D6170" w:rsidRPr="00094F5F" w:rsidRDefault="004D6170" w:rsidP="004D6170">
      <w:pPr>
        <w:spacing w:line="480" w:lineRule="auto"/>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Rapid Estimate of Adult Literacy in Medicine - Revised (REALM-R)</w:t>
      </w:r>
    </w:p>
    <w:p w14:paraId="47FCDABD" w14:textId="1F6FF60A" w:rsidR="004D6170" w:rsidRPr="00094F5F" w:rsidRDefault="004D6170" w:rsidP="004D6170">
      <w:pPr>
        <w:spacing w:line="480" w:lineRule="auto"/>
        <w:rPr>
          <w:rFonts w:ascii="Times New Roman" w:eastAsia="Times New Roman" w:hAnsi="Times New Roman" w:cs="Times New Roman"/>
          <w:sz w:val="24"/>
          <w:szCs w:val="24"/>
          <w:vertAlign w:val="superscript"/>
        </w:rPr>
      </w:pPr>
      <w:r w:rsidRPr="00094F5F">
        <w:rPr>
          <w:rFonts w:ascii="Times New Roman" w:eastAsia="Times New Roman" w:hAnsi="Times New Roman" w:cs="Times New Roman"/>
          <w:sz w:val="24"/>
          <w:szCs w:val="24"/>
        </w:rPr>
        <w:tab/>
        <w:t xml:space="preserve">The REALM-R is a test which focuses on word recognition and pronunciation. The following 11 words are used in the test, with the first three not scored: Fat, Flu, Pill, </w:t>
      </w:r>
      <w:r w:rsidRPr="00094F5F">
        <w:rPr>
          <w:rFonts w:ascii="Times New Roman" w:eastAsia="Times New Roman" w:hAnsi="Times New Roman" w:cs="Times New Roman"/>
          <w:sz w:val="24"/>
          <w:szCs w:val="24"/>
        </w:rPr>
        <w:lastRenderedPageBreak/>
        <w:t>Osteoporosis, Allergic, Jaundice, Anaemia, Fatigue, Directed, Colitis, Constipation.</w:t>
      </w:r>
      <w:r w:rsidR="008257FA">
        <w:rPr>
          <w:rFonts w:ascii="Times New Roman" w:eastAsia="Times New Roman" w:hAnsi="Times New Roman" w:cs="Times New Roman"/>
          <w:sz w:val="24"/>
          <w:szCs w:val="24"/>
          <w:vertAlign w:val="superscript"/>
        </w:rPr>
        <w:t>15,57</w:t>
      </w:r>
      <w:r w:rsidRPr="00094F5F">
        <w:rPr>
          <w:rFonts w:ascii="Times New Roman" w:eastAsia="Times New Roman" w:hAnsi="Times New Roman" w:cs="Times New Roman"/>
          <w:sz w:val="24"/>
          <w:szCs w:val="24"/>
        </w:rPr>
        <w:t xml:space="preserve"> A list of these words is provided to the participant who is asked to read each word out loud. Any word not attempted or pronounced incorrectly is not scored, and a total score of 6 or less is considered as being at risk for poor health literacy.</w:t>
      </w:r>
      <w:r w:rsidR="008257FA">
        <w:rPr>
          <w:rFonts w:ascii="Times New Roman" w:eastAsia="Times New Roman" w:hAnsi="Times New Roman" w:cs="Times New Roman"/>
          <w:sz w:val="24"/>
          <w:szCs w:val="24"/>
          <w:vertAlign w:val="superscript"/>
        </w:rPr>
        <w:t>15,57</w:t>
      </w:r>
    </w:p>
    <w:p w14:paraId="70A2A8D0" w14:textId="77777777" w:rsidR="004D6170" w:rsidRPr="00094F5F" w:rsidRDefault="004D6170" w:rsidP="004D6170">
      <w:pPr>
        <w:spacing w:line="480" w:lineRule="auto"/>
        <w:rPr>
          <w:rFonts w:ascii="Times New Roman" w:eastAsia="Times New Roman" w:hAnsi="Times New Roman" w:cs="Times New Roman"/>
          <w:sz w:val="24"/>
          <w:szCs w:val="24"/>
        </w:rPr>
      </w:pPr>
    </w:p>
    <w:p w14:paraId="2B33248E" w14:textId="77777777" w:rsidR="004D6170" w:rsidRPr="00094F5F" w:rsidRDefault="004D6170" w:rsidP="004D6170">
      <w:pPr>
        <w:spacing w:line="480" w:lineRule="auto"/>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Health Literacy Scale for Japanese Adults (HLS-14)</w:t>
      </w:r>
    </w:p>
    <w:p w14:paraId="640E3220" w14:textId="7628BEF5" w:rsidR="004D6170" w:rsidRPr="00094F5F" w:rsidRDefault="004D6170" w:rsidP="004D6170">
      <w:pPr>
        <w:spacing w:line="480" w:lineRule="auto"/>
        <w:ind w:firstLine="720"/>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The HLS-14 was adapted from the health literacy scale specific to diabetic patients and consists of five questions focussing on functional health literacy, five questions concerning communicative health literacy, and four questions which examine critical health literacy.</w:t>
      </w:r>
      <w:r w:rsidR="008257FA">
        <w:rPr>
          <w:rFonts w:ascii="Times New Roman" w:eastAsia="Times New Roman" w:hAnsi="Times New Roman" w:cs="Times New Roman"/>
          <w:sz w:val="24"/>
          <w:szCs w:val="24"/>
          <w:vertAlign w:val="superscript"/>
        </w:rPr>
        <w:t>58</w:t>
      </w:r>
      <w:r w:rsidRPr="00094F5F">
        <w:rPr>
          <w:rFonts w:ascii="Times New Roman" w:eastAsia="Times New Roman" w:hAnsi="Times New Roman" w:cs="Times New Roman"/>
          <w:sz w:val="24"/>
          <w:szCs w:val="24"/>
        </w:rPr>
        <w:t xml:space="preserve"> Participants respond on a five-point scale which relates to how much the participant agrees or disagrees with the statements, with statements including ‘The content is too difficult for me’, ‘I understand the obtained information’, and ‘I check whether the information is valid and reliable’.</w:t>
      </w:r>
      <w:r w:rsidR="008257FA">
        <w:rPr>
          <w:rFonts w:ascii="Times New Roman" w:eastAsia="Times New Roman" w:hAnsi="Times New Roman" w:cs="Times New Roman"/>
          <w:sz w:val="24"/>
          <w:szCs w:val="24"/>
          <w:vertAlign w:val="superscript"/>
        </w:rPr>
        <w:t>58</w:t>
      </w:r>
      <w:r w:rsidRPr="00094F5F">
        <w:rPr>
          <w:rFonts w:ascii="Times New Roman" w:eastAsia="Times New Roman" w:hAnsi="Times New Roman" w:cs="Times New Roman"/>
          <w:sz w:val="24"/>
          <w:szCs w:val="24"/>
        </w:rPr>
        <w:t xml:space="preserve"> Analysis of these answers provides an insight into a person’s functional, communicative, and critical health literacy. There does not appear to be a defined benchmark for scoring in relation to health literacy level as is displayed in the STOFHLA scoring system.</w:t>
      </w:r>
    </w:p>
    <w:p w14:paraId="0FA5EDF7" w14:textId="77777777" w:rsidR="004D6170" w:rsidRPr="00094F5F" w:rsidRDefault="004D6170" w:rsidP="004D6170">
      <w:pPr>
        <w:spacing w:line="480" w:lineRule="auto"/>
        <w:rPr>
          <w:rFonts w:ascii="Times New Roman" w:eastAsia="Times New Roman" w:hAnsi="Times New Roman" w:cs="Times New Roman"/>
          <w:sz w:val="24"/>
          <w:szCs w:val="24"/>
        </w:rPr>
      </w:pPr>
    </w:p>
    <w:p w14:paraId="6BA6C544" w14:textId="77777777" w:rsidR="004D6170" w:rsidRPr="00094F5F" w:rsidRDefault="004D6170" w:rsidP="004D6170">
      <w:pPr>
        <w:spacing w:line="480" w:lineRule="auto"/>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Modified LaRue Tool (MLT)</w:t>
      </w:r>
    </w:p>
    <w:p w14:paraId="77EAA5CE" w14:textId="3DBCDF79" w:rsidR="004D6170" w:rsidRPr="00094F5F" w:rsidRDefault="004D6170" w:rsidP="004D6170">
      <w:pPr>
        <w:spacing w:line="480" w:lineRule="auto"/>
        <w:ind w:firstLine="720"/>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The MLT comprises a survey which focuses on functional health literacy and numeracy by assessing comprehension ability of prescription (Rx) medication label information.</w:t>
      </w:r>
      <w:r w:rsidR="008257FA">
        <w:rPr>
          <w:rFonts w:ascii="Times New Roman" w:eastAsia="Times New Roman" w:hAnsi="Times New Roman" w:cs="Times New Roman"/>
          <w:sz w:val="24"/>
          <w:szCs w:val="24"/>
          <w:vertAlign w:val="superscript"/>
        </w:rPr>
        <w:t>59</w:t>
      </w:r>
      <w:r w:rsidRPr="00094F5F">
        <w:rPr>
          <w:rFonts w:ascii="Times New Roman" w:eastAsia="Times New Roman" w:hAnsi="Times New Roman" w:cs="Times New Roman"/>
          <w:sz w:val="24"/>
          <w:szCs w:val="24"/>
        </w:rPr>
        <w:t xml:space="preserve"> The survey poses 25 open-ended free-text and multiple-choice questions relating to key information on medication labels, including key instructions, directions, and dosage amounts, with one point allocated per question and the test taking approximately 15 minutes to complete.</w:t>
      </w:r>
      <w:r w:rsidR="008257FA">
        <w:rPr>
          <w:rFonts w:ascii="Times New Roman" w:eastAsia="Times New Roman" w:hAnsi="Times New Roman" w:cs="Times New Roman"/>
          <w:sz w:val="24"/>
          <w:szCs w:val="24"/>
          <w:vertAlign w:val="superscript"/>
        </w:rPr>
        <w:t>30</w:t>
      </w:r>
      <w:r w:rsidRPr="00094F5F">
        <w:rPr>
          <w:rFonts w:ascii="Times New Roman" w:eastAsia="Times New Roman" w:hAnsi="Times New Roman" w:cs="Times New Roman"/>
          <w:sz w:val="24"/>
          <w:szCs w:val="24"/>
        </w:rPr>
        <w:t xml:space="preserve"> Scoring ranges from 0 to 25 points. Similar to the HLS-14, there does </w:t>
      </w:r>
      <w:r w:rsidRPr="00094F5F">
        <w:rPr>
          <w:rFonts w:ascii="Times New Roman" w:eastAsia="Times New Roman" w:hAnsi="Times New Roman" w:cs="Times New Roman"/>
          <w:sz w:val="24"/>
          <w:szCs w:val="24"/>
        </w:rPr>
        <w:lastRenderedPageBreak/>
        <w:t>not appear to be a defined benchmark for scoring in relation to health literacy level, as is demonstrated by the STOFHLA scoring system.</w:t>
      </w:r>
    </w:p>
    <w:p w14:paraId="7FE7C372" w14:textId="77777777" w:rsidR="004D6170" w:rsidRPr="00094F5F" w:rsidRDefault="004D6170" w:rsidP="004D6170">
      <w:pPr>
        <w:spacing w:line="480" w:lineRule="auto"/>
        <w:rPr>
          <w:rFonts w:ascii="Times New Roman" w:eastAsia="Times New Roman" w:hAnsi="Times New Roman" w:cs="Times New Roman"/>
          <w:sz w:val="24"/>
          <w:szCs w:val="24"/>
        </w:rPr>
      </w:pPr>
    </w:p>
    <w:p w14:paraId="7941F71A" w14:textId="77777777" w:rsidR="004D6170" w:rsidRPr="00094F5F" w:rsidRDefault="004D6170" w:rsidP="004D6170">
      <w:pPr>
        <w:spacing w:line="480" w:lineRule="auto"/>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Newest Vital Sign (NVS)</w:t>
      </w:r>
    </w:p>
    <w:p w14:paraId="72B1A909" w14:textId="2A67671D" w:rsidR="004D6170" w:rsidRPr="00094F5F" w:rsidRDefault="004D6170" w:rsidP="004D6170">
      <w:pPr>
        <w:spacing w:line="480" w:lineRule="auto"/>
        <w:ind w:firstLine="720"/>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The NVS takes 2-3 minutes to complete and consists of presenting participants with a nutrition label from an ice cream container and asking six questions about the label information.</w:t>
      </w:r>
      <w:r w:rsidR="008257FA">
        <w:rPr>
          <w:rFonts w:ascii="Times New Roman" w:eastAsia="Times New Roman" w:hAnsi="Times New Roman" w:cs="Times New Roman"/>
          <w:sz w:val="24"/>
          <w:szCs w:val="24"/>
          <w:vertAlign w:val="superscript"/>
        </w:rPr>
        <w:t>60</w:t>
      </w:r>
      <w:r w:rsidRPr="00094F5F">
        <w:rPr>
          <w:rFonts w:ascii="Times New Roman" w:eastAsia="Times New Roman" w:hAnsi="Times New Roman" w:cs="Times New Roman"/>
          <w:sz w:val="24"/>
          <w:szCs w:val="24"/>
        </w:rPr>
        <w:t xml:space="preserve"> The questions are aimed at assessing basic interpretation of text, such as medication instructions, and simple mathematical calculations including for example dosage amount and frequency.</w:t>
      </w:r>
      <w:r w:rsidR="008257FA">
        <w:rPr>
          <w:rFonts w:ascii="Times New Roman" w:eastAsia="Times New Roman" w:hAnsi="Times New Roman" w:cs="Times New Roman"/>
          <w:sz w:val="24"/>
          <w:szCs w:val="24"/>
          <w:vertAlign w:val="superscript"/>
        </w:rPr>
        <w:t>60</w:t>
      </w:r>
      <w:r w:rsidRPr="00094F5F">
        <w:rPr>
          <w:rFonts w:ascii="Times New Roman" w:eastAsia="Times New Roman" w:hAnsi="Times New Roman" w:cs="Times New Roman"/>
          <w:sz w:val="24"/>
          <w:szCs w:val="24"/>
        </w:rPr>
        <w:t xml:space="preserve"> Marks are given out of six, with the probability of a person having limited health literacy being estimated by identifying how many of the questions were answered correctly.</w:t>
      </w:r>
      <w:r w:rsidR="008257FA">
        <w:rPr>
          <w:rFonts w:ascii="Times New Roman" w:eastAsia="Times New Roman" w:hAnsi="Times New Roman" w:cs="Times New Roman"/>
          <w:sz w:val="24"/>
          <w:szCs w:val="24"/>
          <w:vertAlign w:val="superscript"/>
        </w:rPr>
        <w:t>60</w:t>
      </w:r>
      <w:r w:rsidRPr="00094F5F">
        <w:rPr>
          <w:rFonts w:ascii="Times New Roman" w:eastAsia="Times New Roman" w:hAnsi="Times New Roman" w:cs="Times New Roman"/>
          <w:sz w:val="24"/>
          <w:szCs w:val="24"/>
        </w:rPr>
        <w:t xml:space="preserve"> This health literacy assessment tool can also be combined with another tool, the STOFHLA, to identify the level of health literacy as the NVS uses STOFHLA scoring as the reference standard. Thus, 0-1 correct answers represents a high likelihood of limited health literacy, 2-3 correct answers means that a person has a possibility of limited health literacy, with 4-6 correct indicating adequate health literacy.</w:t>
      </w:r>
      <w:r w:rsidR="008257FA">
        <w:rPr>
          <w:rFonts w:ascii="Times New Roman" w:eastAsia="Times New Roman" w:hAnsi="Times New Roman" w:cs="Times New Roman"/>
          <w:sz w:val="24"/>
          <w:szCs w:val="24"/>
          <w:vertAlign w:val="superscript"/>
        </w:rPr>
        <w:t>60</w:t>
      </w:r>
      <w:r w:rsidRPr="00094F5F">
        <w:rPr>
          <w:rFonts w:ascii="Times New Roman" w:eastAsia="Times New Roman" w:hAnsi="Times New Roman" w:cs="Times New Roman"/>
          <w:sz w:val="24"/>
          <w:szCs w:val="24"/>
        </w:rPr>
        <w:t xml:space="preserve"> This approach shows two health literacy assessment tools working in tandem to the same criteria, and indicates potential for the development of a model which could be standardised and used across all assessments of health literacy.</w:t>
      </w:r>
    </w:p>
    <w:p w14:paraId="1C58071C" w14:textId="77777777" w:rsidR="004D6170" w:rsidRDefault="004D6170" w:rsidP="004D6170">
      <w:pPr>
        <w:rPr>
          <w:rFonts w:ascii="Times New Roman" w:hAnsi="Times New Roman" w:cs="Times New Roman"/>
          <w:b/>
          <w:bCs/>
          <w:sz w:val="24"/>
          <w:szCs w:val="24"/>
        </w:rPr>
      </w:pPr>
    </w:p>
    <w:p w14:paraId="0AAC33A5" w14:textId="77777777" w:rsidR="004D6170" w:rsidRDefault="004D6170" w:rsidP="004D6170">
      <w:pPr>
        <w:rPr>
          <w:rFonts w:ascii="Times New Roman" w:hAnsi="Times New Roman" w:cs="Times New Roman"/>
          <w:b/>
          <w:bCs/>
          <w:sz w:val="24"/>
          <w:szCs w:val="24"/>
        </w:rPr>
      </w:pPr>
    </w:p>
    <w:p w14:paraId="0E9898EA" w14:textId="77777777" w:rsidR="004D6170" w:rsidRPr="00094F5F" w:rsidRDefault="004D6170" w:rsidP="004D6170">
      <w:pPr>
        <w:spacing w:line="480" w:lineRule="auto"/>
        <w:jc w:val="center"/>
        <w:rPr>
          <w:rFonts w:ascii="Times New Roman" w:eastAsia="Times New Roman" w:hAnsi="Times New Roman" w:cs="Times New Roman"/>
          <w:sz w:val="24"/>
          <w:szCs w:val="24"/>
        </w:rPr>
      </w:pPr>
      <w:r w:rsidRPr="00094F5F">
        <w:rPr>
          <w:rFonts w:ascii="Times New Roman" w:eastAsia="Times New Roman" w:hAnsi="Times New Roman" w:cs="Times New Roman"/>
          <w:sz w:val="24"/>
          <w:szCs w:val="24"/>
        </w:rPr>
        <w:t>Table 2: Health literacy assessment frameworks for included studies</w:t>
      </w:r>
    </w:p>
    <w:tbl>
      <w:tblPr>
        <w:tblW w:w="96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30"/>
        <w:gridCol w:w="1095"/>
        <w:gridCol w:w="1275"/>
        <w:gridCol w:w="1260"/>
      </w:tblGrid>
      <w:tr w:rsidR="004D6170" w:rsidRPr="00094F5F" w14:paraId="69E5C66A" w14:textId="77777777" w:rsidTr="00A941AF">
        <w:trPr>
          <w:jc w:val="center"/>
        </w:trPr>
        <w:tc>
          <w:tcPr>
            <w:tcW w:w="3000" w:type="dxa"/>
            <w:shd w:val="clear" w:color="auto" w:fill="auto"/>
            <w:tcMar>
              <w:top w:w="100" w:type="dxa"/>
              <w:left w:w="100" w:type="dxa"/>
              <w:bottom w:w="100" w:type="dxa"/>
              <w:right w:w="100" w:type="dxa"/>
            </w:tcMar>
          </w:tcPr>
          <w:p w14:paraId="0F2F04CE" w14:textId="77777777" w:rsidR="004D6170" w:rsidRPr="00094F5F" w:rsidRDefault="004D6170" w:rsidP="00A941AF">
            <w:pPr>
              <w:widowControl w:val="0"/>
              <w:spacing w:line="240" w:lineRule="auto"/>
              <w:jc w:val="center"/>
              <w:rPr>
                <w:rFonts w:ascii="Times New Roman" w:eastAsia="Times New Roman" w:hAnsi="Times New Roman" w:cs="Times New Roman"/>
                <w:b/>
                <w:sz w:val="16"/>
                <w:szCs w:val="16"/>
              </w:rPr>
            </w:pPr>
            <w:r w:rsidRPr="00094F5F">
              <w:rPr>
                <w:rFonts w:ascii="Times New Roman" w:eastAsia="Times New Roman" w:hAnsi="Times New Roman" w:cs="Times New Roman"/>
                <w:b/>
                <w:sz w:val="16"/>
                <w:szCs w:val="16"/>
              </w:rPr>
              <w:t>Health literacy assessment framework (included studies)</w:t>
            </w:r>
          </w:p>
        </w:tc>
        <w:tc>
          <w:tcPr>
            <w:tcW w:w="3030" w:type="dxa"/>
            <w:shd w:val="clear" w:color="auto" w:fill="auto"/>
            <w:tcMar>
              <w:top w:w="100" w:type="dxa"/>
              <w:left w:w="100" w:type="dxa"/>
              <w:bottom w:w="100" w:type="dxa"/>
              <w:right w:w="100" w:type="dxa"/>
            </w:tcMar>
          </w:tcPr>
          <w:p w14:paraId="19D8045E" w14:textId="77777777" w:rsidR="004D6170" w:rsidRPr="00094F5F" w:rsidRDefault="004D6170" w:rsidP="00A941AF">
            <w:pPr>
              <w:widowControl w:val="0"/>
              <w:spacing w:line="240" w:lineRule="auto"/>
              <w:jc w:val="center"/>
              <w:rPr>
                <w:rFonts w:ascii="Times New Roman" w:eastAsia="Times New Roman" w:hAnsi="Times New Roman" w:cs="Times New Roman"/>
                <w:b/>
                <w:sz w:val="16"/>
                <w:szCs w:val="16"/>
              </w:rPr>
            </w:pPr>
            <w:r w:rsidRPr="00094F5F">
              <w:rPr>
                <w:rFonts w:ascii="Times New Roman" w:eastAsia="Times New Roman" w:hAnsi="Times New Roman" w:cs="Times New Roman"/>
                <w:b/>
                <w:sz w:val="16"/>
                <w:szCs w:val="16"/>
              </w:rPr>
              <w:t>Authors</w:t>
            </w:r>
          </w:p>
        </w:tc>
        <w:tc>
          <w:tcPr>
            <w:tcW w:w="1095" w:type="dxa"/>
            <w:shd w:val="clear" w:color="auto" w:fill="auto"/>
            <w:tcMar>
              <w:top w:w="100" w:type="dxa"/>
              <w:left w:w="100" w:type="dxa"/>
              <w:bottom w:w="100" w:type="dxa"/>
              <w:right w:w="100" w:type="dxa"/>
            </w:tcMar>
          </w:tcPr>
          <w:p w14:paraId="0F2C401A" w14:textId="77777777" w:rsidR="004D6170" w:rsidRPr="00094F5F" w:rsidRDefault="004D6170" w:rsidP="00A941AF">
            <w:pPr>
              <w:widowControl w:val="0"/>
              <w:spacing w:line="240" w:lineRule="auto"/>
              <w:jc w:val="center"/>
              <w:rPr>
                <w:rFonts w:ascii="Times New Roman" w:eastAsia="Times New Roman" w:hAnsi="Times New Roman" w:cs="Times New Roman"/>
                <w:b/>
                <w:sz w:val="16"/>
                <w:szCs w:val="16"/>
              </w:rPr>
            </w:pPr>
            <w:r w:rsidRPr="00094F5F">
              <w:rPr>
                <w:rFonts w:ascii="Times New Roman" w:eastAsia="Times New Roman" w:hAnsi="Times New Roman" w:cs="Times New Roman"/>
                <w:b/>
                <w:sz w:val="16"/>
                <w:szCs w:val="16"/>
              </w:rPr>
              <w:t>Accessing health information</w:t>
            </w:r>
          </w:p>
        </w:tc>
        <w:tc>
          <w:tcPr>
            <w:tcW w:w="1275" w:type="dxa"/>
            <w:shd w:val="clear" w:color="auto" w:fill="auto"/>
            <w:tcMar>
              <w:top w:w="100" w:type="dxa"/>
              <w:left w:w="100" w:type="dxa"/>
              <w:bottom w:w="100" w:type="dxa"/>
              <w:right w:w="100" w:type="dxa"/>
            </w:tcMar>
          </w:tcPr>
          <w:p w14:paraId="2FA3D088" w14:textId="77777777" w:rsidR="004D6170" w:rsidRPr="00094F5F" w:rsidRDefault="004D6170" w:rsidP="00A941AF">
            <w:pPr>
              <w:widowControl w:val="0"/>
              <w:spacing w:line="240" w:lineRule="auto"/>
              <w:jc w:val="center"/>
              <w:rPr>
                <w:rFonts w:ascii="Times New Roman" w:eastAsia="Times New Roman" w:hAnsi="Times New Roman" w:cs="Times New Roman"/>
                <w:b/>
                <w:sz w:val="16"/>
                <w:szCs w:val="16"/>
              </w:rPr>
            </w:pPr>
            <w:r w:rsidRPr="00094F5F">
              <w:rPr>
                <w:rFonts w:ascii="Times New Roman" w:eastAsia="Times New Roman" w:hAnsi="Times New Roman" w:cs="Times New Roman"/>
                <w:b/>
                <w:sz w:val="16"/>
                <w:szCs w:val="16"/>
              </w:rPr>
              <w:t>Understanding health information</w:t>
            </w:r>
          </w:p>
        </w:tc>
        <w:tc>
          <w:tcPr>
            <w:tcW w:w="1260" w:type="dxa"/>
            <w:shd w:val="clear" w:color="auto" w:fill="auto"/>
            <w:tcMar>
              <w:top w:w="100" w:type="dxa"/>
              <w:left w:w="100" w:type="dxa"/>
              <w:bottom w:w="100" w:type="dxa"/>
              <w:right w:w="100" w:type="dxa"/>
            </w:tcMar>
          </w:tcPr>
          <w:p w14:paraId="3A83B5E4" w14:textId="77777777" w:rsidR="004D6170" w:rsidRPr="00094F5F" w:rsidRDefault="004D6170" w:rsidP="00A941AF">
            <w:pPr>
              <w:widowControl w:val="0"/>
              <w:spacing w:line="240" w:lineRule="auto"/>
              <w:jc w:val="center"/>
              <w:rPr>
                <w:rFonts w:ascii="Times New Roman" w:eastAsia="Times New Roman" w:hAnsi="Times New Roman" w:cs="Times New Roman"/>
                <w:b/>
                <w:sz w:val="16"/>
                <w:szCs w:val="16"/>
              </w:rPr>
            </w:pPr>
            <w:r w:rsidRPr="00094F5F">
              <w:rPr>
                <w:rFonts w:ascii="Times New Roman" w:eastAsia="Times New Roman" w:hAnsi="Times New Roman" w:cs="Times New Roman"/>
                <w:b/>
                <w:sz w:val="16"/>
                <w:szCs w:val="16"/>
              </w:rPr>
              <w:t>Using/applying health information</w:t>
            </w:r>
          </w:p>
        </w:tc>
      </w:tr>
      <w:tr w:rsidR="004D6170" w:rsidRPr="00094F5F" w14:paraId="7887A75B" w14:textId="77777777" w:rsidTr="00A941AF">
        <w:trPr>
          <w:trHeight w:val="360"/>
          <w:jc w:val="center"/>
        </w:trPr>
        <w:tc>
          <w:tcPr>
            <w:tcW w:w="3000" w:type="dxa"/>
            <w:vMerge w:val="restart"/>
            <w:shd w:val="clear" w:color="auto" w:fill="auto"/>
            <w:tcMar>
              <w:top w:w="100" w:type="dxa"/>
              <w:left w:w="100" w:type="dxa"/>
              <w:bottom w:w="100" w:type="dxa"/>
              <w:right w:w="100" w:type="dxa"/>
            </w:tcMar>
          </w:tcPr>
          <w:p w14:paraId="2EF9C180"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 xml:space="preserve">Rapid Estimate in Adult Literacy in </w:t>
            </w:r>
            <w:r w:rsidRPr="00094F5F">
              <w:rPr>
                <w:rFonts w:ascii="Times New Roman" w:eastAsia="Times New Roman" w:hAnsi="Times New Roman" w:cs="Times New Roman"/>
                <w:sz w:val="16"/>
                <w:szCs w:val="16"/>
              </w:rPr>
              <w:lastRenderedPageBreak/>
              <w:t>Medicine - Revised (REALM-R) (n=2)</w:t>
            </w:r>
          </w:p>
        </w:tc>
        <w:tc>
          <w:tcPr>
            <w:tcW w:w="3030" w:type="dxa"/>
            <w:shd w:val="clear" w:color="auto" w:fill="auto"/>
            <w:tcMar>
              <w:top w:w="100" w:type="dxa"/>
              <w:left w:w="100" w:type="dxa"/>
              <w:bottom w:w="100" w:type="dxa"/>
              <w:right w:w="100" w:type="dxa"/>
            </w:tcMar>
          </w:tcPr>
          <w:p w14:paraId="3E81220B"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lastRenderedPageBreak/>
              <w:t>Becker et al. (2023)</w:t>
            </w:r>
          </w:p>
        </w:tc>
        <w:tc>
          <w:tcPr>
            <w:tcW w:w="1095" w:type="dxa"/>
            <w:shd w:val="clear" w:color="auto" w:fill="auto"/>
            <w:tcMar>
              <w:top w:w="100" w:type="dxa"/>
              <w:left w:w="100" w:type="dxa"/>
              <w:bottom w:w="100" w:type="dxa"/>
              <w:right w:w="100" w:type="dxa"/>
            </w:tcMar>
          </w:tcPr>
          <w:p w14:paraId="7B03D1F7"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
                <w:id w:val="117565990"/>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5C9AE5FE"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
                <w:id w:val="725494340"/>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D762574"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r>
      <w:tr w:rsidR="004D6170" w:rsidRPr="00094F5F" w14:paraId="0792688C" w14:textId="77777777" w:rsidTr="00A941AF">
        <w:trPr>
          <w:trHeight w:val="360"/>
          <w:jc w:val="center"/>
        </w:trPr>
        <w:tc>
          <w:tcPr>
            <w:tcW w:w="3000" w:type="dxa"/>
            <w:vMerge/>
            <w:shd w:val="clear" w:color="auto" w:fill="auto"/>
            <w:tcMar>
              <w:top w:w="100" w:type="dxa"/>
              <w:left w:w="100" w:type="dxa"/>
              <w:bottom w:w="100" w:type="dxa"/>
              <w:right w:w="100" w:type="dxa"/>
            </w:tcMar>
          </w:tcPr>
          <w:p w14:paraId="072C548F"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4AB4A739"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Ng et al. (2017)</w:t>
            </w:r>
          </w:p>
        </w:tc>
        <w:tc>
          <w:tcPr>
            <w:tcW w:w="1095" w:type="dxa"/>
            <w:shd w:val="clear" w:color="auto" w:fill="auto"/>
            <w:tcMar>
              <w:top w:w="100" w:type="dxa"/>
              <w:left w:w="100" w:type="dxa"/>
              <w:bottom w:w="100" w:type="dxa"/>
              <w:right w:w="100" w:type="dxa"/>
            </w:tcMar>
          </w:tcPr>
          <w:p w14:paraId="0F80152B"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3FB8D5D5"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7"/>
                <w:id w:val="-980306836"/>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0F02399"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r>
      <w:tr w:rsidR="004D6170" w:rsidRPr="00094F5F" w14:paraId="4A4CD390" w14:textId="77777777" w:rsidTr="00A941AF">
        <w:trPr>
          <w:trHeight w:val="360"/>
          <w:jc w:val="center"/>
        </w:trPr>
        <w:tc>
          <w:tcPr>
            <w:tcW w:w="3000" w:type="dxa"/>
            <w:vMerge w:val="restart"/>
            <w:shd w:val="clear" w:color="auto" w:fill="auto"/>
            <w:tcMar>
              <w:top w:w="100" w:type="dxa"/>
              <w:left w:w="100" w:type="dxa"/>
              <w:bottom w:w="100" w:type="dxa"/>
              <w:right w:w="100" w:type="dxa"/>
            </w:tcMar>
          </w:tcPr>
          <w:p w14:paraId="16C16CAC"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Short Test of Functional Health Literacy in Adults (STOFHLA) (n=5)</w:t>
            </w:r>
          </w:p>
        </w:tc>
        <w:tc>
          <w:tcPr>
            <w:tcW w:w="3030" w:type="dxa"/>
            <w:shd w:val="clear" w:color="auto" w:fill="auto"/>
            <w:tcMar>
              <w:top w:w="100" w:type="dxa"/>
              <w:left w:w="100" w:type="dxa"/>
              <w:bottom w:w="100" w:type="dxa"/>
              <w:right w:w="100" w:type="dxa"/>
            </w:tcMar>
          </w:tcPr>
          <w:p w14:paraId="1572C39A"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Chin et al. (2018)</w:t>
            </w:r>
          </w:p>
        </w:tc>
        <w:tc>
          <w:tcPr>
            <w:tcW w:w="1095" w:type="dxa"/>
            <w:shd w:val="clear" w:color="auto" w:fill="auto"/>
            <w:tcMar>
              <w:top w:w="100" w:type="dxa"/>
              <w:left w:w="100" w:type="dxa"/>
              <w:bottom w:w="100" w:type="dxa"/>
              <w:right w:w="100" w:type="dxa"/>
            </w:tcMar>
          </w:tcPr>
          <w:p w14:paraId="6EC69880"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53D5511F"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8"/>
                <w:id w:val="172846226"/>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995FE62"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r>
      <w:tr w:rsidR="004D6170" w:rsidRPr="00094F5F" w14:paraId="400EEC98" w14:textId="77777777" w:rsidTr="00A941AF">
        <w:trPr>
          <w:trHeight w:val="360"/>
          <w:jc w:val="center"/>
        </w:trPr>
        <w:tc>
          <w:tcPr>
            <w:tcW w:w="3000" w:type="dxa"/>
            <w:vMerge/>
            <w:shd w:val="clear" w:color="auto" w:fill="auto"/>
            <w:tcMar>
              <w:top w:w="100" w:type="dxa"/>
              <w:left w:w="100" w:type="dxa"/>
              <w:bottom w:w="100" w:type="dxa"/>
              <w:right w:w="100" w:type="dxa"/>
            </w:tcMar>
          </w:tcPr>
          <w:p w14:paraId="005D0C9D"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0CB99996"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Choi (2016)</w:t>
            </w:r>
          </w:p>
        </w:tc>
        <w:tc>
          <w:tcPr>
            <w:tcW w:w="1095" w:type="dxa"/>
            <w:shd w:val="clear" w:color="auto" w:fill="auto"/>
            <w:tcMar>
              <w:top w:w="100" w:type="dxa"/>
              <w:left w:w="100" w:type="dxa"/>
              <w:bottom w:w="100" w:type="dxa"/>
              <w:right w:w="100" w:type="dxa"/>
            </w:tcMar>
          </w:tcPr>
          <w:p w14:paraId="4745CBF6"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5BAE749F"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9"/>
                <w:id w:val="1700815651"/>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4EBCE7A1"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r>
      <w:tr w:rsidR="004D6170" w:rsidRPr="00094F5F" w14:paraId="3F1C7C6E" w14:textId="77777777" w:rsidTr="00A941AF">
        <w:trPr>
          <w:trHeight w:val="360"/>
          <w:jc w:val="center"/>
        </w:trPr>
        <w:tc>
          <w:tcPr>
            <w:tcW w:w="3000" w:type="dxa"/>
            <w:vMerge/>
            <w:shd w:val="clear" w:color="auto" w:fill="auto"/>
            <w:tcMar>
              <w:top w:w="100" w:type="dxa"/>
              <w:left w:w="100" w:type="dxa"/>
              <w:bottom w:w="100" w:type="dxa"/>
              <w:right w:w="100" w:type="dxa"/>
            </w:tcMar>
          </w:tcPr>
          <w:p w14:paraId="17976CA5"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272FBF39"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Lam et al. (2017)</w:t>
            </w:r>
          </w:p>
        </w:tc>
        <w:tc>
          <w:tcPr>
            <w:tcW w:w="1095" w:type="dxa"/>
            <w:shd w:val="clear" w:color="auto" w:fill="auto"/>
            <w:tcMar>
              <w:top w:w="100" w:type="dxa"/>
              <w:left w:w="100" w:type="dxa"/>
              <w:bottom w:w="100" w:type="dxa"/>
              <w:right w:w="100" w:type="dxa"/>
            </w:tcMar>
          </w:tcPr>
          <w:p w14:paraId="6DC7B9E8"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2233EF12"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0"/>
                <w:id w:val="2064749553"/>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D674DB2"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r>
      <w:tr w:rsidR="004D6170" w:rsidRPr="00094F5F" w14:paraId="50EC4540" w14:textId="77777777" w:rsidTr="00A941AF">
        <w:trPr>
          <w:trHeight w:val="360"/>
          <w:jc w:val="center"/>
        </w:trPr>
        <w:tc>
          <w:tcPr>
            <w:tcW w:w="3000" w:type="dxa"/>
            <w:vMerge/>
            <w:shd w:val="clear" w:color="auto" w:fill="auto"/>
            <w:tcMar>
              <w:top w:w="100" w:type="dxa"/>
              <w:left w:w="100" w:type="dxa"/>
              <w:bottom w:w="100" w:type="dxa"/>
              <w:right w:w="100" w:type="dxa"/>
            </w:tcMar>
          </w:tcPr>
          <w:p w14:paraId="42DE6ED6"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6A4EF0A4"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Shah et al. (2023)</w:t>
            </w:r>
          </w:p>
        </w:tc>
        <w:tc>
          <w:tcPr>
            <w:tcW w:w="1095" w:type="dxa"/>
            <w:shd w:val="clear" w:color="auto" w:fill="auto"/>
            <w:tcMar>
              <w:top w:w="100" w:type="dxa"/>
              <w:left w:w="100" w:type="dxa"/>
              <w:bottom w:w="100" w:type="dxa"/>
              <w:right w:w="100" w:type="dxa"/>
            </w:tcMar>
          </w:tcPr>
          <w:p w14:paraId="7172A8CE"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1"/>
                <w:id w:val="-436054633"/>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56C2CFE2"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2"/>
                <w:id w:val="-848256867"/>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0AAE046B"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3"/>
                <w:id w:val="-172575108"/>
              </w:sdtPr>
              <w:sdtContent>
                <w:r w:rsidR="004D6170" w:rsidRPr="00094F5F">
                  <w:rPr>
                    <w:rFonts w:ascii="Arial Unicode MS" w:eastAsia="Arial Unicode MS" w:hAnsi="Arial Unicode MS" w:cs="Arial Unicode MS"/>
                    <w:sz w:val="16"/>
                    <w:szCs w:val="16"/>
                  </w:rPr>
                  <w:t>✓</w:t>
                </w:r>
              </w:sdtContent>
            </w:sdt>
          </w:p>
        </w:tc>
      </w:tr>
      <w:tr w:rsidR="004D6170" w:rsidRPr="00094F5F" w14:paraId="28067C09" w14:textId="77777777" w:rsidTr="00A941AF">
        <w:trPr>
          <w:trHeight w:val="360"/>
          <w:jc w:val="center"/>
        </w:trPr>
        <w:tc>
          <w:tcPr>
            <w:tcW w:w="3000" w:type="dxa"/>
            <w:vMerge/>
            <w:shd w:val="clear" w:color="auto" w:fill="auto"/>
            <w:tcMar>
              <w:top w:w="100" w:type="dxa"/>
              <w:left w:w="100" w:type="dxa"/>
              <w:bottom w:w="100" w:type="dxa"/>
              <w:right w:w="100" w:type="dxa"/>
            </w:tcMar>
          </w:tcPr>
          <w:p w14:paraId="132993ED"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3D1C9F40"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Tai et al. (2016)</w:t>
            </w:r>
          </w:p>
        </w:tc>
        <w:tc>
          <w:tcPr>
            <w:tcW w:w="1095" w:type="dxa"/>
            <w:shd w:val="clear" w:color="auto" w:fill="auto"/>
            <w:tcMar>
              <w:top w:w="100" w:type="dxa"/>
              <w:left w:w="100" w:type="dxa"/>
              <w:bottom w:w="100" w:type="dxa"/>
              <w:right w:w="100" w:type="dxa"/>
            </w:tcMar>
          </w:tcPr>
          <w:p w14:paraId="0E161DEA"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01864E50"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4"/>
                <w:id w:val="525762737"/>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1876FE4D"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r>
      <w:tr w:rsidR="004D6170" w:rsidRPr="00094F5F" w14:paraId="55705245" w14:textId="77777777" w:rsidTr="00A941AF">
        <w:trPr>
          <w:trHeight w:val="360"/>
          <w:jc w:val="center"/>
        </w:trPr>
        <w:tc>
          <w:tcPr>
            <w:tcW w:w="3000" w:type="dxa"/>
            <w:vMerge w:val="restart"/>
            <w:shd w:val="clear" w:color="auto" w:fill="auto"/>
            <w:tcMar>
              <w:top w:w="100" w:type="dxa"/>
              <w:left w:w="100" w:type="dxa"/>
              <w:bottom w:w="100" w:type="dxa"/>
              <w:right w:w="100" w:type="dxa"/>
            </w:tcMar>
          </w:tcPr>
          <w:p w14:paraId="1BD11CC2"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Health Literacy Scale for Japanese Adults (HLS-14) (n=2)</w:t>
            </w:r>
          </w:p>
        </w:tc>
        <w:tc>
          <w:tcPr>
            <w:tcW w:w="3030" w:type="dxa"/>
            <w:shd w:val="clear" w:color="auto" w:fill="auto"/>
            <w:tcMar>
              <w:top w:w="100" w:type="dxa"/>
              <w:left w:w="100" w:type="dxa"/>
              <w:bottom w:w="100" w:type="dxa"/>
              <w:right w:w="100" w:type="dxa"/>
            </w:tcMar>
          </w:tcPr>
          <w:p w14:paraId="4048F224"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Doi-Kanno et al. (2021)</w:t>
            </w:r>
          </w:p>
        </w:tc>
        <w:tc>
          <w:tcPr>
            <w:tcW w:w="1095" w:type="dxa"/>
            <w:shd w:val="clear" w:color="auto" w:fill="auto"/>
            <w:tcMar>
              <w:top w:w="100" w:type="dxa"/>
              <w:left w:w="100" w:type="dxa"/>
              <w:bottom w:w="100" w:type="dxa"/>
              <w:right w:w="100" w:type="dxa"/>
            </w:tcMar>
          </w:tcPr>
          <w:p w14:paraId="497E1EFD"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5"/>
                <w:id w:val="1388837867"/>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0677B238"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6"/>
                <w:id w:val="-796983221"/>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8FCCDCF"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7"/>
                <w:id w:val="2043782287"/>
              </w:sdtPr>
              <w:sdtContent>
                <w:r w:rsidR="004D6170" w:rsidRPr="00094F5F">
                  <w:rPr>
                    <w:rFonts w:ascii="Arial Unicode MS" w:eastAsia="Arial Unicode MS" w:hAnsi="Arial Unicode MS" w:cs="Arial Unicode MS"/>
                    <w:sz w:val="16"/>
                    <w:szCs w:val="16"/>
                  </w:rPr>
                  <w:t>✓</w:t>
                </w:r>
              </w:sdtContent>
            </w:sdt>
          </w:p>
        </w:tc>
      </w:tr>
      <w:tr w:rsidR="004D6170" w:rsidRPr="00094F5F" w14:paraId="7B47F553" w14:textId="77777777" w:rsidTr="00A941AF">
        <w:trPr>
          <w:trHeight w:val="360"/>
          <w:jc w:val="center"/>
        </w:trPr>
        <w:tc>
          <w:tcPr>
            <w:tcW w:w="3000" w:type="dxa"/>
            <w:vMerge/>
            <w:shd w:val="clear" w:color="auto" w:fill="auto"/>
            <w:tcMar>
              <w:top w:w="100" w:type="dxa"/>
              <w:left w:w="100" w:type="dxa"/>
              <w:bottom w:w="100" w:type="dxa"/>
              <w:right w:w="100" w:type="dxa"/>
            </w:tcMar>
          </w:tcPr>
          <w:p w14:paraId="5110F343"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12513526"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Uemura et al. (2021)</w:t>
            </w:r>
          </w:p>
        </w:tc>
        <w:tc>
          <w:tcPr>
            <w:tcW w:w="1095" w:type="dxa"/>
            <w:shd w:val="clear" w:color="auto" w:fill="auto"/>
            <w:tcMar>
              <w:top w:w="100" w:type="dxa"/>
              <w:left w:w="100" w:type="dxa"/>
              <w:bottom w:w="100" w:type="dxa"/>
              <w:right w:w="100" w:type="dxa"/>
            </w:tcMar>
          </w:tcPr>
          <w:p w14:paraId="5070A42F"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8"/>
                <w:id w:val="1872802753"/>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0C576D74"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19"/>
                <w:id w:val="1371793872"/>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110EAE78"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0"/>
                <w:id w:val="768361951"/>
              </w:sdtPr>
              <w:sdtContent>
                <w:r w:rsidR="004D6170" w:rsidRPr="00094F5F">
                  <w:rPr>
                    <w:rFonts w:ascii="Arial Unicode MS" w:eastAsia="Arial Unicode MS" w:hAnsi="Arial Unicode MS" w:cs="Arial Unicode MS"/>
                    <w:sz w:val="16"/>
                    <w:szCs w:val="16"/>
                  </w:rPr>
                  <w:t>✓</w:t>
                </w:r>
              </w:sdtContent>
            </w:sdt>
          </w:p>
        </w:tc>
      </w:tr>
      <w:tr w:rsidR="004D6170" w:rsidRPr="00094F5F" w14:paraId="321593AC" w14:textId="77777777" w:rsidTr="00A941AF">
        <w:trPr>
          <w:trHeight w:val="360"/>
          <w:jc w:val="center"/>
        </w:trPr>
        <w:tc>
          <w:tcPr>
            <w:tcW w:w="3000" w:type="dxa"/>
            <w:vMerge w:val="restart"/>
            <w:shd w:val="clear" w:color="auto" w:fill="auto"/>
            <w:tcMar>
              <w:top w:w="100" w:type="dxa"/>
              <w:left w:w="100" w:type="dxa"/>
              <w:bottom w:w="100" w:type="dxa"/>
              <w:right w:w="100" w:type="dxa"/>
            </w:tcMar>
          </w:tcPr>
          <w:p w14:paraId="129B7926"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Modified LaRue Tool (MLT) (n=2)</w:t>
            </w:r>
          </w:p>
        </w:tc>
        <w:tc>
          <w:tcPr>
            <w:tcW w:w="3030" w:type="dxa"/>
            <w:shd w:val="clear" w:color="auto" w:fill="auto"/>
            <w:tcMar>
              <w:top w:w="100" w:type="dxa"/>
              <w:left w:w="100" w:type="dxa"/>
              <w:bottom w:w="100" w:type="dxa"/>
              <w:right w:w="100" w:type="dxa"/>
            </w:tcMar>
          </w:tcPr>
          <w:p w14:paraId="7183745A"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Lee et al. (2018)</w:t>
            </w:r>
          </w:p>
        </w:tc>
        <w:tc>
          <w:tcPr>
            <w:tcW w:w="1095" w:type="dxa"/>
            <w:shd w:val="clear" w:color="auto" w:fill="auto"/>
            <w:tcMar>
              <w:top w:w="100" w:type="dxa"/>
              <w:left w:w="100" w:type="dxa"/>
              <w:bottom w:w="100" w:type="dxa"/>
              <w:right w:w="100" w:type="dxa"/>
            </w:tcMar>
          </w:tcPr>
          <w:p w14:paraId="5B13A0D2"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1B0D8982"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1"/>
                <w:id w:val="-1110276433"/>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7161054F"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r>
      <w:tr w:rsidR="004D6170" w:rsidRPr="00094F5F" w14:paraId="0F19C54B" w14:textId="77777777" w:rsidTr="00A941AF">
        <w:trPr>
          <w:trHeight w:val="360"/>
          <w:jc w:val="center"/>
        </w:trPr>
        <w:tc>
          <w:tcPr>
            <w:tcW w:w="3000" w:type="dxa"/>
            <w:vMerge/>
            <w:shd w:val="clear" w:color="auto" w:fill="auto"/>
            <w:tcMar>
              <w:top w:w="100" w:type="dxa"/>
              <w:left w:w="100" w:type="dxa"/>
              <w:bottom w:w="100" w:type="dxa"/>
              <w:right w:w="100" w:type="dxa"/>
            </w:tcMar>
          </w:tcPr>
          <w:p w14:paraId="00CEFD96"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1FE31DA4"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Tai et al. (2016)</w:t>
            </w:r>
          </w:p>
        </w:tc>
        <w:tc>
          <w:tcPr>
            <w:tcW w:w="1095" w:type="dxa"/>
            <w:shd w:val="clear" w:color="auto" w:fill="auto"/>
            <w:tcMar>
              <w:top w:w="100" w:type="dxa"/>
              <w:left w:w="100" w:type="dxa"/>
              <w:bottom w:w="100" w:type="dxa"/>
              <w:right w:w="100" w:type="dxa"/>
            </w:tcMar>
          </w:tcPr>
          <w:p w14:paraId="66F4CE41"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5899895D"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2"/>
                <w:id w:val="845374180"/>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15378C9B"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p>
        </w:tc>
      </w:tr>
      <w:tr w:rsidR="004D6170" w:rsidRPr="00094F5F" w14:paraId="41DB039B" w14:textId="77777777" w:rsidTr="00A941AF">
        <w:trPr>
          <w:jc w:val="center"/>
        </w:trPr>
        <w:tc>
          <w:tcPr>
            <w:tcW w:w="3000" w:type="dxa"/>
            <w:shd w:val="clear" w:color="auto" w:fill="auto"/>
            <w:tcMar>
              <w:top w:w="100" w:type="dxa"/>
              <w:left w:w="100" w:type="dxa"/>
              <w:bottom w:w="100" w:type="dxa"/>
              <w:right w:w="100" w:type="dxa"/>
            </w:tcMar>
          </w:tcPr>
          <w:p w14:paraId="6AB27D73"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Chinese Health Literacy Scale for Chronic Care (CHLCC) (n=1)</w:t>
            </w:r>
          </w:p>
        </w:tc>
        <w:tc>
          <w:tcPr>
            <w:tcW w:w="3030" w:type="dxa"/>
            <w:shd w:val="clear" w:color="auto" w:fill="auto"/>
            <w:tcMar>
              <w:top w:w="100" w:type="dxa"/>
              <w:left w:w="100" w:type="dxa"/>
              <w:bottom w:w="100" w:type="dxa"/>
              <w:right w:w="100" w:type="dxa"/>
            </w:tcMar>
          </w:tcPr>
          <w:p w14:paraId="5C838F40"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Leung et al. (2018)</w:t>
            </w:r>
          </w:p>
        </w:tc>
        <w:tc>
          <w:tcPr>
            <w:tcW w:w="1095" w:type="dxa"/>
            <w:shd w:val="clear" w:color="auto" w:fill="auto"/>
            <w:tcMar>
              <w:top w:w="100" w:type="dxa"/>
              <w:left w:w="100" w:type="dxa"/>
              <w:bottom w:w="100" w:type="dxa"/>
              <w:right w:w="100" w:type="dxa"/>
            </w:tcMar>
          </w:tcPr>
          <w:p w14:paraId="3E1B685C"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3"/>
                <w:id w:val="385990104"/>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3C7F70A8"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4"/>
                <w:id w:val="1972783801"/>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0011B1B4"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5"/>
                <w:id w:val="-93259530"/>
              </w:sdtPr>
              <w:sdtContent>
                <w:r w:rsidR="004D6170" w:rsidRPr="00094F5F">
                  <w:rPr>
                    <w:rFonts w:ascii="Arial Unicode MS" w:eastAsia="Arial Unicode MS" w:hAnsi="Arial Unicode MS" w:cs="Arial Unicode MS"/>
                    <w:sz w:val="16"/>
                    <w:szCs w:val="16"/>
                  </w:rPr>
                  <w:t>✓</w:t>
                </w:r>
              </w:sdtContent>
            </w:sdt>
          </w:p>
        </w:tc>
      </w:tr>
      <w:tr w:rsidR="004D6170" w:rsidRPr="00094F5F" w14:paraId="74728029" w14:textId="77777777" w:rsidTr="00A941AF">
        <w:trPr>
          <w:jc w:val="center"/>
        </w:trPr>
        <w:tc>
          <w:tcPr>
            <w:tcW w:w="3000" w:type="dxa"/>
            <w:shd w:val="clear" w:color="auto" w:fill="auto"/>
            <w:tcMar>
              <w:top w:w="100" w:type="dxa"/>
              <w:left w:w="100" w:type="dxa"/>
              <w:bottom w:w="100" w:type="dxa"/>
              <w:right w:w="100" w:type="dxa"/>
            </w:tcMar>
          </w:tcPr>
          <w:p w14:paraId="0A263A83"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Short-form Mandarin Health Literacy Scale (s-MHLS) (n=1)</w:t>
            </w:r>
          </w:p>
        </w:tc>
        <w:tc>
          <w:tcPr>
            <w:tcW w:w="3030" w:type="dxa"/>
            <w:shd w:val="clear" w:color="auto" w:fill="auto"/>
            <w:tcMar>
              <w:top w:w="100" w:type="dxa"/>
              <w:left w:w="100" w:type="dxa"/>
              <w:bottom w:w="100" w:type="dxa"/>
              <w:right w:w="100" w:type="dxa"/>
            </w:tcMar>
          </w:tcPr>
          <w:p w14:paraId="779F7599"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Lin et al. (2019)</w:t>
            </w:r>
          </w:p>
        </w:tc>
        <w:tc>
          <w:tcPr>
            <w:tcW w:w="1095" w:type="dxa"/>
            <w:shd w:val="clear" w:color="auto" w:fill="auto"/>
            <w:tcMar>
              <w:top w:w="100" w:type="dxa"/>
              <w:left w:w="100" w:type="dxa"/>
              <w:bottom w:w="100" w:type="dxa"/>
              <w:right w:w="100" w:type="dxa"/>
            </w:tcMar>
          </w:tcPr>
          <w:p w14:paraId="3B6F6FC2"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6"/>
                <w:id w:val="1799944922"/>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3D1F4503"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7"/>
                <w:id w:val="-240948872"/>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73A74E44"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8"/>
                <w:id w:val="-2039189981"/>
              </w:sdtPr>
              <w:sdtContent>
                <w:r w:rsidR="004D6170" w:rsidRPr="00094F5F">
                  <w:rPr>
                    <w:rFonts w:ascii="Arial Unicode MS" w:eastAsia="Arial Unicode MS" w:hAnsi="Arial Unicode MS" w:cs="Arial Unicode MS"/>
                    <w:sz w:val="16"/>
                    <w:szCs w:val="16"/>
                  </w:rPr>
                  <w:t>✓</w:t>
                </w:r>
              </w:sdtContent>
            </w:sdt>
          </w:p>
        </w:tc>
      </w:tr>
      <w:tr w:rsidR="004D6170" w:rsidRPr="00094F5F" w14:paraId="18E52139" w14:textId="77777777" w:rsidTr="00A941AF">
        <w:trPr>
          <w:trHeight w:val="360"/>
          <w:jc w:val="center"/>
        </w:trPr>
        <w:tc>
          <w:tcPr>
            <w:tcW w:w="3000" w:type="dxa"/>
            <w:vMerge w:val="restart"/>
            <w:shd w:val="clear" w:color="auto" w:fill="auto"/>
            <w:tcMar>
              <w:top w:w="100" w:type="dxa"/>
              <w:left w:w="100" w:type="dxa"/>
              <w:bottom w:w="100" w:type="dxa"/>
              <w:right w:w="100" w:type="dxa"/>
            </w:tcMar>
          </w:tcPr>
          <w:p w14:paraId="67AB8FAA"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Newest Vital Sign (NVS) (n=2)</w:t>
            </w:r>
          </w:p>
        </w:tc>
        <w:tc>
          <w:tcPr>
            <w:tcW w:w="3030" w:type="dxa"/>
            <w:shd w:val="clear" w:color="auto" w:fill="auto"/>
            <w:tcMar>
              <w:top w:w="100" w:type="dxa"/>
              <w:left w:w="100" w:type="dxa"/>
              <w:bottom w:w="100" w:type="dxa"/>
              <w:right w:w="100" w:type="dxa"/>
            </w:tcMar>
          </w:tcPr>
          <w:p w14:paraId="3BB366D1"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Martin et al. (2012)</w:t>
            </w:r>
          </w:p>
        </w:tc>
        <w:tc>
          <w:tcPr>
            <w:tcW w:w="1095" w:type="dxa"/>
            <w:shd w:val="clear" w:color="auto" w:fill="auto"/>
            <w:tcMar>
              <w:top w:w="100" w:type="dxa"/>
              <w:left w:w="100" w:type="dxa"/>
              <w:bottom w:w="100" w:type="dxa"/>
              <w:right w:w="100" w:type="dxa"/>
            </w:tcMar>
          </w:tcPr>
          <w:p w14:paraId="6C7C35A4"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7422CCFC"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29"/>
                <w:id w:val="-1594227585"/>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761EDBDA"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2419F4FB" w14:textId="77777777" w:rsidTr="00A941AF">
        <w:trPr>
          <w:trHeight w:val="360"/>
          <w:jc w:val="center"/>
        </w:trPr>
        <w:tc>
          <w:tcPr>
            <w:tcW w:w="3000" w:type="dxa"/>
            <w:vMerge/>
            <w:shd w:val="clear" w:color="auto" w:fill="auto"/>
            <w:tcMar>
              <w:top w:w="100" w:type="dxa"/>
              <w:left w:w="100" w:type="dxa"/>
              <w:bottom w:w="100" w:type="dxa"/>
              <w:right w:w="100" w:type="dxa"/>
            </w:tcMar>
          </w:tcPr>
          <w:p w14:paraId="29385842"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719E9991"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Shreffler Grant et al. (2021)</w:t>
            </w:r>
          </w:p>
        </w:tc>
        <w:tc>
          <w:tcPr>
            <w:tcW w:w="1095" w:type="dxa"/>
            <w:shd w:val="clear" w:color="auto" w:fill="auto"/>
            <w:tcMar>
              <w:top w:w="100" w:type="dxa"/>
              <w:left w:w="100" w:type="dxa"/>
              <w:bottom w:w="100" w:type="dxa"/>
              <w:right w:w="100" w:type="dxa"/>
            </w:tcMar>
          </w:tcPr>
          <w:p w14:paraId="6C76355A"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0"/>
                <w:id w:val="-1111421626"/>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0DE9AA45"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1"/>
                <w:id w:val="-1818025749"/>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5835D42F"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2"/>
                <w:id w:val="882292087"/>
              </w:sdtPr>
              <w:sdtContent>
                <w:r w:rsidR="004D6170" w:rsidRPr="00094F5F">
                  <w:rPr>
                    <w:rFonts w:ascii="Arial Unicode MS" w:eastAsia="Arial Unicode MS" w:hAnsi="Arial Unicode MS" w:cs="Arial Unicode MS"/>
                    <w:sz w:val="16"/>
                    <w:szCs w:val="16"/>
                  </w:rPr>
                  <w:t>✓</w:t>
                </w:r>
              </w:sdtContent>
            </w:sdt>
          </w:p>
        </w:tc>
      </w:tr>
      <w:tr w:rsidR="004D6170" w:rsidRPr="00094F5F" w14:paraId="24AA3843" w14:textId="77777777" w:rsidTr="00A941AF">
        <w:trPr>
          <w:jc w:val="center"/>
        </w:trPr>
        <w:tc>
          <w:tcPr>
            <w:tcW w:w="3000" w:type="dxa"/>
            <w:shd w:val="clear" w:color="auto" w:fill="auto"/>
            <w:tcMar>
              <w:top w:w="100" w:type="dxa"/>
              <w:left w:w="100" w:type="dxa"/>
              <w:bottom w:w="100" w:type="dxa"/>
              <w:right w:w="100" w:type="dxa"/>
            </w:tcMar>
          </w:tcPr>
          <w:p w14:paraId="12D7F5DC"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Short Assessment of Health Literacy in Dutch (SAHL-D) (n=1)</w:t>
            </w:r>
          </w:p>
        </w:tc>
        <w:tc>
          <w:tcPr>
            <w:tcW w:w="3030" w:type="dxa"/>
            <w:shd w:val="clear" w:color="auto" w:fill="auto"/>
            <w:tcMar>
              <w:top w:w="100" w:type="dxa"/>
              <w:left w:w="100" w:type="dxa"/>
              <w:bottom w:w="100" w:type="dxa"/>
              <w:right w:w="100" w:type="dxa"/>
            </w:tcMar>
          </w:tcPr>
          <w:p w14:paraId="01FFC700"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Meppelink et al. (2015)</w:t>
            </w:r>
          </w:p>
        </w:tc>
        <w:tc>
          <w:tcPr>
            <w:tcW w:w="1095" w:type="dxa"/>
            <w:shd w:val="clear" w:color="auto" w:fill="auto"/>
            <w:tcMar>
              <w:top w:w="100" w:type="dxa"/>
              <w:left w:w="100" w:type="dxa"/>
              <w:bottom w:w="100" w:type="dxa"/>
              <w:right w:w="100" w:type="dxa"/>
            </w:tcMar>
          </w:tcPr>
          <w:p w14:paraId="4C8208D1"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33990E26"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3"/>
                <w:id w:val="166523864"/>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11C09895"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05B97F1F" w14:textId="77777777" w:rsidTr="00A941AF">
        <w:trPr>
          <w:jc w:val="center"/>
        </w:trPr>
        <w:tc>
          <w:tcPr>
            <w:tcW w:w="3000" w:type="dxa"/>
            <w:shd w:val="clear" w:color="auto" w:fill="auto"/>
            <w:tcMar>
              <w:top w:w="100" w:type="dxa"/>
              <w:left w:w="100" w:type="dxa"/>
              <w:bottom w:w="100" w:type="dxa"/>
              <w:right w:w="100" w:type="dxa"/>
            </w:tcMar>
          </w:tcPr>
          <w:p w14:paraId="313D3BA8"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Short Assessment of Health Literacy for Portuguese Speaking Adults (SAHLPA) (n=1)</w:t>
            </w:r>
          </w:p>
        </w:tc>
        <w:tc>
          <w:tcPr>
            <w:tcW w:w="3030" w:type="dxa"/>
            <w:shd w:val="clear" w:color="auto" w:fill="auto"/>
            <w:tcMar>
              <w:top w:w="100" w:type="dxa"/>
              <w:left w:w="100" w:type="dxa"/>
              <w:bottom w:w="100" w:type="dxa"/>
              <w:right w:w="100" w:type="dxa"/>
            </w:tcMar>
          </w:tcPr>
          <w:p w14:paraId="1526634A"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Serbim et al. (2022)</w:t>
            </w:r>
          </w:p>
        </w:tc>
        <w:tc>
          <w:tcPr>
            <w:tcW w:w="1095" w:type="dxa"/>
            <w:shd w:val="clear" w:color="auto" w:fill="auto"/>
            <w:tcMar>
              <w:top w:w="100" w:type="dxa"/>
              <w:left w:w="100" w:type="dxa"/>
              <w:bottom w:w="100" w:type="dxa"/>
              <w:right w:w="100" w:type="dxa"/>
            </w:tcMar>
          </w:tcPr>
          <w:p w14:paraId="7CBBDDC1"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4"/>
                <w:id w:val="27469302"/>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4E372714"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5"/>
                <w:id w:val="-1455474621"/>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4E30EBF"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6"/>
                <w:id w:val="-1526477275"/>
              </w:sdtPr>
              <w:sdtContent>
                <w:r w:rsidR="004D6170" w:rsidRPr="00094F5F">
                  <w:rPr>
                    <w:rFonts w:ascii="Arial Unicode MS" w:eastAsia="Arial Unicode MS" w:hAnsi="Arial Unicode MS" w:cs="Arial Unicode MS"/>
                    <w:sz w:val="16"/>
                    <w:szCs w:val="16"/>
                  </w:rPr>
                  <w:t>✓</w:t>
                </w:r>
              </w:sdtContent>
            </w:sdt>
          </w:p>
        </w:tc>
      </w:tr>
      <w:tr w:rsidR="004D6170" w:rsidRPr="00094F5F" w14:paraId="4205C3B4" w14:textId="77777777" w:rsidTr="00A941AF">
        <w:trPr>
          <w:jc w:val="center"/>
        </w:trPr>
        <w:tc>
          <w:tcPr>
            <w:tcW w:w="3000" w:type="dxa"/>
            <w:shd w:val="clear" w:color="auto" w:fill="auto"/>
            <w:tcMar>
              <w:top w:w="100" w:type="dxa"/>
              <w:left w:w="100" w:type="dxa"/>
              <w:bottom w:w="100" w:type="dxa"/>
              <w:right w:w="100" w:type="dxa"/>
            </w:tcMar>
          </w:tcPr>
          <w:p w14:paraId="384E718C"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Health Literacy for Iranian Adults (HELIA) (n=1)</w:t>
            </w:r>
          </w:p>
        </w:tc>
        <w:tc>
          <w:tcPr>
            <w:tcW w:w="3030" w:type="dxa"/>
            <w:shd w:val="clear" w:color="auto" w:fill="auto"/>
            <w:tcMar>
              <w:top w:w="100" w:type="dxa"/>
              <w:left w:w="100" w:type="dxa"/>
              <w:bottom w:w="100" w:type="dxa"/>
              <w:right w:w="100" w:type="dxa"/>
            </w:tcMar>
          </w:tcPr>
          <w:p w14:paraId="3466E4EC"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Taherian &amp; Motamendi (2022)</w:t>
            </w:r>
          </w:p>
        </w:tc>
        <w:tc>
          <w:tcPr>
            <w:tcW w:w="1095" w:type="dxa"/>
            <w:shd w:val="clear" w:color="auto" w:fill="auto"/>
            <w:tcMar>
              <w:top w:w="100" w:type="dxa"/>
              <w:left w:w="100" w:type="dxa"/>
              <w:bottom w:w="100" w:type="dxa"/>
              <w:right w:w="100" w:type="dxa"/>
            </w:tcMar>
          </w:tcPr>
          <w:p w14:paraId="6A68FC23"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7"/>
                <w:id w:val="-860975257"/>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589DB2B7"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8"/>
                <w:id w:val="-1177722355"/>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4DDF4D1"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7E41238E" w14:textId="77777777" w:rsidTr="00A941AF">
        <w:trPr>
          <w:jc w:val="center"/>
        </w:trPr>
        <w:tc>
          <w:tcPr>
            <w:tcW w:w="3000" w:type="dxa"/>
            <w:shd w:val="clear" w:color="auto" w:fill="auto"/>
            <w:tcMar>
              <w:top w:w="100" w:type="dxa"/>
              <w:left w:w="100" w:type="dxa"/>
              <w:bottom w:w="100" w:type="dxa"/>
              <w:right w:w="100" w:type="dxa"/>
            </w:tcMar>
          </w:tcPr>
          <w:p w14:paraId="723198B2"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Chinese Health Literacy Scale for Diabetes - Multiple Choice Version (CHLSD-MC) (n=1)</w:t>
            </w:r>
          </w:p>
        </w:tc>
        <w:tc>
          <w:tcPr>
            <w:tcW w:w="3030" w:type="dxa"/>
            <w:shd w:val="clear" w:color="auto" w:fill="auto"/>
            <w:tcMar>
              <w:top w:w="100" w:type="dxa"/>
              <w:left w:w="100" w:type="dxa"/>
              <w:bottom w:w="100" w:type="dxa"/>
              <w:right w:w="100" w:type="dxa"/>
            </w:tcMar>
          </w:tcPr>
          <w:p w14:paraId="73BBC95D"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Yu et al. (2017)</w:t>
            </w:r>
          </w:p>
        </w:tc>
        <w:tc>
          <w:tcPr>
            <w:tcW w:w="1095" w:type="dxa"/>
            <w:shd w:val="clear" w:color="auto" w:fill="auto"/>
            <w:tcMar>
              <w:top w:w="100" w:type="dxa"/>
              <w:left w:w="100" w:type="dxa"/>
              <w:bottom w:w="100" w:type="dxa"/>
              <w:right w:w="100" w:type="dxa"/>
            </w:tcMar>
          </w:tcPr>
          <w:p w14:paraId="0628F9C9"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39"/>
                <w:id w:val="-585759827"/>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6D035761"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0"/>
                <w:id w:val="1013181977"/>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43C0964"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1"/>
                <w:id w:val="-1394111278"/>
              </w:sdtPr>
              <w:sdtContent>
                <w:r w:rsidR="004D6170" w:rsidRPr="00094F5F">
                  <w:rPr>
                    <w:rFonts w:ascii="Arial Unicode MS" w:eastAsia="Arial Unicode MS" w:hAnsi="Arial Unicode MS" w:cs="Arial Unicode MS"/>
                    <w:sz w:val="16"/>
                    <w:szCs w:val="16"/>
                  </w:rPr>
                  <w:t>✓</w:t>
                </w:r>
              </w:sdtContent>
            </w:sdt>
          </w:p>
        </w:tc>
      </w:tr>
      <w:tr w:rsidR="004D6170" w:rsidRPr="00094F5F" w14:paraId="2DEE5F7C" w14:textId="77777777" w:rsidTr="00A941AF">
        <w:trPr>
          <w:jc w:val="center"/>
        </w:trPr>
        <w:tc>
          <w:tcPr>
            <w:tcW w:w="3000" w:type="dxa"/>
            <w:shd w:val="clear" w:color="auto" w:fill="auto"/>
            <w:tcMar>
              <w:top w:w="100" w:type="dxa"/>
              <w:left w:w="100" w:type="dxa"/>
              <w:bottom w:w="100" w:type="dxa"/>
              <w:right w:w="100" w:type="dxa"/>
            </w:tcMar>
          </w:tcPr>
          <w:p w14:paraId="23FE03CF"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Rapid Estimate of Adult Literacy in Medicine (REALM) (n=1)</w:t>
            </w:r>
          </w:p>
        </w:tc>
        <w:tc>
          <w:tcPr>
            <w:tcW w:w="3030" w:type="dxa"/>
            <w:shd w:val="clear" w:color="auto" w:fill="auto"/>
            <w:tcMar>
              <w:top w:w="100" w:type="dxa"/>
              <w:left w:w="100" w:type="dxa"/>
              <w:bottom w:w="100" w:type="dxa"/>
              <w:right w:w="100" w:type="dxa"/>
            </w:tcMar>
          </w:tcPr>
          <w:p w14:paraId="62E4F48A"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Shah et al. (2023)</w:t>
            </w:r>
          </w:p>
        </w:tc>
        <w:tc>
          <w:tcPr>
            <w:tcW w:w="1095" w:type="dxa"/>
            <w:shd w:val="clear" w:color="auto" w:fill="auto"/>
            <w:tcMar>
              <w:top w:w="100" w:type="dxa"/>
              <w:left w:w="100" w:type="dxa"/>
              <w:bottom w:w="100" w:type="dxa"/>
              <w:right w:w="100" w:type="dxa"/>
            </w:tcMar>
          </w:tcPr>
          <w:p w14:paraId="048631E5"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2"/>
                <w:id w:val="-1589460866"/>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2B34D6EA"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3"/>
                <w:id w:val="379529830"/>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252595BE"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4"/>
                <w:id w:val="-565801245"/>
              </w:sdtPr>
              <w:sdtContent>
                <w:r w:rsidR="004D6170" w:rsidRPr="00094F5F">
                  <w:rPr>
                    <w:rFonts w:ascii="Arial Unicode MS" w:eastAsia="Arial Unicode MS" w:hAnsi="Arial Unicode MS" w:cs="Arial Unicode MS"/>
                    <w:sz w:val="16"/>
                    <w:szCs w:val="16"/>
                  </w:rPr>
                  <w:t>✓</w:t>
                </w:r>
              </w:sdtContent>
            </w:sdt>
          </w:p>
        </w:tc>
      </w:tr>
      <w:tr w:rsidR="004D6170" w:rsidRPr="00094F5F" w14:paraId="6E04BED0" w14:textId="77777777" w:rsidTr="00A941AF">
        <w:trPr>
          <w:trHeight w:val="360"/>
          <w:jc w:val="center"/>
        </w:trPr>
        <w:tc>
          <w:tcPr>
            <w:tcW w:w="3000" w:type="dxa"/>
            <w:vMerge w:val="restart"/>
            <w:shd w:val="clear" w:color="auto" w:fill="auto"/>
            <w:tcMar>
              <w:top w:w="100" w:type="dxa"/>
              <w:left w:w="100" w:type="dxa"/>
              <w:bottom w:w="100" w:type="dxa"/>
              <w:right w:w="100" w:type="dxa"/>
            </w:tcMar>
          </w:tcPr>
          <w:p w14:paraId="2CD1DA23"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No health literacy framework used (n=16)</w:t>
            </w:r>
          </w:p>
        </w:tc>
        <w:tc>
          <w:tcPr>
            <w:tcW w:w="3030" w:type="dxa"/>
            <w:shd w:val="clear" w:color="auto" w:fill="auto"/>
            <w:tcMar>
              <w:top w:w="100" w:type="dxa"/>
              <w:left w:w="100" w:type="dxa"/>
              <w:bottom w:w="100" w:type="dxa"/>
              <w:right w:w="100" w:type="dxa"/>
            </w:tcMar>
          </w:tcPr>
          <w:p w14:paraId="09AA2C23"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Aspinall et al. (2012)</w:t>
            </w:r>
          </w:p>
        </w:tc>
        <w:tc>
          <w:tcPr>
            <w:tcW w:w="1095" w:type="dxa"/>
            <w:shd w:val="clear" w:color="auto" w:fill="auto"/>
            <w:tcMar>
              <w:top w:w="100" w:type="dxa"/>
              <w:left w:w="100" w:type="dxa"/>
              <w:bottom w:w="100" w:type="dxa"/>
              <w:right w:w="100" w:type="dxa"/>
            </w:tcMar>
          </w:tcPr>
          <w:p w14:paraId="606BEFC3"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5"/>
                <w:id w:val="173463650"/>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27D9FCC2"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6"/>
                <w:id w:val="-1645342378"/>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70C26E0C"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7"/>
                <w:id w:val="1580335934"/>
              </w:sdtPr>
              <w:sdtContent>
                <w:r w:rsidR="004D6170" w:rsidRPr="00094F5F">
                  <w:rPr>
                    <w:rFonts w:ascii="Arial Unicode MS" w:eastAsia="Arial Unicode MS" w:hAnsi="Arial Unicode MS" w:cs="Arial Unicode MS"/>
                    <w:sz w:val="16"/>
                    <w:szCs w:val="16"/>
                  </w:rPr>
                  <w:t>✓</w:t>
                </w:r>
              </w:sdtContent>
            </w:sdt>
          </w:p>
        </w:tc>
      </w:tr>
      <w:tr w:rsidR="004D6170" w:rsidRPr="00094F5F" w14:paraId="62289ADC" w14:textId="77777777" w:rsidTr="00A941AF">
        <w:trPr>
          <w:trHeight w:val="360"/>
          <w:jc w:val="center"/>
        </w:trPr>
        <w:tc>
          <w:tcPr>
            <w:tcW w:w="3000" w:type="dxa"/>
            <w:vMerge/>
            <w:shd w:val="clear" w:color="auto" w:fill="auto"/>
            <w:tcMar>
              <w:top w:w="100" w:type="dxa"/>
              <w:left w:w="100" w:type="dxa"/>
              <w:bottom w:w="100" w:type="dxa"/>
              <w:right w:w="100" w:type="dxa"/>
            </w:tcMar>
          </w:tcPr>
          <w:p w14:paraId="47192687"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2AE7D15A"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Berthenet et al. (2016)</w:t>
            </w:r>
          </w:p>
        </w:tc>
        <w:tc>
          <w:tcPr>
            <w:tcW w:w="1095" w:type="dxa"/>
            <w:shd w:val="clear" w:color="auto" w:fill="auto"/>
            <w:tcMar>
              <w:top w:w="100" w:type="dxa"/>
              <w:left w:w="100" w:type="dxa"/>
              <w:bottom w:w="100" w:type="dxa"/>
              <w:right w:w="100" w:type="dxa"/>
            </w:tcMar>
          </w:tcPr>
          <w:p w14:paraId="1A57280A"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1CA7BFE8"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8"/>
                <w:id w:val="-1297601399"/>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6A79EA91"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015F63F8" w14:textId="77777777" w:rsidTr="00A941AF">
        <w:trPr>
          <w:trHeight w:val="360"/>
          <w:jc w:val="center"/>
        </w:trPr>
        <w:tc>
          <w:tcPr>
            <w:tcW w:w="3000" w:type="dxa"/>
            <w:vMerge/>
            <w:shd w:val="clear" w:color="auto" w:fill="auto"/>
            <w:tcMar>
              <w:top w:w="100" w:type="dxa"/>
              <w:left w:w="100" w:type="dxa"/>
              <w:bottom w:w="100" w:type="dxa"/>
              <w:right w:w="100" w:type="dxa"/>
            </w:tcMar>
          </w:tcPr>
          <w:p w14:paraId="4AC9D020"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3B422C2C"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Blaylock et al. (2022)</w:t>
            </w:r>
          </w:p>
        </w:tc>
        <w:tc>
          <w:tcPr>
            <w:tcW w:w="1095" w:type="dxa"/>
            <w:shd w:val="clear" w:color="auto" w:fill="auto"/>
            <w:tcMar>
              <w:top w:w="100" w:type="dxa"/>
              <w:left w:w="100" w:type="dxa"/>
              <w:bottom w:w="100" w:type="dxa"/>
              <w:right w:w="100" w:type="dxa"/>
            </w:tcMar>
          </w:tcPr>
          <w:p w14:paraId="74A577F0"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49"/>
                <w:id w:val="-741954935"/>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0AF717DE"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0"/>
                <w:id w:val="-1092084168"/>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445B65DB"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19FFACD5" w14:textId="77777777" w:rsidTr="00A941AF">
        <w:trPr>
          <w:trHeight w:val="360"/>
          <w:jc w:val="center"/>
        </w:trPr>
        <w:tc>
          <w:tcPr>
            <w:tcW w:w="3000" w:type="dxa"/>
            <w:vMerge/>
            <w:shd w:val="clear" w:color="auto" w:fill="auto"/>
            <w:tcMar>
              <w:top w:w="100" w:type="dxa"/>
              <w:left w:w="100" w:type="dxa"/>
              <w:bottom w:w="100" w:type="dxa"/>
              <w:right w:w="100" w:type="dxa"/>
            </w:tcMar>
          </w:tcPr>
          <w:p w14:paraId="438AD9AA"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40CD2DEB"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Bonderski et al. (2018)</w:t>
            </w:r>
          </w:p>
        </w:tc>
        <w:tc>
          <w:tcPr>
            <w:tcW w:w="1095" w:type="dxa"/>
            <w:shd w:val="clear" w:color="auto" w:fill="auto"/>
            <w:tcMar>
              <w:top w:w="100" w:type="dxa"/>
              <w:left w:w="100" w:type="dxa"/>
              <w:bottom w:w="100" w:type="dxa"/>
              <w:right w:w="100" w:type="dxa"/>
            </w:tcMar>
          </w:tcPr>
          <w:p w14:paraId="1A67698A"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1"/>
                <w:id w:val="-1498421252"/>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0C488C75"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2"/>
                <w:id w:val="541249212"/>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56411641"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3"/>
                <w:id w:val="1659567580"/>
              </w:sdtPr>
              <w:sdtContent>
                <w:r w:rsidR="004D6170" w:rsidRPr="00094F5F">
                  <w:rPr>
                    <w:rFonts w:ascii="Arial Unicode MS" w:eastAsia="Arial Unicode MS" w:hAnsi="Arial Unicode MS" w:cs="Arial Unicode MS"/>
                    <w:sz w:val="16"/>
                    <w:szCs w:val="16"/>
                  </w:rPr>
                  <w:t>✓</w:t>
                </w:r>
              </w:sdtContent>
            </w:sdt>
          </w:p>
        </w:tc>
      </w:tr>
      <w:tr w:rsidR="004D6170" w:rsidRPr="00094F5F" w14:paraId="14FD8EFC" w14:textId="77777777" w:rsidTr="00A941AF">
        <w:trPr>
          <w:trHeight w:val="360"/>
          <w:jc w:val="center"/>
        </w:trPr>
        <w:tc>
          <w:tcPr>
            <w:tcW w:w="3000" w:type="dxa"/>
            <w:vMerge/>
            <w:shd w:val="clear" w:color="auto" w:fill="auto"/>
            <w:tcMar>
              <w:top w:w="100" w:type="dxa"/>
              <w:left w:w="100" w:type="dxa"/>
              <w:bottom w:w="100" w:type="dxa"/>
              <w:right w:w="100" w:type="dxa"/>
            </w:tcMar>
          </w:tcPr>
          <w:p w14:paraId="00962C78"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1C3496D7"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Boonasa et al. (2022)</w:t>
            </w:r>
          </w:p>
        </w:tc>
        <w:tc>
          <w:tcPr>
            <w:tcW w:w="1095" w:type="dxa"/>
            <w:shd w:val="clear" w:color="auto" w:fill="auto"/>
            <w:tcMar>
              <w:top w:w="100" w:type="dxa"/>
              <w:left w:w="100" w:type="dxa"/>
              <w:bottom w:w="100" w:type="dxa"/>
              <w:right w:w="100" w:type="dxa"/>
            </w:tcMar>
          </w:tcPr>
          <w:p w14:paraId="288B8622"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4"/>
                <w:id w:val="1640680719"/>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0BA58508"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5"/>
                <w:id w:val="351384007"/>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67ED485A"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6"/>
                <w:id w:val="-2078268807"/>
              </w:sdtPr>
              <w:sdtContent>
                <w:r w:rsidR="004D6170" w:rsidRPr="00094F5F">
                  <w:rPr>
                    <w:rFonts w:ascii="Arial Unicode MS" w:eastAsia="Arial Unicode MS" w:hAnsi="Arial Unicode MS" w:cs="Arial Unicode MS"/>
                    <w:sz w:val="16"/>
                    <w:szCs w:val="16"/>
                  </w:rPr>
                  <w:t>✓</w:t>
                </w:r>
              </w:sdtContent>
            </w:sdt>
          </w:p>
        </w:tc>
      </w:tr>
      <w:tr w:rsidR="004D6170" w:rsidRPr="00094F5F" w14:paraId="450E96FB" w14:textId="77777777" w:rsidTr="00A941AF">
        <w:trPr>
          <w:trHeight w:val="360"/>
          <w:jc w:val="center"/>
        </w:trPr>
        <w:tc>
          <w:tcPr>
            <w:tcW w:w="3000" w:type="dxa"/>
            <w:vMerge/>
            <w:shd w:val="clear" w:color="auto" w:fill="auto"/>
            <w:tcMar>
              <w:top w:w="100" w:type="dxa"/>
              <w:left w:w="100" w:type="dxa"/>
              <w:bottom w:w="100" w:type="dxa"/>
              <w:right w:w="100" w:type="dxa"/>
            </w:tcMar>
          </w:tcPr>
          <w:p w14:paraId="5E631317"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19E04661"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Freed et al. (2013)</w:t>
            </w:r>
          </w:p>
        </w:tc>
        <w:tc>
          <w:tcPr>
            <w:tcW w:w="1095" w:type="dxa"/>
            <w:shd w:val="clear" w:color="auto" w:fill="auto"/>
            <w:tcMar>
              <w:top w:w="100" w:type="dxa"/>
              <w:left w:w="100" w:type="dxa"/>
              <w:bottom w:w="100" w:type="dxa"/>
              <w:right w:w="100" w:type="dxa"/>
            </w:tcMar>
          </w:tcPr>
          <w:p w14:paraId="4BF8B5BA"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1F608D25"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7"/>
                <w:id w:val="-740950189"/>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56137F7C"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2139C1EB" w14:textId="77777777" w:rsidTr="00A941AF">
        <w:trPr>
          <w:trHeight w:val="360"/>
          <w:jc w:val="center"/>
        </w:trPr>
        <w:tc>
          <w:tcPr>
            <w:tcW w:w="3000" w:type="dxa"/>
            <w:vMerge/>
            <w:shd w:val="clear" w:color="auto" w:fill="auto"/>
            <w:tcMar>
              <w:top w:w="100" w:type="dxa"/>
              <w:left w:w="100" w:type="dxa"/>
              <w:bottom w:w="100" w:type="dxa"/>
              <w:right w:w="100" w:type="dxa"/>
            </w:tcMar>
          </w:tcPr>
          <w:p w14:paraId="5BC2FA57"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620ACFAB"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Hsu et al. (2023)</w:t>
            </w:r>
          </w:p>
        </w:tc>
        <w:tc>
          <w:tcPr>
            <w:tcW w:w="1095" w:type="dxa"/>
            <w:shd w:val="clear" w:color="auto" w:fill="auto"/>
            <w:tcMar>
              <w:top w:w="100" w:type="dxa"/>
              <w:left w:w="100" w:type="dxa"/>
              <w:bottom w:w="100" w:type="dxa"/>
              <w:right w:w="100" w:type="dxa"/>
            </w:tcMar>
          </w:tcPr>
          <w:p w14:paraId="53CDBAD2"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1684F31E"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8"/>
                <w:id w:val="1906486735"/>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056F7DCD"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59"/>
                <w:id w:val="822556379"/>
              </w:sdtPr>
              <w:sdtContent>
                <w:r w:rsidR="004D6170" w:rsidRPr="00094F5F">
                  <w:rPr>
                    <w:rFonts w:ascii="Arial Unicode MS" w:eastAsia="Arial Unicode MS" w:hAnsi="Arial Unicode MS" w:cs="Arial Unicode MS"/>
                    <w:sz w:val="16"/>
                    <w:szCs w:val="16"/>
                  </w:rPr>
                  <w:t>✓</w:t>
                </w:r>
              </w:sdtContent>
            </w:sdt>
          </w:p>
        </w:tc>
      </w:tr>
      <w:tr w:rsidR="004D6170" w:rsidRPr="00094F5F" w14:paraId="0F269CBF" w14:textId="77777777" w:rsidTr="00A941AF">
        <w:trPr>
          <w:trHeight w:val="360"/>
          <w:jc w:val="center"/>
        </w:trPr>
        <w:tc>
          <w:tcPr>
            <w:tcW w:w="3000" w:type="dxa"/>
            <w:vMerge/>
            <w:shd w:val="clear" w:color="auto" w:fill="auto"/>
            <w:tcMar>
              <w:top w:w="100" w:type="dxa"/>
              <w:left w:w="100" w:type="dxa"/>
              <w:bottom w:w="100" w:type="dxa"/>
              <w:right w:w="100" w:type="dxa"/>
            </w:tcMar>
          </w:tcPr>
          <w:p w14:paraId="3FD120CC"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54E41670"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Lai &amp; Chan (2023)</w:t>
            </w:r>
          </w:p>
        </w:tc>
        <w:tc>
          <w:tcPr>
            <w:tcW w:w="1095" w:type="dxa"/>
            <w:shd w:val="clear" w:color="auto" w:fill="auto"/>
            <w:tcMar>
              <w:top w:w="100" w:type="dxa"/>
              <w:left w:w="100" w:type="dxa"/>
              <w:bottom w:w="100" w:type="dxa"/>
              <w:right w:w="100" w:type="dxa"/>
            </w:tcMar>
          </w:tcPr>
          <w:p w14:paraId="4D3DA8D8"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0"/>
                <w:id w:val="-1038125044"/>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51833E5C"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1"/>
                <w:id w:val="-1180116554"/>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2FC2BBC"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62E0875D" w14:textId="77777777" w:rsidTr="00A941AF">
        <w:trPr>
          <w:trHeight w:val="360"/>
          <w:jc w:val="center"/>
        </w:trPr>
        <w:tc>
          <w:tcPr>
            <w:tcW w:w="3000" w:type="dxa"/>
            <w:vMerge/>
            <w:shd w:val="clear" w:color="auto" w:fill="auto"/>
            <w:tcMar>
              <w:top w:w="100" w:type="dxa"/>
              <w:left w:w="100" w:type="dxa"/>
              <w:bottom w:w="100" w:type="dxa"/>
              <w:right w:w="100" w:type="dxa"/>
            </w:tcMar>
          </w:tcPr>
          <w:p w14:paraId="57580FDF"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6865B899"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Lin et al. (2014)</w:t>
            </w:r>
          </w:p>
        </w:tc>
        <w:tc>
          <w:tcPr>
            <w:tcW w:w="1095" w:type="dxa"/>
            <w:shd w:val="clear" w:color="auto" w:fill="auto"/>
            <w:tcMar>
              <w:top w:w="100" w:type="dxa"/>
              <w:left w:w="100" w:type="dxa"/>
              <w:bottom w:w="100" w:type="dxa"/>
              <w:right w:w="100" w:type="dxa"/>
            </w:tcMar>
          </w:tcPr>
          <w:p w14:paraId="2167B693"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22D3FBF2"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2"/>
                <w:id w:val="-1821117151"/>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397544E3"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43511B50" w14:textId="77777777" w:rsidTr="00A941AF">
        <w:trPr>
          <w:trHeight w:val="360"/>
          <w:jc w:val="center"/>
        </w:trPr>
        <w:tc>
          <w:tcPr>
            <w:tcW w:w="3000" w:type="dxa"/>
            <w:vMerge/>
            <w:shd w:val="clear" w:color="auto" w:fill="auto"/>
            <w:tcMar>
              <w:top w:w="100" w:type="dxa"/>
              <w:left w:w="100" w:type="dxa"/>
              <w:bottom w:w="100" w:type="dxa"/>
              <w:right w:w="100" w:type="dxa"/>
            </w:tcMar>
          </w:tcPr>
          <w:p w14:paraId="5AB5DEE3"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0E349E15"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Liu et al. (2018)</w:t>
            </w:r>
          </w:p>
        </w:tc>
        <w:tc>
          <w:tcPr>
            <w:tcW w:w="1095" w:type="dxa"/>
            <w:shd w:val="clear" w:color="auto" w:fill="auto"/>
            <w:tcMar>
              <w:top w:w="100" w:type="dxa"/>
              <w:left w:w="100" w:type="dxa"/>
              <w:bottom w:w="100" w:type="dxa"/>
              <w:right w:w="100" w:type="dxa"/>
            </w:tcMar>
          </w:tcPr>
          <w:p w14:paraId="13A14986"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3"/>
                <w:id w:val="1625122548"/>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2D8E4E81"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4"/>
                <w:id w:val="-442148637"/>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476686E0"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5"/>
                <w:id w:val="1222634340"/>
              </w:sdtPr>
              <w:sdtContent>
                <w:r w:rsidR="004D6170" w:rsidRPr="00094F5F">
                  <w:rPr>
                    <w:rFonts w:ascii="Arial Unicode MS" w:eastAsia="Arial Unicode MS" w:hAnsi="Arial Unicode MS" w:cs="Arial Unicode MS"/>
                    <w:sz w:val="16"/>
                    <w:szCs w:val="16"/>
                  </w:rPr>
                  <w:t>✓</w:t>
                </w:r>
              </w:sdtContent>
            </w:sdt>
          </w:p>
        </w:tc>
      </w:tr>
      <w:tr w:rsidR="004D6170" w:rsidRPr="00094F5F" w14:paraId="0A85AB3E" w14:textId="77777777" w:rsidTr="00A941AF">
        <w:trPr>
          <w:trHeight w:val="360"/>
          <w:jc w:val="center"/>
        </w:trPr>
        <w:tc>
          <w:tcPr>
            <w:tcW w:w="3000" w:type="dxa"/>
            <w:vMerge/>
            <w:shd w:val="clear" w:color="auto" w:fill="auto"/>
            <w:tcMar>
              <w:top w:w="100" w:type="dxa"/>
              <w:left w:w="100" w:type="dxa"/>
              <w:bottom w:w="100" w:type="dxa"/>
              <w:right w:w="100" w:type="dxa"/>
            </w:tcMar>
          </w:tcPr>
          <w:p w14:paraId="1991A109"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02DB8900"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Malhotra et al. (2019)</w:t>
            </w:r>
          </w:p>
        </w:tc>
        <w:tc>
          <w:tcPr>
            <w:tcW w:w="1095" w:type="dxa"/>
            <w:shd w:val="clear" w:color="auto" w:fill="auto"/>
            <w:tcMar>
              <w:top w:w="100" w:type="dxa"/>
              <w:left w:w="100" w:type="dxa"/>
              <w:bottom w:w="100" w:type="dxa"/>
              <w:right w:w="100" w:type="dxa"/>
            </w:tcMar>
          </w:tcPr>
          <w:p w14:paraId="3B23775A"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5AA693EF"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6"/>
                <w:id w:val="-728759793"/>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4386194E"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3AA1FC82" w14:textId="77777777" w:rsidTr="00A941AF">
        <w:trPr>
          <w:trHeight w:val="360"/>
          <w:jc w:val="center"/>
        </w:trPr>
        <w:tc>
          <w:tcPr>
            <w:tcW w:w="3000" w:type="dxa"/>
            <w:vMerge/>
            <w:shd w:val="clear" w:color="auto" w:fill="auto"/>
            <w:tcMar>
              <w:top w:w="100" w:type="dxa"/>
              <w:left w:w="100" w:type="dxa"/>
              <w:bottom w:w="100" w:type="dxa"/>
              <w:right w:w="100" w:type="dxa"/>
            </w:tcMar>
          </w:tcPr>
          <w:p w14:paraId="45071E33"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3D1E589A"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Martin et al. (2013)</w:t>
            </w:r>
          </w:p>
        </w:tc>
        <w:tc>
          <w:tcPr>
            <w:tcW w:w="1095" w:type="dxa"/>
            <w:shd w:val="clear" w:color="auto" w:fill="auto"/>
            <w:tcMar>
              <w:top w:w="100" w:type="dxa"/>
              <w:left w:w="100" w:type="dxa"/>
              <w:bottom w:w="100" w:type="dxa"/>
              <w:right w:w="100" w:type="dxa"/>
            </w:tcMar>
          </w:tcPr>
          <w:p w14:paraId="5039F020"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59BDCFD8"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7"/>
                <w:id w:val="1407347072"/>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61DB719A"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06B7D92C" w14:textId="77777777" w:rsidTr="00A941AF">
        <w:trPr>
          <w:trHeight w:val="360"/>
          <w:jc w:val="center"/>
        </w:trPr>
        <w:tc>
          <w:tcPr>
            <w:tcW w:w="3000" w:type="dxa"/>
            <w:vMerge/>
            <w:shd w:val="clear" w:color="auto" w:fill="auto"/>
            <w:tcMar>
              <w:top w:w="100" w:type="dxa"/>
              <w:left w:w="100" w:type="dxa"/>
              <w:bottom w:w="100" w:type="dxa"/>
              <w:right w:w="100" w:type="dxa"/>
            </w:tcMar>
          </w:tcPr>
          <w:p w14:paraId="7360DFB7"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66735D2C"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Mohsen &amp; Elabbassy (2021)</w:t>
            </w:r>
          </w:p>
        </w:tc>
        <w:tc>
          <w:tcPr>
            <w:tcW w:w="1095" w:type="dxa"/>
            <w:shd w:val="clear" w:color="auto" w:fill="auto"/>
            <w:tcMar>
              <w:top w:w="100" w:type="dxa"/>
              <w:left w:w="100" w:type="dxa"/>
              <w:bottom w:w="100" w:type="dxa"/>
              <w:right w:w="100" w:type="dxa"/>
            </w:tcMar>
          </w:tcPr>
          <w:p w14:paraId="72CA5E30"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588C4548"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8"/>
                <w:id w:val="-1400521444"/>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184AC016"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217BAFF2" w14:textId="77777777" w:rsidTr="00A941AF">
        <w:trPr>
          <w:trHeight w:val="360"/>
          <w:jc w:val="center"/>
        </w:trPr>
        <w:tc>
          <w:tcPr>
            <w:tcW w:w="3000" w:type="dxa"/>
            <w:vMerge/>
            <w:shd w:val="clear" w:color="auto" w:fill="auto"/>
            <w:tcMar>
              <w:top w:w="100" w:type="dxa"/>
              <w:left w:w="100" w:type="dxa"/>
              <w:bottom w:w="100" w:type="dxa"/>
              <w:right w:w="100" w:type="dxa"/>
            </w:tcMar>
          </w:tcPr>
          <w:p w14:paraId="561323E8"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37555A97"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Qvarfordt et al. (2021)</w:t>
            </w:r>
          </w:p>
        </w:tc>
        <w:tc>
          <w:tcPr>
            <w:tcW w:w="1095" w:type="dxa"/>
            <w:shd w:val="clear" w:color="auto" w:fill="auto"/>
            <w:tcMar>
              <w:top w:w="100" w:type="dxa"/>
              <w:left w:w="100" w:type="dxa"/>
              <w:bottom w:w="100" w:type="dxa"/>
              <w:right w:w="100" w:type="dxa"/>
            </w:tcMar>
          </w:tcPr>
          <w:p w14:paraId="60812E7E"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56E1773B"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69"/>
                <w:id w:val="1343742524"/>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22A7FC02"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r w:rsidR="004D6170" w:rsidRPr="00094F5F" w14:paraId="5DC26CE4" w14:textId="77777777" w:rsidTr="00A941AF">
        <w:trPr>
          <w:trHeight w:val="360"/>
          <w:jc w:val="center"/>
        </w:trPr>
        <w:tc>
          <w:tcPr>
            <w:tcW w:w="3000" w:type="dxa"/>
            <w:vMerge/>
            <w:shd w:val="clear" w:color="auto" w:fill="auto"/>
            <w:tcMar>
              <w:top w:w="100" w:type="dxa"/>
              <w:left w:w="100" w:type="dxa"/>
              <w:bottom w:w="100" w:type="dxa"/>
              <w:right w:w="100" w:type="dxa"/>
            </w:tcMar>
          </w:tcPr>
          <w:p w14:paraId="21199AE0"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6E57538C"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Smith et al. (2019)</w:t>
            </w:r>
          </w:p>
        </w:tc>
        <w:tc>
          <w:tcPr>
            <w:tcW w:w="1095" w:type="dxa"/>
            <w:shd w:val="clear" w:color="auto" w:fill="auto"/>
            <w:tcMar>
              <w:top w:w="100" w:type="dxa"/>
              <w:left w:w="100" w:type="dxa"/>
              <w:bottom w:w="100" w:type="dxa"/>
              <w:right w:w="100" w:type="dxa"/>
            </w:tcMar>
          </w:tcPr>
          <w:p w14:paraId="272D0956"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70"/>
                <w:id w:val="-2109342994"/>
              </w:sdtPr>
              <w:sdtContent>
                <w:r w:rsidR="004D6170" w:rsidRPr="00094F5F">
                  <w:rPr>
                    <w:rFonts w:ascii="Arial Unicode MS" w:eastAsia="Arial Unicode MS" w:hAnsi="Arial Unicode MS" w:cs="Arial Unicode MS"/>
                    <w:sz w:val="16"/>
                    <w:szCs w:val="16"/>
                  </w:rPr>
                  <w:t>✓</w:t>
                </w:r>
              </w:sdtContent>
            </w:sdt>
          </w:p>
        </w:tc>
        <w:tc>
          <w:tcPr>
            <w:tcW w:w="1275" w:type="dxa"/>
            <w:shd w:val="clear" w:color="auto" w:fill="auto"/>
            <w:tcMar>
              <w:top w:w="100" w:type="dxa"/>
              <w:left w:w="100" w:type="dxa"/>
              <w:bottom w:w="100" w:type="dxa"/>
              <w:right w:w="100" w:type="dxa"/>
            </w:tcMar>
          </w:tcPr>
          <w:p w14:paraId="05CBFC3E"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71"/>
                <w:id w:val="-186608426"/>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7D987B62"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72"/>
                <w:id w:val="919218935"/>
              </w:sdtPr>
              <w:sdtContent>
                <w:r w:rsidR="004D6170" w:rsidRPr="00094F5F">
                  <w:rPr>
                    <w:rFonts w:ascii="Arial Unicode MS" w:eastAsia="Arial Unicode MS" w:hAnsi="Arial Unicode MS" w:cs="Arial Unicode MS"/>
                    <w:sz w:val="16"/>
                    <w:szCs w:val="16"/>
                  </w:rPr>
                  <w:t>✓</w:t>
                </w:r>
              </w:sdtContent>
            </w:sdt>
          </w:p>
        </w:tc>
      </w:tr>
      <w:tr w:rsidR="004D6170" w:rsidRPr="00094F5F" w14:paraId="557F0A4E" w14:textId="77777777" w:rsidTr="00A941AF">
        <w:trPr>
          <w:trHeight w:val="360"/>
          <w:jc w:val="center"/>
        </w:trPr>
        <w:tc>
          <w:tcPr>
            <w:tcW w:w="3000" w:type="dxa"/>
            <w:vMerge/>
            <w:shd w:val="clear" w:color="auto" w:fill="auto"/>
            <w:tcMar>
              <w:top w:w="100" w:type="dxa"/>
              <w:left w:w="100" w:type="dxa"/>
              <w:bottom w:w="100" w:type="dxa"/>
              <w:right w:w="100" w:type="dxa"/>
            </w:tcMar>
          </w:tcPr>
          <w:p w14:paraId="06D83E46" w14:textId="77777777" w:rsidR="004D6170" w:rsidRPr="00094F5F" w:rsidRDefault="004D6170" w:rsidP="00A941AF">
            <w:pPr>
              <w:widowControl w:val="0"/>
              <w:pBdr>
                <w:top w:val="nil"/>
                <w:left w:val="nil"/>
                <w:bottom w:val="nil"/>
                <w:right w:val="nil"/>
                <w:between w:val="nil"/>
              </w:pBdr>
              <w:rPr>
                <w:rFonts w:ascii="Times New Roman" w:eastAsia="Times New Roman" w:hAnsi="Times New Roman" w:cs="Times New Roman"/>
                <w:sz w:val="16"/>
                <w:szCs w:val="16"/>
              </w:rPr>
            </w:pPr>
          </w:p>
        </w:tc>
        <w:tc>
          <w:tcPr>
            <w:tcW w:w="3030" w:type="dxa"/>
            <w:shd w:val="clear" w:color="auto" w:fill="auto"/>
            <w:tcMar>
              <w:top w:w="100" w:type="dxa"/>
              <w:left w:w="100" w:type="dxa"/>
              <w:bottom w:w="100" w:type="dxa"/>
              <w:right w:w="100" w:type="dxa"/>
            </w:tcMar>
          </w:tcPr>
          <w:p w14:paraId="30D9B5EF" w14:textId="77777777" w:rsidR="004D6170" w:rsidRPr="00094F5F" w:rsidRDefault="004D6170" w:rsidP="00A941AF">
            <w:pPr>
              <w:widowControl w:val="0"/>
              <w:spacing w:line="240" w:lineRule="auto"/>
              <w:rPr>
                <w:rFonts w:ascii="Times New Roman" w:eastAsia="Times New Roman" w:hAnsi="Times New Roman" w:cs="Times New Roman"/>
                <w:sz w:val="16"/>
                <w:szCs w:val="16"/>
              </w:rPr>
            </w:pPr>
            <w:r w:rsidRPr="00094F5F">
              <w:rPr>
                <w:rFonts w:ascii="Times New Roman" w:eastAsia="Times New Roman" w:hAnsi="Times New Roman" w:cs="Times New Roman"/>
                <w:sz w:val="16"/>
                <w:szCs w:val="16"/>
              </w:rPr>
              <w:t>Vaillancourt et al. (2019)</w:t>
            </w:r>
          </w:p>
        </w:tc>
        <w:tc>
          <w:tcPr>
            <w:tcW w:w="1095" w:type="dxa"/>
            <w:shd w:val="clear" w:color="auto" w:fill="auto"/>
            <w:tcMar>
              <w:top w:w="100" w:type="dxa"/>
              <w:left w:w="100" w:type="dxa"/>
              <w:bottom w:w="100" w:type="dxa"/>
              <w:right w:w="100" w:type="dxa"/>
            </w:tcMar>
          </w:tcPr>
          <w:p w14:paraId="2B2555A3"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c>
          <w:tcPr>
            <w:tcW w:w="1275" w:type="dxa"/>
            <w:shd w:val="clear" w:color="auto" w:fill="auto"/>
            <w:tcMar>
              <w:top w:w="100" w:type="dxa"/>
              <w:left w:w="100" w:type="dxa"/>
              <w:bottom w:w="100" w:type="dxa"/>
              <w:right w:w="100" w:type="dxa"/>
            </w:tcMar>
          </w:tcPr>
          <w:p w14:paraId="52531073" w14:textId="77777777" w:rsidR="004D6170" w:rsidRPr="00094F5F" w:rsidRDefault="00000000" w:rsidP="00A941AF">
            <w:pPr>
              <w:widowControl w:val="0"/>
              <w:spacing w:line="240" w:lineRule="auto"/>
              <w:jc w:val="center"/>
              <w:rPr>
                <w:rFonts w:ascii="Times New Roman" w:eastAsia="Times New Roman" w:hAnsi="Times New Roman" w:cs="Times New Roman"/>
                <w:sz w:val="16"/>
                <w:szCs w:val="16"/>
              </w:rPr>
            </w:pPr>
            <w:sdt>
              <w:sdtPr>
                <w:tag w:val="goog_rdk_73"/>
                <w:id w:val="-1672485307"/>
              </w:sdtPr>
              <w:sdtContent>
                <w:r w:rsidR="004D6170" w:rsidRPr="00094F5F">
                  <w:rPr>
                    <w:rFonts w:ascii="Arial Unicode MS" w:eastAsia="Arial Unicode MS" w:hAnsi="Arial Unicode MS" w:cs="Arial Unicode MS"/>
                    <w:sz w:val="16"/>
                    <w:szCs w:val="16"/>
                  </w:rPr>
                  <w:t>✓</w:t>
                </w:r>
              </w:sdtContent>
            </w:sdt>
          </w:p>
        </w:tc>
        <w:tc>
          <w:tcPr>
            <w:tcW w:w="1260" w:type="dxa"/>
            <w:shd w:val="clear" w:color="auto" w:fill="auto"/>
            <w:tcMar>
              <w:top w:w="100" w:type="dxa"/>
              <w:left w:w="100" w:type="dxa"/>
              <w:bottom w:w="100" w:type="dxa"/>
              <w:right w:w="100" w:type="dxa"/>
            </w:tcMar>
          </w:tcPr>
          <w:p w14:paraId="57AAFB7F" w14:textId="77777777" w:rsidR="004D6170" w:rsidRPr="00094F5F" w:rsidRDefault="004D6170" w:rsidP="00A941AF">
            <w:pPr>
              <w:widowControl w:val="0"/>
              <w:spacing w:line="240" w:lineRule="auto"/>
              <w:jc w:val="center"/>
              <w:rPr>
                <w:rFonts w:ascii="Times New Roman" w:eastAsia="Times New Roman" w:hAnsi="Times New Roman" w:cs="Times New Roman"/>
                <w:sz w:val="16"/>
                <w:szCs w:val="16"/>
              </w:rPr>
            </w:pPr>
          </w:p>
        </w:tc>
      </w:tr>
    </w:tbl>
    <w:p w14:paraId="180BC409" w14:textId="77777777" w:rsidR="004D6170" w:rsidRDefault="004D6170" w:rsidP="004D6170">
      <w:pPr>
        <w:rPr>
          <w:rFonts w:ascii="Times New Roman" w:hAnsi="Times New Roman" w:cs="Times New Roman"/>
          <w:b/>
          <w:bCs/>
          <w:sz w:val="24"/>
          <w:szCs w:val="24"/>
        </w:rPr>
      </w:pPr>
    </w:p>
    <w:p w14:paraId="4B3AE109" w14:textId="77777777" w:rsidR="004D6170" w:rsidRPr="004D6170" w:rsidRDefault="004D6170" w:rsidP="004D6170">
      <w:pPr>
        <w:rPr>
          <w:rFonts w:ascii="Times New Roman" w:hAnsi="Times New Roman" w:cs="Times New Roman"/>
          <w:b/>
          <w:bCs/>
          <w:sz w:val="24"/>
          <w:szCs w:val="24"/>
        </w:rPr>
      </w:pPr>
    </w:p>
    <w:sectPr w:rsidR="004D6170" w:rsidRPr="004D617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8EE4" w14:textId="77777777" w:rsidR="00352265" w:rsidRDefault="00352265" w:rsidP="002006C8">
      <w:pPr>
        <w:spacing w:after="0" w:line="240" w:lineRule="auto"/>
      </w:pPr>
      <w:r>
        <w:separator/>
      </w:r>
    </w:p>
  </w:endnote>
  <w:endnote w:type="continuationSeparator" w:id="0">
    <w:p w14:paraId="6331F50D" w14:textId="77777777" w:rsidR="00352265" w:rsidRDefault="00352265" w:rsidP="00200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163140"/>
      <w:docPartObj>
        <w:docPartGallery w:val="Page Numbers (Bottom of Page)"/>
        <w:docPartUnique/>
      </w:docPartObj>
    </w:sdtPr>
    <w:sdtEndPr>
      <w:rPr>
        <w:rFonts w:ascii="Times New Roman" w:hAnsi="Times New Roman" w:cs="Times New Roman"/>
        <w:noProof/>
        <w:sz w:val="24"/>
        <w:szCs w:val="24"/>
      </w:rPr>
    </w:sdtEndPr>
    <w:sdtContent>
      <w:p w14:paraId="2A052692" w14:textId="3F6D805B" w:rsidR="002006C8" w:rsidRPr="002006C8" w:rsidRDefault="002006C8">
        <w:pPr>
          <w:pStyle w:val="Footer"/>
          <w:jc w:val="center"/>
          <w:rPr>
            <w:rFonts w:ascii="Times New Roman" w:hAnsi="Times New Roman" w:cs="Times New Roman"/>
            <w:sz w:val="24"/>
            <w:szCs w:val="24"/>
          </w:rPr>
        </w:pPr>
        <w:r w:rsidRPr="002006C8">
          <w:rPr>
            <w:rFonts w:ascii="Times New Roman" w:hAnsi="Times New Roman" w:cs="Times New Roman"/>
            <w:sz w:val="24"/>
            <w:szCs w:val="24"/>
          </w:rPr>
          <w:fldChar w:fldCharType="begin"/>
        </w:r>
        <w:r w:rsidRPr="002006C8">
          <w:rPr>
            <w:rFonts w:ascii="Times New Roman" w:hAnsi="Times New Roman" w:cs="Times New Roman"/>
            <w:sz w:val="24"/>
            <w:szCs w:val="24"/>
          </w:rPr>
          <w:instrText xml:space="preserve"> PAGE   \* MERGEFORMAT </w:instrText>
        </w:r>
        <w:r w:rsidRPr="002006C8">
          <w:rPr>
            <w:rFonts w:ascii="Times New Roman" w:hAnsi="Times New Roman" w:cs="Times New Roman"/>
            <w:sz w:val="24"/>
            <w:szCs w:val="24"/>
          </w:rPr>
          <w:fldChar w:fldCharType="separate"/>
        </w:r>
        <w:r w:rsidRPr="002006C8">
          <w:rPr>
            <w:rFonts w:ascii="Times New Roman" w:hAnsi="Times New Roman" w:cs="Times New Roman"/>
            <w:noProof/>
            <w:sz w:val="24"/>
            <w:szCs w:val="24"/>
          </w:rPr>
          <w:t>2</w:t>
        </w:r>
        <w:r w:rsidRPr="002006C8">
          <w:rPr>
            <w:rFonts w:ascii="Times New Roman" w:hAnsi="Times New Roman" w:cs="Times New Roman"/>
            <w:noProof/>
            <w:sz w:val="24"/>
            <w:szCs w:val="24"/>
          </w:rPr>
          <w:fldChar w:fldCharType="end"/>
        </w:r>
      </w:p>
    </w:sdtContent>
  </w:sdt>
  <w:p w14:paraId="0DD87769" w14:textId="77777777" w:rsidR="002006C8" w:rsidRDefault="00200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0D59F" w14:textId="77777777" w:rsidR="00352265" w:rsidRDefault="00352265" w:rsidP="002006C8">
      <w:pPr>
        <w:spacing w:after="0" w:line="240" w:lineRule="auto"/>
      </w:pPr>
      <w:r>
        <w:separator/>
      </w:r>
    </w:p>
  </w:footnote>
  <w:footnote w:type="continuationSeparator" w:id="0">
    <w:p w14:paraId="1AD653AD" w14:textId="77777777" w:rsidR="00352265" w:rsidRDefault="00352265" w:rsidP="002006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D7B"/>
    <w:rsid w:val="000C7D31"/>
    <w:rsid w:val="002006C8"/>
    <w:rsid w:val="00352265"/>
    <w:rsid w:val="004D6170"/>
    <w:rsid w:val="006E23BC"/>
    <w:rsid w:val="007953D7"/>
    <w:rsid w:val="007C6583"/>
    <w:rsid w:val="008257FA"/>
    <w:rsid w:val="00867B4B"/>
    <w:rsid w:val="00A46E7E"/>
    <w:rsid w:val="00A56587"/>
    <w:rsid w:val="00B03686"/>
    <w:rsid w:val="00DD6E3D"/>
    <w:rsid w:val="00EB0D7B"/>
    <w:rsid w:val="00FE4C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7251"/>
  <w15:chartTrackingRefBased/>
  <w15:docId w15:val="{6B38A3E3-EA96-4157-A34A-6E065910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D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D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D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D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D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D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D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D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D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D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D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D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D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D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D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D7B"/>
    <w:rPr>
      <w:rFonts w:eastAsiaTheme="majorEastAsia" w:cstheme="majorBidi"/>
      <w:color w:val="272727" w:themeColor="text1" w:themeTint="D8"/>
    </w:rPr>
  </w:style>
  <w:style w:type="paragraph" w:styleId="Title">
    <w:name w:val="Title"/>
    <w:basedOn w:val="Normal"/>
    <w:next w:val="Normal"/>
    <w:link w:val="TitleChar"/>
    <w:uiPriority w:val="10"/>
    <w:qFormat/>
    <w:rsid w:val="00EB0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D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D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D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D7B"/>
    <w:pPr>
      <w:spacing w:before="160"/>
      <w:jc w:val="center"/>
    </w:pPr>
    <w:rPr>
      <w:i/>
      <w:iCs/>
      <w:color w:val="404040" w:themeColor="text1" w:themeTint="BF"/>
    </w:rPr>
  </w:style>
  <w:style w:type="character" w:customStyle="1" w:styleId="QuoteChar">
    <w:name w:val="Quote Char"/>
    <w:basedOn w:val="DefaultParagraphFont"/>
    <w:link w:val="Quote"/>
    <w:uiPriority w:val="29"/>
    <w:rsid w:val="00EB0D7B"/>
    <w:rPr>
      <w:i/>
      <w:iCs/>
      <w:color w:val="404040" w:themeColor="text1" w:themeTint="BF"/>
    </w:rPr>
  </w:style>
  <w:style w:type="paragraph" w:styleId="ListParagraph">
    <w:name w:val="List Paragraph"/>
    <w:basedOn w:val="Normal"/>
    <w:uiPriority w:val="34"/>
    <w:qFormat/>
    <w:rsid w:val="00EB0D7B"/>
    <w:pPr>
      <w:ind w:left="720"/>
      <w:contextualSpacing/>
    </w:pPr>
  </w:style>
  <w:style w:type="character" w:styleId="IntenseEmphasis">
    <w:name w:val="Intense Emphasis"/>
    <w:basedOn w:val="DefaultParagraphFont"/>
    <w:uiPriority w:val="21"/>
    <w:qFormat/>
    <w:rsid w:val="00EB0D7B"/>
    <w:rPr>
      <w:i/>
      <w:iCs/>
      <w:color w:val="0F4761" w:themeColor="accent1" w:themeShade="BF"/>
    </w:rPr>
  </w:style>
  <w:style w:type="paragraph" w:styleId="IntenseQuote">
    <w:name w:val="Intense Quote"/>
    <w:basedOn w:val="Normal"/>
    <w:next w:val="Normal"/>
    <w:link w:val="IntenseQuoteChar"/>
    <w:uiPriority w:val="30"/>
    <w:qFormat/>
    <w:rsid w:val="00EB0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D7B"/>
    <w:rPr>
      <w:i/>
      <w:iCs/>
      <w:color w:val="0F4761" w:themeColor="accent1" w:themeShade="BF"/>
    </w:rPr>
  </w:style>
  <w:style w:type="character" w:styleId="IntenseReference">
    <w:name w:val="Intense Reference"/>
    <w:basedOn w:val="DefaultParagraphFont"/>
    <w:uiPriority w:val="32"/>
    <w:qFormat/>
    <w:rsid w:val="00EB0D7B"/>
    <w:rPr>
      <w:b/>
      <w:bCs/>
      <w:smallCaps/>
      <w:color w:val="0F4761" w:themeColor="accent1" w:themeShade="BF"/>
      <w:spacing w:val="5"/>
    </w:rPr>
  </w:style>
  <w:style w:type="numbering" w:customStyle="1" w:styleId="NoList1">
    <w:name w:val="No List1"/>
    <w:next w:val="NoList"/>
    <w:uiPriority w:val="99"/>
    <w:semiHidden/>
    <w:unhideWhenUsed/>
    <w:rsid w:val="00EB0D7B"/>
  </w:style>
  <w:style w:type="character" w:customStyle="1" w:styleId="Hyperlink1">
    <w:name w:val="Hyperlink1"/>
    <w:basedOn w:val="DefaultParagraphFont"/>
    <w:uiPriority w:val="99"/>
    <w:semiHidden/>
    <w:unhideWhenUsed/>
    <w:rsid w:val="00EB0D7B"/>
    <w:rPr>
      <w:color w:val="0000FF"/>
      <w:u w:val="single"/>
    </w:rPr>
  </w:style>
  <w:style w:type="character" w:customStyle="1" w:styleId="FollowedHyperlink1">
    <w:name w:val="FollowedHyperlink1"/>
    <w:basedOn w:val="DefaultParagraphFont"/>
    <w:uiPriority w:val="99"/>
    <w:semiHidden/>
    <w:unhideWhenUsed/>
    <w:rsid w:val="00EB0D7B"/>
    <w:rPr>
      <w:color w:val="800080"/>
      <w:u w:val="single"/>
    </w:rPr>
  </w:style>
  <w:style w:type="paragraph" w:customStyle="1" w:styleId="msonormal0">
    <w:name w:val="msonormal"/>
    <w:basedOn w:val="Normal"/>
    <w:rsid w:val="00EB0D7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Hyperlink">
    <w:name w:val="Hyperlink"/>
    <w:basedOn w:val="DefaultParagraphFont"/>
    <w:uiPriority w:val="99"/>
    <w:semiHidden/>
    <w:unhideWhenUsed/>
    <w:rsid w:val="00EB0D7B"/>
    <w:rPr>
      <w:color w:val="467886" w:themeColor="hyperlink"/>
      <w:u w:val="single"/>
    </w:rPr>
  </w:style>
  <w:style w:type="character" w:styleId="FollowedHyperlink">
    <w:name w:val="FollowedHyperlink"/>
    <w:basedOn w:val="DefaultParagraphFont"/>
    <w:uiPriority w:val="99"/>
    <w:semiHidden/>
    <w:unhideWhenUsed/>
    <w:rsid w:val="00EB0D7B"/>
    <w:rPr>
      <w:color w:val="96607D" w:themeColor="followedHyperlink"/>
      <w:u w:val="single"/>
    </w:rPr>
  </w:style>
  <w:style w:type="paragraph" w:styleId="Header">
    <w:name w:val="header"/>
    <w:basedOn w:val="Normal"/>
    <w:link w:val="HeaderChar"/>
    <w:uiPriority w:val="99"/>
    <w:unhideWhenUsed/>
    <w:rsid w:val="00200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6C8"/>
  </w:style>
  <w:style w:type="paragraph" w:styleId="Footer">
    <w:name w:val="footer"/>
    <w:basedOn w:val="Normal"/>
    <w:link w:val="FooterChar"/>
    <w:uiPriority w:val="99"/>
    <w:unhideWhenUsed/>
    <w:rsid w:val="00200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657307">
      <w:bodyDiv w:val="1"/>
      <w:marLeft w:val="0"/>
      <w:marRight w:val="0"/>
      <w:marTop w:val="0"/>
      <w:marBottom w:val="0"/>
      <w:divBdr>
        <w:top w:val="none" w:sz="0" w:space="0" w:color="auto"/>
        <w:left w:val="none" w:sz="0" w:space="0" w:color="auto"/>
        <w:bottom w:val="none" w:sz="0" w:space="0" w:color="auto"/>
        <w:right w:val="none" w:sz="0" w:space="0" w:color="auto"/>
      </w:divBdr>
    </w:div>
    <w:div w:id="1080443569">
      <w:bodyDiv w:val="1"/>
      <w:marLeft w:val="0"/>
      <w:marRight w:val="0"/>
      <w:marTop w:val="0"/>
      <w:marBottom w:val="0"/>
      <w:divBdr>
        <w:top w:val="none" w:sz="0" w:space="0" w:color="auto"/>
        <w:left w:val="none" w:sz="0" w:space="0" w:color="auto"/>
        <w:bottom w:val="none" w:sz="0" w:space="0" w:color="auto"/>
        <w:right w:val="none" w:sz="0" w:space="0" w:color="auto"/>
      </w:divBdr>
    </w:div>
    <w:div w:id="140633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21</Pages>
  <Words>7977</Words>
  <Characters>45472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Dublin City University</Company>
  <LinksUpToDate>false</LinksUpToDate>
  <CharactersWithSpaces>53343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Marshall</dc:creator>
  <cp:keywords/>
  <dc:description/>
  <cp:lastModifiedBy>Neil Marshall</cp:lastModifiedBy>
  <cp:revision>5</cp:revision>
  <dcterms:created xsi:type="dcterms:W3CDTF">2024-08-12T12:09:00Z</dcterms:created>
  <dcterms:modified xsi:type="dcterms:W3CDTF">2025-02-06T11:59:00Z</dcterms:modified>
</cp:coreProperties>
</file>