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DC17DA" w14:textId="6896003C" w:rsidR="00D333D6" w:rsidRPr="00B041B2" w:rsidRDefault="003C5FC4" w:rsidP="004D0EF3">
      <w:pPr>
        <w:pStyle w:val="Heading2"/>
        <w:keepNext w:val="0"/>
        <w:keepLines w:val="0"/>
        <w:widowControl w:val="0"/>
      </w:pPr>
      <w:bookmarkStart w:id="0" w:name="_GoBack"/>
      <w:bookmarkEnd w:id="0"/>
      <w:r w:rsidRPr="003C5FC4">
        <w:t>Supplementary Material</w:t>
      </w:r>
      <w:r>
        <w:t xml:space="preserve"> 5</w:t>
      </w:r>
      <w:r w:rsidR="00A15F93">
        <w:t xml:space="preserve">: </w:t>
      </w:r>
      <w:r w:rsidR="00183E9E">
        <w:t xml:space="preserve">Health economic analysis: </w:t>
      </w:r>
    </w:p>
    <w:p w14:paraId="78A836DB" w14:textId="684D55AF" w:rsidR="00183E9E" w:rsidRPr="000D2909" w:rsidRDefault="00183E9E" w:rsidP="004D0EF3">
      <w:pPr>
        <w:widowControl w:val="0"/>
        <w:rPr>
          <w:rFonts w:cs="Calibri"/>
          <w:b/>
          <w:bCs/>
          <w:sz w:val="22"/>
          <w:szCs w:val="22"/>
        </w:rPr>
      </w:pPr>
      <w:r w:rsidRPr="000D2909">
        <w:rPr>
          <w:b/>
          <w:bCs/>
          <w:sz w:val="22"/>
          <w:szCs w:val="22"/>
        </w:rPr>
        <w:t>Mapping SDQ scores for cost-utility analysis</w:t>
      </w:r>
    </w:p>
    <w:p w14:paraId="1E71E924" w14:textId="7AE685CE" w:rsidR="00183E9E" w:rsidRPr="000D2909" w:rsidRDefault="00183E9E" w:rsidP="004D0EF3">
      <w:pPr>
        <w:widowControl w:val="0"/>
        <w:rPr>
          <w:rFonts w:cs="Calibri"/>
          <w:sz w:val="22"/>
          <w:szCs w:val="22"/>
        </w:rPr>
      </w:pPr>
      <w:r w:rsidRPr="000D2909">
        <w:rPr>
          <w:rFonts w:cs="Calibri"/>
          <w:sz w:val="22"/>
          <w:szCs w:val="22"/>
        </w:rPr>
        <w:t>The mean group utilities were obtained using the first Ordinary Least Squares (OLS) algorithm, which employs five subscales from the SDQ to calculate the utility values.</w:t>
      </w:r>
    </w:p>
    <w:p w14:paraId="1309C01B" w14:textId="77777777" w:rsidR="00183E9E" w:rsidRPr="000D2909" w:rsidRDefault="00183E9E" w:rsidP="004D0EF3">
      <w:pPr>
        <w:widowControl w:val="0"/>
        <w:rPr>
          <w:rFonts w:cs="Calibri"/>
          <w:sz w:val="22"/>
          <w:szCs w:val="22"/>
        </w:rPr>
      </w:pPr>
      <w:r w:rsidRPr="000D2909">
        <w:rPr>
          <w:rFonts w:cs="Calibri"/>
          <w:sz w:val="22"/>
          <w:szCs w:val="22"/>
        </w:rPr>
        <w:t xml:space="preserve">The formula used is as follows: </w:t>
      </w:r>
      <w:r w:rsidRPr="000D2909">
        <w:rPr>
          <w:rFonts w:cs="Calibri"/>
          <w:b/>
          <w:bCs/>
          <w:sz w:val="22"/>
          <w:szCs w:val="22"/>
        </w:rPr>
        <w:t xml:space="preserve">Utility = 0.880 + (-0.019 × emotion) + (-0.009 × conduct) + (-0.001 × hyperactivity) + (-0.008 × peer problems) + (0.005 × prosocial). </w:t>
      </w:r>
    </w:p>
    <w:p w14:paraId="781B7DDC" w14:textId="77777777" w:rsidR="00183E9E" w:rsidRPr="000D2909" w:rsidRDefault="00183E9E" w:rsidP="004D0EF3">
      <w:pPr>
        <w:widowControl w:val="0"/>
        <w:rPr>
          <w:rFonts w:cs="Calibri"/>
          <w:sz w:val="22"/>
          <w:szCs w:val="22"/>
        </w:rPr>
      </w:pPr>
      <w:r w:rsidRPr="000D2909">
        <w:rPr>
          <w:rFonts w:cs="Calibri"/>
          <w:sz w:val="22"/>
          <w:szCs w:val="22"/>
        </w:rPr>
        <w:t>This method ensures a comprehensive evaluation by considering multiple dimensions of the SDQ, thereby providing accurate and robust utility values for subsequent economic analyses.</w:t>
      </w:r>
    </w:p>
    <w:p w14:paraId="06893189" w14:textId="58BBCFF5" w:rsidR="00B15A28" w:rsidRPr="000D2909" w:rsidRDefault="00B15A28" w:rsidP="004D0EF3">
      <w:pPr>
        <w:widowControl w:val="0"/>
        <w:rPr>
          <w:rFonts w:cs="Calibri"/>
          <w:b/>
          <w:bCs/>
          <w:sz w:val="22"/>
          <w:szCs w:val="22"/>
        </w:rPr>
      </w:pPr>
      <w:r w:rsidRPr="000D2909">
        <w:rPr>
          <w:rFonts w:cs="Calibri"/>
          <w:b/>
          <w:bCs/>
          <w:sz w:val="22"/>
          <w:szCs w:val="22"/>
        </w:rPr>
        <w:t xml:space="preserve">Converting SDQ scores: </w:t>
      </w:r>
    </w:p>
    <w:p w14:paraId="7A360E6B" w14:textId="3E9C2020" w:rsidR="0045229B" w:rsidRPr="000D2909" w:rsidRDefault="0045229B" w:rsidP="004D0EF3">
      <w:pPr>
        <w:widowControl w:val="0"/>
        <w:rPr>
          <w:rFonts w:cs="Calibri"/>
          <w:b/>
          <w:bCs/>
          <w:sz w:val="22"/>
          <w:szCs w:val="22"/>
        </w:rPr>
      </w:pPr>
      <w:r w:rsidRPr="000D2909">
        <w:rPr>
          <w:rFonts w:cs="Calibri"/>
          <w:b/>
          <w:bCs/>
          <w:sz w:val="22"/>
          <w:szCs w:val="22"/>
        </w:rPr>
        <w:t>Child SDQ:</w:t>
      </w:r>
    </w:p>
    <w:tbl>
      <w:tblPr>
        <w:tblW w:w="8540" w:type="dxa"/>
        <w:tblLook w:val="04A0" w:firstRow="1" w:lastRow="0" w:firstColumn="1" w:lastColumn="0" w:noHBand="0" w:noVBand="1"/>
      </w:tblPr>
      <w:tblGrid>
        <w:gridCol w:w="2009"/>
        <w:gridCol w:w="2139"/>
        <w:gridCol w:w="2256"/>
        <w:gridCol w:w="2136"/>
      </w:tblGrid>
      <w:tr w:rsidR="0045229B" w:rsidRPr="000D2909" w14:paraId="7ACBA762" w14:textId="77777777" w:rsidTr="00886996">
        <w:trPr>
          <w:trHeight w:val="288"/>
        </w:trPr>
        <w:tc>
          <w:tcPr>
            <w:tcW w:w="4148" w:type="dxa"/>
            <w:gridSpan w:val="2"/>
            <w:tcBorders>
              <w:top w:val="single" w:sz="8" w:space="0" w:color="auto"/>
              <w:left w:val="single" w:sz="8" w:space="0" w:color="auto"/>
              <w:bottom w:val="nil"/>
              <w:right w:val="nil"/>
            </w:tcBorders>
            <w:shd w:val="clear" w:color="000000" w:fill="FFFFFF"/>
            <w:noWrap/>
            <w:vAlign w:val="center"/>
            <w:hideMark/>
          </w:tcPr>
          <w:p w14:paraId="06D40CCB" w14:textId="77777777" w:rsidR="0045229B" w:rsidRPr="000D2909" w:rsidRDefault="0045229B" w:rsidP="004D0EF3">
            <w:pPr>
              <w:widowControl w:val="0"/>
              <w:spacing w:after="0" w:line="240" w:lineRule="auto"/>
              <w:jc w:val="center"/>
              <w:rPr>
                <w:rFonts w:eastAsia="Times New Roman" w:cs="Arial"/>
                <w:b/>
                <w:bCs/>
                <w:color w:val="000000"/>
                <w:sz w:val="22"/>
                <w:szCs w:val="22"/>
                <w:lang w:eastAsia="en-GB"/>
              </w:rPr>
            </w:pPr>
            <w:r w:rsidRPr="000D2909">
              <w:rPr>
                <w:rFonts w:eastAsia="Times New Roman" w:cs="Arial"/>
                <w:b/>
                <w:bCs/>
                <w:color w:val="000000"/>
                <w:sz w:val="22"/>
                <w:szCs w:val="22"/>
                <w:lang w:eastAsia="en-GB"/>
              </w:rPr>
              <w:t>Utility Conversion</w:t>
            </w:r>
          </w:p>
        </w:tc>
        <w:tc>
          <w:tcPr>
            <w:tcW w:w="2256" w:type="dxa"/>
            <w:vMerge w:val="restart"/>
            <w:tcBorders>
              <w:top w:val="single" w:sz="8" w:space="0" w:color="auto"/>
              <w:left w:val="nil"/>
              <w:bottom w:val="single" w:sz="8" w:space="0" w:color="000000"/>
              <w:right w:val="nil"/>
            </w:tcBorders>
            <w:shd w:val="clear" w:color="000000" w:fill="FFFFFF"/>
            <w:vAlign w:val="center"/>
            <w:hideMark/>
          </w:tcPr>
          <w:p w14:paraId="0FFB8D35" w14:textId="77777777" w:rsidR="0045229B" w:rsidRPr="000D2909" w:rsidRDefault="0045229B" w:rsidP="004D0EF3">
            <w:pPr>
              <w:widowControl w:val="0"/>
              <w:spacing w:after="0" w:line="240" w:lineRule="auto"/>
              <w:jc w:val="center"/>
              <w:rPr>
                <w:rFonts w:eastAsia="Times New Roman" w:cs="Arial"/>
                <w:b/>
                <w:bCs/>
                <w:color w:val="000000"/>
                <w:sz w:val="22"/>
                <w:szCs w:val="22"/>
                <w:lang w:eastAsia="en-GB"/>
              </w:rPr>
            </w:pPr>
            <w:r w:rsidRPr="000D2909">
              <w:rPr>
                <w:rFonts w:eastAsia="Times New Roman" w:cs="Arial"/>
                <w:b/>
                <w:bCs/>
                <w:color w:val="000000"/>
                <w:sz w:val="22"/>
                <w:szCs w:val="22"/>
                <w:lang w:eastAsia="en-GB"/>
              </w:rPr>
              <w:t>Difference</w:t>
            </w:r>
          </w:p>
        </w:tc>
        <w:tc>
          <w:tcPr>
            <w:tcW w:w="2136" w:type="dxa"/>
            <w:vMerge w:val="restart"/>
            <w:tcBorders>
              <w:top w:val="single" w:sz="8" w:space="0" w:color="auto"/>
              <w:left w:val="nil"/>
              <w:bottom w:val="single" w:sz="8" w:space="0" w:color="000000"/>
              <w:right w:val="single" w:sz="8" w:space="0" w:color="auto"/>
            </w:tcBorders>
            <w:shd w:val="clear" w:color="000000" w:fill="FFFFFF"/>
            <w:vAlign w:val="center"/>
            <w:hideMark/>
          </w:tcPr>
          <w:p w14:paraId="4064EC57" w14:textId="77777777" w:rsidR="0045229B" w:rsidRPr="000D2909" w:rsidRDefault="0045229B" w:rsidP="004D0EF3">
            <w:pPr>
              <w:widowControl w:val="0"/>
              <w:spacing w:after="0" w:line="240" w:lineRule="auto"/>
              <w:jc w:val="center"/>
              <w:rPr>
                <w:rFonts w:eastAsia="Times New Roman" w:cs="Arial"/>
                <w:b/>
                <w:bCs/>
                <w:color w:val="000000"/>
                <w:sz w:val="22"/>
                <w:szCs w:val="22"/>
                <w:lang w:eastAsia="en-GB"/>
              </w:rPr>
            </w:pPr>
            <w:r w:rsidRPr="000D2909">
              <w:rPr>
                <w:rFonts w:eastAsia="Times New Roman" w:cs="Arial"/>
                <w:b/>
                <w:bCs/>
                <w:color w:val="000000"/>
                <w:sz w:val="22"/>
                <w:szCs w:val="22"/>
                <w:lang w:eastAsia="en-GB"/>
              </w:rPr>
              <w:t>Discounted Post-Treatment</w:t>
            </w:r>
          </w:p>
        </w:tc>
      </w:tr>
      <w:tr w:rsidR="0045229B" w:rsidRPr="000D2909" w14:paraId="4F134776" w14:textId="77777777" w:rsidTr="00886996">
        <w:trPr>
          <w:trHeight w:val="300"/>
        </w:trPr>
        <w:tc>
          <w:tcPr>
            <w:tcW w:w="2009" w:type="dxa"/>
            <w:tcBorders>
              <w:top w:val="nil"/>
              <w:left w:val="single" w:sz="8" w:space="0" w:color="auto"/>
              <w:bottom w:val="single" w:sz="8" w:space="0" w:color="auto"/>
              <w:right w:val="nil"/>
            </w:tcBorders>
            <w:shd w:val="clear" w:color="000000" w:fill="FFFFFF"/>
            <w:noWrap/>
            <w:vAlign w:val="center"/>
            <w:hideMark/>
          </w:tcPr>
          <w:p w14:paraId="71E15C60" w14:textId="77777777" w:rsidR="0045229B" w:rsidRPr="000D2909" w:rsidRDefault="0045229B" w:rsidP="004D0EF3">
            <w:pPr>
              <w:widowControl w:val="0"/>
              <w:spacing w:after="0" w:line="240" w:lineRule="auto"/>
              <w:jc w:val="center"/>
              <w:rPr>
                <w:rFonts w:eastAsia="Times New Roman" w:cs="Arial"/>
                <w:color w:val="000000"/>
                <w:sz w:val="22"/>
                <w:szCs w:val="22"/>
                <w:lang w:eastAsia="en-GB"/>
              </w:rPr>
            </w:pPr>
            <w:r w:rsidRPr="000D2909">
              <w:rPr>
                <w:rFonts w:eastAsia="Times New Roman" w:cs="Arial"/>
                <w:color w:val="000000"/>
                <w:sz w:val="22"/>
                <w:szCs w:val="22"/>
                <w:lang w:eastAsia="en-GB"/>
              </w:rPr>
              <w:t>Pre-treatment</w:t>
            </w:r>
          </w:p>
        </w:tc>
        <w:tc>
          <w:tcPr>
            <w:tcW w:w="2139" w:type="dxa"/>
            <w:tcBorders>
              <w:top w:val="nil"/>
              <w:left w:val="nil"/>
              <w:bottom w:val="single" w:sz="8" w:space="0" w:color="auto"/>
              <w:right w:val="nil"/>
            </w:tcBorders>
            <w:shd w:val="clear" w:color="000000" w:fill="FFFFFF"/>
            <w:noWrap/>
            <w:vAlign w:val="center"/>
            <w:hideMark/>
          </w:tcPr>
          <w:p w14:paraId="6DA1BFCA" w14:textId="77777777" w:rsidR="0045229B" w:rsidRPr="000D2909" w:rsidRDefault="0045229B" w:rsidP="004D0EF3">
            <w:pPr>
              <w:widowControl w:val="0"/>
              <w:spacing w:after="0" w:line="240" w:lineRule="auto"/>
              <w:jc w:val="center"/>
              <w:rPr>
                <w:rFonts w:eastAsia="Times New Roman" w:cs="Arial"/>
                <w:color w:val="000000"/>
                <w:sz w:val="22"/>
                <w:szCs w:val="22"/>
                <w:lang w:eastAsia="en-GB"/>
              </w:rPr>
            </w:pPr>
            <w:r w:rsidRPr="000D2909">
              <w:rPr>
                <w:rFonts w:eastAsia="Times New Roman" w:cs="Arial"/>
                <w:color w:val="000000"/>
                <w:sz w:val="22"/>
                <w:szCs w:val="22"/>
                <w:lang w:eastAsia="en-GB"/>
              </w:rPr>
              <w:t>Post-treatment</w:t>
            </w:r>
          </w:p>
        </w:tc>
        <w:tc>
          <w:tcPr>
            <w:tcW w:w="2256" w:type="dxa"/>
            <w:vMerge/>
            <w:tcBorders>
              <w:top w:val="single" w:sz="8" w:space="0" w:color="auto"/>
              <w:left w:val="nil"/>
              <w:bottom w:val="single" w:sz="8" w:space="0" w:color="000000"/>
              <w:right w:val="nil"/>
            </w:tcBorders>
            <w:vAlign w:val="center"/>
            <w:hideMark/>
          </w:tcPr>
          <w:p w14:paraId="71479E64" w14:textId="77777777" w:rsidR="0045229B" w:rsidRPr="000D2909" w:rsidRDefault="0045229B" w:rsidP="004D0EF3">
            <w:pPr>
              <w:widowControl w:val="0"/>
              <w:spacing w:after="0" w:line="240" w:lineRule="auto"/>
              <w:rPr>
                <w:rFonts w:eastAsia="Times New Roman" w:cs="Arial"/>
                <w:b/>
                <w:bCs/>
                <w:color w:val="000000"/>
                <w:sz w:val="22"/>
                <w:szCs w:val="22"/>
                <w:lang w:eastAsia="en-GB"/>
              </w:rPr>
            </w:pPr>
          </w:p>
        </w:tc>
        <w:tc>
          <w:tcPr>
            <w:tcW w:w="2136" w:type="dxa"/>
            <w:vMerge/>
            <w:tcBorders>
              <w:top w:val="single" w:sz="8" w:space="0" w:color="auto"/>
              <w:left w:val="nil"/>
              <w:bottom w:val="single" w:sz="8" w:space="0" w:color="000000"/>
              <w:right w:val="single" w:sz="8" w:space="0" w:color="auto"/>
            </w:tcBorders>
            <w:vAlign w:val="center"/>
            <w:hideMark/>
          </w:tcPr>
          <w:p w14:paraId="639465D3" w14:textId="77777777" w:rsidR="0045229B" w:rsidRPr="000D2909" w:rsidRDefault="0045229B" w:rsidP="004D0EF3">
            <w:pPr>
              <w:widowControl w:val="0"/>
              <w:spacing w:after="0" w:line="240" w:lineRule="auto"/>
              <w:rPr>
                <w:rFonts w:eastAsia="Times New Roman" w:cs="Arial"/>
                <w:b/>
                <w:bCs/>
                <w:color w:val="000000"/>
                <w:sz w:val="22"/>
                <w:szCs w:val="22"/>
                <w:lang w:eastAsia="en-GB"/>
              </w:rPr>
            </w:pPr>
          </w:p>
        </w:tc>
      </w:tr>
      <w:tr w:rsidR="0045229B" w:rsidRPr="000D2909" w14:paraId="75FE713A" w14:textId="77777777" w:rsidTr="00886996">
        <w:trPr>
          <w:trHeight w:val="300"/>
        </w:trPr>
        <w:tc>
          <w:tcPr>
            <w:tcW w:w="2009" w:type="dxa"/>
            <w:tcBorders>
              <w:top w:val="nil"/>
              <w:left w:val="single" w:sz="8" w:space="0" w:color="auto"/>
              <w:bottom w:val="nil"/>
              <w:right w:val="nil"/>
            </w:tcBorders>
            <w:shd w:val="clear" w:color="000000" w:fill="C0E6F5"/>
            <w:noWrap/>
            <w:vAlign w:val="bottom"/>
            <w:hideMark/>
          </w:tcPr>
          <w:p w14:paraId="31A964B7" w14:textId="77777777" w:rsidR="0045229B" w:rsidRPr="000D2909" w:rsidRDefault="0045229B" w:rsidP="004D0EF3">
            <w:pPr>
              <w:widowControl w:val="0"/>
              <w:spacing w:after="0" w:line="240" w:lineRule="auto"/>
              <w:jc w:val="center"/>
              <w:rPr>
                <w:rFonts w:eastAsia="Times New Roman" w:cs="Arial"/>
                <w:b/>
                <w:bCs/>
                <w:color w:val="000000"/>
                <w:sz w:val="22"/>
                <w:szCs w:val="22"/>
                <w:lang w:eastAsia="en-GB"/>
              </w:rPr>
            </w:pPr>
            <w:r w:rsidRPr="000D2909">
              <w:rPr>
                <w:rFonts w:eastAsia="Times New Roman" w:cs="Arial"/>
                <w:b/>
                <w:bCs/>
                <w:color w:val="000000"/>
                <w:sz w:val="22"/>
                <w:szCs w:val="22"/>
                <w:lang w:eastAsia="en-GB"/>
              </w:rPr>
              <w:t>0.746</w:t>
            </w:r>
          </w:p>
        </w:tc>
        <w:tc>
          <w:tcPr>
            <w:tcW w:w="2139" w:type="dxa"/>
            <w:tcBorders>
              <w:top w:val="nil"/>
              <w:left w:val="nil"/>
              <w:bottom w:val="nil"/>
              <w:right w:val="nil"/>
            </w:tcBorders>
            <w:shd w:val="clear" w:color="000000" w:fill="C0E6F5"/>
            <w:noWrap/>
            <w:vAlign w:val="bottom"/>
            <w:hideMark/>
          </w:tcPr>
          <w:p w14:paraId="4A899B12" w14:textId="77777777" w:rsidR="0045229B" w:rsidRPr="000D2909" w:rsidRDefault="0045229B" w:rsidP="004D0EF3">
            <w:pPr>
              <w:widowControl w:val="0"/>
              <w:spacing w:after="0" w:line="240" w:lineRule="auto"/>
              <w:jc w:val="center"/>
              <w:rPr>
                <w:rFonts w:eastAsia="Times New Roman" w:cs="Arial"/>
                <w:b/>
                <w:bCs/>
                <w:color w:val="000000"/>
                <w:sz w:val="22"/>
                <w:szCs w:val="22"/>
                <w:lang w:eastAsia="en-GB"/>
              </w:rPr>
            </w:pPr>
            <w:r w:rsidRPr="000D2909">
              <w:rPr>
                <w:rFonts w:eastAsia="Times New Roman" w:cs="Arial"/>
                <w:b/>
                <w:bCs/>
                <w:color w:val="000000"/>
                <w:sz w:val="22"/>
                <w:szCs w:val="22"/>
                <w:lang w:eastAsia="en-GB"/>
              </w:rPr>
              <w:t>0.770</w:t>
            </w:r>
          </w:p>
        </w:tc>
        <w:tc>
          <w:tcPr>
            <w:tcW w:w="2256" w:type="dxa"/>
            <w:tcBorders>
              <w:top w:val="nil"/>
              <w:left w:val="nil"/>
              <w:bottom w:val="nil"/>
              <w:right w:val="nil"/>
            </w:tcBorders>
            <w:shd w:val="clear" w:color="000000" w:fill="C0E6F5"/>
            <w:noWrap/>
            <w:vAlign w:val="bottom"/>
            <w:hideMark/>
          </w:tcPr>
          <w:p w14:paraId="1C0ECC2C" w14:textId="77777777" w:rsidR="0045229B" w:rsidRPr="000D2909" w:rsidRDefault="0045229B" w:rsidP="004D0EF3">
            <w:pPr>
              <w:widowControl w:val="0"/>
              <w:spacing w:after="0" w:line="240" w:lineRule="auto"/>
              <w:jc w:val="center"/>
              <w:rPr>
                <w:rFonts w:eastAsia="Times New Roman" w:cs="Arial"/>
                <w:b/>
                <w:bCs/>
                <w:color w:val="000000"/>
                <w:sz w:val="22"/>
                <w:szCs w:val="22"/>
                <w:lang w:eastAsia="en-GB"/>
              </w:rPr>
            </w:pPr>
            <w:r w:rsidRPr="000D2909">
              <w:rPr>
                <w:rFonts w:eastAsia="Times New Roman" w:cs="Arial"/>
                <w:b/>
                <w:bCs/>
                <w:color w:val="000000"/>
                <w:sz w:val="22"/>
                <w:szCs w:val="22"/>
                <w:lang w:eastAsia="en-GB"/>
              </w:rPr>
              <w:t>0.0236</w:t>
            </w:r>
          </w:p>
        </w:tc>
        <w:tc>
          <w:tcPr>
            <w:tcW w:w="2136" w:type="dxa"/>
            <w:tcBorders>
              <w:top w:val="nil"/>
              <w:left w:val="nil"/>
              <w:bottom w:val="nil"/>
              <w:right w:val="single" w:sz="8" w:space="0" w:color="auto"/>
            </w:tcBorders>
            <w:shd w:val="clear" w:color="000000" w:fill="C0E6F5"/>
            <w:noWrap/>
            <w:vAlign w:val="bottom"/>
            <w:hideMark/>
          </w:tcPr>
          <w:p w14:paraId="7EBB6429" w14:textId="77777777" w:rsidR="0045229B" w:rsidRPr="000D2909" w:rsidRDefault="0045229B" w:rsidP="004D0EF3">
            <w:pPr>
              <w:widowControl w:val="0"/>
              <w:spacing w:after="0" w:line="240" w:lineRule="auto"/>
              <w:jc w:val="center"/>
              <w:rPr>
                <w:rFonts w:eastAsia="Times New Roman" w:cs="Arial"/>
                <w:b/>
                <w:bCs/>
                <w:color w:val="000000"/>
                <w:sz w:val="22"/>
                <w:szCs w:val="22"/>
                <w:lang w:eastAsia="en-GB"/>
              </w:rPr>
            </w:pPr>
            <w:r w:rsidRPr="000D2909">
              <w:rPr>
                <w:rFonts w:eastAsia="Times New Roman" w:cs="Arial"/>
                <w:b/>
                <w:bCs/>
                <w:color w:val="000000"/>
                <w:sz w:val="22"/>
                <w:szCs w:val="22"/>
                <w:lang w:eastAsia="en-GB"/>
              </w:rPr>
              <w:t>0.0236</w:t>
            </w:r>
          </w:p>
        </w:tc>
      </w:tr>
    </w:tbl>
    <w:p w14:paraId="3D4AB37C" w14:textId="77777777" w:rsidR="0045229B" w:rsidRPr="000D2909" w:rsidRDefault="0045229B" w:rsidP="004D0EF3">
      <w:pPr>
        <w:widowControl w:val="0"/>
        <w:rPr>
          <w:rFonts w:cs="Calibri"/>
          <w:sz w:val="22"/>
          <w:szCs w:val="22"/>
        </w:rPr>
      </w:pPr>
    </w:p>
    <w:p w14:paraId="709EEF73" w14:textId="77777777" w:rsidR="0045229B" w:rsidRPr="000D2909" w:rsidRDefault="0045229B" w:rsidP="004D0EF3">
      <w:pPr>
        <w:widowControl w:val="0"/>
        <w:rPr>
          <w:rFonts w:cs="Calibri"/>
          <w:b/>
          <w:bCs/>
          <w:sz w:val="22"/>
          <w:szCs w:val="22"/>
        </w:rPr>
      </w:pPr>
      <w:r w:rsidRPr="000D2909">
        <w:rPr>
          <w:rFonts w:cs="Calibri"/>
          <w:b/>
          <w:bCs/>
          <w:sz w:val="22"/>
          <w:szCs w:val="22"/>
        </w:rPr>
        <w:t>Parent SDQ:</w:t>
      </w:r>
    </w:p>
    <w:tbl>
      <w:tblPr>
        <w:tblW w:w="8540" w:type="dxa"/>
        <w:tblLook w:val="04A0" w:firstRow="1" w:lastRow="0" w:firstColumn="1" w:lastColumn="0" w:noHBand="0" w:noVBand="1"/>
      </w:tblPr>
      <w:tblGrid>
        <w:gridCol w:w="2009"/>
        <w:gridCol w:w="2139"/>
        <w:gridCol w:w="2256"/>
        <w:gridCol w:w="2136"/>
      </w:tblGrid>
      <w:tr w:rsidR="0045229B" w:rsidRPr="000D2909" w14:paraId="06AFB40C" w14:textId="77777777" w:rsidTr="00886996">
        <w:trPr>
          <w:trHeight w:val="288"/>
        </w:trPr>
        <w:tc>
          <w:tcPr>
            <w:tcW w:w="4148" w:type="dxa"/>
            <w:gridSpan w:val="2"/>
            <w:tcBorders>
              <w:top w:val="single" w:sz="8" w:space="0" w:color="auto"/>
              <w:left w:val="single" w:sz="8" w:space="0" w:color="auto"/>
              <w:bottom w:val="nil"/>
              <w:right w:val="nil"/>
            </w:tcBorders>
            <w:shd w:val="clear" w:color="000000" w:fill="FFFFFF"/>
            <w:noWrap/>
            <w:vAlign w:val="center"/>
            <w:hideMark/>
          </w:tcPr>
          <w:p w14:paraId="1C54EFD0" w14:textId="77777777" w:rsidR="0045229B" w:rsidRPr="000D2909" w:rsidRDefault="0045229B" w:rsidP="004D0EF3">
            <w:pPr>
              <w:widowControl w:val="0"/>
              <w:spacing w:after="0" w:line="240" w:lineRule="auto"/>
              <w:jc w:val="center"/>
              <w:rPr>
                <w:rFonts w:eastAsia="Times New Roman" w:cs="Arial"/>
                <w:b/>
                <w:bCs/>
                <w:color w:val="000000"/>
                <w:sz w:val="22"/>
                <w:szCs w:val="22"/>
                <w:lang w:eastAsia="en-GB"/>
              </w:rPr>
            </w:pPr>
            <w:r w:rsidRPr="000D2909">
              <w:rPr>
                <w:rFonts w:eastAsia="Times New Roman" w:cs="Arial"/>
                <w:b/>
                <w:bCs/>
                <w:color w:val="000000"/>
                <w:sz w:val="22"/>
                <w:szCs w:val="22"/>
                <w:lang w:eastAsia="en-GB"/>
              </w:rPr>
              <w:t>Utility Conversion</w:t>
            </w:r>
          </w:p>
        </w:tc>
        <w:tc>
          <w:tcPr>
            <w:tcW w:w="2256" w:type="dxa"/>
            <w:vMerge w:val="restart"/>
            <w:tcBorders>
              <w:top w:val="single" w:sz="8" w:space="0" w:color="auto"/>
              <w:left w:val="nil"/>
              <w:bottom w:val="single" w:sz="8" w:space="0" w:color="000000"/>
              <w:right w:val="nil"/>
            </w:tcBorders>
            <w:shd w:val="clear" w:color="000000" w:fill="FFFFFF"/>
            <w:vAlign w:val="center"/>
            <w:hideMark/>
          </w:tcPr>
          <w:p w14:paraId="0180BABC" w14:textId="77777777" w:rsidR="0045229B" w:rsidRPr="000D2909" w:rsidRDefault="0045229B" w:rsidP="004D0EF3">
            <w:pPr>
              <w:widowControl w:val="0"/>
              <w:spacing w:after="0" w:line="240" w:lineRule="auto"/>
              <w:jc w:val="center"/>
              <w:rPr>
                <w:rFonts w:eastAsia="Times New Roman" w:cs="Arial"/>
                <w:b/>
                <w:bCs/>
                <w:color w:val="000000"/>
                <w:sz w:val="22"/>
                <w:szCs w:val="22"/>
                <w:lang w:eastAsia="en-GB"/>
              </w:rPr>
            </w:pPr>
            <w:r w:rsidRPr="000D2909">
              <w:rPr>
                <w:rFonts w:eastAsia="Times New Roman" w:cs="Arial"/>
                <w:b/>
                <w:bCs/>
                <w:color w:val="000000"/>
                <w:sz w:val="22"/>
                <w:szCs w:val="22"/>
                <w:lang w:eastAsia="en-GB"/>
              </w:rPr>
              <w:t>Difference</w:t>
            </w:r>
          </w:p>
        </w:tc>
        <w:tc>
          <w:tcPr>
            <w:tcW w:w="2136" w:type="dxa"/>
            <w:vMerge w:val="restart"/>
            <w:tcBorders>
              <w:top w:val="single" w:sz="8" w:space="0" w:color="auto"/>
              <w:left w:val="nil"/>
              <w:bottom w:val="single" w:sz="8" w:space="0" w:color="000000"/>
              <w:right w:val="single" w:sz="8" w:space="0" w:color="auto"/>
            </w:tcBorders>
            <w:shd w:val="clear" w:color="000000" w:fill="FFFFFF"/>
            <w:vAlign w:val="center"/>
            <w:hideMark/>
          </w:tcPr>
          <w:p w14:paraId="42886C4E" w14:textId="77777777" w:rsidR="0045229B" w:rsidRPr="000D2909" w:rsidRDefault="0045229B" w:rsidP="004D0EF3">
            <w:pPr>
              <w:widowControl w:val="0"/>
              <w:spacing w:after="0" w:line="240" w:lineRule="auto"/>
              <w:jc w:val="center"/>
              <w:rPr>
                <w:rFonts w:eastAsia="Times New Roman" w:cs="Arial"/>
                <w:b/>
                <w:bCs/>
                <w:color w:val="000000"/>
                <w:sz w:val="22"/>
                <w:szCs w:val="22"/>
                <w:lang w:eastAsia="en-GB"/>
              </w:rPr>
            </w:pPr>
            <w:r w:rsidRPr="000D2909">
              <w:rPr>
                <w:rFonts w:eastAsia="Times New Roman" w:cs="Arial"/>
                <w:b/>
                <w:bCs/>
                <w:color w:val="000000"/>
                <w:sz w:val="22"/>
                <w:szCs w:val="22"/>
                <w:lang w:eastAsia="en-GB"/>
              </w:rPr>
              <w:t>Discounted Post-Treatment</w:t>
            </w:r>
          </w:p>
        </w:tc>
      </w:tr>
      <w:tr w:rsidR="0045229B" w:rsidRPr="000D2909" w14:paraId="48AAF0C3" w14:textId="77777777" w:rsidTr="00886996">
        <w:trPr>
          <w:trHeight w:val="300"/>
        </w:trPr>
        <w:tc>
          <w:tcPr>
            <w:tcW w:w="2009" w:type="dxa"/>
            <w:tcBorders>
              <w:top w:val="nil"/>
              <w:left w:val="single" w:sz="8" w:space="0" w:color="auto"/>
              <w:bottom w:val="single" w:sz="8" w:space="0" w:color="auto"/>
              <w:right w:val="nil"/>
            </w:tcBorders>
            <w:shd w:val="clear" w:color="000000" w:fill="FFFFFF"/>
            <w:noWrap/>
            <w:vAlign w:val="center"/>
            <w:hideMark/>
          </w:tcPr>
          <w:p w14:paraId="1D9AE8C8" w14:textId="77777777" w:rsidR="0045229B" w:rsidRPr="000D2909" w:rsidRDefault="0045229B" w:rsidP="004D0EF3">
            <w:pPr>
              <w:widowControl w:val="0"/>
              <w:spacing w:after="0" w:line="240" w:lineRule="auto"/>
              <w:jc w:val="center"/>
              <w:rPr>
                <w:rFonts w:eastAsia="Times New Roman" w:cs="Arial"/>
                <w:color w:val="000000"/>
                <w:sz w:val="22"/>
                <w:szCs w:val="22"/>
                <w:lang w:eastAsia="en-GB"/>
              </w:rPr>
            </w:pPr>
            <w:r w:rsidRPr="000D2909">
              <w:rPr>
                <w:rFonts w:eastAsia="Times New Roman" w:cs="Arial"/>
                <w:color w:val="000000"/>
                <w:sz w:val="22"/>
                <w:szCs w:val="22"/>
                <w:lang w:eastAsia="en-GB"/>
              </w:rPr>
              <w:t>Pre-treatment</w:t>
            </w:r>
          </w:p>
        </w:tc>
        <w:tc>
          <w:tcPr>
            <w:tcW w:w="2139" w:type="dxa"/>
            <w:tcBorders>
              <w:top w:val="nil"/>
              <w:left w:val="nil"/>
              <w:bottom w:val="single" w:sz="8" w:space="0" w:color="auto"/>
              <w:right w:val="nil"/>
            </w:tcBorders>
            <w:shd w:val="clear" w:color="000000" w:fill="FFFFFF"/>
            <w:noWrap/>
            <w:vAlign w:val="center"/>
            <w:hideMark/>
          </w:tcPr>
          <w:p w14:paraId="5AE111E1" w14:textId="77777777" w:rsidR="0045229B" w:rsidRPr="000D2909" w:rsidRDefault="0045229B" w:rsidP="004D0EF3">
            <w:pPr>
              <w:widowControl w:val="0"/>
              <w:spacing w:after="0" w:line="240" w:lineRule="auto"/>
              <w:jc w:val="center"/>
              <w:rPr>
                <w:rFonts w:eastAsia="Times New Roman" w:cs="Arial"/>
                <w:color w:val="000000"/>
                <w:sz w:val="22"/>
                <w:szCs w:val="22"/>
                <w:lang w:eastAsia="en-GB"/>
              </w:rPr>
            </w:pPr>
            <w:r w:rsidRPr="000D2909">
              <w:rPr>
                <w:rFonts w:eastAsia="Times New Roman" w:cs="Arial"/>
                <w:color w:val="000000"/>
                <w:sz w:val="22"/>
                <w:szCs w:val="22"/>
                <w:lang w:eastAsia="en-GB"/>
              </w:rPr>
              <w:t>Post-treatment</w:t>
            </w:r>
          </w:p>
        </w:tc>
        <w:tc>
          <w:tcPr>
            <w:tcW w:w="2256" w:type="dxa"/>
            <w:vMerge/>
            <w:tcBorders>
              <w:top w:val="single" w:sz="8" w:space="0" w:color="auto"/>
              <w:left w:val="nil"/>
              <w:bottom w:val="single" w:sz="8" w:space="0" w:color="000000"/>
              <w:right w:val="nil"/>
            </w:tcBorders>
            <w:vAlign w:val="center"/>
            <w:hideMark/>
          </w:tcPr>
          <w:p w14:paraId="0777BAAF" w14:textId="77777777" w:rsidR="0045229B" w:rsidRPr="000D2909" w:rsidRDefault="0045229B" w:rsidP="004D0EF3">
            <w:pPr>
              <w:widowControl w:val="0"/>
              <w:spacing w:after="0" w:line="240" w:lineRule="auto"/>
              <w:rPr>
                <w:rFonts w:eastAsia="Times New Roman" w:cs="Arial"/>
                <w:b/>
                <w:bCs/>
                <w:color w:val="000000"/>
                <w:sz w:val="22"/>
                <w:szCs w:val="22"/>
                <w:lang w:eastAsia="en-GB"/>
              </w:rPr>
            </w:pPr>
          </w:p>
        </w:tc>
        <w:tc>
          <w:tcPr>
            <w:tcW w:w="2136" w:type="dxa"/>
            <w:vMerge/>
            <w:tcBorders>
              <w:top w:val="single" w:sz="8" w:space="0" w:color="auto"/>
              <w:left w:val="nil"/>
              <w:bottom w:val="single" w:sz="8" w:space="0" w:color="000000"/>
              <w:right w:val="single" w:sz="8" w:space="0" w:color="auto"/>
            </w:tcBorders>
            <w:vAlign w:val="center"/>
            <w:hideMark/>
          </w:tcPr>
          <w:p w14:paraId="17418C2A" w14:textId="77777777" w:rsidR="0045229B" w:rsidRPr="000D2909" w:rsidRDefault="0045229B" w:rsidP="004D0EF3">
            <w:pPr>
              <w:widowControl w:val="0"/>
              <w:spacing w:after="0" w:line="240" w:lineRule="auto"/>
              <w:rPr>
                <w:rFonts w:eastAsia="Times New Roman" w:cs="Arial"/>
                <w:b/>
                <w:bCs/>
                <w:color w:val="000000"/>
                <w:sz w:val="22"/>
                <w:szCs w:val="22"/>
                <w:lang w:eastAsia="en-GB"/>
              </w:rPr>
            </w:pPr>
          </w:p>
        </w:tc>
      </w:tr>
      <w:tr w:rsidR="0045229B" w:rsidRPr="000D2909" w14:paraId="29635B8C" w14:textId="77777777" w:rsidTr="00886996">
        <w:trPr>
          <w:trHeight w:val="300"/>
        </w:trPr>
        <w:tc>
          <w:tcPr>
            <w:tcW w:w="2009" w:type="dxa"/>
            <w:tcBorders>
              <w:top w:val="nil"/>
              <w:left w:val="single" w:sz="8" w:space="0" w:color="auto"/>
              <w:bottom w:val="nil"/>
              <w:right w:val="nil"/>
            </w:tcBorders>
            <w:shd w:val="clear" w:color="000000" w:fill="C0E6F5"/>
            <w:noWrap/>
            <w:vAlign w:val="bottom"/>
            <w:hideMark/>
          </w:tcPr>
          <w:p w14:paraId="60E349F2" w14:textId="77777777" w:rsidR="0045229B" w:rsidRPr="000D2909" w:rsidRDefault="0045229B" w:rsidP="004D0EF3">
            <w:pPr>
              <w:widowControl w:val="0"/>
              <w:spacing w:after="0" w:line="240" w:lineRule="auto"/>
              <w:jc w:val="center"/>
              <w:rPr>
                <w:rFonts w:eastAsia="Times New Roman" w:cs="Arial"/>
                <w:b/>
                <w:bCs/>
                <w:color w:val="000000"/>
                <w:sz w:val="22"/>
                <w:szCs w:val="22"/>
                <w:lang w:eastAsia="en-GB"/>
              </w:rPr>
            </w:pPr>
            <w:r w:rsidRPr="000D2909">
              <w:rPr>
                <w:rFonts w:eastAsia="Times New Roman" w:cs="Arial"/>
                <w:b/>
                <w:bCs/>
                <w:color w:val="000000"/>
                <w:sz w:val="22"/>
                <w:szCs w:val="22"/>
                <w:lang w:eastAsia="en-GB"/>
              </w:rPr>
              <w:t>0.758</w:t>
            </w:r>
          </w:p>
        </w:tc>
        <w:tc>
          <w:tcPr>
            <w:tcW w:w="2139" w:type="dxa"/>
            <w:tcBorders>
              <w:top w:val="nil"/>
              <w:left w:val="nil"/>
              <w:bottom w:val="nil"/>
              <w:right w:val="nil"/>
            </w:tcBorders>
            <w:shd w:val="clear" w:color="000000" w:fill="C0E6F5"/>
            <w:noWrap/>
            <w:vAlign w:val="bottom"/>
            <w:hideMark/>
          </w:tcPr>
          <w:p w14:paraId="0A98B257" w14:textId="77777777" w:rsidR="0045229B" w:rsidRPr="000D2909" w:rsidRDefault="0045229B" w:rsidP="004D0EF3">
            <w:pPr>
              <w:widowControl w:val="0"/>
              <w:spacing w:after="0" w:line="240" w:lineRule="auto"/>
              <w:jc w:val="center"/>
              <w:rPr>
                <w:rFonts w:eastAsia="Times New Roman" w:cs="Arial"/>
                <w:b/>
                <w:bCs/>
                <w:color w:val="000000"/>
                <w:sz w:val="22"/>
                <w:szCs w:val="22"/>
                <w:lang w:eastAsia="en-GB"/>
              </w:rPr>
            </w:pPr>
            <w:r w:rsidRPr="000D2909">
              <w:rPr>
                <w:rFonts w:eastAsia="Times New Roman" w:cs="Arial"/>
                <w:b/>
                <w:bCs/>
                <w:color w:val="000000"/>
                <w:sz w:val="22"/>
                <w:szCs w:val="22"/>
                <w:lang w:eastAsia="en-GB"/>
              </w:rPr>
              <w:t>0.796</w:t>
            </w:r>
          </w:p>
        </w:tc>
        <w:tc>
          <w:tcPr>
            <w:tcW w:w="2256" w:type="dxa"/>
            <w:tcBorders>
              <w:top w:val="nil"/>
              <w:left w:val="nil"/>
              <w:bottom w:val="nil"/>
              <w:right w:val="nil"/>
            </w:tcBorders>
            <w:shd w:val="clear" w:color="000000" w:fill="C0E6F5"/>
            <w:noWrap/>
            <w:vAlign w:val="bottom"/>
            <w:hideMark/>
          </w:tcPr>
          <w:p w14:paraId="1EFE7CE3" w14:textId="77777777" w:rsidR="0045229B" w:rsidRPr="000D2909" w:rsidRDefault="0045229B" w:rsidP="004D0EF3">
            <w:pPr>
              <w:widowControl w:val="0"/>
              <w:spacing w:after="0" w:line="240" w:lineRule="auto"/>
              <w:jc w:val="center"/>
              <w:rPr>
                <w:rFonts w:eastAsia="Times New Roman" w:cs="Arial"/>
                <w:b/>
                <w:bCs/>
                <w:color w:val="000000"/>
                <w:sz w:val="22"/>
                <w:szCs w:val="22"/>
                <w:lang w:eastAsia="en-GB"/>
              </w:rPr>
            </w:pPr>
            <w:r w:rsidRPr="000D2909">
              <w:rPr>
                <w:rFonts w:eastAsia="Times New Roman" w:cs="Arial"/>
                <w:b/>
                <w:bCs/>
                <w:color w:val="000000"/>
                <w:sz w:val="22"/>
                <w:szCs w:val="22"/>
                <w:lang w:eastAsia="en-GB"/>
              </w:rPr>
              <w:t>0.0378</w:t>
            </w:r>
          </w:p>
        </w:tc>
        <w:tc>
          <w:tcPr>
            <w:tcW w:w="2136" w:type="dxa"/>
            <w:tcBorders>
              <w:top w:val="nil"/>
              <w:left w:val="nil"/>
              <w:bottom w:val="nil"/>
              <w:right w:val="single" w:sz="8" w:space="0" w:color="auto"/>
            </w:tcBorders>
            <w:shd w:val="clear" w:color="000000" w:fill="C0E6F5"/>
            <w:noWrap/>
            <w:vAlign w:val="bottom"/>
            <w:hideMark/>
          </w:tcPr>
          <w:p w14:paraId="2409DCAB" w14:textId="77777777" w:rsidR="0045229B" w:rsidRPr="000D2909" w:rsidRDefault="0045229B" w:rsidP="004D0EF3">
            <w:pPr>
              <w:widowControl w:val="0"/>
              <w:spacing w:after="0" w:line="240" w:lineRule="auto"/>
              <w:jc w:val="center"/>
              <w:rPr>
                <w:rFonts w:eastAsia="Times New Roman" w:cs="Arial"/>
                <w:b/>
                <w:bCs/>
                <w:color w:val="000000"/>
                <w:sz w:val="22"/>
                <w:szCs w:val="22"/>
                <w:lang w:eastAsia="en-GB"/>
              </w:rPr>
            </w:pPr>
            <w:r w:rsidRPr="000D2909">
              <w:rPr>
                <w:rFonts w:eastAsia="Times New Roman" w:cs="Arial"/>
                <w:b/>
                <w:bCs/>
                <w:color w:val="000000"/>
                <w:sz w:val="22"/>
                <w:szCs w:val="22"/>
                <w:lang w:eastAsia="en-GB"/>
              </w:rPr>
              <w:t>0.0378</w:t>
            </w:r>
          </w:p>
        </w:tc>
      </w:tr>
    </w:tbl>
    <w:p w14:paraId="63BBD203" w14:textId="77777777" w:rsidR="0045229B" w:rsidRPr="000D2909" w:rsidRDefault="0045229B" w:rsidP="004D0EF3">
      <w:pPr>
        <w:widowControl w:val="0"/>
        <w:rPr>
          <w:rFonts w:cs="Calibri"/>
          <w:sz w:val="22"/>
          <w:szCs w:val="22"/>
        </w:rPr>
      </w:pPr>
    </w:p>
    <w:p w14:paraId="1418DD39" w14:textId="77777777" w:rsidR="0045229B" w:rsidRPr="000D2909" w:rsidRDefault="0045229B" w:rsidP="004D0EF3">
      <w:pPr>
        <w:widowControl w:val="0"/>
        <w:rPr>
          <w:rFonts w:cs="Calibri"/>
          <w:b/>
          <w:bCs/>
          <w:sz w:val="22"/>
          <w:szCs w:val="22"/>
        </w:rPr>
      </w:pPr>
      <w:r w:rsidRPr="000D2909">
        <w:rPr>
          <w:rFonts w:cs="Calibri"/>
          <w:b/>
          <w:bCs/>
          <w:sz w:val="22"/>
          <w:szCs w:val="22"/>
        </w:rPr>
        <w:t>Combined SDQ:</w:t>
      </w:r>
    </w:p>
    <w:tbl>
      <w:tblPr>
        <w:tblW w:w="8540" w:type="dxa"/>
        <w:tblLook w:val="04A0" w:firstRow="1" w:lastRow="0" w:firstColumn="1" w:lastColumn="0" w:noHBand="0" w:noVBand="1"/>
      </w:tblPr>
      <w:tblGrid>
        <w:gridCol w:w="2009"/>
        <w:gridCol w:w="2139"/>
        <w:gridCol w:w="2256"/>
        <w:gridCol w:w="2136"/>
      </w:tblGrid>
      <w:tr w:rsidR="0045229B" w:rsidRPr="000D2909" w14:paraId="0B0B9047" w14:textId="77777777" w:rsidTr="00886996">
        <w:trPr>
          <w:trHeight w:val="288"/>
        </w:trPr>
        <w:tc>
          <w:tcPr>
            <w:tcW w:w="4148" w:type="dxa"/>
            <w:gridSpan w:val="2"/>
            <w:tcBorders>
              <w:top w:val="single" w:sz="8" w:space="0" w:color="auto"/>
              <w:left w:val="single" w:sz="8" w:space="0" w:color="auto"/>
              <w:bottom w:val="nil"/>
              <w:right w:val="nil"/>
            </w:tcBorders>
            <w:shd w:val="clear" w:color="000000" w:fill="FFFFFF"/>
            <w:noWrap/>
            <w:vAlign w:val="center"/>
            <w:hideMark/>
          </w:tcPr>
          <w:p w14:paraId="18EB963F" w14:textId="77777777" w:rsidR="0045229B" w:rsidRPr="000D2909" w:rsidRDefault="0045229B" w:rsidP="004D0EF3">
            <w:pPr>
              <w:widowControl w:val="0"/>
              <w:spacing w:after="0" w:line="240" w:lineRule="auto"/>
              <w:jc w:val="center"/>
              <w:rPr>
                <w:rFonts w:eastAsia="Times New Roman" w:cs="Arial"/>
                <w:b/>
                <w:bCs/>
                <w:color w:val="000000"/>
                <w:sz w:val="22"/>
                <w:szCs w:val="22"/>
                <w:lang w:eastAsia="en-GB"/>
              </w:rPr>
            </w:pPr>
            <w:r w:rsidRPr="000D2909">
              <w:rPr>
                <w:rFonts w:eastAsia="Times New Roman" w:cs="Arial"/>
                <w:b/>
                <w:bCs/>
                <w:color w:val="000000"/>
                <w:sz w:val="22"/>
                <w:szCs w:val="22"/>
                <w:lang w:eastAsia="en-GB"/>
              </w:rPr>
              <w:t>Utility Conversion</w:t>
            </w:r>
          </w:p>
        </w:tc>
        <w:tc>
          <w:tcPr>
            <w:tcW w:w="2256" w:type="dxa"/>
            <w:vMerge w:val="restart"/>
            <w:tcBorders>
              <w:top w:val="single" w:sz="8" w:space="0" w:color="auto"/>
              <w:left w:val="nil"/>
              <w:bottom w:val="single" w:sz="8" w:space="0" w:color="000000"/>
              <w:right w:val="nil"/>
            </w:tcBorders>
            <w:shd w:val="clear" w:color="000000" w:fill="FFFFFF"/>
            <w:vAlign w:val="center"/>
            <w:hideMark/>
          </w:tcPr>
          <w:p w14:paraId="20EFADC1" w14:textId="77777777" w:rsidR="0045229B" w:rsidRPr="000D2909" w:rsidRDefault="0045229B" w:rsidP="004D0EF3">
            <w:pPr>
              <w:widowControl w:val="0"/>
              <w:spacing w:after="0" w:line="240" w:lineRule="auto"/>
              <w:jc w:val="center"/>
              <w:rPr>
                <w:rFonts w:eastAsia="Times New Roman" w:cs="Arial"/>
                <w:b/>
                <w:bCs/>
                <w:color w:val="000000"/>
                <w:sz w:val="22"/>
                <w:szCs w:val="22"/>
                <w:lang w:eastAsia="en-GB"/>
              </w:rPr>
            </w:pPr>
            <w:r w:rsidRPr="000D2909">
              <w:rPr>
                <w:rFonts w:eastAsia="Times New Roman" w:cs="Arial"/>
                <w:b/>
                <w:bCs/>
                <w:color w:val="000000"/>
                <w:sz w:val="22"/>
                <w:szCs w:val="22"/>
                <w:lang w:eastAsia="en-GB"/>
              </w:rPr>
              <w:t>Difference</w:t>
            </w:r>
          </w:p>
        </w:tc>
        <w:tc>
          <w:tcPr>
            <w:tcW w:w="2136" w:type="dxa"/>
            <w:vMerge w:val="restart"/>
            <w:tcBorders>
              <w:top w:val="single" w:sz="8" w:space="0" w:color="auto"/>
              <w:left w:val="nil"/>
              <w:bottom w:val="single" w:sz="8" w:space="0" w:color="000000"/>
              <w:right w:val="single" w:sz="8" w:space="0" w:color="auto"/>
            </w:tcBorders>
            <w:shd w:val="clear" w:color="000000" w:fill="FFFFFF"/>
            <w:vAlign w:val="center"/>
            <w:hideMark/>
          </w:tcPr>
          <w:p w14:paraId="25E987CD" w14:textId="77777777" w:rsidR="0045229B" w:rsidRPr="000D2909" w:rsidRDefault="0045229B" w:rsidP="004D0EF3">
            <w:pPr>
              <w:widowControl w:val="0"/>
              <w:spacing w:after="0" w:line="240" w:lineRule="auto"/>
              <w:jc w:val="center"/>
              <w:rPr>
                <w:rFonts w:eastAsia="Times New Roman" w:cs="Arial"/>
                <w:b/>
                <w:bCs/>
                <w:color w:val="000000"/>
                <w:sz w:val="22"/>
                <w:szCs w:val="22"/>
                <w:lang w:eastAsia="en-GB"/>
              </w:rPr>
            </w:pPr>
            <w:r w:rsidRPr="000D2909">
              <w:rPr>
                <w:rFonts w:eastAsia="Times New Roman" w:cs="Arial"/>
                <w:b/>
                <w:bCs/>
                <w:color w:val="000000"/>
                <w:sz w:val="22"/>
                <w:szCs w:val="22"/>
                <w:lang w:eastAsia="en-GB"/>
              </w:rPr>
              <w:t>Discounted Post-Treatment</w:t>
            </w:r>
          </w:p>
        </w:tc>
      </w:tr>
      <w:tr w:rsidR="0045229B" w:rsidRPr="000D2909" w14:paraId="2581DE59" w14:textId="77777777" w:rsidTr="00886996">
        <w:trPr>
          <w:trHeight w:val="300"/>
        </w:trPr>
        <w:tc>
          <w:tcPr>
            <w:tcW w:w="2009" w:type="dxa"/>
            <w:tcBorders>
              <w:top w:val="nil"/>
              <w:left w:val="single" w:sz="8" w:space="0" w:color="auto"/>
              <w:bottom w:val="single" w:sz="8" w:space="0" w:color="auto"/>
              <w:right w:val="nil"/>
            </w:tcBorders>
            <w:shd w:val="clear" w:color="000000" w:fill="FFFFFF"/>
            <w:noWrap/>
            <w:vAlign w:val="center"/>
            <w:hideMark/>
          </w:tcPr>
          <w:p w14:paraId="55AAAE3C" w14:textId="77777777" w:rsidR="0045229B" w:rsidRPr="000D2909" w:rsidRDefault="0045229B" w:rsidP="004D0EF3">
            <w:pPr>
              <w:widowControl w:val="0"/>
              <w:spacing w:after="0" w:line="240" w:lineRule="auto"/>
              <w:jc w:val="center"/>
              <w:rPr>
                <w:rFonts w:eastAsia="Times New Roman" w:cs="Arial"/>
                <w:color w:val="000000"/>
                <w:sz w:val="22"/>
                <w:szCs w:val="22"/>
                <w:lang w:eastAsia="en-GB"/>
              </w:rPr>
            </w:pPr>
            <w:r w:rsidRPr="000D2909">
              <w:rPr>
                <w:rFonts w:eastAsia="Times New Roman" w:cs="Arial"/>
                <w:color w:val="000000"/>
                <w:sz w:val="22"/>
                <w:szCs w:val="22"/>
                <w:lang w:eastAsia="en-GB"/>
              </w:rPr>
              <w:t>Pre-treatment</w:t>
            </w:r>
          </w:p>
        </w:tc>
        <w:tc>
          <w:tcPr>
            <w:tcW w:w="2139" w:type="dxa"/>
            <w:tcBorders>
              <w:top w:val="nil"/>
              <w:left w:val="nil"/>
              <w:bottom w:val="single" w:sz="8" w:space="0" w:color="auto"/>
              <w:right w:val="nil"/>
            </w:tcBorders>
            <w:shd w:val="clear" w:color="000000" w:fill="FFFFFF"/>
            <w:noWrap/>
            <w:vAlign w:val="center"/>
            <w:hideMark/>
          </w:tcPr>
          <w:p w14:paraId="0FEB27B7" w14:textId="77777777" w:rsidR="0045229B" w:rsidRPr="000D2909" w:rsidRDefault="0045229B" w:rsidP="004D0EF3">
            <w:pPr>
              <w:widowControl w:val="0"/>
              <w:spacing w:after="0" w:line="240" w:lineRule="auto"/>
              <w:jc w:val="center"/>
              <w:rPr>
                <w:rFonts w:eastAsia="Times New Roman" w:cs="Arial"/>
                <w:color w:val="000000"/>
                <w:sz w:val="22"/>
                <w:szCs w:val="22"/>
                <w:lang w:eastAsia="en-GB"/>
              </w:rPr>
            </w:pPr>
            <w:r w:rsidRPr="000D2909">
              <w:rPr>
                <w:rFonts w:eastAsia="Times New Roman" w:cs="Arial"/>
                <w:color w:val="000000"/>
                <w:sz w:val="22"/>
                <w:szCs w:val="22"/>
                <w:lang w:eastAsia="en-GB"/>
              </w:rPr>
              <w:t>Post-treatment</w:t>
            </w:r>
          </w:p>
        </w:tc>
        <w:tc>
          <w:tcPr>
            <w:tcW w:w="2256" w:type="dxa"/>
            <w:vMerge/>
            <w:tcBorders>
              <w:top w:val="single" w:sz="8" w:space="0" w:color="auto"/>
              <w:left w:val="nil"/>
              <w:bottom w:val="single" w:sz="8" w:space="0" w:color="000000"/>
              <w:right w:val="nil"/>
            </w:tcBorders>
            <w:vAlign w:val="center"/>
            <w:hideMark/>
          </w:tcPr>
          <w:p w14:paraId="4B5F4AE2" w14:textId="77777777" w:rsidR="0045229B" w:rsidRPr="000D2909" w:rsidRDefault="0045229B" w:rsidP="004D0EF3">
            <w:pPr>
              <w:widowControl w:val="0"/>
              <w:spacing w:after="0" w:line="240" w:lineRule="auto"/>
              <w:rPr>
                <w:rFonts w:eastAsia="Times New Roman" w:cs="Arial"/>
                <w:b/>
                <w:bCs/>
                <w:color w:val="000000"/>
                <w:sz w:val="22"/>
                <w:szCs w:val="22"/>
                <w:lang w:eastAsia="en-GB"/>
              </w:rPr>
            </w:pPr>
          </w:p>
        </w:tc>
        <w:tc>
          <w:tcPr>
            <w:tcW w:w="2136" w:type="dxa"/>
            <w:vMerge/>
            <w:tcBorders>
              <w:top w:val="single" w:sz="8" w:space="0" w:color="auto"/>
              <w:left w:val="nil"/>
              <w:bottom w:val="single" w:sz="8" w:space="0" w:color="000000"/>
              <w:right w:val="single" w:sz="8" w:space="0" w:color="auto"/>
            </w:tcBorders>
            <w:vAlign w:val="center"/>
            <w:hideMark/>
          </w:tcPr>
          <w:p w14:paraId="21C88ACF" w14:textId="77777777" w:rsidR="0045229B" w:rsidRPr="000D2909" w:rsidRDefault="0045229B" w:rsidP="004D0EF3">
            <w:pPr>
              <w:widowControl w:val="0"/>
              <w:spacing w:after="0" w:line="240" w:lineRule="auto"/>
              <w:rPr>
                <w:rFonts w:eastAsia="Times New Roman" w:cs="Arial"/>
                <w:b/>
                <w:bCs/>
                <w:color w:val="000000"/>
                <w:sz w:val="22"/>
                <w:szCs w:val="22"/>
                <w:lang w:eastAsia="en-GB"/>
              </w:rPr>
            </w:pPr>
          </w:p>
        </w:tc>
      </w:tr>
      <w:tr w:rsidR="0045229B" w:rsidRPr="000D2909" w14:paraId="60C5B9F3" w14:textId="77777777" w:rsidTr="00886996">
        <w:trPr>
          <w:trHeight w:val="300"/>
        </w:trPr>
        <w:tc>
          <w:tcPr>
            <w:tcW w:w="2009" w:type="dxa"/>
            <w:tcBorders>
              <w:top w:val="nil"/>
              <w:left w:val="single" w:sz="8" w:space="0" w:color="auto"/>
              <w:bottom w:val="nil"/>
              <w:right w:val="nil"/>
            </w:tcBorders>
            <w:shd w:val="clear" w:color="000000" w:fill="C0E6F5"/>
            <w:noWrap/>
            <w:vAlign w:val="bottom"/>
            <w:hideMark/>
          </w:tcPr>
          <w:p w14:paraId="023BCA30" w14:textId="77777777" w:rsidR="0045229B" w:rsidRPr="000D2909" w:rsidRDefault="0045229B" w:rsidP="004D0EF3">
            <w:pPr>
              <w:widowControl w:val="0"/>
              <w:spacing w:after="0" w:line="240" w:lineRule="auto"/>
              <w:jc w:val="center"/>
              <w:rPr>
                <w:rFonts w:eastAsia="Times New Roman" w:cs="Arial"/>
                <w:b/>
                <w:bCs/>
                <w:color w:val="000000"/>
                <w:sz w:val="22"/>
                <w:szCs w:val="22"/>
                <w:lang w:eastAsia="en-GB"/>
              </w:rPr>
            </w:pPr>
            <w:r w:rsidRPr="000D2909">
              <w:rPr>
                <w:rFonts w:eastAsia="Times New Roman" w:cs="Arial"/>
                <w:b/>
                <w:bCs/>
                <w:color w:val="000000"/>
                <w:sz w:val="22"/>
                <w:szCs w:val="22"/>
                <w:lang w:eastAsia="en-GB"/>
              </w:rPr>
              <w:t>0.742</w:t>
            </w:r>
          </w:p>
        </w:tc>
        <w:tc>
          <w:tcPr>
            <w:tcW w:w="2139" w:type="dxa"/>
            <w:tcBorders>
              <w:top w:val="nil"/>
              <w:left w:val="nil"/>
              <w:bottom w:val="nil"/>
              <w:right w:val="nil"/>
            </w:tcBorders>
            <w:shd w:val="clear" w:color="000000" w:fill="C0E6F5"/>
            <w:noWrap/>
            <w:vAlign w:val="bottom"/>
            <w:hideMark/>
          </w:tcPr>
          <w:p w14:paraId="4AC83C59" w14:textId="77777777" w:rsidR="0045229B" w:rsidRPr="000D2909" w:rsidRDefault="0045229B" w:rsidP="004D0EF3">
            <w:pPr>
              <w:widowControl w:val="0"/>
              <w:spacing w:after="0" w:line="240" w:lineRule="auto"/>
              <w:jc w:val="center"/>
              <w:rPr>
                <w:rFonts w:eastAsia="Times New Roman" w:cs="Arial"/>
                <w:b/>
                <w:bCs/>
                <w:color w:val="000000"/>
                <w:sz w:val="22"/>
                <w:szCs w:val="22"/>
                <w:lang w:eastAsia="en-GB"/>
              </w:rPr>
            </w:pPr>
            <w:r w:rsidRPr="000D2909">
              <w:rPr>
                <w:rFonts w:eastAsia="Times New Roman" w:cs="Arial"/>
                <w:b/>
                <w:bCs/>
                <w:color w:val="000000"/>
                <w:sz w:val="22"/>
                <w:szCs w:val="22"/>
                <w:lang w:eastAsia="en-GB"/>
              </w:rPr>
              <w:t>0.779</w:t>
            </w:r>
          </w:p>
        </w:tc>
        <w:tc>
          <w:tcPr>
            <w:tcW w:w="2256" w:type="dxa"/>
            <w:tcBorders>
              <w:top w:val="nil"/>
              <w:left w:val="nil"/>
              <w:bottom w:val="nil"/>
              <w:right w:val="nil"/>
            </w:tcBorders>
            <w:shd w:val="clear" w:color="000000" w:fill="C0E6F5"/>
            <w:noWrap/>
            <w:vAlign w:val="bottom"/>
            <w:hideMark/>
          </w:tcPr>
          <w:p w14:paraId="7EC002EA" w14:textId="77777777" w:rsidR="0045229B" w:rsidRPr="000D2909" w:rsidRDefault="0045229B" w:rsidP="004D0EF3">
            <w:pPr>
              <w:widowControl w:val="0"/>
              <w:spacing w:after="0" w:line="240" w:lineRule="auto"/>
              <w:jc w:val="center"/>
              <w:rPr>
                <w:rFonts w:eastAsia="Times New Roman" w:cs="Arial"/>
                <w:b/>
                <w:bCs/>
                <w:color w:val="000000"/>
                <w:sz w:val="22"/>
                <w:szCs w:val="22"/>
                <w:lang w:eastAsia="en-GB"/>
              </w:rPr>
            </w:pPr>
            <w:r w:rsidRPr="000D2909">
              <w:rPr>
                <w:rFonts w:eastAsia="Times New Roman" w:cs="Arial"/>
                <w:b/>
                <w:bCs/>
                <w:color w:val="000000"/>
                <w:sz w:val="22"/>
                <w:szCs w:val="22"/>
                <w:lang w:eastAsia="en-GB"/>
              </w:rPr>
              <w:t>0.0368</w:t>
            </w:r>
          </w:p>
        </w:tc>
        <w:tc>
          <w:tcPr>
            <w:tcW w:w="2136" w:type="dxa"/>
            <w:tcBorders>
              <w:top w:val="nil"/>
              <w:left w:val="nil"/>
              <w:bottom w:val="nil"/>
              <w:right w:val="single" w:sz="8" w:space="0" w:color="auto"/>
            </w:tcBorders>
            <w:shd w:val="clear" w:color="000000" w:fill="C0E6F5"/>
            <w:noWrap/>
            <w:vAlign w:val="bottom"/>
            <w:hideMark/>
          </w:tcPr>
          <w:p w14:paraId="273CC106" w14:textId="77777777" w:rsidR="0045229B" w:rsidRPr="000D2909" w:rsidRDefault="0045229B" w:rsidP="004D0EF3">
            <w:pPr>
              <w:widowControl w:val="0"/>
              <w:spacing w:after="0" w:line="240" w:lineRule="auto"/>
              <w:jc w:val="center"/>
              <w:rPr>
                <w:rFonts w:eastAsia="Times New Roman" w:cs="Arial"/>
                <w:b/>
                <w:bCs/>
                <w:color w:val="000000"/>
                <w:sz w:val="22"/>
                <w:szCs w:val="22"/>
                <w:lang w:eastAsia="en-GB"/>
              </w:rPr>
            </w:pPr>
            <w:r w:rsidRPr="000D2909">
              <w:rPr>
                <w:rFonts w:eastAsia="Times New Roman" w:cs="Arial"/>
                <w:b/>
                <w:bCs/>
                <w:color w:val="000000"/>
                <w:sz w:val="22"/>
                <w:szCs w:val="22"/>
                <w:lang w:eastAsia="en-GB"/>
              </w:rPr>
              <w:t>0.0368</w:t>
            </w:r>
          </w:p>
        </w:tc>
      </w:tr>
    </w:tbl>
    <w:p w14:paraId="5AD3B27A" w14:textId="77777777" w:rsidR="00D81018" w:rsidRPr="000D2909" w:rsidRDefault="00D81018" w:rsidP="004D0EF3">
      <w:pPr>
        <w:widowControl w:val="0"/>
        <w:rPr>
          <w:rFonts w:ascii="Aptos" w:hAnsi="Aptos" w:cs="Calibri"/>
          <w:i/>
          <w:iCs/>
          <w:sz w:val="22"/>
          <w:szCs w:val="22"/>
        </w:rPr>
      </w:pPr>
    </w:p>
    <w:p w14:paraId="58506E8C" w14:textId="6F52E979" w:rsidR="00D81018" w:rsidRPr="000D2909" w:rsidRDefault="00D81018" w:rsidP="004D0EF3">
      <w:pPr>
        <w:widowControl w:val="0"/>
        <w:rPr>
          <w:rFonts w:ascii="Aptos" w:hAnsi="Aptos" w:cs="Calibri"/>
          <w:b/>
          <w:bCs/>
          <w:sz w:val="22"/>
          <w:szCs w:val="22"/>
        </w:rPr>
      </w:pPr>
      <w:r w:rsidRPr="000D2909">
        <w:rPr>
          <w:rFonts w:ascii="Aptos" w:hAnsi="Aptos" w:cs="Calibri"/>
          <w:b/>
          <w:bCs/>
          <w:sz w:val="22"/>
          <w:szCs w:val="22"/>
        </w:rPr>
        <w:t xml:space="preserve">Discounting </w:t>
      </w:r>
    </w:p>
    <w:p w14:paraId="20ADDFE8" w14:textId="77777777" w:rsidR="00D81018" w:rsidRPr="000D2909" w:rsidRDefault="00D81018" w:rsidP="004D0EF3">
      <w:pPr>
        <w:widowControl w:val="0"/>
        <w:rPr>
          <w:rFonts w:ascii="Aptos" w:hAnsi="Aptos" w:cs="Calibri"/>
          <w:sz w:val="22"/>
          <w:szCs w:val="22"/>
        </w:rPr>
      </w:pPr>
      <w:r w:rsidRPr="000D2909">
        <w:rPr>
          <w:rFonts w:ascii="Aptos" w:hAnsi="Aptos" w:cs="Calibri"/>
          <w:sz w:val="22"/>
          <w:szCs w:val="22"/>
        </w:rPr>
        <w:t xml:space="preserve">In this intervention, the outcomes were discounted at 0 years because the follow-up period was only six months. However, for follow-up periods extending beyond 12 months, discounting should be applied to account for the time preference of costs and health outcomes. </w:t>
      </w:r>
    </w:p>
    <w:p w14:paraId="4973821A" w14:textId="77777777" w:rsidR="00D81018" w:rsidRPr="000D2909" w:rsidRDefault="00D81018" w:rsidP="004D0EF3">
      <w:pPr>
        <w:widowControl w:val="0"/>
        <w:rPr>
          <w:rFonts w:ascii="Aptos" w:hAnsi="Aptos" w:cs="Calibri"/>
          <w:sz w:val="22"/>
          <w:szCs w:val="22"/>
        </w:rPr>
      </w:pPr>
      <w:r w:rsidRPr="000D2909">
        <w:rPr>
          <w:rFonts w:ascii="Aptos" w:hAnsi="Aptos" w:cs="Calibri"/>
          <w:sz w:val="22"/>
          <w:szCs w:val="22"/>
        </w:rPr>
        <w:t>This discounting process is necessary because future costs and health outcomes are typically valued less than those in the present. By expressing the results as streams of health outcomes and costs over time and applying a discount factor to each value, we can aggregate these to provide a 'present value' for each stream.</w:t>
      </w:r>
    </w:p>
    <w:p w14:paraId="1C7B9704" w14:textId="77777777" w:rsidR="0045229B" w:rsidRPr="000D2909" w:rsidRDefault="0045229B" w:rsidP="004D0EF3">
      <w:pPr>
        <w:widowControl w:val="0"/>
        <w:rPr>
          <w:rFonts w:cs="Calibri"/>
          <w:sz w:val="22"/>
          <w:szCs w:val="22"/>
        </w:rPr>
      </w:pPr>
    </w:p>
    <w:p w14:paraId="4C5D31F8" w14:textId="7511955E" w:rsidR="0045229B" w:rsidRPr="000D2909" w:rsidRDefault="00B15A28" w:rsidP="004D0EF3">
      <w:pPr>
        <w:widowControl w:val="0"/>
        <w:rPr>
          <w:rFonts w:cs="Calibri"/>
          <w:b/>
          <w:bCs/>
          <w:sz w:val="22"/>
          <w:szCs w:val="22"/>
        </w:rPr>
      </w:pPr>
      <w:r w:rsidRPr="000D2909">
        <w:rPr>
          <w:rFonts w:cs="Calibri"/>
          <w:b/>
          <w:bCs/>
          <w:sz w:val="22"/>
          <w:szCs w:val="22"/>
        </w:rPr>
        <w:t>Cost per site:</w:t>
      </w:r>
    </w:p>
    <w:p w14:paraId="736A2941" w14:textId="77777777" w:rsidR="00D81018" w:rsidRPr="000D2909" w:rsidRDefault="00D81018" w:rsidP="004D0EF3">
      <w:pPr>
        <w:widowControl w:val="0"/>
        <w:rPr>
          <w:rFonts w:ascii="Aptos" w:hAnsi="Aptos" w:cs="Calibri"/>
          <w:sz w:val="22"/>
          <w:szCs w:val="22"/>
        </w:rPr>
      </w:pPr>
      <w:r w:rsidRPr="000D2909">
        <w:rPr>
          <w:rFonts w:ascii="Aptos" w:hAnsi="Aptos" w:cs="Calibri"/>
          <w:sz w:val="22"/>
          <w:szCs w:val="22"/>
        </w:rPr>
        <w:t xml:space="preserve">Intervention costs were calculated by asking the different clinicians involved over the </w:t>
      </w:r>
      <w:r w:rsidRPr="000D2909">
        <w:rPr>
          <w:rFonts w:ascii="Aptos" w:hAnsi="Aptos" w:cs="Calibri"/>
          <w:sz w:val="22"/>
          <w:szCs w:val="22"/>
        </w:rPr>
        <w:lastRenderedPageBreak/>
        <w:t xml:space="preserve">duration of the intervention. Unit costs for staff were taken from the most recent version of the Personal Social Services Resource Unit (PSSRU)’s unit costs of health and social care, as there were different grades of therapists reported. Training and supervision costs were included as well. </w:t>
      </w:r>
    </w:p>
    <w:p w14:paraId="4ABDA6C9" w14:textId="77777777" w:rsidR="00D81018" w:rsidRPr="000D2909" w:rsidRDefault="00D81018" w:rsidP="004D0EF3">
      <w:pPr>
        <w:widowControl w:val="0"/>
        <w:rPr>
          <w:rFonts w:ascii="Aptos" w:hAnsi="Aptos" w:cs="Calibri"/>
          <w:sz w:val="22"/>
          <w:szCs w:val="22"/>
        </w:rPr>
      </w:pPr>
      <w:r w:rsidRPr="000D2909">
        <w:rPr>
          <w:rFonts w:ascii="Aptos" w:hAnsi="Aptos" w:cs="Calibri"/>
          <w:sz w:val="22"/>
          <w:szCs w:val="22"/>
        </w:rPr>
        <w:t>Additionally, the number of hours of training per person was recorded. If more people attended specific trainings, average training costs per site was lower. For example, where the in-person training can accommodate up to 20 people, this means 20 people can be trained without additional costs. When training is delivered online, there is only a fixed cost of delivering training, as there is no limit on how many people can attend. As explored Chapter 5, the training, although encouraged, was not mandatory. This resulted in pronounced training cost differences amongst sites. Supervision was mandatory for all therapists and therefore supervision costs were included for every site.</w:t>
      </w:r>
    </w:p>
    <w:p w14:paraId="68B456BE" w14:textId="5FB0B76F" w:rsidR="00D81018" w:rsidRPr="000D2909" w:rsidRDefault="00D81018" w:rsidP="004D0EF3">
      <w:pPr>
        <w:widowControl w:val="0"/>
        <w:rPr>
          <w:rFonts w:ascii="Aptos" w:hAnsi="Aptos" w:cs="Calibri"/>
          <w:sz w:val="22"/>
          <w:szCs w:val="22"/>
        </w:rPr>
      </w:pPr>
      <w:r w:rsidRPr="000D2909">
        <w:rPr>
          <w:rFonts w:ascii="Aptos" w:hAnsi="Aptos" w:cs="Calibri"/>
          <w:sz w:val="22"/>
          <w:szCs w:val="22"/>
        </w:rPr>
        <w:t>A breakdown of all costs is shown in Table A1 and cost per site is presented in Table A2.</w:t>
      </w:r>
    </w:p>
    <w:p w14:paraId="69709C2D" w14:textId="051CD923" w:rsidR="00D81018" w:rsidRPr="000D2909" w:rsidRDefault="00D81018" w:rsidP="004D0EF3">
      <w:pPr>
        <w:pStyle w:val="Caption"/>
        <w:widowControl w:val="0"/>
      </w:pPr>
      <w:r w:rsidRPr="000D2909">
        <w:t xml:space="preserve">Table </w:t>
      </w:r>
      <w:r w:rsidR="00661989" w:rsidRPr="000D2909">
        <w:t>D</w:t>
      </w:r>
      <w:r w:rsidRPr="000D2909">
        <w:t>1: Cost of Lucy Project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55"/>
        <w:gridCol w:w="1453"/>
        <w:gridCol w:w="1743"/>
        <w:gridCol w:w="1691"/>
      </w:tblGrid>
      <w:tr w:rsidR="00D81018" w:rsidRPr="000D2909" w14:paraId="6C7BD479" w14:textId="77777777" w:rsidTr="006651DC">
        <w:trPr>
          <w:trHeight w:val="618"/>
        </w:trPr>
        <w:tc>
          <w:tcPr>
            <w:tcW w:w="2356" w:type="pct"/>
            <w:shd w:val="clear" w:color="auto" w:fill="auto"/>
            <w:noWrap/>
            <w:vAlign w:val="bottom"/>
            <w:hideMark/>
          </w:tcPr>
          <w:p w14:paraId="20244C6E" w14:textId="77777777" w:rsidR="00D81018" w:rsidRPr="000D2909" w:rsidRDefault="00D81018" w:rsidP="004D0EF3">
            <w:pPr>
              <w:widowControl w:val="0"/>
              <w:spacing w:after="0" w:line="240" w:lineRule="auto"/>
              <w:rPr>
                <w:rFonts w:ascii="Aptos" w:eastAsia="Times New Roman" w:hAnsi="Aptos" w:cs="Times New Roman"/>
                <w:b/>
                <w:bCs/>
                <w:color w:val="000000"/>
                <w:sz w:val="22"/>
                <w:szCs w:val="22"/>
                <w:lang w:eastAsia="en-GB"/>
              </w:rPr>
            </w:pPr>
            <w:r w:rsidRPr="000D2909">
              <w:rPr>
                <w:rFonts w:ascii="Aptos" w:eastAsia="Times New Roman" w:hAnsi="Aptos" w:cs="Times New Roman"/>
                <w:b/>
                <w:bCs/>
                <w:color w:val="000000"/>
                <w:sz w:val="22"/>
                <w:szCs w:val="22"/>
                <w:lang w:eastAsia="en-GB"/>
              </w:rPr>
              <w:t xml:space="preserve">Total cost of project </w:t>
            </w:r>
          </w:p>
        </w:tc>
        <w:tc>
          <w:tcPr>
            <w:tcW w:w="786" w:type="pct"/>
            <w:shd w:val="clear" w:color="auto" w:fill="auto"/>
            <w:noWrap/>
            <w:vAlign w:val="bottom"/>
            <w:hideMark/>
          </w:tcPr>
          <w:p w14:paraId="2B94E8E3" w14:textId="77777777" w:rsidR="00D81018" w:rsidRPr="000D2909" w:rsidRDefault="00D81018" w:rsidP="004D0EF3">
            <w:pPr>
              <w:widowControl w:val="0"/>
              <w:spacing w:after="0" w:line="240" w:lineRule="auto"/>
              <w:rPr>
                <w:rFonts w:ascii="Aptos" w:eastAsia="Times New Roman" w:hAnsi="Aptos" w:cs="Times New Roman"/>
                <w:b/>
                <w:bCs/>
                <w:color w:val="000000"/>
                <w:sz w:val="22"/>
                <w:szCs w:val="22"/>
                <w:lang w:eastAsia="en-GB"/>
              </w:rPr>
            </w:pPr>
            <w:r w:rsidRPr="000D2909">
              <w:rPr>
                <w:rFonts w:ascii="Aptos" w:eastAsia="Times New Roman" w:hAnsi="Aptos" w:cs="Times New Roman"/>
                <w:b/>
                <w:bCs/>
                <w:color w:val="000000"/>
                <w:sz w:val="22"/>
                <w:szCs w:val="22"/>
                <w:lang w:eastAsia="en-GB"/>
              </w:rPr>
              <w:t xml:space="preserve"> £43,027.75 </w:t>
            </w:r>
          </w:p>
        </w:tc>
        <w:tc>
          <w:tcPr>
            <w:tcW w:w="943" w:type="pct"/>
            <w:shd w:val="clear" w:color="auto" w:fill="auto"/>
            <w:vAlign w:val="bottom"/>
            <w:hideMark/>
          </w:tcPr>
          <w:p w14:paraId="0AB7068A" w14:textId="77777777" w:rsidR="00D81018" w:rsidRPr="000D2909" w:rsidRDefault="00D81018" w:rsidP="004D0EF3">
            <w:pPr>
              <w:widowControl w:val="0"/>
              <w:spacing w:after="0" w:line="240" w:lineRule="auto"/>
              <w:rPr>
                <w:rFonts w:ascii="Aptos" w:eastAsia="Times New Roman" w:hAnsi="Aptos" w:cs="Times New Roman"/>
                <w:b/>
                <w:bCs/>
                <w:color w:val="000000"/>
                <w:sz w:val="22"/>
                <w:szCs w:val="22"/>
                <w:lang w:eastAsia="en-GB"/>
              </w:rPr>
            </w:pPr>
            <w:r w:rsidRPr="000D2909">
              <w:rPr>
                <w:rFonts w:ascii="Aptos" w:eastAsia="Times New Roman" w:hAnsi="Aptos" w:cs="Times New Roman"/>
                <w:b/>
                <w:bCs/>
                <w:color w:val="000000"/>
                <w:sz w:val="22"/>
                <w:szCs w:val="22"/>
                <w:lang w:eastAsia="en-GB"/>
              </w:rPr>
              <w:t xml:space="preserve">Average cost per unit increase in CHU9D </w:t>
            </w:r>
          </w:p>
        </w:tc>
        <w:tc>
          <w:tcPr>
            <w:tcW w:w="915" w:type="pct"/>
            <w:shd w:val="clear" w:color="auto" w:fill="auto"/>
            <w:vAlign w:val="bottom"/>
            <w:hideMark/>
          </w:tcPr>
          <w:p w14:paraId="2A8286D8" w14:textId="77777777" w:rsidR="00D81018" w:rsidRPr="000D2909" w:rsidRDefault="00D81018" w:rsidP="004D0EF3">
            <w:pPr>
              <w:widowControl w:val="0"/>
              <w:spacing w:after="0" w:line="240" w:lineRule="auto"/>
              <w:rPr>
                <w:rFonts w:ascii="Aptos" w:eastAsia="Times New Roman" w:hAnsi="Aptos" w:cs="Times New Roman"/>
                <w:b/>
                <w:bCs/>
                <w:color w:val="000000"/>
                <w:sz w:val="22"/>
                <w:szCs w:val="22"/>
                <w:lang w:eastAsia="en-GB"/>
              </w:rPr>
            </w:pPr>
            <w:r w:rsidRPr="000D2909">
              <w:rPr>
                <w:rFonts w:ascii="Aptos" w:eastAsia="Times New Roman" w:hAnsi="Aptos" w:cs="Times New Roman"/>
                <w:b/>
                <w:bCs/>
                <w:color w:val="000000"/>
                <w:sz w:val="22"/>
                <w:szCs w:val="22"/>
                <w:lang w:eastAsia="en-GB"/>
              </w:rPr>
              <w:t xml:space="preserve"> Average cost per unit increase in SDQ </w:t>
            </w:r>
          </w:p>
        </w:tc>
      </w:tr>
      <w:tr w:rsidR="00D81018" w:rsidRPr="000D2909" w14:paraId="12D1FC69" w14:textId="77777777" w:rsidTr="006651DC">
        <w:trPr>
          <w:trHeight w:val="309"/>
        </w:trPr>
        <w:tc>
          <w:tcPr>
            <w:tcW w:w="2356" w:type="pct"/>
            <w:shd w:val="clear" w:color="auto" w:fill="auto"/>
            <w:noWrap/>
            <w:vAlign w:val="bottom"/>
            <w:hideMark/>
          </w:tcPr>
          <w:p w14:paraId="65931526" w14:textId="77777777" w:rsidR="00D81018" w:rsidRPr="000D2909" w:rsidRDefault="00D81018" w:rsidP="004D0EF3">
            <w:pPr>
              <w:widowControl w:val="0"/>
              <w:spacing w:after="0" w:line="240" w:lineRule="auto"/>
              <w:rPr>
                <w:rFonts w:ascii="Aptos" w:eastAsia="Times New Roman" w:hAnsi="Aptos" w:cs="Times New Roman"/>
                <w:b/>
                <w:bCs/>
                <w:color w:val="000000"/>
                <w:sz w:val="22"/>
                <w:szCs w:val="22"/>
                <w:lang w:eastAsia="en-GB"/>
              </w:rPr>
            </w:pPr>
            <w:r w:rsidRPr="000D2909">
              <w:rPr>
                <w:rFonts w:ascii="Aptos" w:eastAsia="Times New Roman" w:hAnsi="Aptos" w:cs="Times New Roman"/>
                <w:b/>
                <w:bCs/>
                <w:color w:val="000000"/>
                <w:sz w:val="22"/>
                <w:szCs w:val="22"/>
                <w:lang w:eastAsia="en-GB"/>
              </w:rPr>
              <w:t>Total cost of lucy per patient</w:t>
            </w:r>
          </w:p>
        </w:tc>
        <w:tc>
          <w:tcPr>
            <w:tcW w:w="786" w:type="pct"/>
            <w:shd w:val="clear" w:color="auto" w:fill="auto"/>
            <w:noWrap/>
            <w:vAlign w:val="bottom"/>
            <w:hideMark/>
          </w:tcPr>
          <w:p w14:paraId="569F41EC" w14:textId="77777777"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 xml:space="preserve"> £358.56 </w:t>
            </w:r>
          </w:p>
        </w:tc>
        <w:tc>
          <w:tcPr>
            <w:tcW w:w="943" w:type="pct"/>
            <w:shd w:val="clear" w:color="auto" w:fill="auto"/>
            <w:noWrap/>
            <w:vAlign w:val="bottom"/>
            <w:hideMark/>
          </w:tcPr>
          <w:p w14:paraId="36B0E2E3" w14:textId="77777777"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 xml:space="preserve"> £9,743.60 </w:t>
            </w:r>
          </w:p>
        </w:tc>
        <w:tc>
          <w:tcPr>
            <w:tcW w:w="915" w:type="pct"/>
            <w:shd w:val="clear" w:color="auto" w:fill="auto"/>
            <w:noWrap/>
            <w:vAlign w:val="bottom"/>
            <w:hideMark/>
          </w:tcPr>
          <w:p w14:paraId="3AFCE460" w14:textId="77777777"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 xml:space="preserve"> £183.88 </w:t>
            </w:r>
          </w:p>
        </w:tc>
      </w:tr>
      <w:tr w:rsidR="00D81018" w:rsidRPr="000D2909" w14:paraId="3D3D15C8" w14:textId="77777777" w:rsidTr="006651DC">
        <w:trPr>
          <w:trHeight w:val="309"/>
        </w:trPr>
        <w:tc>
          <w:tcPr>
            <w:tcW w:w="2356" w:type="pct"/>
            <w:shd w:val="clear" w:color="auto" w:fill="auto"/>
            <w:noWrap/>
            <w:vAlign w:val="bottom"/>
            <w:hideMark/>
          </w:tcPr>
          <w:p w14:paraId="1CCD1134" w14:textId="77777777" w:rsidR="00D81018" w:rsidRPr="000D2909" w:rsidRDefault="00D81018" w:rsidP="004D0EF3">
            <w:pPr>
              <w:widowControl w:val="0"/>
              <w:spacing w:after="0" w:line="240" w:lineRule="auto"/>
              <w:rPr>
                <w:rFonts w:ascii="Aptos" w:eastAsia="Times New Roman" w:hAnsi="Aptos" w:cs="Times New Roman"/>
                <w:b/>
                <w:bCs/>
                <w:color w:val="000000"/>
                <w:sz w:val="22"/>
                <w:szCs w:val="22"/>
                <w:lang w:eastAsia="en-GB"/>
              </w:rPr>
            </w:pPr>
            <w:r w:rsidRPr="000D2909">
              <w:rPr>
                <w:rFonts w:ascii="Aptos" w:eastAsia="Times New Roman" w:hAnsi="Aptos" w:cs="Times New Roman"/>
                <w:b/>
                <w:bCs/>
                <w:color w:val="000000"/>
                <w:sz w:val="22"/>
                <w:szCs w:val="22"/>
                <w:lang w:eastAsia="en-GB"/>
              </w:rPr>
              <w:t>Cost of supervision</w:t>
            </w:r>
          </w:p>
        </w:tc>
        <w:tc>
          <w:tcPr>
            <w:tcW w:w="786" w:type="pct"/>
            <w:shd w:val="clear" w:color="auto" w:fill="auto"/>
            <w:noWrap/>
            <w:vAlign w:val="bottom"/>
            <w:hideMark/>
          </w:tcPr>
          <w:p w14:paraId="0219AF31" w14:textId="77777777"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 xml:space="preserve"> £10,169.70 </w:t>
            </w:r>
          </w:p>
        </w:tc>
        <w:tc>
          <w:tcPr>
            <w:tcW w:w="943" w:type="pct"/>
            <w:shd w:val="clear" w:color="auto" w:fill="auto"/>
            <w:noWrap/>
            <w:vAlign w:val="bottom"/>
            <w:hideMark/>
          </w:tcPr>
          <w:p w14:paraId="2E62A03A" w14:textId="77777777"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p>
        </w:tc>
        <w:tc>
          <w:tcPr>
            <w:tcW w:w="915" w:type="pct"/>
            <w:shd w:val="clear" w:color="auto" w:fill="auto"/>
            <w:noWrap/>
            <w:vAlign w:val="bottom"/>
            <w:hideMark/>
          </w:tcPr>
          <w:p w14:paraId="18A9981B" w14:textId="77777777" w:rsidR="00D81018" w:rsidRPr="000D2909" w:rsidRDefault="00D81018" w:rsidP="004D0EF3">
            <w:pPr>
              <w:widowControl w:val="0"/>
              <w:spacing w:after="0" w:line="240" w:lineRule="auto"/>
              <w:rPr>
                <w:rFonts w:ascii="Aptos" w:eastAsia="Times New Roman" w:hAnsi="Aptos" w:cs="Times New Roman"/>
                <w:sz w:val="22"/>
                <w:szCs w:val="22"/>
                <w:lang w:eastAsia="en-GB"/>
              </w:rPr>
            </w:pPr>
          </w:p>
        </w:tc>
      </w:tr>
      <w:tr w:rsidR="00D81018" w:rsidRPr="000D2909" w14:paraId="0B98DE83" w14:textId="77777777" w:rsidTr="006651DC">
        <w:trPr>
          <w:trHeight w:val="309"/>
        </w:trPr>
        <w:tc>
          <w:tcPr>
            <w:tcW w:w="2356" w:type="pct"/>
            <w:shd w:val="clear" w:color="auto" w:fill="auto"/>
            <w:noWrap/>
            <w:vAlign w:val="bottom"/>
            <w:hideMark/>
          </w:tcPr>
          <w:p w14:paraId="6B79688E" w14:textId="77777777" w:rsidR="00D81018" w:rsidRPr="000D2909" w:rsidRDefault="00D81018" w:rsidP="004D0EF3">
            <w:pPr>
              <w:widowControl w:val="0"/>
              <w:spacing w:after="0" w:line="240" w:lineRule="auto"/>
              <w:rPr>
                <w:rFonts w:ascii="Aptos" w:eastAsia="Times New Roman" w:hAnsi="Aptos" w:cs="Times New Roman"/>
                <w:b/>
                <w:bCs/>
                <w:color w:val="000000"/>
                <w:sz w:val="22"/>
                <w:szCs w:val="22"/>
                <w:lang w:eastAsia="en-GB"/>
              </w:rPr>
            </w:pPr>
            <w:r w:rsidRPr="000D2909">
              <w:rPr>
                <w:rFonts w:ascii="Aptos" w:eastAsia="Times New Roman" w:hAnsi="Aptos" w:cs="Times New Roman"/>
                <w:b/>
                <w:bCs/>
                <w:color w:val="000000"/>
                <w:sz w:val="22"/>
                <w:szCs w:val="22"/>
                <w:lang w:eastAsia="en-GB"/>
              </w:rPr>
              <w:t>Total cost of training</w:t>
            </w:r>
          </w:p>
        </w:tc>
        <w:tc>
          <w:tcPr>
            <w:tcW w:w="786" w:type="pct"/>
            <w:shd w:val="clear" w:color="auto" w:fill="auto"/>
            <w:noWrap/>
            <w:vAlign w:val="bottom"/>
            <w:hideMark/>
          </w:tcPr>
          <w:p w14:paraId="2BACF3B1" w14:textId="77777777"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 xml:space="preserve"> £ 4,213.05 </w:t>
            </w:r>
          </w:p>
        </w:tc>
        <w:tc>
          <w:tcPr>
            <w:tcW w:w="943" w:type="pct"/>
            <w:shd w:val="clear" w:color="auto" w:fill="auto"/>
            <w:noWrap/>
            <w:vAlign w:val="bottom"/>
            <w:hideMark/>
          </w:tcPr>
          <w:p w14:paraId="250D9A8E" w14:textId="77777777"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p>
        </w:tc>
        <w:tc>
          <w:tcPr>
            <w:tcW w:w="915" w:type="pct"/>
            <w:shd w:val="clear" w:color="auto" w:fill="auto"/>
            <w:noWrap/>
            <w:vAlign w:val="bottom"/>
            <w:hideMark/>
          </w:tcPr>
          <w:p w14:paraId="15EEF77B" w14:textId="77777777" w:rsidR="00D81018" w:rsidRPr="000D2909" w:rsidRDefault="00D81018" w:rsidP="004D0EF3">
            <w:pPr>
              <w:widowControl w:val="0"/>
              <w:spacing w:after="0" w:line="240" w:lineRule="auto"/>
              <w:rPr>
                <w:rFonts w:ascii="Aptos" w:eastAsia="Times New Roman" w:hAnsi="Aptos" w:cs="Times New Roman"/>
                <w:sz w:val="22"/>
                <w:szCs w:val="22"/>
                <w:lang w:eastAsia="en-GB"/>
              </w:rPr>
            </w:pPr>
          </w:p>
        </w:tc>
      </w:tr>
      <w:tr w:rsidR="00D81018" w:rsidRPr="000D2909" w14:paraId="31CBFC93" w14:textId="77777777" w:rsidTr="006651DC">
        <w:trPr>
          <w:trHeight w:val="309"/>
        </w:trPr>
        <w:tc>
          <w:tcPr>
            <w:tcW w:w="2356" w:type="pct"/>
            <w:shd w:val="clear" w:color="auto" w:fill="auto"/>
            <w:noWrap/>
            <w:vAlign w:val="bottom"/>
            <w:hideMark/>
          </w:tcPr>
          <w:p w14:paraId="029CFD3E" w14:textId="77777777" w:rsidR="00D81018" w:rsidRPr="000D2909" w:rsidRDefault="00D81018" w:rsidP="004D0EF3">
            <w:pPr>
              <w:widowControl w:val="0"/>
              <w:spacing w:after="0" w:line="240" w:lineRule="auto"/>
              <w:rPr>
                <w:rFonts w:ascii="Aptos" w:eastAsia="Times New Roman" w:hAnsi="Aptos" w:cs="Times New Roman"/>
                <w:i/>
                <w:iCs/>
                <w:color w:val="000000"/>
                <w:sz w:val="22"/>
                <w:szCs w:val="22"/>
                <w:lang w:eastAsia="en-GB"/>
              </w:rPr>
            </w:pPr>
            <w:r w:rsidRPr="000D2909">
              <w:rPr>
                <w:rFonts w:ascii="Aptos" w:eastAsia="Times New Roman" w:hAnsi="Aptos" w:cs="Times New Roman"/>
                <w:i/>
                <w:iCs/>
                <w:color w:val="000000"/>
                <w:sz w:val="22"/>
                <w:szCs w:val="22"/>
                <w:lang w:eastAsia="en-GB"/>
              </w:rPr>
              <w:t xml:space="preserve">     Cost of trainers</w:t>
            </w:r>
          </w:p>
        </w:tc>
        <w:tc>
          <w:tcPr>
            <w:tcW w:w="786" w:type="pct"/>
            <w:shd w:val="clear" w:color="auto" w:fill="auto"/>
            <w:noWrap/>
            <w:vAlign w:val="bottom"/>
            <w:hideMark/>
          </w:tcPr>
          <w:p w14:paraId="5BABE919" w14:textId="77777777" w:rsidR="00D81018" w:rsidRPr="000D2909" w:rsidRDefault="00D81018" w:rsidP="004D0EF3">
            <w:pPr>
              <w:widowControl w:val="0"/>
              <w:spacing w:after="0" w:line="240" w:lineRule="auto"/>
              <w:rPr>
                <w:rFonts w:ascii="Aptos" w:eastAsia="Times New Roman" w:hAnsi="Aptos" w:cs="Times New Roman"/>
                <w:i/>
                <w:iCs/>
                <w:color w:val="000000"/>
                <w:sz w:val="22"/>
                <w:szCs w:val="22"/>
                <w:lang w:eastAsia="en-GB"/>
              </w:rPr>
            </w:pPr>
            <w:r w:rsidRPr="000D2909">
              <w:rPr>
                <w:rFonts w:ascii="Aptos" w:eastAsia="Times New Roman" w:hAnsi="Aptos" w:cs="Times New Roman"/>
                <w:i/>
                <w:iCs/>
                <w:color w:val="000000"/>
                <w:sz w:val="22"/>
                <w:szCs w:val="22"/>
                <w:lang w:eastAsia="en-GB"/>
              </w:rPr>
              <w:t xml:space="preserve"> £205.05 </w:t>
            </w:r>
          </w:p>
        </w:tc>
        <w:tc>
          <w:tcPr>
            <w:tcW w:w="943" w:type="pct"/>
            <w:shd w:val="clear" w:color="auto" w:fill="auto"/>
            <w:noWrap/>
            <w:vAlign w:val="bottom"/>
            <w:hideMark/>
          </w:tcPr>
          <w:p w14:paraId="6D1A390D" w14:textId="77777777"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p>
        </w:tc>
        <w:tc>
          <w:tcPr>
            <w:tcW w:w="915" w:type="pct"/>
            <w:shd w:val="clear" w:color="auto" w:fill="auto"/>
            <w:noWrap/>
            <w:vAlign w:val="bottom"/>
            <w:hideMark/>
          </w:tcPr>
          <w:p w14:paraId="220B97D1" w14:textId="77777777" w:rsidR="00D81018" w:rsidRPr="000D2909" w:rsidRDefault="00D81018" w:rsidP="004D0EF3">
            <w:pPr>
              <w:widowControl w:val="0"/>
              <w:spacing w:after="0" w:line="240" w:lineRule="auto"/>
              <w:rPr>
                <w:rFonts w:ascii="Aptos" w:eastAsia="Times New Roman" w:hAnsi="Aptos" w:cs="Times New Roman"/>
                <w:sz w:val="22"/>
                <w:szCs w:val="22"/>
                <w:lang w:eastAsia="en-GB"/>
              </w:rPr>
            </w:pPr>
          </w:p>
        </w:tc>
      </w:tr>
      <w:tr w:rsidR="00D81018" w:rsidRPr="000D2909" w14:paraId="21610713" w14:textId="77777777" w:rsidTr="006651DC">
        <w:trPr>
          <w:trHeight w:val="309"/>
        </w:trPr>
        <w:tc>
          <w:tcPr>
            <w:tcW w:w="2356" w:type="pct"/>
            <w:shd w:val="clear" w:color="auto" w:fill="auto"/>
            <w:noWrap/>
            <w:vAlign w:val="bottom"/>
            <w:hideMark/>
          </w:tcPr>
          <w:p w14:paraId="79A57076" w14:textId="77777777" w:rsidR="00D81018" w:rsidRPr="000D2909" w:rsidRDefault="00D81018" w:rsidP="004D0EF3">
            <w:pPr>
              <w:widowControl w:val="0"/>
              <w:spacing w:after="0" w:line="240" w:lineRule="auto"/>
              <w:rPr>
                <w:rFonts w:ascii="Aptos" w:eastAsia="Times New Roman" w:hAnsi="Aptos" w:cs="Times New Roman"/>
                <w:i/>
                <w:iCs/>
                <w:color w:val="000000"/>
                <w:sz w:val="22"/>
                <w:szCs w:val="22"/>
                <w:lang w:eastAsia="en-GB"/>
              </w:rPr>
            </w:pPr>
            <w:r w:rsidRPr="000D2909">
              <w:rPr>
                <w:rFonts w:ascii="Aptos" w:eastAsia="Times New Roman" w:hAnsi="Aptos" w:cs="Times New Roman"/>
                <w:i/>
                <w:iCs/>
                <w:color w:val="000000"/>
                <w:sz w:val="22"/>
                <w:szCs w:val="22"/>
                <w:lang w:eastAsia="en-GB"/>
              </w:rPr>
              <w:t xml:space="preserve">     Cost of attending training</w:t>
            </w:r>
          </w:p>
        </w:tc>
        <w:tc>
          <w:tcPr>
            <w:tcW w:w="786" w:type="pct"/>
            <w:shd w:val="clear" w:color="auto" w:fill="auto"/>
            <w:noWrap/>
            <w:vAlign w:val="bottom"/>
            <w:hideMark/>
          </w:tcPr>
          <w:p w14:paraId="5AD84FA2" w14:textId="77777777" w:rsidR="00D81018" w:rsidRPr="000D2909" w:rsidRDefault="00D81018" w:rsidP="004D0EF3">
            <w:pPr>
              <w:widowControl w:val="0"/>
              <w:spacing w:after="0" w:line="240" w:lineRule="auto"/>
              <w:rPr>
                <w:rFonts w:ascii="Aptos" w:eastAsia="Times New Roman" w:hAnsi="Aptos" w:cs="Times New Roman"/>
                <w:i/>
                <w:iCs/>
                <w:color w:val="000000"/>
                <w:sz w:val="22"/>
                <w:szCs w:val="22"/>
                <w:lang w:eastAsia="en-GB"/>
              </w:rPr>
            </w:pPr>
            <w:r w:rsidRPr="000D2909">
              <w:rPr>
                <w:rFonts w:ascii="Aptos" w:eastAsia="Times New Roman" w:hAnsi="Aptos" w:cs="Times New Roman"/>
                <w:i/>
                <w:iCs/>
                <w:color w:val="000000"/>
                <w:sz w:val="22"/>
                <w:szCs w:val="22"/>
                <w:lang w:eastAsia="en-GB"/>
              </w:rPr>
              <w:t xml:space="preserve"> £4,008.00 </w:t>
            </w:r>
          </w:p>
        </w:tc>
        <w:tc>
          <w:tcPr>
            <w:tcW w:w="943" w:type="pct"/>
            <w:shd w:val="clear" w:color="auto" w:fill="auto"/>
            <w:noWrap/>
            <w:vAlign w:val="bottom"/>
            <w:hideMark/>
          </w:tcPr>
          <w:p w14:paraId="3773E1EE" w14:textId="77777777"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p>
        </w:tc>
        <w:tc>
          <w:tcPr>
            <w:tcW w:w="915" w:type="pct"/>
            <w:shd w:val="clear" w:color="auto" w:fill="auto"/>
            <w:noWrap/>
            <w:vAlign w:val="bottom"/>
            <w:hideMark/>
          </w:tcPr>
          <w:p w14:paraId="73AF2666" w14:textId="77777777" w:rsidR="00D81018" w:rsidRPr="000D2909" w:rsidRDefault="00D81018" w:rsidP="004D0EF3">
            <w:pPr>
              <w:widowControl w:val="0"/>
              <w:spacing w:after="0" w:line="240" w:lineRule="auto"/>
              <w:rPr>
                <w:rFonts w:ascii="Aptos" w:eastAsia="Times New Roman" w:hAnsi="Aptos" w:cs="Times New Roman"/>
                <w:sz w:val="22"/>
                <w:szCs w:val="22"/>
                <w:lang w:eastAsia="en-GB"/>
              </w:rPr>
            </w:pPr>
          </w:p>
        </w:tc>
      </w:tr>
      <w:tr w:rsidR="00D81018" w:rsidRPr="000D2909" w14:paraId="128758B0" w14:textId="77777777" w:rsidTr="006651DC">
        <w:trPr>
          <w:trHeight w:val="309"/>
        </w:trPr>
        <w:tc>
          <w:tcPr>
            <w:tcW w:w="2356" w:type="pct"/>
            <w:shd w:val="clear" w:color="auto" w:fill="auto"/>
            <w:noWrap/>
            <w:vAlign w:val="bottom"/>
            <w:hideMark/>
          </w:tcPr>
          <w:p w14:paraId="22592CA9" w14:textId="77777777" w:rsidR="00D81018" w:rsidRPr="000D2909" w:rsidRDefault="00D81018" w:rsidP="004D0EF3">
            <w:pPr>
              <w:widowControl w:val="0"/>
              <w:spacing w:after="0" w:line="240" w:lineRule="auto"/>
              <w:rPr>
                <w:rFonts w:ascii="Aptos" w:eastAsia="Times New Roman" w:hAnsi="Aptos" w:cs="Times New Roman"/>
                <w:b/>
                <w:bCs/>
                <w:color w:val="000000"/>
                <w:sz w:val="22"/>
                <w:szCs w:val="22"/>
                <w:lang w:eastAsia="en-GB"/>
              </w:rPr>
            </w:pPr>
            <w:r w:rsidRPr="000D2909">
              <w:rPr>
                <w:rFonts w:ascii="Aptos" w:eastAsia="Times New Roman" w:hAnsi="Aptos" w:cs="Times New Roman"/>
                <w:b/>
                <w:bCs/>
                <w:color w:val="000000"/>
                <w:sz w:val="22"/>
                <w:szCs w:val="22"/>
                <w:lang w:eastAsia="en-GB"/>
              </w:rPr>
              <w:t xml:space="preserve">Cost of delivering Lucy project </w:t>
            </w:r>
          </w:p>
        </w:tc>
        <w:tc>
          <w:tcPr>
            <w:tcW w:w="786" w:type="pct"/>
            <w:shd w:val="clear" w:color="auto" w:fill="auto"/>
            <w:noWrap/>
            <w:vAlign w:val="bottom"/>
            <w:hideMark/>
          </w:tcPr>
          <w:p w14:paraId="5213112E" w14:textId="77777777"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 xml:space="preserve"> £28,645.00 </w:t>
            </w:r>
          </w:p>
        </w:tc>
        <w:tc>
          <w:tcPr>
            <w:tcW w:w="943" w:type="pct"/>
            <w:shd w:val="clear" w:color="auto" w:fill="auto"/>
            <w:noWrap/>
            <w:vAlign w:val="bottom"/>
            <w:hideMark/>
          </w:tcPr>
          <w:p w14:paraId="4086FDFC" w14:textId="77777777"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p>
        </w:tc>
        <w:tc>
          <w:tcPr>
            <w:tcW w:w="915" w:type="pct"/>
            <w:shd w:val="clear" w:color="auto" w:fill="auto"/>
            <w:noWrap/>
            <w:vAlign w:val="bottom"/>
            <w:hideMark/>
          </w:tcPr>
          <w:p w14:paraId="15CA7215" w14:textId="77777777" w:rsidR="00D81018" w:rsidRPr="000D2909" w:rsidRDefault="00D81018" w:rsidP="004D0EF3">
            <w:pPr>
              <w:widowControl w:val="0"/>
              <w:spacing w:after="0" w:line="240" w:lineRule="auto"/>
              <w:rPr>
                <w:rFonts w:ascii="Aptos" w:eastAsia="Times New Roman" w:hAnsi="Aptos" w:cs="Times New Roman"/>
                <w:sz w:val="22"/>
                <w:szCs w:val="22"/>
                <w:lang w:eastAsia="en-GB"/>
              </w:rPr>
            </w:pPr>
          </w:p>
        </w:tc>
      </w:tr>
    </w:tbl>
    <w:p w14:paraId="6D620F3B" w14:textId="77777777" w:rsidR="00D81018" w:rsidRPr="000D2909" w:rsidRDefault="00D81018" w:rsidP="004D0EF3">
      <w:pPr>
        <w:widowControl w:val="0"/>
        <w:rPr>
          <w:rFonts w:ascii="Aptos" w:hAnsi="Aptos" w:cs="Calibri"/>
          <w:sz w:val="22"/>
          <w:szCs w:val="22"/>
        </w:rPr>
      </w:pPr>
    </w:p>
    <w:p w14:paraId="60AC6495" w14:textId="50410168" w:rsidR="00D81018" w:rsidRPr="000D2909" w:rsidRDefault="00D81018" w:rsidP="004D0EF3">
      <w:pPr>
        <w:pStyle w:val="Caption"/>
        <w:widowControl w:val="0"/>
      </w:pPr>
      <w:r w:rsidRPr="000D2909">
        <w:t xml:space="preserve">Table </w:t>
      </w:r>
      <w:r w:rsidR="00661989" w:rsidRPr="000D2909">
        <w:t>D</w:t>
      </w:r>
      <w:r w:rsidRPr="000D2909">
        <w:t>2: Cost Per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4"/>
        <w:gridCol w:w="2254"/>
        <w:gridCol w:w="2254"/>
        <w:gridCol w:w="2254"/>
      </w:tblGrid>
      <w:tr w:rsidR="00D81018" w:rsidRPr="000D2909" w14:paraId="3D8301B9" w14:textId="77777777" w:rsidTr="000D2909">
        <w:trPr>
          <w:trHeight w:val="312"/>
        </w:trPr>
        <w:tc>
          <w:tcPr>
            <w:tcW w:w="2254" w:type="dxa"/>
            <w:shd w:val="clear" w:color="auto" w:fill="auto"/>
            <w:noWrap/>
            <w:hideMark/>
          </w:tcPr>
          <w:p w14:paraId="54A82D77" w14:textId="77777777" w:rsidR="00D81018" w:rsidRPr="000D2909" w:rsidRDefault="00D81018" w:rsidP="004D0EF3">
            <w:pPr>
              <w:widowControl w:val="0"/>
              <w:spacing w:after="0" w:line="240" w:lineRule="auto"/>
              <w:rPr>
                <w:rFonts w:ascii="Aptos" w:eastAsia="Times New Roman" w:hAnsi="Aptos" w:cs="Times New Roman"/>
                <w:b/>
                <w:bCs/>
                <w:color w:val="000000"/>
                <w:sz w:val="22"/>
                <w:szCs w:val="22"/>
                <w:lang w:eastAsia="en-GB"/>
              </w:rPr>
            </w:pPr>
            <w:r w:rsidRPr="000D2909">
              <w:rPr>
                <w:rFonts w:ascii="Aptos" w:eastAsia="Times New Roman" w:hAnsi="Aptos" w:cs="Times New Roman"/>
                <w:b/>
                <w:bCs/>
                <w:color w:val="000000"/>
                <w:sz w:val="22"/>
                <w:szCs w:val="22"/>
                <w:lang w:eastAsia="en-GB"/>
              </w:rPr>
              <w:t>Site</w:t>
            </w:r>
          </w:p>
        </w:tc>
        <w:tc>
          <w:tcPr>
            <w:tcW w:w="2254" w:type="dxa"/>
            <w:shd w:val="clear" w:color="auto" w:fill="auto"/>
            <w:noWrap/>
            <w:hideMark/>
          </w:tcPr>
          <w:p w14:paraId="52E5073F" w14:textId="77777777" w:rsidR="00D81018" w:rsidRPr="000D2909" w:rsidRDefault="00D81018" w:rsidP="004D0EF3">
            <w:pPr>
              <w:widowControl w:val="0"/>
              <w:spacing w:after="0" w:line="240" w:lineRule="auto"/>
              <w:rPr>
                <w:rFonts w:ascii="Aptos" w:eastAsia="Times New Roman" w:hAnsi="Aptos" w:cs="Times New Roman"/>
                <w:b/>
                <w:bCs/>
                <w:color w:val="000000"/>
                <w:sz w:val="22"/>
                <w:szCs w:val="22"/>
                <w:lang w:eastAsia="en-GB"/>
              </w:rPr>
            </w:pPr>
            <w:r w:rsidRPr="000D2909">
              <w:rPr>
                <w:rFonts w:ascii="Aptos" w:eastAsia="Times New Roman" w:hAnsi="Aptos" w:cs="Times New Roman"/>
                <w:b/>
                <w:bCs/>
                <w:color w:val="000000"/>
                <w:sz w:val="22"/>
                <w:szCs w:val="22"/>
                <w:lang w:eastAsia="en-GB"/>
              </w:rPr>
              <w:t>Cost per site</w:t>
            </w:r>
          </w:p>
        </w:tc>
        <w:tc>
          <w:tcPr>
            <w:tcW w:w="2254" w:type="dxa"/>
            <w:shd w:val="clear" w:color="auto" w:fill="auto"/>
            <w:hideMark/>
          </w:tcPr>
          <w:p w14:paraId="3753CDA2" w14:textId="750BF97D" w:rsidR="00D81018" w:rsidRPr="000D2909" w:rsidRDefault="00D81018" w:rsidP="004D0EF3">
            <w:pPr>
              <w:widowControl w:val="0"/>
              <w:spacing w:after="0" w:line="240" w:lineRule="auto"/>
              <w:rPr>
                <w:rFonts w:ascii="Aptos" w:eastAsia="Times New Roman" w:hAnsi="Aptos" w:cs="Times New Roman"/>
                <w:b/>
                <w:bCs/>
                <w:color w:val="000000"/>
                <w:sz w:val="22"/>
                <w:szCs w:val="22"/>
                <w:lang w:eastAsia="en-GB"/>
              </w:rPr>
            </w:pPr>
            <w:r w:rsidRPr="000D2909">
              <w:rPr>
                <w:rFonts w:ascii="Aptos" w:eastAsia="Times New Roman" w:hAnsi="Aptos" w:cs="Times New Roman"/>
                <w:b/>
                <w:bCs/>
                <w:color w:val="000000"/>
                <w:sz w:val="22"/>
                <w:szCs w:val="22"/>
                <w:lang w:eastAsia="en-GB"/>
              </w:rPr>
              <w:t>Number of patients receiving low intensity CBT</w:t>
            </w:r>
          </w:p>
        </w:tc>
        <w:tc>
          <w:tcPr>
            <w:tcW w:w="2254" w:type="dxa"/>
            <w:shd w:val="clear" w:color="auto" w:fill="auto"/>
            <w:hideMark/>
          </w:tcPr>
          <w:p w14:paraId="2504A036" w14:textId="77777777" w:rsidR="00D81018" w:rsidRPr="000D2909" w:rsidRDefault="00D81018" w:rsidP="004D0EF3">
            <w:pPr>
              <w:widowControl w:val="0"/>
              <w:spacing w:after="0" w:line="240" w:lineRule="auto"/>
              <w:rPr>
                <w:rFonts w:ascii="Aptos" w:eastAsia="Times New Roman" w:hAnsi="Aptos" w:cs="Times New Roman"/>
                <w:b/>
                <w:bCs/>
                <w:color w:val="000000"/>
                <w:sz w:val="22"/>
                <w:szCs w:val="22"/>
                <w:lang w:eastAsia="en-GB"/>
              </w:rPr>
            </w:pPr>
            <w:r w:rsidRPr="000D2909">
              <w:rPr>
                <w:rFonts w:ascii="Aptos" w:eastAsia="Times New Roman" w:hAnsi="Aptos" w:cs="Times New Roman"/>
                <w:b/>
                <w:bCs/>
                <w:color w:val="000000"/>
                <w:sz w:val="22"/>
                <w:szCs w:val="22"/>
                <w:lang w:eastAsia="en-GB"/>
              </w:rPr>
              <w:t>Cost per site and per patients seen</w:t>
            </w:r>
          </w:p>
        </w:tc>
      </w:tr>
      <w:tr w:rsidR="00D81018" w:rsidRPr="000D2909" w14:paraId="3F2827F8" w14:textId="77777777" w:rsidTr="000D2909">
        <w:trPr>
          <w:trHeight w:val="312"/>
        </w:trPr>
        <w:tc>
          <w:tcPr>
            <w:tcW w:w="2254" w:type="dxa"/>
            <w:shd w:val="clear" w:color="auto" w:fill="auto"/>
            <w:hideMark/>
          </w:tcPr>
          <w:p w14:paraId="65E5E255" w14:textId="0978B774"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 xml:space="preserve">UCLH </w:t>
            </w:r>
          </w:p>
        </w:tc>
        <w:tc>
          <w:tcPr>
            <w:tcW w:w="2254" w:type="dxa"/>
            <w:shd w:val="clear" w:color="auto" w:fill="auto"/>
            <w:noWrap/>
            <w:hideMark/>
          </w:tcPr>
          <w:p w14:paraId="3F28C5B3" w14:textId="66490D55"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 xml:space="preserve">£16,254.50 </w:t>
            </w:r>
          </w:p>
        </w:tc>
        <w:tc>
          <w:tcPr>
            <w:tcW w:w="2254" w:type="dxa"/>
            <w:shd w:val="clear" w:color="auto" w:fill="auto"/>
            <w:noWrap/>
            <w:hideMark/>
          </w:tcPr>
          <w:p w14:paraId="1A35304F" w14:textId="77777777"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44</w:t>
            </w:r>
          </w:p>
        </w:tc>
        <w:tc>
          <w:tcPr>
            <w:tcW w:w="2254" w:type="dxa"/>
            <w:shd w:val="clear" w:color="auto" w:fill="auto"/>
            <w:noWrap/>
            <w:hideMark/>
          </w:tcPr>
          <w:p w14:paraId="058AF6BB" w14:textId="71176BE1"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 xml:space="preserve">£369.42 </w:t>
            </w:r>
          </w:p>
        </w:tc>
      </w:tr>
      <w:tr w:rsidR="00D81018" w:rsidRPr="000D2909" w14:paraId="5CC2F7E8" w14:textId="77777777" w:rsidTr="000D2909">
        <w:trPr>
          <w:trHeight w:val="312"/>
        </w:trPr>
        <w:tc>
          <w:tcPr>
            <w:tcW w:w="2254" w:type="dxa"/>
            <w:shd w:val="clear" w:color="auto" w:fill="auto"/>
            <w:hideMark/>
          </w:tcPr>
          <w:p w14:paraId="02922C3D" w14:textId="1B77C82B"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 xml:space="preserve">Sheffield </w:t>
            </w:r>
          </w:p>
        </w:tc>
        <w:tc>
          <w:tcPr>
            <w:tcW w:w="2254" w:type="dxa"/>
            <w:shd w:val="clear" w:color="auto" w:fill="auto"/>
            <w:noWrap/>
            <w:hideMark/>
          </w:tcPr>
          <w:p w14:paraId="3CB7DD27" w14:textId="322F93E2"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 xml:space="preserve">£9,660.00 </w:t>
            </w:r>
          </w:p>
        </w:tc>
        <w:tc>
          <w:tcPr>
            <w:tcW w:w="2254" w:type="dxa"/>
            <w:shd w:val="clear" w:color="auto" w:fill="auto"/>
            <w:noWrap/>
            <w:hideMark/>
          </w:tcPr>
          <w:p w14:paraId="74ABF576" w14:textId="77777777"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32</w:t>
            </w:r>
          </w:p>
        </w:tc>
        <w:tc>
          <w:tcPr>
            <w:tcW w:w="2254" w:type="dxa"/>
            <w:shd w:val="clear" w:color="auto" w:fill="auto"/>
            <w:noWrap/>
            <w:hideMark/>
          </w:tcPr>
          <w:p w14:paraId="03F4ADFA" w14:textId="2451CC4D"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 xml:space="preserve">£301.88 </w:t>
            </w:r>
          </w:p>
        </w:tc>
      </w:tr>
      <w:tr w:rsidR="00D81018" w:rsidRPr="000D2909" w14:paraId="01421897" w14:textId="77777777" w:rsidTr="000D2909">
        <w:trPr>
          <w:trHeight w:val="312"/>
        </w:trPr>
        <w:tc>
          <w:tcPr>
            <w:tcW w:w="2254" w:type="dxa"/>
            <w:shd w:val="clear" w:color="auto" w:fill="auto"/>
            <w:hideMark/>
          </w:tcPr>
          <w:p w14:paraId="3EAD5FF0" w14:textId="01173FAC"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 xml:space="preserve">CPFT </w:t>
            </w:r>
          </w:p>
        </w:tc>
        <w:tc>
          <w:tcPr>
            <w:tcW w:w="2254" w:type="dxa"/>
            <w:shd w:val="clear" w:color="auto" w:fill="auto"/>
            <w:noWrap/>
            <w:hideMark/>
          </w:tcPr>
          <w:p w14:paraId="1C46602B" w14:textId="46B470F3"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 xml:space="preserve">£3,815.42 </w:t>
            </w:r>
          </w:p>
        </w:tc>
        <w:tc>
          <w:tcPr>
            <w:tcW w:w="2254" w:type="dxa"/>
            <w:shd w:val="clear" w:color="auto" w:fill="auto"/>
            <w:noWrap/>
            <w:hideMark/>
          </w:tcPr>
          <w:p w14:paraId="52E40D43" w14:textId="77777777"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9</w:t>
            </w:r>
          </w:p>
        </w:tc>
        <w:tc>
          <w:tcPr>
            <w:tcW w:w="2254" w:type="dxa"/>
            <w:shd w:val="clear" w:color="auto" w:fill="auto"/>
            <w:noWrap/>
            <w:hideMark/>
          </w:tcPr>
          <w:p w14:paraId="11DDB3A9" w14:textId="6AA53476"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 xml:space="preserve">£423.94 </w:t>
            </w:r>
          </w:p>
        </w:tc>
      </w:tr>
      <w:tr w:rsidR="00D81018" w:rsidRPr="000D2909" w14:paraId="6F793958" w14:textId="77777777" w:rsidTr="000D2909">
        <w:trPr>
          <w:trHeight w:val="312"/>
        </w:trPr>
        <w:tc>
          <w:tcPr>
            <w:tcW w:w="2254" w:type="dxa"/>
            <w:shd w:val="clear" w:color="auto" w:fill="auto"/>
            <w:hideMark/>
          </w:tcPr>
          <w:p w14:paraId="5FB60330" w14:textId="249DE6E0"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Hinchingbrooke</w:t>
            </w:r>
          </w:p>
        </w:tc>
        <w:tc>
          <w:tcPr>
            <w:tcW w:w="2254" w:type="dxa"/>
            <w:shd w:val="clear" w:color="auto" w:fill="auto"/>
            <w:noWrap/>
            <w:hideMark/>
          </w:tcPr>
          <w:p w14:paraId="64A53A54" w14:textId="7AAD3080"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 xml:space="preserve">£7,250.26 </w:t>
            </w:r>
          </w:p>
        </w:tc>
        <w:tc>
          <w:tcPr>
            <w:tcW w:w="2254" w:type="dxa"/>
            <w:shd w:val="clear" w:color="auto" w:fill="auto"/>
            <w:noWrap/>
            <w:hideMark/>
          </w:tcPr>
          <w:p w14:paraId="31BB916B" w14:textId="77777777"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5</w:t>
            </w:r>
          </w:p>
        </w:tc>
        <w:tc>
          <w:tcPr>
            <w:tcW w:w="2254" w:type="dxa"/>
            <w:shd w:val="clear" w:color="auto" w:fill="auto"/>
            <w:noWrap/>
            <w:hideMark/>
          </w:tcPr>
          <w:p w14:paraId="03C674BD" w14:textId="17C88E28"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 xml:space="preserve">£1,450.05 </w:t>
            </w:r>
          </w:p>
        </w:tc>
      </w:tr>
      <w:tr w:rsidR="00D81018" w:rsidRPr="000D2909" w14:paraId="7EA7099D" w14:textId="77777777" w:rsidTr="000D2909">
        <w:trPr>
          <w:trHeight w:val="312"/>
        </w:trPr>
        <w:tc>
          <w:tcPr>
            <w:tcW w:w="2254" w:type="dxa"/>
            <w:shd w:val="clear" w:color="auto" w:fill="auto"/>
            <w:hideMark/>
          </w:tcPr>
          <w:p w14:paraId="1899D823" w14:textId="49511F09"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 xml:space="preserve">Leeds </w:t>
            </w:r>
          </w:p>
        </w:tc>
        <w:tc>
          <w:tcPr>
            <w:tcW w:w="2254" w:type="dxa"/>
            <w:shd w:val="clear" w:color="auto" w:fill="auto"/>
            <w:noWrap/>
            <w:hideMark/>
          </w:tcPr>
          <w:p w14:paraId="6105713B" w14:textId="2C31C90E"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 xml:space="preserve">£2,397.26 </w:t>
            </w:r>
          </w:p>
        </w:tc>
        <w:tc>
          <w:tcPr>
            <w:tcW w:w="2254" w:type="dxa"/>
            <w:shd w:val="clear" w:color="auto" w:fill="auto"/>
            <w:noWrap/>
            <w:hideMark/>
          </w:tcPr>
          <w:p w14:paraId="28D5DF51" w14:textId="77777777"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3</w:t>
            </w:r>
          </w:p>
        </w:tc>
        <w:tc>
          <w:tcPr>
            <w:tcW w:w="2254" w:type="dxa"/>
            <w:shd w:val="clear" w:color="auto" w:fill="auto"/>
            <w:noWrap/>
            <w:hideMark/>
          </w:tcPr>
          <w:p w14:paraId="2FE4FC12" w14:textId="25814ADE"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 xml:space="preserve">£799.09 </w:t>
            </w:r>
          </w:p>
        </w:tc>
      </w:tr>
      <w:tr w:rsidR="00D81018" w:rsidRPr="000D2909" w14:paraId="537D9683" w14:textId="77777777" w:rsidTr="000D2909">
        <w:trPr>
          <w:trHeight w:val="312"/>
        </w:trPr>
        <w:tc>
          <w:tcPr>
            <w:tcW w:w="2254" w:type="dxa"/>
            <w:shd w:val="clear" w:color="auto" w:fill="auto"/>
            <w:hideMark/>
          </w:tcPr>
          <w:p w14:paraId="6928CC63" w14:textId="3C5D01E1"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 xml:space="preserve">Peterborough </w:t>
            </w:r>
          </w:p>
        </w:tc>
        <w:tc>
          <w:tcPr>
            <w:tcW w:w="2254" w:type="dxa"/>
            <w:shd w:val="clear" w:color="auto" w:fill="auto"/>
            <w:noWrap/>
            <w:hideMark/>
          </w:tcPr>
          <w:p w14:paraId="5D35D1A6" w14:textId="14B4ED67"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 xml:space="preserve">£3,650.30 </w:t>
            </w:r>
          </w:p>
        </w:tc>
        <w:tc>
          <w:tcPr>
            <w:tcW w:w="2254" w:type="dxa"/>
            <w:shd w:val="clear" w:color="auto" w:fill="auto"/>
            <w:noWrap/>
            <w:hideMark/>
          </w:tcPr>
          <w:p w14:paraId="74B8A56B" w14:textId="77777777"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3</w:t>
            </w:r>
          </w:p>
        </w:tc>
        <w:tc>
          <w:tcPr>
            <w:tcW w:w="2254" w:type="dxa"/>
            <w:shd w:val="clear" w:color="auto" w:fill="auto"/>
            <w:noWrap/>
            <w:hideMark/>
          </w:tcPr>
          <w:p w14:paraId="6AAEEB16" w14:textId="267D42B9" w:rsidR="00D81018" w:rsidRPr="000D2909" w:rsidRDefault="00D81018" w:rsidP="004D0EF3">
            <w:pPr>
              <w:widowControl w:val="0"/>
              <w:spacing w:after="0" w:line="240" w:lineRule="auto"/>
              <w:rPr>
                <w:rFonts w:ascii="Aptos" w:eastAsia="Times New Roman" w:hAnsi="Aptos" w:cs="Times New Roman"/>
                <w:color w:val="000000"/>
                <w:sz w:val="22"/>
                <w:szCs w:val="22"/>
                <w:lang w:eastAsia="en-GB"/>
              </w:rPr>
            </w:pPr>
            <w:r w:rsidRPr="000D2909">
              <w:rPr>
                <w:rFonts w:ascii="Aptos" w:eastAsia="Times New Roman" w:hAnsi="Aptos" w:cs="Times New Roman"/>
                <w:color w:val="000000"/>
                <w:sz w:val="22"/>
                <w:szCs w:val="22"/>
                <w:lang w:eastAsia="en-GB"/>
              </w:rPr>
              <w:t xml:space="preserve">£1,216.77 </w:t>
            </w:r>
          </w:p>
        </w:tc>
      </w:tr>
    </w:tbl>
    <w:p w14:paraId="14041288" w14:textId="77777777" w:rsidR="00D81018" w:rsidRPr="000D2909" w:rsidRDefault="00D81018" w:rsidP="004D0EF3">
      <w:pPr>
        <w:widowControl w:val="0"/>
        <w:rPr>
          <w:rFonts w:ascii="Aptos" w:hAnsi="Aptos" w:cs="Calibri"/>
          <w:sz w:val="22"/>
          <w:szCs w:val="22"/>
        </w:rPr>
      </w:pPr>
    </w:p>
    <w:p w14:paraId="417FB355" w14:textId="0E2C6BA2" w:rsidR="00D81018" w:rsidRPr="000D2909" w:rsidRDefault="00D81018" w:rsidP="004D0EF3">
      <w:pPr>
        <w:widowControl w:val="0"/>
        <w:rPr>
          <w:rFonts w:ascii="Aptos" w:hAnsi="Aptos" w:cs="Calibri"/>
          <w:i/>
          <w:iCs/>
          <w:sz w:val="22"/>
          <w:szCs w:val="22"/>
        </w:rPr>
      </w:pPr>
      <w:r w:rsidRPr="000D2909">
        <w:rPr>
          <w:rFonts w:ascii="Aptos" w:hAnsi="Aptos"/>
          <w:sz w:val="22"/>
          <w:szCs w:val="22"/>
        </w:rPr>
        <w:t xml:space="preserve">The </w:t>
      </w:r>
      <w:bookmarkStart w:id="1" w:name="_Hlk181366102"/>
      <w:r w:rsidRPr="000D2909">
        <w:rPr>
          <w:rFonts w:ascii="Aptos" w:hAnsi="Aptos"/>
          <w:sz w:val="22"/>
          <w:szCs w:val="22"/>
        </w:rPr>
        <w:t xml:space="preserve">analysis revealed an average cost per unit increase on the CHU9D of £9,743.60, and an average cost per unit decrease on the SDQ of £183.88. </w:t>
      </w:r>
      <w:bookmarkEnd w:id="1"/>
      <w:r w:rsidRPr="000D2909">
        <w:rPr>
          <w:rFonts w:ascii="Aptos" w:hAnsi="Aptos"/>
          <w:sz w:val="22"/>
          <w:szCs w:val="22"/>
        </w:rPr>
        <w:t xml:space="preserve">As mentioned previously, there are clinical implications </w:t>
      </w:r>
      <w:r w:rsidRPr="000D2909">
        <w:rPr>
          <w:rFonts w:ascii="Aptos" w:hAnsi="Aptos" w:cs="Calibri"/>
          <w:sz w:val="22"/>
          <w:szCs w:val="22"/>
        </w:rPr>
        <w:t xml:space="preserve">of a two-point decrease in SDQ score </w:t>
      </w:r>
      <w:r w:rsidRPr="000D2909">
        <w:rPr>
          <w:rFonts w:ascii="Aptos" w:hAnsi="Aptos"/>
          <w:sz w:val="22"/>
          <w:szCs w:val="22"/>
        </w:rPr>
        <w:t>(odds of p</w:t>
      </w:r>
      <w:r w:rsidRPr="000D2909">
        <w:rPr>
          <w:rFonts w:ascii="Aptos" w:hAnsi="Aptos" w:cs="Calibri"/>
          <w:sz w:val="22"/>
          <w:szCs w:val="22"/>
        </w:rPr>
        <w:t xml:space="preserve">sychiatric disorder decreasing by 40%) and this analysis suggests possible economic implication for one point change too. </w:t>
      </w:r>
    </w:p>
    <w:p w14:paraId="7B47B74E" w14:textId="33F462D1" w:rsidR="00D81018" w:rsidRPr="000D2909" w:rsidRDefault="00D81018" w:rsidP="004D0EF3">
      <w:pPr>
        <w:widowControl w:val="0"/>
        <w:rPr>
          <w:rFonts w:ascii="Aptos" w:hAnsi="Aptos" w:cs="Calibri"/>
          <w:i/>
          <w:iCs/>
          <w:sz w:val="22"/>
          <w:szCs w:val="22"/>
        </w:rPr>
      </w:pPr>
      <w:r w:rsidRPr="000D2909">
        <w:rPr>
          <w:rFonts w:ascii="Aptos" w:hAnsi="Aptos" w:cs="Calibri"/>
          <w:i/>
          <w:iCs/>
          <w:sz w:val="22"/>
          <w:szCs w:val="22"/>
        </w:rPr>
        <w:t xml:space="preserve">Limitations </w:t>
      </w:r>
    </w:p>
    <w:p w14:paraId="09502B9E" w14:textId="77777777" w:rsidR="00D81018" w:rsidRPr="000D2909" w:rsidRDefault="00D81018" w:rsidP="004D0EF3">
      <w:pPr>
        <w:widowControl w:val="0"/>
        <w:rPr>
          <w:rFonts w:ascii="Aptos" w:hAnsi="Aptos" w:cs="Calibri"/>
          <w:sz w:val="22"/>
          <w:szCs w:val="22"/>
        </w:rPr>
      </w:pPr>
      <w:r w:rsidRPr="000D2909">
        <w:rPr>
          <w:rFonts w:ascii="Aptos" w:hAnsi="Aptos" w:cs="Calibri"/>
          <w:sz w:val="22"/>
          <w:szCs w:val="22"/>
        </w:rPr>
        <w:lastRenderedPageBreak/>
        <w:t>The SDQ primarily measures symptom severity. Therefore, choosing an alternative measure that prioritizes quality of life would have made the analysis more accurate.</w:t>
      </w:r>
    </w:p>
    <w:p w14:paraId="63A5FEAC" w14:textId="77777777" w:rsidR="00D81018" w:rsidRPr="000D2909" w:rsidRDefault="00D81018" w:rsidP="004D0EF3">
      <w:pPr>
        <w:widowControl w:val="0"/>
        <w:rPr>
          <w:rFonts w:ascii="Aptos" w:hAnsi="Aptos" w:cs="Calibri"/>
          <w:sz w:val="22"/>
          <w:szCs w:val="22"/>
        </w:rPr>
      </w:pPr>
      <w:r w:rsidRPr="000D2909">
        <w:rPr>
          <w:rFonts w:ascii="Aptos" w:hAnsi="Aptos" w:cs="Calibri"/>
          <w:sz w:val="22"/>
          <w:szCs w:val="22"/>
        </w:rPr>
        <w:t>Data was collected only for a 6-month period with a small sample size of 120 participants, of whom 40 were lost to follow-up, leaving data for only 80 participants. To ensure robust conclusions, extensive sensitivity analysis and data on the remaining participants are necessary.</w:t>
      </w:r>
    </w:p>
    <w:p w14:paraId="7228081D" w14:textId="77777777" w:rsidR="00D81018" w:rsidRPr="000D2909" w:rsidRDefault="00D81018" w:rsidP="004D0EF3">
      <w:pPr>
        <w:widowControl w:val="0"/>
        <w:rPr>
          <w:rFonts w:ascii="Aptos" w:hAnsi="Aptos" w:cs="Calibri"/>
          <w:sz w:val="22"/>
          <w:szCs w:val="22"/>
        </w:rPr>
      </w:pPr>
      <w:r w:rsidRPr="000D2909">
        <w:rPr>
          <w:rFonts w:ascii="Aptos" w:hAnsi="Aptos" w:cs="Calibri"/>
          <w:sz w:val="22"/>
          <w:szCs w:val="22"/>
        </w:rPr>
        <w:t>Furthermore, the outcomes in this analysis have not been converted into Quality-Adjusted Life Years (QALYs). This limitation should be addressed in future research to better inform resource allocation and priority setting in healthcare. Converting outcomes into QALYs could provide a more comprehensive understanding of the intervention's impact on quality and quantity of life, thus enhancing the economic evaluation and aiding in more effective decision-making.</w:t>
      </w:r>
    </w:p>
    <w:p w14:paraId="04CC3581" w14:textId="77777777" w:rsidR="00D81018" w:rsidRPr="000D2909" w:rsidRDefault="00D81018" w:rsidP="004D0EF3">
      <w:pPr>
        <w:widowControl w:val="0"/>
        <w:rPr>
          <w:rFonts w:ascii="Aptos" w:hAnsi="Aptos" w:cs="Calibri"/>
          <w:i/>
          <w:iCs/>
          <w:sz w:val="22"/>
          <w:szCs w:val="22"/>
        </w:rPr>
      </w:pPr>
      <w:r w:rsidRPr="000D2909">
        <w:rPr>
          <w:rFonts w:ascii="Aptos" w:hAnsi="Aptos" w:cs="Calibri"/>
          <w:i/>
          <w:iCs/>
          <w:sz w:val="22"/>
          <w:szCs w:val="22"/>
        </w:rPr>
        <w:t xml:space="preserve">Conclusion </w:t>
      </w:r>
    </w:p>
    <w:p w14:paraId="0AC57E7B" w14:textId="49EC5689" w:rsidR="00152F24" w:rsidRDefault="00D81018" w:rsidP="004D0EF3">
      <w:pPr>
        <w:widowControl w:val="0"/>
        <w:rPr>
          <w:rFonts w:cs="Calibri"/>
          <w:sz w:val="22"/>
          <w:szCs w:val="22"/>
        </w:rPr>
      </w:pPr>
      <w:r w:rsidRPr="000D2909">
        <w:rPr>
          <w:rFonts w:ascii="Aptos" w:hAnsi="Aptos" w:cs="Calibri"/>
          <w:sz w:val="22"/>
          <w:szCs w:val="22"/>
        </w:rPr>
        <w:t>In conclusion, while the Lucy project shows promise in improving health utilities and SDQ scores in paediatric patients with LTCs, the high cost per unit increase in CHU9D suggests the need for a careful consideration of resource allocation. The intervention could potentially be cost-effective, but further analysis is needed to confirm this. Future research should focus on longer-term outcomes and include a broader set of measures prioritizing quality of life to provide a more comprehensive evaluation.</w:t>
      </w:r>
    </w:p>
    <w:sectPr w:rsidR="00152F24" w:rsidSect="004D0EF3">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5437E"/>
    <w:multiLevelType w:val="hybridMultilevel"/>
    <w:tmpl w:val="4E5A46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313D70"/>
    <w:multiLevelType w:val="hybridMultilevel"/>
    <w:tmpl w:val="59D46F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8341E2F"/>
    <w:multiLevelType w:val="hybridMultilevel"/>
    <w:tmpl w:val="1972AB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2A31477F"/>
    <w:multiLevelType w:val="hybridMultilevel"/>
    <w:tmpl w:val="98FA261E"/>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C090735"/>
    <w:multiLevelType w:val="hybridMultilevel"/>
    <w:tmpl w:val="F7BC96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DA84395"/>
    <w:multiLevelType w:val="hybridMultilevel"/>
    <w:tmpl w:val="8B942F80"/>
    <w:lvl w:ilvl="0" w:tplc="D188CB9A">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326743B"/>
    <w:multiLevelType w:val="hybridMultilevel"/>
    <w:tmpl w:val="1972AB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35A0049D"/>
    <w:multiLevelType w:val="hybridMultilevel"/>
    <w:tmpl w:val="1972AB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529A2CCF"/>
    <w:multiLevelType w:val="hybridMultilevel"/>
    <w:tmpl w:val="8432D5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5014841"/>
    <w:multiLevelType w:val="hybridMultilevel"/>
    <w:tmpl w:val="00865BD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EFD36B0"/>
    <w:multiLevelType w:val="hybridMultilevel"/>
    <w:tmpl w:val="64940E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0E96882"/>
    <w:multiLevelType w:val="hybridMultilevel"/>
    <w:tmpl w:val="E04A0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2D81F30"/>
    <w:multiLevelType w:val="hybridMultilevel"/>
    <w:tmpl w:val="8BA6CBAE"/>
    <w:lvl w:ilvl="0" w:tplc="61AA2580">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3DF7673"/>
    <w:multiLevelType w:val="hybridMultilevel"/>
    <w:tmpl w:val="FFFABB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5546072"/>
    <w:multiLevelType w:val="hybridMultilevel"/>
    <w:tmpl w:val="1972AB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F1225E8"/>
    <w:multiLevelType w:val="hybridMultilevel"/>
    <w:tmpl w:val="AEE29F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6"/>
  </w:num>
  <w:num w:numId="3">
    <w:abstractNumId w:val="2"/>
  </w:num>
  <w:num w:numId="4">
    <w:abstractNumId w:val="7"/>
  </w:num>
  <w:num w:numId="5">
    <w:abstractNumId w:val="8"/>
  </w:num>
  <w:num w:numId="6">
    <w:abstractNumId w:val="3"/>
  </w:num>
  <w:num w:numId="7">
    <w:abstractNumId w:val="1"/>
  </w:num>
  <w:num w:numId="8">
    <w:abstractNumId w:val="0"/>
  </w:num>
  <w:num w:numId="9">
    <w:abstractNumId w:val="15"/>
  </w:num>
  <w:num w:numId="10">
    <w:abstractNumId w:val="4"/>
  </w:num>
  <w:num w:numId="11">
    <w:abstractNumId w:val="11"/>
  </w:num>
  <w:num w:numId="12">
    <w:abstractNumId w:val="12"/>
  </w:num>
  <w:num w:numId="13">
    <w:abstractNumId w:val="9"/>
  </w:num>
  <w:num w:numId="14">
    <w:abstractNumId w:val="5"/>
  </w:num>
  <w:num w:numId="15">
    <w:abstractNumId w:val="1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DFE"/>
    <w:rsid w:val="00067042"/>
    <w:rsid w:val="000C187C"/>
    <w:rsid w:val="000D2909"/>
    <w:rsid w:val="000D46FC"/>
    <w:rsid w:val="00123008"/>
    <w:rsid w:val="00132818"/>
    <w:rsid w:val="00152F24"/>
    <w:rsid w:val="00182CCF"/>
    <w:rsid w:val="00183E9E"/>
    <w:rsid w:val="001A3162"/>
    <w:rsid w:val="001F3B94"/>
    <w:rsid w:val="00284CE2"/>
    <w:rsid w:val="002B0272"/>
    <w:rsid w:val="002D6F45"/>
    <w:rsid w:val="002F55D9"/>
    <w:rsid w:val="00343A56"/>
    <w:rsid w:val="00380925"/>
    <w:rsid w:val="003C5FC4"/>
    <w:rsid w:val="003F0C8E"/>
    <w:rsid w:val="004309CC"/>
    <w:rsid w:val="00443082"/>
    <w:rsid w:val="0045229B"/>
    <w:rsid w:val="0049694E"/>
    <w:rsid w:val="004A7D47"/>
    <w:rsid w:val="004B250B"/>
    <w:rsid w:val="004D0EF3"/>
    <w:rsid w:val="005626B3"/>
    <w:rsid w:val="00594E1C"/>
    <w:rsid w:val="005A1E35"/>
    <w:rsid w:val="005A434D"/>
    <w:rsid w:val="005E6CF7"/>
    <w:rsid w:val="0060500B"/>
    <w:rsid w:val="00652D22"/>
    <w:rsid w:val="00661989"/>
    <w:rsid w:val="006825E5"/>
    <w:rsid w:val="006B2E54"/>
    <w:rsid w:val="006F70EB"/>
    <w:rsid w:val="0072392F"/>
    <w:rsid w:val="00763EEC"/>
    <w:rsid w:val="00792C20"/>
    <w:rsid w:val="00794AC2"/>
    <w:rsid w:val="007E4C6F"/>
    <w:rsid w:val="007E6511"/>
    <w:rsid w:val="007F6DEE"/>
    <w:rsid w:val="00895358"/>
    <w:rsid w:val="009770E5"/>
    <w:rsid w:val="00992B98"/>
    <w:rsid w:val="009A5DFE"/>
    <w:rsid w:val="009D46AC"/>
    <w:rsid w:val="009F2470"/>
    <w:rsid w:val="00A05FDE"/>
    <w:rsid w:val="00A15F93"/>
    <w:rsid w:val="00A34A71"/>
    <w:rsid w:val="00A40EF4"/>
    <w:rsid w:val="00B15A28"/>
    <w:rsid w:val="00B2225D"/>
    <w:rsid w:val="00B35E0D"/>
    <w:rsid w:val="00B40612"/>
    <w:rsid w:val="00B75B4E"/>
    <w:rsid w:val="00C032AA"/>
    <w:rsid w:val="00C03DB5"/>
    <w:rsid w:val="00C16B5D"/>
    <w:rsid w:val="00C90EDE"/>
    <w:rsid w:val="00D01DF3"/>
    <w:rsid w:val="00D333D6"/>
    <w:rsid w:val="00D81018"/>
    <w:rsid w:val="00D948B9"/>
    <w:rsid w:val="00DA5DBD"/>
    <w:rsid w:val="00DF2BD7"/>
    <w:rsid w:val="00E3599E"/>
    <w:rsid w:val="00F12FCE"/>
    <w:rsid w:val="00F21C5F"/>
    <w:rsid w:val="00F30190"/>
    <w:rsid w:val="00F34C27"/>
    <w:rsid w:val="00F63AC0"/>
    <w:rsid w:val="00F95E96"/>
    <w:rsid w:val="00F95F21"/>
    <w:rsid w:val="00FB41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11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29B"/>
  </w:style>
  <w:style w:type="paragraph" w:styleId="Heading1">
    <w:name w:val="heading 1"/>
    <w:basedOn w:val="Normal"/>
    <w:next w:val="Normal"/>
    <w:link w:val="Heading1Char"/>
    <w:uiPriority w:val="9"/>
    <w:qFormat/>
    <w:rsid w:val="009A5D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A5D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5D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5D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5D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5D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5D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5D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5D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D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A5D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5D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5D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5D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5D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5D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5D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5DFE"/>
    <w:rPr>
      <w:rFonts w:eastAsiaTheme="majorEastAsia" w:cstheme="majorBidi"/>
      <w:color w:val="272727" w:themeColor="text1" w:themeTint="D8"/>
    </w:rPr>
  </w:style>
  <w:style w:type="paragraph" w:styleId="Title">
    <w:name w:val="Title"/>
    <w:basedOn w:val="Normal"/>
    <w:next w:val="Normal"/>
    <w:link w:val="TitleChar"/>
    <w:uiPriority w:val="10"/>
    <w:qFormat/>
    <w:rsid w:val="009A5D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5D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5D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5D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5DFE"/>
    <w:pPr>
      <w:spacing w:before="160"/>
      <w:jc w:val="center"/>
    </w:pPr>
    <w:rPr>
      <w:i/>
      <w:iCs/>
      <w:color w:val="404040" w:themeColor="text1" w:themeTint="BF"/>
    </w:rPr>
  </w:style>
  <w:style w:type="character" w:customStyle="1" w:styleId="QuoteChar">
    <w:name w:val="Quote Char"/>
    <w:basedOn w:val="DefaultParagraphFont"/>
    <w:link w:val="Quote"/>
    <w:uiPriority w:val="29"/>
    <w:rsid w:val="009A5DFE"/>
    <w:rPr>
      <w:i/>
      <w:iCs/>
      <w:color w:val="404040" w:themeColor="text1" w:themeTint="BF"/>
    </w:rPr>
  </w:style>
  <w:style w:type="paragraph" w:styleId="ListParagraph">
    <w:name w:val="List Paragraph"/>
    <w:basedOn w:val="Normal"/>
    <w:uiPriority w:val="34"/>
    <w:qFormat/>
    <w:rsid w:val="009A5DFE"/>
    <w:pPr>
      <w:ind w:left="720"/>
      <w:contextualSpacing/>
    </w:pPr>
  </w:style>
  <w:style w:type="character" w:styleId="IntenseEmphasis">
    <w:name w:val="Intense Emphasis"/>
    <w:basedOn w:val="DefaultParagraphFont"/>
    <w:uiPriority w:val="21"/>
    <w:qFormat/>
    <w:rsid w:val="009A5DFE"/>
    <w:rPr>
      <w:i/>
      <w:iCs/>
      <w:color w:val="0F4761" w:themeColor="accent1" w:themeShade="BF"/>
    </w:rPr>
  </w:style>
  <w:style w:type="paragraph" w:styleId="IntenseQuote">
    <w:name w:val="Intense Quote"/>
    <w:basedOn w:val="Normal"/>
    <w:next w:val="Normal"/>
    <w:link w:val="IntenseQuoteChar"/>
    <w:uiPriority w:val="30"/>
    <w:qFormat/>
    <w:rsid w:val="009A5D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5DFE"/>
    <w:rPr>
      <w:i/>
      <w:iCs/>
      <w:color w:val="0F4761" w:themeColor="accent1" w:themeShade="BF"/>
    </w:rPr>
  </w:style>
  <w:style w:type="character" w:styleId="IntenseReference">
    <w:name w:val="Intense Reference"/>
    <w:basedOn w:val="DefaultParagraphFont"/>
    <w:uiPriority w:val="32"/>
    <w:qFormat/>
    <w:rsid w:val="009A5DFE"/>
    <w:rPr>
      <w:b/>
      <w:bCs/>
      <w:smallCaps/>
      <w:color w:val="0F4761" w:themeColor="accent1" w:themeShade="BF"/>
      <w:spacing w:val="5"/>
    </w:rPr>
  </w:style>
  <w:style w:type="table" w:styleId="TableGrid">
    <w:name w:val="Table Grid"/>
    <w:basedOn w:val="TableNormal"/>
    <w:uiPriority w:val="39"/>
    <w:rsid w:val="00123008"/>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23008"/>
    <w:pPr>
      <w:spacing w:line="240" w:lineRule="auto"/>
    </w:pPr>
    <w:rPr>
      <w:rFonts w:eastAsiaTheme="minorEastAsia"/>
      <w:b/>
      <w:bCs/>
      <w:smallCaps/>
      <w:color w:val="0E2841" w:themeColor="text2"/>
      <w:kern w:val="0"/>
      <w:sz w:val="22"/>
      <w:szCs w:val="22"/>
      <w14:ligatures w14:val="none"/>
    </w:rPr>
  </w:style>
  <w:style w:type="character" w:styleId="CommentReference">
    <w:name w:val="annotation reference"/>
    <w:basedOn w:val="DefaultParagraphFont"/>
    <w:uiPriority w:val="99"/>
    <w:semiHidden/>
    <w:unhideWhenUsed/>
    <w:rsid w:val="00152F24"/>
    <w:rPr>
      <w:sz w:val="16"/>
      <w:szCs w:val="16"/>
    </w:rPr>
  </w:style>
  <w:style w:type="paragraph" w:styleId="CommentText">
    <w:name w:val="annotation text"/>
    <w:basedOn w:val="Normal"/>
    <w:link w:val="CommentTextChar"/>
    <w:uiPriority w:val="99"/>
    <w:unhideWhenUsed/>
    <w:rsid w:val="00152F24"/>
    <w:pPr>
      <w:spacing w:line="240" w:lineRule="auto"/>
    </w:pPr>
    <w:rPr>
      <w:sz w:val="20"/>
      <w:szCs w:val="20"/>
    </w:rPr>
  </w:style>
  <w:style w:type="character" w:customStyle="1" w:styleId="CommentTextChar">
    <w:name w:val="Comment Text Char"/>
    <w:basedOn w:val="DefaultParagraphFont"/>
    <w:link w:val="CommentText"/>
    <w:uiPriority w:val="99"/>
    <w:rsid w:val="00152F24"/>
    <w:rPr>
      <w:sz w:val="20"/>
      <w:szCs w:val="20"/>
    </w:rPr>
  </w:style>
  <w:style w:type="paragraph" w:styleId="CommentSubject">
    <w:name w:val="annotation subject"/>
    <w:basedOn w:val="CommentText"/>
    <w:next w:val="CommentText"/>
    <w:link w:val="CommentSubjectChar"/>
    <w:uiPriority w:val="99"/>
    <w:semiHidden/>
    <w:unhideWhenUsed/>
    <w:rsid w:val="00152F24"/>
    <w:rPr>
      <w:b/>
      <w:bCs/>
    </w:rPr>
  </w:style>
  <w:style w:type="character" w:customStyle="1" w:styleId="CommentSubjectChar">
    <w:name w:val="Comment Subject Char"/>
    <w:basedOn w:val="CommentTextChar"/>
    <w:link w:val="CommentSubject"/>
    <w:uiPriority w:val="99"/>
    <w:semiHidden/>
    <w:rsid w:val="00152F2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29B"/>
  </w:style>
  <w:style w:type="paragraph" w:styleId="Heading1">
    <w:name w:val="heading 1"/>
    <w:basedOn w:val="Normal"/>
    <w:next w:val="Normal"/>
    <w:link w:val="Heading1Char"/>
    <w:uiPriority w:val="9"/>
    <w:qFormat/>
    <w:rsid w:val="009A5D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A5D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5D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5D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5D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5D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5D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5D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5D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D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A5D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5D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5D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5D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5D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5D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5D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5DFE"/>
    <w:rPr>
      <w:rFonts w:eastAsiaTheme="majorEastAsia" w:cstheme="majorBidi"/>
      <w:color w:val="272727" w:themeColor="text1" w:themeTint="D8"/>
    </w:rPr>
  </w:style>
  <w:style w:type="paragraph" w:styleId="Title">
    <w:name w:val="Title"/>
    <w:basedOn w:val="Normal"/>
    <w:next w:val="Normal"/>
    <w:link w:val="TitleChar"/>
    <w:uiPriority w:val="10"/>
    <w:qFormat/>
    <w:rsid w:val="009A5D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5D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5D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5D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5DFE"/>
    <w:pPr>
      <w:spacing w:before="160"/>
      <w:jc w:val="center"/>
    </w:pPr>
    <w:rPr>
      <w:i/>
      <w:iCs/>
      <w:color w:val="404040" w:themeColor="text1" w:themeTint="BF"/>
    </w:rPr>
  </w:style>
  <w:style w:type="character" w:customStyle="1" w:styleId="QuoteChar">
    <w:name w:val="Quote Char"/>
    <w:basedOn w:val="DefaultParagraphFont"/>
    <w:link w:val="Quote"/>
    <w:uiPriority w:val="29"/>
    <w:rsid w:val="009A5DFE"/>
    <w:rPr>
      <w:i/>
      <w:iCs/>
      <w:color w:val="404040" w:themeColor="text1" w:themeTint="BF"/>
    </w:rPr>
  </w:style>
  <w:style w:type="paragraph" w:styleId="ListParagraph">
    <w:name w:val="List Paragraph"/>
    <w:basedOn w:val="Normal"/>
    <w:uiPriority w:val="34"/>
    <w:qFormat/>
    <w:rsid w:val="009A5DFE"/>
    <w:pPr>
      <w:ind w:left="720"/>
      <w:contextualSpacing/>
    </w:pPr>
  </w:style>
  <w:style w:type="character" w:styleId="IntenseEmphasis">
    <w:name w:val="Intense Emphasis"/>
    <w:basedOn w:val="DefaultParagraphFont"/>
    <w:uiPriority w:val="21"/>
    <w:qFormat/>
    <w:rsid w:val="009A5DFE"/>
    <w:rPr>
      <w:i/>
      <w:iCs/>
      <w:color w:val="0F4761" w:themeColor="accent1" w:themeShade="BF"/>
    </w:rPr>
  </w:style>
  <w:style w:type="paragraph" w:styleId="IntenseQuote">
    <w:name w:val="Intense Quote"/>
    <w:basedOn w:val="Normal"/>
    <w:next w:val="Normal"/>
    <w:link w:val="IntenseQuoteChar"/>
    <w:uiPriority w:val="30"/>
    <w:qFormat/>
    <w:rsid w:val="009A5D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5DFE"/>
    <w:rPr>
      <w:i/>
      <w:iCs/>
      <w:color w:val="0F4761" w:themeColor="accent1" w:themeShade="BF"/>
    </w:rPr>
  </w:style>
  <w:style w:type="character" w:styleId="IntenseReference">
    <w:name w:val="Intense Reference"/>
    <w:basedOn w:val="DefaultParagraphFont"/>
    <w:uiPriority w:val="32"/>
    <w:qFormat/>
    <w:rsid w:val="009A5DFE"/>
    <w:rPr>
      <w:b/>
      <w:bCs/>
      <w:smallCaps/>
      <w:color w:val="0F4761" w:themeColor="accent1" w:themeShade="BF"/>
      <w:spacing w:val="5"/>
    </w:rPr>
  </w:style>
  <w:style w:type="table" w:styleId="TableGrid">
    <w:name w:val="Table Grid"/>
    <w:basedOn w:val="TableNormal"/>
    <w:uiPriority w:val="39"/>
    <w:rsid w:val="00123008"/>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23008"/>
    <w:pPr>
      <w:spacing w:line="240" w:lineRule="auto"/>
    </w:pPr>
    <w:rPr>
      <w:rFonts w:eastAsiaTheme="minorEastAsia"/>
      <w:b/>
      <w:bCs/>
      <w:smallCaps/>
      <w:color w:val="0E2841" w:themeColor="text2"/>
      <w:kern w:val="0"/>
      <w:sz w:val="22"/>
      <w:szCs w:val="22"/>
      <w14:ligatures w14:val="none"/>
    </w:rPr>
  </w:style>
  <w:style w:type="character" w:styleId="CommentReference">
    <w:name w:val="annotation reference"/>
    <w:basedOn w:val="DefaultParagraphFont"/>
    <w:uiPriority w:val="99"/>
    <w:semiHidden/>
    <w:unhideWhenUsed/>
    <w:rsid w:val="00152F24"/>
    <w:rPr>
      <w:sz w:val="16"/>
      <w:szCs w:val="16"/>
    </w:rPr>
  </w:style>
  <w:style w:type="paragraph" w:styleId="CommentText">
    <w:name w:val="annotation text"/>
    <w:basedOn w:val="Normal"/>
    <w:link w:val="CommentTextChar"/>
    <w:uiPriority w:val="99"/>
    <w:unhideWhenUsed/>
    <w:rsid w:val="00152F24"/>
    <w:pPr>
      <w:spacing w:line="240" w:lineRule="auto"/>
    </w:pPr>
    <w:rPr>
      <w:sz w:val="20"/>
      <w:szCs w:val="20"/>
    </w:rPr>
  </w:style>
  <w:style w:type="character" w:customStyle="1" w:styleId="CommentTextChar">
    <w:name w:val="Comment Text Char"/>
    <w:basedOn w:val="DefaultParagraphFont"/>
    <w:link w:val="CommentText"/>
    <w:uiPriority w:val="99"/>
    <w:rsid w:val="00152F24"/>
    <w:rPr>
      <w:sz w:val="20"/>
      <w:szCs w:val="20"/>
    </w:rPr>
  </w:style>
  <w:style w:type="paragraph" w:styleId="CommentSubject">
    <w:name w:val="annotation subject"/>
    <w:basedOn w:val="CommentText"/>
    <w:next w:val="CommentText"/>
    <w:link w:val="CommentSubjectChar"/>
    <w:uiPriority w:val="99"/>
    <w:semiHidden/>
    <w:unhideWhenUsed/>
    <w:rsid w:val="00152F24"/>
    <w:rPr>
      <w:b/>
      <w:bCs/>
    </w:rPr>
  </w:style>
  <w:style w:type="character" w:customStyle="1" w:styleId="CommentSubjectChar">
    <w:name w:val="Comment Subject Char"/>
    <w:basedOn w:val="CommentTextChar"/>
    <w:link w:val="CommentSubject"/>
    <w:uiPriority w:val="99"/>
    <w:semiHidden/>
    <w:rsid w:val="00152F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F61E7E-180F-43DC-8A37-2FFE659EB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801</Words>
  <Characters>4571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Roach, Anna</dc:creator>
  <cp:lastModifiedBy>Llorente, Joan</cp:lastModifiedBy>
  <cp:revision>2</cp:revision>
  <dcterms:created xsi:type="dcterms:W3CDTF">2025-04-02T02:00:00Z</dcterms:created>
  <dcterms:modified xsi:type="dcterms:W3CDTF">2025-04-02T02:00:00Z</dcterms:modified>
</cp:coreProperties>
</file>