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D38" w:rsidRPr="004E1688" w:rsidRDefault="004E1688" w:rsidP="004E1688">
      <w:pPr>
        <w:jc w:val="center"/>
        <w:rPr>
          <w:rFonts w:ascii="Times New Roman" w:hAnsi="Times New Roman" w:cs="Times New Roman"/>
          <w:b/>
          <w:sz w:val="24"/>
        </w:rPr>
      </w:pPr>
      <w:r w:rsidRPr="004E1688">
        <w:rPr>
          <w:rFonts w:ascii="Times New Roman" w:hAnsi="Times New Roman" w:cs="Times New Roman"/>
          <w:b/>
          <w:szCs w:val="24"/>
        </w:rPr>
        <w:t>Grading of Recommendations Assessment, Development and Evaluation</w:t>
      </w:r>
      <w:r>
        <w:rPr>
          <w:rFonts w:ascii="Times New Roman" w:hAnsi="Times New Roman" w:cs="Times New Roman"/>
          <w:b/>
          <w:szCs w:val="24"/>
        </w:rPr>
        <w:t xml:space="preserve"> (GRADE)</w:t>
      </w:r>
    </w:p>
    <w:p w:rsidR="008B77C5" w:rsidRPr="00794B82" w:rsidRDefault="008B77C5">
      <w:pPr>
        <w:rPr>
          <w:rFonts w:ascii="Times New Roman" w:hAnsi="Times New Roman" w:cs="Times New Roman"/>
          <w:sz w:val="24"/>
        </w:rPr>
      </w:pPr>
      <w:bookmarkStart w:id="0" w:name="_GoBack"/>
      <w:r w:rsidRPr="00794B82">
        <w:rPr>
          <w:rFonts w:ascii="Times New Roman" w:hAnsi="Times New Roman" w:cs="Times New Roman"/>
          <w:sz w:val="24"/>
        </w:rPr>
        <w:t>Table S</w:t>
      </w:r>
      <w:r w:rsidR="00D34885">
        <w:rPr>
          <w:rFonts w:ascii="Times New Roman" w:hAnsi="Times New Roman" w:cs="Times New Roman"/>
          <w:sz w:val="24"/>
        </w:rPr>
        <w:t>3</w:t>
      </w:r>
      <w:r w:rsidRPr="00794B82">
        <w:rPr>
          <w:rFonts w:ascii="Times New Roman" w:hAnsi="Times New Roman" w:cs="Times New Roman"/>
          <w:sz w:val="24"/>
        </w:rPr>
        <w:t xml:space="preserve"> overall strength of evidence of prevalence of nursing caring behaviour</w:t>
      </w:r>
    </w:p>
    <w:bookmarkEnd w:id="0"/>
    <w:tbl>
      <w:tblPr>
        <w:tblStyle w:val="TableGrid"/>
        <w:tblW w:w="14312" w:type="dxa"/>
        <w:tblLook w:val="04A0" w:firstRow="1" w:lastRow="0" w:firstColumn="1" w:lastColumn="0" w:noHBand="0" w:noVBand="1"/>
      </w:tblPr>
      <w:tblGrid>
        <w:gridCol w:w="1838"/>
        <w:gridCol w:w="1352"/>
        <w:gridCol w:w="1070"/>
        <w:gridCol w:w="1176"/>
        <w:gridCol w:w="1390"/>
        <w:gridCol w:w="1246"/>
        <w:gridCol w:w="1110"/>
        <w:gridCol w:w="1310"/>
        <w:gridCol w:w="2544"/>
        <w:gridCol w:w="1276"/>
      </w:tblGrid>
      <w:tr w:rsidR="00915CC4" w:rsidRPr="00314D64" w:rsidTr="00915CC4">
        <w:trPr>
          <w:trHeight w:val="248"/>
        </w:trPr>
        <w:tc>
          <w:tcPr>
            <w:tcW w:w="1838" w:type="dxa"/>
            <w:vMerge w:val="restart"/>
          </w:tcPr>
          <w:p w:rsidR="00810E6C" w:rsidRPr="00314D64" w:rsidRDefault="00810E6C" w:rsidP="00810E6C">
            <w:pPr>
              <w:pStyle w:val="NoSpacing"/>
              <w:rPr>
                <w:szCs w:val="24"/>
              </w:rPr>
            </w:pPr>
            <w:r w:rsidRPr="00314D64">
              <w:rPr>
                <w:szCs w:val="24"/>
              </w:rPr>
              <w:br w:type="page"/>
            </w:r>
          </w:p>
        </w:tc>
        <w:tc>
          <w:tcPr>
            <w:tcW w:w="1352" w:type="dxa"/>
            <w:vMerge w:val="restart"/>
          </w:tcPr>
          <w:p w:rsidR="00810E6C" w:rsidRPr="00314D64" w:rsidRDefault="00810E6C" w:rsidP="00314D64">
            <w:pPr>
              <w:pStyle w:val="NoSpacing"/>
              <w:rPr>
                <w:szCs w:val="24"/>
              </w:rPr>
            </w:pPr>
            <w:r w:rsidRPr="00314D64">
              <w:rPr>
                <w:szCs w:val="24"/>
              </w:rPr>
              <w:t>№ of pa</w:t>
            </w:r>
            <w:r w:rsidR="00314D64">
              <w:rPr>
                <w:szCs w:val="24"/>
              </w:rPr>
              <w:t>rticipants</w:t>
            </w:r>
          </w:p>
        </w:tc>
        <w:tc>
          <w:tcPr>
            <w:tcW w:w="7302" w:type="dxa"/>
            <w:gridSpan w:val="6"/>
          </w:tcPr>
          <w:p w:rsidR="00810E6C" w:rsidRPr="00314D64" w:rsidRDefault="00810E6C" w:rsidP="00810E6C">
            <w:pPr>
              <w:pStyle w:val="NoSpacing"/>
              <w:rPr>
                <w:szCs w:val="24"/>
              </w:rPr>
            </w:pPr>
            <w:r w:rsidRPr="00314D64">
              <w:rPr>
                <w:szCs w:val="24"/>
              </w:rPr>
              <w:t>Certainty assessment</w:t>
            </w:r>
          </w:p>
        </w:tc>
        <w:tc>
          <w:tcPr>
            <w:tcW w:w="2544" w:type="dxa"/>
          </w:tcPr>
          <w:p w:rsidR="00810E6C" w:rsidRPr="00314D64" w:rsidRDefault="00810E6C" w:rsidP="00810E6C">
            <w:pPr>
              <w:pStyle w:val="NoSpacing"/>
              <w:rPr>
                <w:szCs w:val="24"/>
              </w:rPr>
            </w:pPr>
          </w:p>
        </w:tc>
        <w:tc>
          <w:tcPr>
            <w:tcW w:w="1276" w:type="dxa"/>
          </w:tcPr>
          <w:p w:rsidR="00810E6C" w:rsidRPr="00314D64" w:rsidRDefault="00810E6C" w:rsidP="00810E6C">
            <w:pPr>
              <w:pStyle w:val="NoSpacing"/>
              <w:rPr>
                <w:szCs w:val="24"/>
              </w:rPr>
            </w:pPr>
          </w:p>
        </w:tc>
      </w:tr>
      <w:tr w:rsidR="005A5054" w:rsidRPr="00314D64" w:rsidTr="00915CC4">
        <w:trPr>
          <w:trHeight w:val="496"/>
        </w:trPr>
        <w:tc>
          <w:tcPr>
            <w:tcW w:w="1838" w:type="dxa"/>
            <w:vMerge/>
          </w:tcPr>
          <w:p w:rsidR="00810E6C" w:rsidRPr="00314D64" w:rsidRDefault="00810E6C" w:rsidP="00810E6C">
            <w:pPr>
              <w:pStyle w:val="NoSpacing"/>
              <w:rPr>
                <w:b/>
                <w:szCs w:val="24"/>
              </w:rPr>
            </w:pPr>
          </w:p>
        </w:tc>
        <w:tc>
          <w:tcPr>
            <w:tcW w:w="1352" w:type="dxa"/>
            <w:vMerge/>
          </w:tcPr>
          <w:p w:rsidR="00810E6C" w:rsidRPr="00314D64" w:rsidRDefault="00810E6C" w:rsidP="00810E6C">
            <w:pPr>
              <w:pStyle w:val="NoSpacing"/>
              <w:rPr>
                <w:szCs w:val="24"/>
              </w:rPr>
            </w:pPr>
          </w:p>
        </w:tc>
        <w:tc>
          <w:tcPr>
            <w:tcW w:w="0" w:type="auto"/>
          </w:tcPr>
          <w:p w:rsidR="00810E6C" w:rsidRPr="00314D64" w:rsidRDefault="00810E6C" w:rsidP="00810E6C">
            <w:pPr>
              <w:pStyle w:val="NoSpacing"/>
              <w:rPr>
                <w:szCs w:val="24"/>
              </w:rPr>
            </w:pPr>
            <w:r w:rsidRPr="00314D64">
              <w:rPr>
                <w:szCs w:val="24"/>
              </w:rPr>
              <w:t>Study</w:t>
            </w:r>
          </w:p>
          <w:p w:rsidR="00810E6C" w:rsidRPr="00314D64" w:rsidRDefault="00810E6C" w:rsidP="00810E6C">
            <w:pPr>
              <w:pStyle w:val="NoSpacing"/>
              <w:rPr>
                <w:szCs w:val="24"/>
              </w:rPr>
            </w:pPr>
            <w:r w:rsidRPr="00314D64">
              <w:rPr>
                <w:szCs w:val="24"/>
              </w:rPr>
              <w:t>design</w:t>
            </w:r>
          </w:p>
        </w:tc>
        <w:tc>
          <w:tcPr>
            <w:tcW w:w="0" w:type="auto"/>
          </w:tcPr>
          <w:p w:rsidR="00810E6C" w:rsidRPr="00314D64" w:rsidRDefault="00810E6C" w:rsidP="00810E6C">
            <w:pPr>
              <w:pStyle w:val="NoSpacing"/>
              <w:rPr>
                <w:szCs w:val="24"/>
              </w:rPr>
            </w:pPr>
            <w:r w:rsidRPr="00314D64">
              <w:rPr>
                <w:szCs w:val="24"/>
              </w:rPr>
              <w:t>Risk of bias</w:t>
            </w:r>
          </w:p>
        </w:tc>
        <w:tc>
          <w:tcPr>
            <w:tcW w:w="0" w:type="auto"/>
          </w:tcPr>
          <w:p w:rsidR="00810E6C" w:rsidRPr="00314D64" w:rsidRDefault="00810E6C" w:rsidP="00810E6C">
            <w:pPr>
              <w:pStyle w:val="NoSpacing"/>
              <w:rPr>
                <w:szCs w:val="24"/>
              </w:rPr>
            </w:pPr>
            <w:r w:rsidRPr="00314D64">
              <w:rPr>
                <w:szCs w:val="24"/>
              </w:rPr>
              <w:t>Consistency</w:t>
            </w:r>
          </w:p>
        </w:tc>
        <w:tc>
          <w:tcPr>
            <w:tcW w:w="0" w:type="auto"/>
          </w:tcPr>
          <w:p w:rsidR="00810E6C" w:rsidRPr="00314D64" w:rsidRDefault="00810E6C" w:rsidP="00810E6C">
            <w:pPr>
              <w:pStyle w:val="NoSpacing"/>
              <w:rPr>
                <w:szCs w:val="24"/>
              </w:rPr>
            </w:pPr>
            <w:r w:rsidRPr="00314D64">
              <w:rPr>
                <w:szCs w:val="24"/>
              </w:rPr>
              <w:t>Directness</w:t>
            </w:r>
          </w:p>
        </w:tc>
        <w:tc>
          <w:tcPr>
            <w:tcW w:w="0" w:type="auto"/>
          </w:tcPr>
          <w:p w:rsidR="00810E6C" w:rsidRPr="00314D64" w:rsidRDefault="00810E6C" w:rsidP="00810E6C">
            <w:pPr>
              <w:pStyle w:val="NoSpacing"/>
              <w:rPr>
                <w:szCs w:val="24"/>
              </w:rPr>
            </w:pPr>
            <w:r w:rsidRPr="00314D64">
              <w:rPr>
                <w:szCs w:val="24"/>
              </w:rPr>
              <w:t>Precision</w:t>
            </w:r>
          </w:p>
        </w:tc>
        <w:tc>
          <w:tcPr>
            <w:tcW w:w="1310" w:type="dxa"/>
          </w:tcPr>
          <w:p w:rsidR="00810E6C" w:rsidRPr="00314D64" w:rsidRDefault="00810E6C" w:rsidP="00810E6C">
            <w:pPr>
              <w:pStyle w:val="NoSpacing"/>
              <w:rPr>
                <w:szCs w:val="24"/>
              </w:rPr>
            </w:pPr>
            <w:r w:rsidRPr="00314D64">
              <w:rPr>
                <w:szCs w:val="24"/>
              </w:rPr>
              <w:t xml:space="preserve">Publication bias </w:t>
            </w:r>
          </w:p>
        </w:tc>
        <w:tc>
          <w:tcPr>
            <w:tcW w:w="2544" w:type="dxa"/>
          </w:tcPr>
          <w:p w:rsidR="00810E6C" w:rsidRPr="00314D64" w:rsidRDefault="00810E6C" w:rsidP="00810E6C">
            <w:pPr>
              <w:pStyle w:val="NoSpacing"/>
              <w:rPr>
                <w:szCs w:val="24"/>
              </w:rPr>
            </w:pPr>
            <w:r w:rsidRPr="00314D64">
              <w:rPr>
                <w:szCs w:val="24"/>
              </w:rPr>
              <w:t>Effect 95% CI</w:t>
            </w:r>
          </w:p>
        </w:tc>
        <w:tc>
          <w:tcPr>
            <w:tcW w:w="1276" w:type="dxa"/>
          </w:tcPr>
          <w:p w:rsidR="00810E6C" w:rsidRPr="00314D64" w:rsidRDefault="00810E6C" w:rsidP="00810E6C">
            <w:pPr>
              <w:pStyle w:val="NoSpacing"/>
              <w:rPr>
                <w:szCs w:val="24"/>
              </w:rPr>
            </w:pPr>
            <w:r w:rsidRPr="00314D64">
              <w:rPr>
                <w:szCs w:val="24"/>
              </w:rPr>
              <w:t>Certainty</w:t>
            </w:r>
          </w:p>
          <w:p w:rsidR="00810E6C" w:rsidRPr="00314D64" w:rsidRDefault="00810E6C" w:rsidP="00810E6C">
            <w:pPr>
              <w:pStyle w:val="NoSpacing"/>
              <w:rPr>
                <w:szCs w:val="24"/>
              </w:rPr>
            </w:pPr>
            <w:r w:rsidRPr="00314D64">
              <w:rPr>
                <w:szCs w:val="24"/>
              </w:rPr>
              <w:t>(GRADE)</w:t>
            </w:r>
          </w:p>
        </w:tc>
      </w:tr>
      <w:tr w:rsidR="00DA79B9" w:rsidRPr="00314D64" w:rsidTr="00915CC4">
        <w:trPr>
          <w:trHeight w:val="1225"/>
        </w:trPr>
        <w:tc>
          <w:tcPr>
            <w:tcW w:w="1838" w:type="dxa"/>
          </w:tcPr>
          <w:p w:rsidR="005F3568" w:rsidRPr="00314D64" w:rsidRDefault="005F3568" w:rsidP="00810E6C">
            <w:pPr>
              <w:pStyle w:val="NoSpacing"/>
              <w:rPr>
                <w:szCs w:val="24"/>
              </w:rPr>
            </w:pPr>
            <w:r w:rsidRPr="00314D64">
              <w:rPr>
                <w:szCs w:val="24"/>
              </w:rPr>
              <w:t>Overall strength evidence</w:t>
            </w:r>
          </w:p>
        </w:tc>
        <w:tc>
          <w:tcPr>
            <w:tcW w:w="1352" w:type="dxa"/>
          </w:tcPr>
          <w:p w:rsidR="005F3568" w:rsidRPr="00314D64" w:rsidRDefault="005F3568" w:rsidP="00810E6C">
            <w:pPr>
              <w:pStyle w:val="NoSpacing"/>
              <w:rPr>
                <w:szCs w:val="24"/>
              </w:rPr>
            </w:pPr>
            <w:r w:rsidRPr="00314D64">
              <w:rPr>
                <w:szCs w:val="24"/>
              </w:rPr>
              <w:t>2206</w:t>
            </w:r>
          </w:p>
        </w:tc>
        <w:tc>
          <w:tcPr>
            <w:tcW w:w="0" w:type="auto"/>
          </w:tcPr>
          <w:p w:rsidR="005F3568" w:rsidRPr="00314D64" w:rsidRDefault="005F3568" w:rsidP="00810E6C">
            <w:pPr>
              <w:pStyle w:val="NoSpacing"/>
              <w:rPr>
                <w:szCs w:val="24"/>
              </w:rPr>
            </w:pPr>
            <w:r w:rsidRPr="00314D64">
              <w:rPr>
                <w:szCs w:val="24"/>
              </w:rPr>
              <w:t>Cross-</w:t>
            </w:r>
          </w:p>
          <w:p w:rsidR="005F3568" w:rsidRPr="00314D64" w:rsidRDefault="005F3568" w:rsidP="00810E6C">
            <w:pPr>
              <w:pStyle w:val="NoSpacing"/>
              <w:rPr>
                <w:szCs w:val="24"/>
              </w:rPr>
            </w:pPr>
            <w:r w:rsidRPr="00314D64">
              <w:rPr>
                <w:szCs w:val="24"/>
              </w:rPr>
              <w:t>sectional</w:t>
            </w:r>
          </w:p>
        </w:tc>
        <w:tc>
          <w:tcPr>
            <w:tcW w:w="0" w:type="auto"/>
          </w:tcPr>
          <w:p w:rsidR="005F3568" w:rsidRPr="00314D64" w:rsidRDefault="00DA79B9" w:rsidP="00810E6C">
            <w:pPr>
              <w:pStyle w:val="NoSpacing"/>
              <w:rPr>
                <w:szCs w:val="24"/>
              </w:rPr>
            </w:pPr>
            <w:r w:rsidRPr="00314D64">
              <w:rPr>
                <w:szCs w:val="24"/>
              </w:rPr>
              <w:t>Possibly serious</w:t>
            </w:r>
          </w:p>
        </w:tc>
        <w:tc>
          <w:tcPr>
            <w:tcW w:w="0" w:type="auto"/>
          </w:tcPr>
          <w:p w:rsidR="005F3568" w:rsidRPr="00314D64" w:rsidRDefault="005F3568" w:rsidP="00810E6C">
            <w:pPr>
              <w:pStyle w:val="NoSpacing"/>
              <w:rPr>
                <w:szCs w:val="24"/>
              </w:rPr>
            </w:pPr>
            <w:r w:rsidRPr="00314D64">
              <w:rPr>
                <w:szCs w:val="24"/>
              </w:rPr>
              <w:t>Serious</w:t>
            </w:r>
          </w:p>
          <w:p w:rsidR="005F3568" w:rsidRPr="00314D64" w:rsidRDefault="005F3568" w:rsidP="00810E6C">
            <w:pPr>
              <w:pStyle w:val="NoSpacing"/>
              <w:rPr>
                <w:szCs w:val="24"/>
              </w:rPr>
            </w:pPr>
          </w:p>
        </w:tc>
        <w:tc>
          <w:tcPr>
            <w:tcW w:w="0" w:type="auto"/>
          </w:tcPr>
          <w:p w:rsidR="005F3568" w:rsidRPr="00314D64" w:rsidRDefault="005F3568" w:rsidP="00810E6C">
            <w:pPr>
              <w:pStyle w:val="NoSpacing"/>
              <w:rPr>
                <w:szCs w:val="24"/>
              </w:rPr>
            </w:pPr>
            <w:r w:rsidRPr="00314D64">
              <w:rPr>
                <w:szCs w:val="24"/>
              </w:rPr>
              <w:t>Not serious</w:t>
            </w:r>
          </w:p>
        </w:tc>
        <w:tc>
          <w:tcPr>
            <w:tcW w:w="0" w:type="auto"/>
          </w:tcPr>
          <w:p w:rsidR="005F3568" w:rsidRPr="00314D64" w:rsidRDefault="005F3568" w:rsidP="00810E6C">
            <w:pPr>
              <w:pStyle w:val="NoSpacing"/>
              <w:rPr>
                <w:szCs w:val="24"/>
              </w:rPr>
            </w:pPr>
            <w:r w:rsidRPr="00314D64">
              <w:rPr>
                <w:szCs w:val="24"/>
              </w:rPr>
              <w:t>Serious</w:t>
            </w:r>
          </w:p>
        </w:tc>
        <w:tc>
          <w:tcPr>
            <w:tcW w:w="1310" w:type="dxa"/>
          </w:tcPr>
          <w:p w:rsidR="005F3568" w:rsidRPr="00314D64" w:rsidRDefault="005F3568" w:rsidP="00810E6C">
            <w:pPr>
              <w:pStyle w:val="NoSpacing"/>
              <w:rPr>
                <w:szCs w:val="24"/>
              </w:rPr>
            </w:pPr>
            <w:r w:rsidRPr="00314D64">
              <w:rPr>
                <w:szCs w:val="24"/>
              </w:rPr>
              <w:t>Possibly serious</w:t>
            </w:r>
          </w:p>
        </w:tc>
        <w:tc>
          <w:tcPr>
            <w:tcW w:w="2544" w:type="dxa"/>
          </w:tcPr>
          <w:p w:rsidR="005F3568" w:rsidRPr="00314D64" w:rsidRDefault="005F3568" w:rsidP="00810E6C">
            <w:pPr>
              <w:pStyle w:val="NoSpacing"/>
              <w:rPr>
                <w:szCs w:val="24"/>
              </w:rPr>
            </w:pPr>
            <w:r w:rsidRPr="00314D64">
              <w:rPr>
                <w:szCs w:val="24"/>
              </w:rPr>
              <w:t>63% (95% CI: 55%, 72%)</w:t>
            </w:r>
          </w:p>
        </w:tc>
        <w:tc>
          <w:tcPr>
            <w:tcW w:w="1276" w:type="dxa"/>
          </w:tcPr>
          <w:p w:rsidR="005F3568" w:rsidRPr="00314D64" w:rsidRDefault="00915CC4" w:rsidP="00810E6C">
            <w:pPr>
              <w:pStyle w:val="NoSpacing"/>
              <w:rPr>
                <w:szCs w:val="24"/>
              </w:rPr>
            </w:pPr>
            <w:r w:rsidRPr="00314D64">
              <w:rPr>
                <w:szCs w:val="24"/>
              </w:rPr>
              <w:t>Moderate</w:t>
            </w:r>
          </w:p>
        </w:tc>
      </w:tr>
      <w:tr w:rsidR="005F3568" w:rsidRPr="00314D64" w:rsidTr="005A5054">
        <w:trPr>
          <w:trHeight w:val="863"/>
        </w:trPr>
        <w:tc>
          <w:tcPr>
            <w:tcW w:w="14312" w:type="dxa"/>
            <w:gridSpan w:val="10"/>
          </w:tcPr>
          <w:p w:rsidR="00364E7E" w:rsidRDefault="00364E7E" w:rsidP="005A5054">
            <w:pPr>
              <w:pStyle w:val="NoSpacing"/>
              <w:spacing w:line="360" w:lineRule="auto"/>
              <w:jc w:val="both"/>
              <w:rPr>
                <w:szCs w:val="24"/>
              </w:rPr>
            </w:pPr>
            <w:r w:rsidRPr="00314D64">
              <w:rPr>
                <w:szCs w:val="24"/>
              </w:rPr>
              <w:t>N.B: GRADE: Grading of Recommendations Assessment, Development and Evaluation</w:t>
            </w:r>
            <w:r w:rsidR="00BB49A3" w:rsidRPr="00314D64">
              <w:rPr>
                <w:szCs w:val="24"/>
              </w:rPr>
              <w:t xml:space="preserve"> developed by </w:t>
            </w:r>
            <w:proofErr w:type="spellStart"/>
            <w:r w:rsidR="00BB49A3" w:rsidRPr="00314D64">
              <w:rPr>
                <w:szCs w:val="24"/>
              </w:rPr>
              <w:t>Guyatt</w:t>
            </w:r>
            <w:proofErr w:type="spellEnd"/>
            <w:r w:rsidR="00BB49A3" w:rsidRPr="00314D64">
              <w:rPr>
                <w:szCs w:val="24"/>
              </w:rPr>
              <w:t xml:space="preserve"> et al (2008).</w:t>
            </w:r>
          </w:p>
          <w:p w:rsidR="00743ACA" w:rsidRPr="00AA5E96" w:rsidRDefault="00743ACA" w:rsidP="00743ACA">
            <w:pPr>
              <w:pStyle w:val="NormalWeb"/>
              <w:spacing w:before="0" w:beforeAutospacing="0" w:after="0" w:afterAutospacing="0" w:line="480" w:lineRule="auto"/>
              <w:rPr>
                <w:rFonts w:eastAsia="Times New Roman"/>
                <w:b/>
                <w:color w:val="000000" w:themeColor="text1"/>
                <w:lang w:val="en-US"/>
              </w:rPr>
            </w:pPr>
            <w:r w:rsidRPr="00AA5E96">
              <w:rPr>
                <w:rFonts w:eastAsia="Times New Roman"/>
                <w:b/>
                <w:color w:val="000000" w:themeColor="text1"/>
                <w:lang w:val="en-US"/>
              </w:rPr>
              <w:t>Explanations:</w:t>
            </w:r>
          </w:p>
          <w:p w:rsidR="00B142D4" w:rsidRPr="00B142D4" w:rsidRDefault="0007377B" w:rsidP="00B142D4">
            <w:pPr>
              <w:spacing w:line="480" w:lineRule="auto"/>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1</w:t>
            </w:r>
            <w:r w:rsidR="00B142D4" w:rsidRPr="00B142D4">
              <w:rPr>
                <w:rFonts w:ascii="Times New Roman" w:eastAsia="Times New Roman" w:hAnsi="Times New Roman" w:cs="Times New Roman"/>
                <w:color w:val="000000" w:themeColor="text1"/>
                <w:lang w:val="en-US"/>
              </w:rPr>
              <w:t>. Most studies employed appropriate tools to assess prevalence and clearly described their participant recruitment methods. However, many faced limitations related to sample size and coverage.</w:t>
            </w:r>
          </w:p>
          <w:p w:rsidR="00743ACA" w:rsidRDefault="0007377B" w:rsidP="00B142D4">
            <w:pPr>
              <w:spacing w:line="480" w:lineRule="auto"/>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2</w:t>
            </w:r>
            <w:r w:rsidR="00B142D4" w:rsidRPr="00B142D4">
              <w:rPr>
                <w:rFonts w:ascii="Times New Roman" w:eastAsia="Times New Roman" w:hAnsi="Times New Roman" w:cs="Times New Roman"/>
                <w:color w:val="000000" w:themeColor="text1"/>
                <w:lang w:val="en-US"/>
              </w:rPr>
              <w:t>. Although the I² value was high (94.81%), the studies produced comparable results, with most point estimates ranging from 0% to 84.89% and overlapping confidence intervals. High I² values are common in prevalence meta-analyses and are of limited concern in this context. The likely source of heterogeneity is variation in study populations, which has been accounted for under the assessment of indirectness</w:t>
            </w:r>
            <w:proofErr w:type="gramStart"/>
            <w:r w:rsidR="00B142D4" w:rsidRPr="00B142D4">
              <w:rPr>
                <w:rFonts w:ascii="Times New Roman" w:eastAsia="Times New Roman" w:hAnsi="Times New Roman" w:cs="Times New Roman"/>
                <w:color w:val="000000" w:themeColor="text1"/>
                <w:lang w:val="en-US"/>
              </w:rPr>
              <w:t>.</w:t>
            </w:r>
            <w:r w:rsidR="00743ACA">
              <w:rPr>
                <w:rFonts w:ascii="Times New Roman" w:eastAsia="Times New Roman" w:hAnsi="Times New Roman" w:cs="Times New Roman"/>
                <w:color w:val="000000" w:themeColor="text1"/>
                <w:lang w:val="en-US"/>
              </w:rPr>
              <w:t>.</w:t>
            </w:r>
            <w:proofErr w:type="gramEnd"/>
            <w:r w:rsidR="00743ACA">
              <w:rPr>
                <w:rFonts w:ascii="Times New Roman" w:eastAsia="Times New Roman" w:hAnsi="Times New Roman" w:cs="Times New Roman"/>
                <w:color w:val="000000" w:themeColor="text1"/>
                <w:lang w:val="en-US"/>
              </w:rPr>
              <w:t xml:space="preserve"> </w:t>
            </w:r>
          </w:p>
          <w:p w:rsidR="005A5054" w:rsidRPr="00314D64" w:rsidRDefault="005A5054" w:rsidP="005A5054">
            <w:pPr>
              <w:pStyle w:val="NoSpacing"/>
              <w:spacing w:line="360" w:lineRule="auto"/>
              <w:jc w:val="both"/>
              <w:rPr>
                <w:szCs w:val="24"/>
              </w:rPr>
            </w:pPr>
            <w:r w:rsidRPr="00314D64">
              <w:rPr>
                <w:b/>
                <w:szCs w:val="24"/>
              </w:rPr>
              <w:t xml:space="preserve">Study Limitations: </w:t>
            </w:r>
            <w:r w:rsidRPr="00314D64">
              <w:rPr>
                <w:szCs w:val="24"/>
              </w:rPr>
              <w:t>Serious limitations when most evidence is from studies with moderate or unclear risk of bias for most bias domains. Very Serious limitations when most evidence is from studies with high risk of bias for almost all bias domains</w:t>
            </w:r>
          </w:p>
          <w:p w:rsidR="005A5054" w:rsidRPr="00314D64" w:rsidRDefault="005A5054" w:rsidP="005A5054">
            <w:pPr>
              <w:pStyle w:val="NoSpacing"/>
              <w:spacing w:line="360" w:lineRule="auto"/>
              <w:jc w:val="both"/>
              <w:rPr>
                <w:szCs w:val="24"/>
              </w:rPr>
            </w:pPr>
            <w:r w:rsidRPr="00314D64">
              <w:rPr>
                <w:b/>
                <w:szCs w:val="24"/>
              </w:rPr>
              <w:t>Consistency:</w:t>
            </w:r>
            <w:r w:rsidRPr="00314D64">
              <w:rPr>
                <w:szCs w:val="24"/>
              </w:rPr>
              <w:t xml:space="preserve"> explained heterogeneity or variability in results across studies with differences of results had meaningful.  For narrative summary: variations in prevalence estimates across studies.</w:t>
            </w:r>
          </w:p>
          <w:p w:rsidR="005A5054" w:rsidRPr="00314D64" w:rsidRDefault="005A5054" w:rsidP="005A5054">
            <w:pPr>
              <w:pStyle w:val="NoSpacing"/>
              <w:spacing w:line="360" w:lineRule="auto"/>
              <w:jc w:val="both"/>
              <w:rPr>
                <w:szCs w:val="24"/>
              </w:rPr>
            </w:pPr>
            <w:r w:rsidRPr="00314D64">
              <w:rPr>
                <w:b/>
                <w:szCs w:val="24"/>
              </w:rPr>
              <w:t xml:space="preserve">Directness: </w:t>
            </w:r>
            <w:r w:rsidRPr="00314D64">
              <w:rPr>
                <w:szCs w:val="24"/>
              </w:rPr>
              <w:t>The study sample, and the outcome or prevalence estimate in the primary studies accurately reflect the review question.  Generalizability of the study population (is the study population a subset of the population of interest?).</w:t>
            </w:r>
          </w:p>
          <w:p w:rsidR="005A5054" w:rsidRPr="00314D64" w:rsidRDefault="005A5054" w:rsidP="005A5054">
            <w:pPr>
              <w:pStyle w:val="NoSpacing"/>
              <w:spacing w:line="360" w:lineRule="auto"/>
              <w:jc w:val="both"/>
              <w:rPr>
                <w:szCs w:val="24"/>
              </w:rPr>
            </w:pPr>
            <w:r w:rsidRPr="00314D64">
              <w:rPr>
                <w:b/>
                <w:szCs w:val="24"/>
              </w:rPr>
              <w:lastRenderedPageBreak/>
              <w:t xml:space="preserve">Precision: </w:t>
            </w:r>
            <w:r w:rsidRPr="00314D64">
              <w:rPr>
                <w:szCs w:val="24"/>
              </w:rPr>
              <w:t>For narrative summary: within-study precision: sample size justification is provided for prevalence estimates. Across study imprecision: there are few studies and small number of participants across studies.</w:t>
            </w:r>
          </w:p>
          <w:p w:rsidR="005A5054" w:rsidRPr="00314D64" w:rsidRDefault="005A5054" w:rsidP="005A5054">
            <w:pPr>
              <w:pStyle w:val="NoSpacing"/>
              <w:spacing w:line="360" w:lineRule="auto"/>
              <w:jc w:val="both"/>
              <w:rPr>
                <w:szCs w:val="24"/>
              </w:rPr>
            </w:pPr>
            <w:r w:rsidRPr="00314D64">
              <w:rPr>
                <w:b/>
                <w:szCs w:val="24"/>
              </w:rPr>
              <w:t xml:space="preserve">Publication Bias:  </w:t>
            </w:r>
            <w:r w:rsidRPr="00314D64">
              <w:rPr>
                <w:szCs w:val="24"/>
              </w:rPr>
              <w:t>Published evidence is restricted to only a portion of the studies conducted on the topic.</w:t>
            </w:r>
          </w:p>
        </w:tc>
      </w:tr>
    </w:tbl>
    <w:p w:rsidR="00686CB1" w:rsidRPr="00EF56B2" w:rsidRDefault="00686CB1" w:rsidP="00686CB1">
      <w:pPr>
        <w:spacing w:line="360" w:lineRule="auto"/>
        <w:rPr>
          <w:rFonts w:ascii="Times New Roman" w:hAnsi="Times New Roman" w:cs="Times New Roman"/>
          <w:b/>
          <w:sz w:val="28"/>
          <w:szCs w:val="28"/>
        </w:rPr>
      </w:pPr>
    </w:p>
    <w:sectPr w:rsidR="00686CB1" w:rsidRPr="00EF56B2" w:rsidSect="005A505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Narrow-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CF"/>
    <w:rsid w:val="0005383D"/>
    <w:rsid w:val="0007377B"/>
    <w:rsid w:val="00076542"/>
    <w:rsid w:val="000C3D38"/>
    <w:rsid w:val="001363D1"/>
    <w:rsid w:val="001E4F5C"/>
    <w:rsid w:val="00305EEC"/>
    <w:rsid w:val="00314D64"/>
    <w:rsid w:val="00322FB0"/>
    <w:rsid w:val="003601DD"/>
    <w:rsid w:val="00360B6F"/>
    <w:rsid w:val="00364E7E"/>
    <w:rsid w:val="0039626F"/>
    <w:rsid w:val="003C4EC5"/>
    <w:rsid w:val="003C7BF2"/>
    <w:rsid w:val="003E396A"/>
    <w:rsid w:val="00444B17"/>
    <w:rsid w:val="004E1688"/>
    <w:rsid w:val="00545659"/>
    <w:rsid w:val="00576C56"/>
    <w:rsid w:val="00583672"/>
    <w:rsid w:val="005A5054"/>
    <w:rsid w:val="005F3568"/>
    <w:rsid w:val="00662C94"/>
    <w:rsid w:val="00686CB1"/>
    <w:rsid w:val="006A493F"/>
    <w:rsid w:val="00716B4F"/>
    <w:rsid w:val="0072400D"/>
    <w:rsid w:val="00743ACA"/>
    <w:rsid w:val="007757C9"/>
    <w:rsid w:val="00794B82"/>
    <w:rsid w:val="00810E6C"/>
    <w:rsid w:val="008A509E"/>
    <w:rsid w:val="008B77C5"/>
    <w:rsid w:val="008D1C67"/>
    <w:rsid w:val="00915CC4"/>
    <w:rsid w:val="009D72A3"/>
    <w:rsid w:val="009F343A"/>
    <w:rsid w:val="00A5365E"/>
    <w:rsid w:val="00A674CF"/>
    <w:rsid w:val="00A70A36"/>
    <w:rsid w:val="00A76C05"/>
    <w:rsid w:val="00AA5E96"/>
    <w:rsid w:val="00B142D4"/>
    <w:rsid w:val="00B15F1B"/>
    <w:rsid w:val="00BB49A3"/>
    <w:rsid w:val="00C61D14"/>
    <w:rsid w:val="00D34885"/>
    <w:rsid w:val="00D63C20"/>
    <w:rsid w:val="00DA79B9"/>
    <w:rsid w:val="00DD77BD"/>
    <w:rsid w:val="00E12D14"/>
    <w:rsid w:val="00E9176C"/>
    <w:rsid w:val="00EC5DDA"/>
    <w:rsid w:val="00ED525D"/>
    <w:rsid w:val="00EF4D3E"/>
    <w:rsid w:val="00F60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FBBA2"/>
  <w15:chartTrackingRefBased/>
  <w15:docId w15:val="{1C9765EE-9F75-4274-B2A1-663DA1D65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86CB1"/>
    <w:pPr>
      <w:keepNext/>
      <w:keepLines/>
      <w:spacing w:before="480" w:after="0" w:line="240" w:lineRule="auto"/>
      <w:outlineLvl w:val="0"/>
    </w:pPr>
    <w:rPr>
      <w:rFonts w:ascii="Times New Roman" w:eastAsiaTheme="minorEastAsia"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2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62C94"/>
    <w:pPr>
      <w:spacing w:after="0" w:line="240" w:lineRule="auto"/>
    </w:pPr>
    <w:rPr>
      <w:rFonts w:ascii="Times New Roman" w:hAnsi="Times New Roman" w:cs="Times New Roman"/>
      <w:sz w:val="24"/>
      <w:szCs w:val="20"/>
    </w:rPr>
  </w:style>
  <w:style w:type="character" w:customStyle="1" w:styleId="NoSpacingChar">
    <w:name w:val="No Spacing Char"/>
    <w:basedOn w:val="DefaultParagraphFont"/>
    <w:link w:val="NoSpacing"/>
    <w:uiPriority w:val="1"/>
    <w:rsid w:val="00662C94"/>
    <w:rPr>
      <w:rFonts w:ascii="Times New Roman" w:hAnsi="Times New Roman" w:cs="Times New Roman"/>
      <w:sz w:val="24"/>
      <w:szCs w:val="20"/>
    </w:rPr>
  </w:style>
  <w:style w:type="character" w:customStyle="1" w:styleId="fontstyle01">
    <w:name w:val="fontstyle01"/>
    <w:basedOn w:val="DefaultParagraphFont"/>
    <w:rsid w:val="001363D1"/>
    <w:rPr>
      <w:rFonts w:ascii="ArialNarrow-Bold" w:hAnsi="ArialNarrow-Bold" w:hint="default"/>
      <w:b/>
      <w:bCs/>
      <w:i w:val="0"/>
      <w:iCs w:val="0"/>
      <w:color w:val="FFFFFF"/>
      <w:sz w:val="16"/>
      <w:szCs w:val="16"/>
    </w:rPr>
  </w:style>
  <w:style w:type="character" w:customStyle="1" w:styleId="fontstyle11">
    <w:name w:val="fontstyle11"/>
    <w:basedOn w:val="DefaultParagraphFont"/>
    <w:rsid w:val="00076542"/>
    <w:rPr>
      <w:rFonts w:ascii="ArialNarrow-Bold" w:hAnsi="ArialNarrow-Bold" w:hint="default"/>
      <w:b/>
      <w:bCs/>
      <w:i w:val="0"/>
      <w:iCs w:val="0"/>
      <w:color w:val="000000"/>
      <w:sz w:val="14"/>
      <w:szCs w:val="14"/>
    </w:rPr>
  </w:style>
  <w:style w:type="character" w:customStyle="1" w:styleId="Heading1Char">
    <w:name w:val="Heading 1 Char"/>
    <w:basedOn w:val="DefaultParagraphFont"/>
    <w:link w:val="Heading1"/>
    <w:uiPriority w:val="9"/>
    <w:rsid w:val="00686CB1"/>
    <w:rPr>
      <w:rFonts w:ascii="Times New Roman" w:eastAsiaTheme="minorEastAsia" w:hAnsi="Times New Roman" w:cs="Times New Roman"/>
      <w:sz w:val="24"/>
      <w:szCs w:val="24"/>
      <w:lang w:val="en-US"/>
    </w:rPr>
  </w:style>
  <w:style w:type="paragraph" w:styleId="NormalWeb">
    <w:name w:val="Normal (Web)"/>
    <w:basedOn w:val="Normal"/>
    <w:uiPriority w:val="99"/>
    <w:semiHidden/>
    <w:unhideWhenUsed/>
    <w:rsid w:val="00743ACA"/>
    <w:pPr>
      <w:spacing w:before="100" w:beforeAutospacing="1" w:after="100" w:afterAutospacing="1" w:line="240" w:lineRule="auto"/>
    </w:pPr>
    <w:rPr>
      <w:rFonts w:ascii="Times New Roman" w:eastAsiaTheme="minorEastAsia"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61809">
      <w:bodyDiv w:val="1"/>
      <w:marLeft w:val="0"/>
      <w:marRight w:val="0"/>
      <w:marTop w:val="0"/>
      <w:marBottom w:val="0"/>
      <w:divBdr>
        <w:top w:val="none" w:sz="0" w:space="0" w:color="auto"/>
        <w:left w:val="none" w:sz="0" w:space="0" w:color="auto"/>
        <w:bottom w:val="none" w:sz="0" w:space="0" w:color="auto"/>
        <w:right w:val="none" w:sz="0" w:space="0" w:color="auto"/>
      </w:divBdr>
    </w:div>
    <w:div w:id="123550596">
      <w:bodyDiv w:val="1"/>
      <w:marLeft w:val="0"/>
      <w:marRight w:val="0"/>
      <w:marTop w:val="0"/>
      <w:marBottom w:val="0"/>
      <w:divBdr>
        <w:top w:val="none" w:sz="0" w:space="0" w:color="auto"/>
        <w:left w:val="none" w:sz="0" w:space="0" w:color="auto"/>
        <w:bottom w:val="none" w:sz="0" w:space="0" w:color="auto"/>
        <w:right w:val="none" w:sz="0" w:space="0" w:color="auto"/>
      </w:divBdr>
    </w:div>
    <w:div w:id="323243644">
      <w:bodyDiv w:val="1"/>
      <w:marLeft w:val="0"/>
      <w:marRight w:val="0"/>
      <w:marTop w:val="0"/>
      <w:marBottom w:val="0"/>
      <w:divBdr>
        <w:top w:val="none" w:sz="0" w:space="0" w:color="auto"/>
        <w:left w:val="none" w:sz="0" w:space="0" w:color="auto"/>
        <w:bottom w:val="none" w:sz="0" w:space="0" w:color="auto"/>
        <w:right w:val="none" w:sz="0" w:space="0" w:color="auto"/>
      </w:divBdr>
    </w:div>
    <w:div w:id="521941771">
      <w:bodyDiv w:val="1"/>
      <w:marLeft w:val="0"/>
      <w:marRight w:val="0"/>
      <w:marTop w:val="0"/>
      <w:marBottom w:val="0"/>
      <w:divBdr>
        <w:top w:val="none" w:sz="0" w:space="0" w:color="auto"/>
        <w:left w:val="none" w:sz="0" w:space="0" w:color="auto"/>
        <w:bottom w:val="none" w:sz="0" w:space="0" w:color="auto"/>
        <w:right w:val="none" w:sz="0" w:space="0" w:color="auto"/>
      </w:divBdr>
    </w:div>
    <w:div w:id="111313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Melesse</dc:creator>
  <cp:keywords/>
  <dc:description/>
  <cp:lastModifiedBy>Melesse </cp:lastModifiedBy>
  <cp:revision>79</cp:revision>
  <dcterms:created xsi:type="dcterms:W3CDTF">2025-04-22T16:49:00Z</dcterms:created>
  <dcterms:modified xsi:type="dcterms:W3CDTF">2025-04-25T18:57:00Z</dcterms:modified>
</cp:coreProperties>
</file>