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8611" w14:textId="56C19BC9" w:rsidR="009A251F" w:rsidRPr="009A251F" w:rsidRDefault="00A743D4" w:rsidP="00A743D4">
      <w:pPr>
        <w:spacing w:after="0" w:line="480" w:lineRule="auto"/>
        <w:rPr>
          <w:rFonts w:ascii="Times New Roman" w:eastAsia="Times New Roman" w:hAnsi="Times New Roman" w:cs="Times New Roman"/>
          <w:b/>
          <w:sz w:val="24"/>
          <w:szCs w:val="24"/>
          <w:lang w:val="" w:bidi="ar-SA"/>
        </w:rPr>
      </w:pPr>
      <w:r>
        <w:rPr>
          <w:rFonts w:ascii="Times New Roman" w:eastAsia="Times New Roman" w:hAnsi="Times New Roman" w:cs="Times New Roman"/>
          <w:b/>
          <w:sz w:val="24"/>
          <w:szCs w:val="24"/>
          <w:lang w:val="" w:bidi="ar-SA"/>
        </w:rPr>
        <w:t xml:space="preserve">Additional File </w:t>
      </w:r>
      <w:r w:rsidR="009A251F" w:rsidRPr="009A251F">
        <w:rPr>
          <w:rFonts w:ascii="Times New Roman" w:eastAsia="Times New Roman" w:hAnsi="Times New Roman" w:cs="Times New Roman"/>
          <w:b/>
          <w:sz w:val="24"/>
          <w:szCs w:val="24"/>
          <w:lang w:val="" w:bidi="ar-SA"/>
        </w:rPr>
        <w:t>2. Explanation of frailty check items</w:t>
      </w:r>
    </w:p>
    <w:tbl>
      <w:tblPr>
        <w:tblW w:w="5000" w:type="pct"/>
        <w:tblCellMar>
          <w:left w:w="99" w:type="dxa"/>
          <w:right w:w="99" w:type="dxa"/>
        </w:tblCellMar>
        <w:tblLook w:val="0000" w:firstRow="0" w:lastRow="0" w:firstColumn="0" w:lastColumn="0" w:noHBand="0" w:noVBand="0"/>
      </w:tblPr>
      <w:tblGrid>
        <w:gridCol w:w="1666"/>
        <w:gridCol w:w="7360"/>
      </w:tblGrid>
      <w:tr w:rsidR="009A251F" w:rsidRPr="009A251F" w14:paraId="6F62A8FB" w14:textId="77777777" w:rsidTr="00C239E5">
        <w:trPr>
          <w:trHeight w:hRule="exact" w:val="484"/>
        </w:trPr>
        <w:tc>
          <w:tcPr>
            <w:tcW w:w="923" w:type="pct"/>
            <w:tcBorders>
              <w:top w:val="single" w:sz="4" w:space="0" w:color="auto"/>
              <w:bottom w:val="single" w:sz="4" w:space="0" w:color="auto"/>
            </w:tcBorders>
          </w:tcPr>
          <w:p w14:paraId="1D33F692"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Frailty check items</w:t>
            </w:r>
          </w:p>
        </w:tc>
        <w:tc>
          <w:tcPr>
            <w:tcW w:w="4077" w:type="pct"/>
            <w:tcBorders>
              <w:top w:val="single" w:sz="4" w:space="0" w:color="auto"/>
              <w:bottom w:val="single" w:sz="4" w:space="0" w:color="auto"/>
            </w:tcBorders>
          </w:tcPr>
          <w:p w14:paraId="6D8701F3"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 xml:space="preserve">Explanation </w:t>
            </w:r>
          </w:p>
        </w:tc>
      </w:tr>
      <w:tr w:rsidR="009A251F" w:rsidRPr="009A251F" w14:paraId="67ABA9D3" w14:textId="77777777" w:rsidTr="00C239E5">
        <w:trPr>
          <w:trHeight w:hRule="exact" w:val="2541"/>
        </w:trPr>
        <w:tc>
          <w:tcPr>
            <w:tcW w:w="923" w:type="pct"/>
            <w:tcBorders>
              <w:top w:val="single" w:sz="4" w:space="0" w:color="auto"/>
              <w:bottom w:val="nil"/>
            </w:tcBorders>
          </w:tcPr>
          <w:p w14:paraId="36F99FFE" w14:textId="77777777" w:rsidR="009A251F" w:rsidRPr="009A251F" w:rsidRDefault="009A251F" w:rsidP="009A251F">
            <w:pPr>
              <w:spacing w:after="0" w:line="360" w:lineRule="auto"/>
              <w:ind w:right="378"/>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 xml:space="preserve">25-item food intake </w:t>
            </w:r>
          </w:p>
          <w:p w14:paraId="217BA206"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questionnaire score</w:t>
            </w:r>
          </w:p>
        </w:tc>
        <w:tc>
          <w:tcPr>
            <w:tcW w:w="4077" w:type="pct"/>
            <w:tcBorders>
              <w:top w:val="single" w:sz="4" w:space="0" w:color="auto"/>
              <w:bottom w:val="nil"/>
            </w:tcBorders>
          </w:tcPr>
          <w:p w14:paraId="1F039659"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In accordance with Koshino</w:t>
            </w:r>
            <w:r w:rsidRPr="009A251F">
              <w:rPr>
                <w:rFonts w:ascii="Times New Roman" w:eastAsia="Times New Roman" w:hAnsi="Times New Roman" w:cs="Times New Roman"/>
                <w:sz w:val="24"/>
                <w:szCs w:val="24"/>
                <w:vertAlign w:val="superscript"/>
                <w:lang w:val="" w:bidi="ar-SA"/>
              </w:rPr>
              <w:t>1)</w:t>
            </w:r>
            <w:r w:rsidRPr="009A251F">
              <w:rPr>
                <w:rFonts w:ascii="Times New Roman" w:eastAsia="Times New Roman" w:hAnsi="Times New Roman" w:cs="Times New Roman"/>
                <w:sz w:val="24"/>
                <w:szCs w:val="24"/>
                <w:lang w:val="" w:bidi="ar-SA"/>
              </w:rPr>
              <w:t xml:space="preserve">, 25 kinds of food were selected, to each of which 2 points were assigned when “easy to eat”, 1 point when “difficult to eat” and 0 point when “unable to eat”. The score was calculated to be the sum of respective points for each 25-item food, ranging from 0 to 50 points for an individual. </w:t>
            </w:r>
          </w:p>
        </w:tc>
      </w:tr>
      <w:tr w:rsidR="009A251F" w:rsidRPr="009A251F" w14:paraId="5B93D6B3" w14:textId="77777777" w:rsidTr="00C239E5">
        <w:trPr>
          <w:trHeight w:hRule="exact" w:val="3813"/>
        </w:trPr>
        <w:tc>
          <w:tcPr>
            <w:tcW w:w="923" w:type="pct"/>
            <w:tcBorders>
              <w:top w:val="nil"/>
              <w:bottom w:val="nil"/>
            </w:tcBorders>
          </w:tcPr>
          <w:p w14:paraId="3F9EE728"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Finger-circle test score</w:t>
            </w:r>
          </w:p>
        </w:tc>
        <w:tc>
          <w:tcPr>
            <w:tcW w:w="4077" w:type="pct"/>
            <w:tcBorders>
              <w:top w:val="nil"/>
              <w:bottom w:val="nil"/>
            </w:tcBorders>
          </w:tcPr>
          <w:p w14:paraId="4E16CBC3" w14:textId="77777777" w:rsidR="009A251F" w:rsidRPr="009A251F" w:rsidRDefault="009A251F" w:rsidP="009A251F">
            <w:pPr>
              <w:snapToGrid w:val="0"/>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In accordance with Hiraoka</w:t>
            </w:r>
            <w:r w:rsidRPr="009A251F">
              <w:rPr>
                <w:rFonts w:ascii="Times New Roman" w:eastAsia="Times New Roman" w:hAnsi="Times New Roman" w:cs="Times New Roman"/>
                <w:sz w:val="24"/>
                <w:szCs w:val="24"/>
                <w:vertAlign w:val="superscript"/>
                <w:lang w:val="" w:bidi="ar-SA"/>
              </w:rPr>
              <w:t>2)</w:t>
            </w:r>
            <w:r w:rsidRPr="009A251F">
              <w:rPr>
                <w:rFonts w:ascii="Times New Roman" w:eastAsia="Times New Roman" w:hAnsi="Times New Roman" w:cs="Times New Roman"/>
                <w:sz w:val="24"/>
                <w:szCs w:val="24"/>
                <w:lang w:val="" w:bidi="ar-SA"/>
              </w:rPr>
              <w:t xml:space="preserve">, this test enables a simple assessment of sarcopenia, by checking whether the thickest part of the calf is smaller or larger than, or just-fits to the ring made by the thumb and forefinger of both hands. The test comprises 3 levels: 1 point when the ring cannot be closed (i.e., The calf circumference is larger than the ring), 2 points when the ring fits the calf circumference, and 3 points when an interstice exists between the ring and calf circumference. </w:t>
            </w:r>
          </w:p>
        </w:tc>
      </w:tr>
      <w:tr w:rsidR="009A251F" w:rsidRPr="009A251F" w14:paraId="7637DD79" w14:textId="77777777" w:rsidTr="00C239E5">
        <w:trPr>
          <w:trHeight w:hRule="exact" w:val="2549"/>
        </w:trPr>
        <w:tc>
          <w:tcPr>
            <w:tcW w:w="923" w:type="pct"/>
            <w:tcBorders>
              <w:top w:val="nil"/>
              <w:bottom w:val="nil"/>
            </w:tcBorders>
          </w:tcPr>
          <w:p w14:paraId="51A06938"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 xml:space="preserve">Color-changeable </w:t>
            </w:r>
          </w:p>
          <w:p w14:paraId="11F15B2B"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 xml:space="preserve">Chewing gum test score </w:t>
            </w:r>
          </w:p>
        </w:tc>
        <w:tc>
          <w:tcPr>
            <w:tcW w:w="4077" w:type="pct"/>
            <w:tcBorders>
              <w:top w:val="nil"/>
              <w:bottom w:val="nil"/>
            </w:tcBorders>
          </w:tcPr>
          <w:p w14:paraId="73434195"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In accordance with Kamiyama</w:t>
            </w:r>
            <w:r w:rsidRPr="009A251F">
              <w:rPr>
                <w:rFonts w:ascii="Times New Roman" w:eastAsia="Times New Roman" w:hAnsi="Times New Roman" w:cs="Times New Roman"/>
                <w:sz w:val="24"/>
                <w:szCs w:val="24"/>
                <w:vertAlign w:val="superscript"/>
                <w:lang w:val="" w:bidi="ar-SA"/>
              </w:rPr>
              <w:t>3)</w:t>
            </w:r>
            <w:r w:rsidRPr="009A251F">
              <w:rPr>
                <w:rFonts w:ascii="Times New Roman" w:eastAsia="Times New Roman" w:hAnsi="Times New Roman" w:cs="Times New Roman"/>
                <w:sz w:val="24"/>
                <w:szCs w:val="24"/>
                <w:lang w:val="" w:bidi="ar-SA"/>
              </w:rPr>
              <w:t xml:space="preserve">, the strength of chewing was estimated by the color of chewed gum and expressed by 5 levels: 5 points were assigned for “green” (weakest chewing ability), 4 points for “yellow”, 3 points for “light cherry”, 2 points for “dark cherry”, and 1 point for “red” (strongest chewing ability). </w:t>
            </w:r>
          </w:p>
        </w:tc>
      </w:tr>
      <w:tr w:rsidR="009A251F" w:rsidRPr="009A251F" w14:paraId="0B99A19C" w14:textId="77777777" w:rsidTr="00C239E5">
        <w:trPr>
          <w:trHeight w:hRule="exact" w:val="1561"/>
        </w:trPr>
        <w:tc>
          <w:tcPr>
            <w:tcW w:w="923" w:type="pct"/>
            <w:tcBorders>
              <w:top w:val="nil"/>
              <w:bottom w:val="single" w:sz="4" w:space="0" w:color="auto"/>
            </w:tcBorders>
          </w:tcPr>
          <w:p w14:paraId="58385DF9"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 xml:space="preserve">Repetitive saliva </w:t>
            </w:r>
          </w:p>
          <w:p w14:paraId="0579EC68"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swallowing test</w:t>
            </w:r>
            <w:r w:rsidRPr="009A251F">
              <w:rPr>
                <w:rFonts w:ascii="Times New Roman" w:eastAsia="Calibri" w:hAnsi="Times New Roman" w:cs="Times New Roman"/>
                <w:sz w:val="24"/>
                <w:szCs w:val="24"/>
                <w:lang w:val="" w:bidi="ar-SA"/>
              </w:rPr>
              <w:t xml:space="preserve"> </w:t>
            </w:r>
            <w:r w:rsidRPr="009A251F">
              <w:rPr>
                <w:rFonts w:ascii="Times New Roman" w:eastAsia="Times New Roman" w:hAnsi="Times New Roman" w:cs="Times New Roman"/>
                <w:sz w:val="24"/>
                <w:szCs w:val="24"/>
                <w:lang w:val="" w:bidi="ar-SA"/>
              </w:rPr>
              <w:t>score</w:t>
            </w:r>
          </w:p>
        </w:tc>
        <w:tc>
          <w:tcPr>
            <w:tcW w:w="4077" w:type="pct"/>
            <w:tcBorders>
              <w:top w:val="nil"/>
              <w:bottom w:val="single" w:sz="4" w:space="0" w:color="auto"/>
            </w:tcBorders>
          </w:tcPr>
          <w:p w14:paraId="316F082E"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In accordance with Horiguchi</w:t>
            </w:r>
            <w:r w:rsidRPr="009A251F">
              <w:rPr>
                <w:rFonts w:ascii="Times New Roman" w:eastAsia="Times New Roman" w:hAnsi="Times New Roman" w:cs="Times New Roman"/>
                <w:sz w:val="24"/>
                <w:szCs w:val="24"/>
                <w:vertAlign w:val="superscript"/>
                <w:lang w:val="" w:bidi="ar-SA"/>
              </w:rPr>
              <w:t>4)</w:t>
            </w:r>
            <w:r w:rsidRPr="009A251F">
              <w:rPr>
                <w:rFonts w:ascii="Times New Roman" w:eastAsia="Times New Roman" w:hAnsi="Times New Roman" w:cs="Times New Roman"/>
                <w:sz w:val="24"/>
                <w:szCs w:val="24"/>
                <w:lang w:val="" w:bidi="ar-SA"/>
              </w:rPr>
              <w:t>, the swallowing function was assessed by the number of times saliva was swallowed in 30 seconds; a score of 1 was assigned for 2 or more times, and 0 for 0 or 1 time.</w:t>
            </w:r>
          </w:p>
        </w:tc>
      </w:tr>
      <w:tr w:rsidR="009A251F" w:rsidRPr="009A251F" w14:paraId="22D5F6F9" w14:textId="77777777" w:rsidTr="00C239E5">
        <w:trPr>
          <w:trHeight w:hRule="exact" w:val="2552"/>
        </w:trPr>
        <w:tc>
          <w:tcPr>
            <w:tcW w:w="923" w:type="pct"/>
            <w:tcBorders>
              <w:top w:val="single" w:sz="4" w:space="0" w:color="auto"/>
              <w:bottom w:val="single" w:sz="4" w:space="0" w:color="auto"/>
            </w:tcBorders>
          </w:tcPr>
          <w:p w14:paraId="1FD9896F"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lastRenderedPageBreak/>
              <w:t xml:space="preserve">Chair standing test score </w:t>
            </w:r>
          </w:p>
        </w:tc>
        <w:tc>
          <w:tcPr>
            <w:tcW w:w="4077" w:type="pct"/>
            <w:tcBorders>
              <w:top w:val="single" w:sz="4" w:space="0" w:color="auto"/>
              <w:bottom w:val="single" w:sz="4" w:space="0" w:color="auto"/>
            </w:tcBorders>
          </w:tcPr>
          <w:p w14:paraId="777A1DCB"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r w:rsidRPr="009A251F">
              <w:rPr>
                <w:rFonts w:ascii="Times New Roman" w:eastAsia="Times New Roman" w:hAnsi="Times New Roman" w:cs="Times New Roman"/>
                <w:sz w:val="24"/>
                <w:szCs w:val="24"/>
                <w:lang w:val="" w:bidi="ar-SA"/>
              </w:rPr>
              <w:t>In accordance with the method by Macfarlane</w:t>
            </w:r>
            <w:r w:rsidRPr="009A251F">
              <w:rPr>
                <w:rFonts w:ascii="Times New Roman" w:eastAsia="Times New Roman" w:hAnsi="Times New Roman" w:cs="Times New Roman"/>
                <w:sz w:val="24"/>
                <w:szCs w:val="24"/>
                <w:vertAlign w:val="superscript"/>
                <w:lang w:val="" w:bidi="ar-SA"/>
              </w:rPr>
              <w:t>5)</w:t>
            </w:r>
            <w:r w:rsidRPr="009A251F">
              <w:rPr>
                <w:rFonts w:ascii="Times New Roman" w:eastAsia="Times New Roman" w:hAnsi="Times New Roman" w:cs="Times New Roman"/>
                <w:sz w:val="24"/>
                <w:szCs w:val="24"/>
                <w:lang w:val="" w:bidi="ar-SA"/>
              </w:rPr>
              <w:t>, ability of standing up was evaluated by the number of times an individual could stand up from a typical height chair within 15 seconds: 1 point was assigned for 12 or more times, 2 points for 9 to 11 times, 3 points for 8 times, 4 points for 5–7 times, and 5 points for 4 times or less.</w:t>
            </w:r>
          </w:p>
        </w:tc>
      </w:tr>
      <w:tr w:rsidR="009A251F" w:rsidRPr="009A251F" w14:paraId="0164FF94" w14:textId="77777777" w:rsidTr="00A7202E">
        <w:trPr>
          <w:trHeight w:hRule="exact" w:val="6098"/>
        </w:trPr>
        <w:tc>
          <w:tcPr>
            <w:tcW w:w="5000" w:type="pct"/>
            <w:gridSpan w:val="2"/>
            <w:tcBorders>
              <w:top w:val="single" w:sz="4" w:space="0" w:color="auto"/>
              <w:bottom w:val="single" w:sz="4" w:space="0" w:color="auto"/>
            </w:tcBorders>
          </w:tcPr>
          <w:p w14:paraId="05707C9C" w14:textId="1E12A419" w:rsidR="009A251F" w:rsidRPr="002A6A90" w:rsidRDefault="009A251F" w:rsidP="009A251F">
            <w:pPr>
              <w:spacing w:after="0" w:line="360" w:lineRule="auto"/>
              <w:rPr>
                <w:rFonts w:ascii="Times New Roman" w:eastAsia="Times New Roman" w:hAnsi="Times New Roman" w:cs="Times New Roman"/>
                <w:b/>
                <w:sz w:val="24"/>
                <w:szCs w:val="24"/>
                <w:lang w:val="" w:bidi="ar-SA"/>
              </w:rPr>
            </w:pPr>
            <w:r w:rsidRPr="009A251F">
              <w:rPr>
                <w:rFonts w:ascii="Times New Roman" w:eastAsia="Times New Roman" w:hAnsi="Times New Roman" w:cs="Times New Roman"/>
                <w:b/>
                <w:sz w:val="24"/>
                <w:szCs w:val="24"/>
                <w:lang w:val="" w:bidi="ar-SA"/>
              </w:rPr>
              <w:t xml:space="preserve">1) </w:t>
            </w:r>
            <w:r w:rsidR="00735F49" w:rsidRPr="002A6A90">
              <w:rPr>
                <w:rFonts w:ascii="Times New Roman" w:eastAsia="Times New Roman" w:hAnsi="Times New Roman" w:cs="Times New Roman"/>
                <w:sz w:val="24"/>
                <w:szCs w:val="24"/>
                <w:lang w:val="" w:bidi="ar-SA"/>
              </w:rPr>
              <w:t>Koshino H, Hirai T, Yokoyama Y, Tanaka M, Toyoshita Y, Iwasaki K, Sudo E. Mandibular residual ridge shape and the masticatory ability in complete denture wearers. Nihon Hotetsu Shika Gakkai Zasshi. 2008;52:488–93.</w:t>
            </w:r>
          </w:p>
          <w:p w14:paraId="47693175" w14:textId="3DAED05D" w:rsidR="009A251F" w:rsidRPr="002A6A90" w:rsidRDefault="009A251F" w:rsidP="009A251F">
            <w:pPr>
              <w:spacing w:after="0" w:line="360" w:lineRule="auto"/>
              <w:rPr>
                <w:rFonts w:ascii="Times New Roman" w:eastAsia="Times New Roman" w:hAnsi="Times New Roman" w:cs="Times New Roman"/>
                <w:sz w:val="24"/>
                <w:szCs w:val="24"/>
                <w:lang w:val="" w:bidi="ar-SA"/>
              </w:rPr>
            </w:pPr>
            <w:r w:rsidRPr="002A6A90">
              <w:rPr>
                <w:rFonts w:ascii="Times New Roman" w:eastAsia="Times New Roman" w:hAnsi="Times New Roman" w:cs="Times New Roman"/>
                <w:b/>
                <w:sz w:val="24"/>
                <w:szCs w:val="24"/>
                <w:lang w:val="" w:bidi="ar-SA"/>
              </w:rPr>
              <w:t>2)</w:t>
            </w:r>
            <w:r w:rsidRPr="002A6A90">
              <w:rPr>
                <w:rFonts w:ascii="Times New Roman" w:eastAsia="Times New Roman" w:hAnsi="Times New Roman" w:cs="Times New Roman"/>
                <w:sz w:val="24"/>
                <w:szCs w:val="24"/>
                <w:lang w:val="" w:bidi="ar-SA"/>
              </w:rPr>
              <w:t xml:space="preserve"> Hiraoka</w:t>
            </w:r>
            <w:r w:rsidR="00735F49" w:rsidRPr="002A6A90">
              <w:rPr>
                <w:rFonts w:ascii="Times New Roman" w:eastAsia="Times New Roman" w:hAnsi="Times New Roman" w:cs="Times New Roman"/>
                <w:sz w:val="24"/>
                <w:szCs w:val="24"/>
                <w:lang w:val="" w:bidi="ar-SA"/>
              </w:rPr>
              <w:t xml:space="preserve"> A,</w:t>
            </w:r>
            <w:r w:rsidRPr="002A6A90">
              <w:rPr>
                <w:rFonts w:ascii="Times New Roman" w:eastAsia="Times New Roman" w:hAnsi="Times New Roman" w:cs="Times New Roman"/>
                <w:sz w:val="24"/>
                <w:szCs w:val="24"/>
                <w:lang w:val="" w:bidi="ar-SA"/>
              </w:rPr>
              <w:t xml:space="preserve"> et al. </w:t>
            </w:r>
            <w:r w:rsidR="00735F49" w:rsidRPr="002A6A90">
              <w:rPr>
                <w:rFonts w:ascii="Times New Roman" w:eastAsia="Times New Roman" w:hAnsi="Times New Roman" w:cs="Times New Roman"/>
                <w:sz w:val="24"/>
                <w:szCs w:val="24"/>
                <w:lang w:val="" w:bidi="ar-SA"/>
              </w:rPr>
              <w:t>Easy surveillance of muscle volume decline in chronic liver disease patients using finger-circle (yubi-wakka) test. J</w:t>
            </w:r>
            <w:r w:rsidRPr="002A6A90">
              <w:rPr>
                <w:rFonts w:ascii="Times New Roman" w:eastAsia="Times New Roman" w:hAnsi="Times New Roman" w:cs="Times New Roman"/>
                <w:sz w:val="24"/>
                <w:szCs w:val="24"/>
                <w:lang w:val="" w:bidi="ar-SA"/>
              </w:rPr>
              <w:t xml:space="preserve"> Cachexia Sarcopenia Muscle</w:t>
            </w:r>
            <w:r w:rsidR="00735F49" w:rsidRPr="002A6A90">
              <w:rPr>
                <w:rFonts w:ascii="Times New Roman" w:eastAsia="Times New Roman" w:hAnsi="Times New Roman" w:cs="Times New Roman"/>
                <w:sz w:val="24"/>
                <w:szCs w:val="24"/>
                <w:lang w:val="" w:bidi="ar-SA"/>
              </w:rPr>
              <w:t xml:space="preserve">. </w:t>
            </w:r>
            <w:r w:rsidRPr="002A6A90">
              <w:rPr>
                <w:rFonts w:ascii="Times New Roman" w:eastAsia="Times New Roman" w:hAnsi="Times New Roman" w:cs="Times New Roman"/>
                <w:sz w:val="24"/>
                <w:szCs w:val="24"/>
                <w:lang w:val="" w:bidi="ar-SA"/>
              </w:rPr>
              <w:t>2019;10:347–54</w:t>
            </w:r>
            <w:r w:rsidR="00735F49" w:rsidRPr="002A6A90">
              <w:rPr>
                <w:rFonts w:ascii="Times New Roman" w:eastAsia="Times New Roman" w:hAnsi="Times New Roman" w:cs="Times New Roman"/>
                <w:sz w:val="24"/>
                <w:szCs w:val="24"/>
                <w:lang w:val="" w:bidi="ar-SA"/>
              </w:rPr>
              <w:t>.</w:t>
            </w:r>
          </w:p>
          <w:p w14:paraId="299B259B" w14:textId="33EC910A" w:rsidR="009A251F" w:rsidRPr="002A6A90" w:rsidRDefault="009A251F" w:rsidP="009A251F">
            <w:pPr>
              <w:spacing w:after="0" w:line="360" w:lineRule="auto"/>
              <w:rPr>
                <w:rFonts w:ascii="Times New Roman" w:eastAsia="Times New Roman" w:hAnsi="Times New Roman" w:cs="Times New Roman"/>
                <w:sz w:val="24"/>
                <w:szCs w:val="24"/>
                <w:lang w:val="" w:bidi="ar-SA"/>
              </w:rPr>
            </w:pPr>
            <w:r w:rsidRPr="002A6A90">
              <w:rPr>
                <w:rFonts w:ascii="Times New Roman" w:eastAsia="Times New Roman" w:hAnsi="Times New Roman" w:cs="Times New Roman"/>
                <w:b/>
                <w:sz w:val="24"/>
                <w:szCs w:val="24"/>
                <w:lang w:val="" w:bidi="ar-SA"/>
              </w:rPr>
              <w:t xml:space="preserve">3) </w:t>
            </w:r>
            <w:r w:rsidRPr="002A6A90">
              <w:rPr>
                <w:rFonts w:ascii="Times New Roman" w:eastAsia="Times New Roman" w:hAnsi="Times New Roman" w:cs="Times New Roman"/>
                <w:sz w:val="24"/>
                <w:szCs w:val="24"/>
                <w:lang w:val="" w:bidi="ar-SA"/>
              </w:rPr>
              <w:t xml:space="preserve">Kamiyama, M. </w:t>
            </w:r>
            <w:r w:rsidR="00735F49" w:rsidRPr="002A6A90">
              <w:rPr>
                <w:rFonts w:ascii="Times New Roman" w:eastAsia="Times New Roman" w:hAnsi="Times New Roman" w:cs="Times New Roman"/>
                <w:sz w:val="24"/>
                <w:szCs w:val="24"/>
                <w:lang w:val="" w:bidi="ar-SA"/>
              </w:rPr>
              <w:t>Kanazawa M, Fujinami Y, Minakuchi S</w:t>
            </w:r>
            <w:r w:rsidRPr="002A6A90">
              <w:rPr>
                <w:rFonts w:ascii="Times New Roman" w:eastAsia="Times New Roman" w:hAnsi="Times New Roman" w:cs="Times New Roman"/>
                <w:sz w:val="24"/>
                <w:szCs w:val="24"/>
                <w:lang w:val="" w:bidi="ar-SA"/>
              </w:rPr>
              <w:t>. Validity and reliability of a Self-Implementable method to evaluate masticatory performance: Use of color-changeable chewing gum and a color scale. J Prosthodont Res. 2010</w:t>
            </w:r>
            <w:r w:rsidR="00735F49" w:rsidRPr="002A6A90">
              <w:rPr>
                <w:rFonts w:ascii="Times New Roman" w:eastAsia="Times New Roman" w:hAnsi="Times New Roman" w:cs="Times New Roman"/>
                <w:sz w:val="24"/>
                <w:szCs w:val="24"/>
                <w:lang w:val="" w:bidi="ar-SA"/>
              </w:rPr>
              <w:t>;</w:t>
            </w:r>
            <w:r w:rsidRPr="002A6A90">
              <w:rPr>
                <w:rFonts w:ascii="Times New Roman" w:eastAsia="Times New Roman" w:hAnsi="Times New Roman" w:cs="Times New Roman"/>
                <w:sz w:val="24"/>
                <w:szCs w:val="24"/>
                <w:lang w:val="" w:bidi="ar-SA"/>
              </w:rPr>
              <w:t>54</w:t>
            </w:r>
            <w:r w:rsidR="00735F49" w:rsidRPr="002A6A90">
              <w:rPr>
                <w:rFonts w:ascii="Times New Roman" w:eastAsia="Times New Roman" w:hAnsi="Times New Roman" w:cs="Times New Roman"/>
                <w:sz w:val="24"/>
                <w:szCs w:val="24"/>
                <w:lang w:val="" w:bidi="ar-SA"/>
              </w:rPr>
              <w:t>:</w:t>
            </w:r>
            <w:r w:rsidRPr="002A6A90">
              <w:rPr>
                <w:rFonts w:ascii="Times New Roman" w:eastAsia="Times New Roman" w:hAnsi="Times New Roman" w:cs="Times New Roman"/>
                <w:sz w:val="24"/>
                <w:szCs w:val="24"/>
                <w:lang w:val="" w:bidi="ar-SA"/>
              </w:rPr>
              <w:t>24–8</w:t>
            </w:r>
            <w:r w:rsidR="00735F49" w:rsidRPr="002A6A90">
              <w:rPr>
                <w:rFonts w:ascii="Times New Roman" w:eastAsia="Times New Roman" w:hAnsi="Times New Roman" w:cs="Times New Roman"/>
                <w:sz w:val="24"/>
                <w:szCs w:val="24"/>
                <w:lang w:val="" w:bidi="ar-SA"/>
              </w:rPr>
              <w:t>.</w:t>
            </w:r>
          </w:p>
          <w:p w14:paraId="3FFE6574" w14:textId="2C645579" w:rsidR="009A251F" w:rsidRPr="002A6A90" w:rsidRDefault="009A251F" w:rsidP="009A251F">
            <w:pPr>
              <w:spacing w:after="0" w:line="360" w:lineRule="auto"/>
              <w:rPr>
                <w:rFonts w:ascii="Times New Roman" w:eastAsia="Times New Roman" w:hAnsi="Times New Roman" w:cs="Times New Roman"/>
                <w:sz w:val="24"/>
                <w:szCs w:val="24"/>
                <w:lang w:val="" w:bidi="ar-SA"/>
              </w:rPr>
            </w:pPr>
            <w:r w:rsidRPr="002A6A90">
              <w:rPr>
                <w:rFonts w:ascii="Times New Roman" w:eastAsia="Times New Roman" w:hAnsi="Times New Roman" w:cs="Times New Roman"/>
                <w:b/>
                <w:sz w:val="24"/>
                <w:szCs w:val="24"/>
                <w:lang w:val="" w:bidi="ar-SA"/>
              </w:rPr>
              <w:t xml:space="preserve">4) </w:t>
            </w:r>
            <w:r w:rsidRPr="002A6A90">
              <w:rPr>
                <w:rFonts w:ascii="Times New Roman" w:eastAsia="Times New Roman" w:hAnsi="Times New Roman" w:cs="Times New Roman"/>
                <w:sz w:val="24"/>
                <w:szCs w:val="24"/>
                <w:lang w:val="" w:bidi="ar-SA"/>
              </w:rPr>
              <w:t xml:space="preserve">Horiguchi S, Suzuki Y. Screening tests in Evaluating Swallowing Function. Japan </w:t>
            </w:r>
            <w:r w:rsidR="00735F49" w:rsidRPr="002A6A90">
              <w:rPr>
                <w:rFonts w:ascii="Times New Roman" w:eastAsia="Times New Roman" w:hAnsi="Times New Roman" w:cs="Times New Roman"/>
                <w:sz w:val="24"/>
                <w:szCs w:val="24"/>
                <w:lang w:val="" w:bidi="ar-SA"/>
              </w:rPr>
              <w:t>Med Assoc J</w:t>
            </w:r>
            <w:r w:rsidRPr="002A6A90">
              <w:rPr>
                <w:rFonts w:ascii="Times New Roman" w:eastAsia="Times New Roman" w:hAnsi="Times New Roman" w:cs="Times New Roman"/>
                <w:sz w:val="24"/>
                <w:szCs w:val="24"/>
                <w:lang w:val="" w:bidi="ar-SA"/>
              </w:rPr>
              <w:t>. 2011;1:31</w:t>
            </w:r>
            <w:r w:rsidR="00735F49" w:rsidRPr="002A6A90">
              <w:rPr>
                <w:rFonts w:ascii="Times New Roman" w:eastAsia="Times New Roman" w:hAnsi="Times New Roman" w:cs="Times New Roman"/>
                <w:sz w:val="24"/>
                <w:szCs w:val="24"/>
                <w:lang w:val="" w:bidi="ar-SA"/>
              </w:rPr>
              <w:t>–</w:t>
            </w:r>
            <w:r w:rsidRPr="002A6A90">
              <w:rPr>
                <w:rFonts w:ascii="Times New Roman" w:eastAsia="Times New Roman" w:hAnsi="Times New Roman" w:cs="Times New Roman"/>
                <w:sz w:val="24"/>
                <w:szCs w:val="24"/>
                <w:lang w:val="" w:bidi="ar-SA"/>
              </w:rPr>
              <w:t>4.</w:t>
            </w:r>
          </w:p>
          <w:p w14:paraId="1D86EB2F" w14:textId="0D574F85" w:rsidR="009A251F" w:rsidRPr="00735F49" w:rsidRDefault="009A251F" w:rsidP="009A251F">
            <w:pPr>
              <w:spacing w:after="0" w:line="360" w:lineRule="auto"/>
              <w:rPr>
                <w:rFonts w:ascii="Times New Roman" w:eastAsia="Times New Roman" w:hAnsi="Times New Roman" w:cs="Times New Roman"/>
                <w:b/>
                <w:sz w:val="24"/>
                <w:szCs w:val="24"/>
                <w:lang w:val="" w:bidi="ar-SA"/>
              </w:rPr>
            </w:pPr>
            <w:r w:rsidRPr="002A6A90">
              <w:rPr>
                <w:rFonts w:ascii="Times New Roman" w:eastAsia="Times New Roman" w:hAnsi="Times New Roman" w:cs="Times New Roman"/>
                <w:b/>
                <w:sz w:val="24"/>
                <w:szCs w:val="24"/>
                <w:lang w:val="" w:bidi="ar-SA"/>
              </w:rPr>
              <w:t xml:space="preserve">5) </w:t>
            </w:r>
            <w:r w:rsidRPr="002A6A90">
              <w:rPr>
                <w:rFonts w:ascii="Times New Roman" w:eastAsia="Times New Roman" w:hAnsi="Times New Roman" w:cs="Times New Roman"/>
                <w:sz w:val="24"/>
                <w:szCs w:val="24"/>
                <w:lang w:val="" w:bidi="ar-SA"/>
              </w:rPr>
              <w:t>Macfarlane DJ, Chou KL, Cheng YH, Chi I. Validity and normative data for thirty-second chair stand test in elderly community-dwelling Hong Kong Chinese. </w:t>
            </w:r>
            <w:r w:rsidRPr="00A7202E">
              <w:rPr>
                <w:rFonts w:ascii="Times New Roman" w:eastAsia="Times New Roman" w:hAnsi="Times New Roman" w:cs="Times New Roman"/>
                <w:sz w:val="24"/>
                <w:szCs w:val="24"/>
                <w:lang w:val="" w:bidi="ar-SA"/>
              </w:rPr>
              <w:t>Am J Hum Biol</w:t>
            </w:r>
            <w:r w:rsidR="00735F49" w:rsidRPr="002A6A90">
              <w:rPr>
                <w:rFonts w:ascii="Times New Roman" w:eastAsia="Times New Roman" w:hAnsi="Times New Roman" w:cs="Times New Roman"/>
                <w:sz w:val="24"/>
                <w:szCs w:val="24"/>
                <w:lang w:val="" w:bidi="ar-SA"/>
              </w:rPr>
              <w:t>.</w:t>
            </w:r>
            <w:r w:rsidRPr="002A6A90">
              <w:rPr>
                <w:rFonts w:ascii="Times New Roman" w:eastAsia="Times New Roman" w:hAnsi="Times New Roman" w:cs="Times New Roman"/>
                <w:sz w:val="24"/>
                <w:szCs w:val="24"/>
                <w:lang w:val="" w:bidi="ar-SA"/>
              </w:rPr>
              <w:t> 2006;18:418–</w:t>
            </w:r>
            <w:r w:rsidRPr="00735F49">
              <w:rPr>
                <w:rFonts w:ascii="Times New Roman" w:eastAsia="Times New Roman" w:hAnsi="Times New Roman" w:cs="Times New Roman"/>
                <w:sz w:val="24"/>
                <w:szCs w:val="24"/>
                <w:lang w:val="" w:bidi="ar-SA"/>
              </w:rPr>
              <w:t>21. </w:t>
            </w:r>
          </w:p>
          <w:p w14:paraId="5BF92DF5" w14:textId="77777777" w:rsidR="009A251F" w:rsidRPr="009A251F" w:rsidRDefault="009A251F" w:rsidP="009A251F">
            <w:pPr>
              <w:spacing w:after="0" w:line="360" w:lineRule="auto"/>
              <w:rPr>
                <w:rFonts w:ascii="Times New Roman" w:eastAsia="Times New Roman" w:hAnsi="Times New Roman" w:cs="Times New Roman"/>
                <w:sz w:val="24"/>
                <w:szCs w:val="24"/>
                <w:lang w:val="" w:bidi="ar-SA"/>
              </w:rPr>
            </w:pPr>
          </w:p>
        </w:tc>
      </w:tr>
    </w:tbl>
    <w:p w14:paraId="404EA795" w14:textId="77777777" w:rsidR="00E87EE9" w:rsidRDefault="00E87EE9"/>
    <w:sectPr w:rsidR="00E87EE9" w:rsidSect="001E340B">
      <w:pgSz w:w="11906" w:h="16838"/>
      <w:pgMar w:top="1440" w:right="1440" w:bottom="1440" w:left="1440" w:header="2376" w:footer="23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1F"/>
    <w:rsid w:val="001E340B"/>
    <w:rsid w:val="002A6A90"/>
    <w:rsid w:val="00735F49"/>
    <w:rsid w:val="007F6997"/>
    <w:rsid w:val="009A251F"/>
    <w:rsid w:val="00A7202E"/>
    <w:rsid w:val="00A743D4"/>
    <w:rsid w:val="00E87EE9"/>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CCE9"/>
  <w15:chartTrackingRefBased/>
  <w15:docId w15:val="{F3C7A5B2-4DBA-4A9E-8965-C40EC308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7202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427</Words>
  <Characters>2434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6</cp:revision>
  <dcterms:created xsi:type="dcterms:W3CDTF">2023-02-01T07:05:00Z</dcterms:created>
  <dcterms:modified xsi:type="dcterms:W3CDTF">2023-10-25T10:34:00Z</dcterms:modified>
</cp:coreProperties>
</file>