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D0FB2" w14:textId="7929B580" w:rsidR="00225303" w:rsidRPr="00225303" w:rsidRDefault="00225303" w:rsidP="00225303">
      <w:pPr>
        <w:spacing w:after="0"/>
        <w:rPr>
          <w:rFonts w:ascii="Times New Roman" w:eastAsia="Times New Roman" w:hAnsi="Times New Roman" w:cs="Times New Roman"/>
          <w:b/>
          <w:bCs/>
          <w:kern w:val="0"/>
          <w:lang w:val="en"/>
          <w14:ligatures w14:val="none"/>
        </w:rPr>
      </w:pPr>
      <w:r w:rsidRPr="00225303">
        <w:rPr>
          <w:rFonts w:ascii="Times New Roman" w:eastAsia="Times New Roman" w:hAnsi="Times New Roman" w:cs="Times New Roman"/>
          <w:b/>
          <w:bCs/>
          <w:kern w:val="0"/>
          <w:lang w:val="en"/>
          <w14:ligatures w14:val="none"/>
        </w:rPr>
        <w:t xml:space="preserve">Supplementary Table  </w:t>
      </w:r>
      <w:r w:rsidRPr="00225303">
        <w:rPr>
          <w:rFonts w:ascii="Times New Roman" w:eastAsia="Times New Roman" w:hAnsi="Times New Roman" w:cs="Times New Roman"/>
          <w:b/>
          <w:bCs/>
          <w:kern w:val="0"/>
          <w:lang w:val="en"/>
          <w14:ligatures w14:val="none"/>
        </w:rPr>
        <w:fldChar w:fldCharType="begin"/>
      </w:r>
      <w:r w:rsidRPr="00225303">
        <w:rPr>
          <w:rFonts w:ascii="Times New Roman" w:eastAsia="Times New Roman" w:hAnsi="Times New Roman" w:cs="Times New Roman"/>
          <w:b/>
          <w:bCs/>
          <w:kern w:val="0"/>
          <w:lang w:val="en"/>
          <w14:ligatures w14:val="none"/>
        </w:rPr>
        <w:instrText xml:space="preserve"> SEQ Supplementary_Table_ \* ARABIC </w:instrText>
      </w:r>
      <w:r w:rsidRPr="00225303">
        <w:rPr>
          <w:rFonts w:ascii="Times New Roman" w:eastAsia="Times New Roman" w:hAnsi="Times New Roman" w:cs="Times New Roman"/>
          <w:b/>
          <w:bCs/>
          <w:kern w:val="0"/>
          <w:lang w:val="en"/>
          <w14:ligatures w14:val="none"/>
        </w:rPr>
        <w:fldChar w:fldCharType="separate"/>
      </w:r>
      <w:r>
        <w:rPr>
          <w:rFonts w:ascii="Times New Roman" w:eastAsia="Times New Roman" w:hAnsi="Times New Roman" w:cs="Times New Roman"/>
          <w:b/>
          <w:bCs/>
          <w:noProof/>
          <w:kern w:val="0"/>
          <w:lang w:val="en"/>
          <w14:ligatures w14:val="none"/>
        </w:rPr>
        <w:t>1</w:t>
      </w:r>
      <w:r w:rsidRPr="00225303">
        <w:rPr>
          <w:rFonts w:ascii="Times New Roman" w:eastAsia="Times New Roman" w:hAnsi="Times New Roman" w:cs="Times New Roman"/>
          <w:b/>
          <w:bCs/>
          <w:kern w:val="0"/>
          <w:lang w:val="en"/>
          <w14:ligatures w14:val="none"/>
        </w:rPr>
        <w:fldChar w:fldCharType="end"/>
      </w:r>
      <w:r>
        <w:rPr>
          <w:rFonts w:ascii="Times New Roman" w:eastAsia="Times New Roman" w:hAnsi="Times New Roman" w:cs="Times New Roman"/>
          <w:b/>
          <w:bCs/>
          <w:kern w:val="0"/>
          <w:lang w:val="en"/>
          <w14:ligatures w14:val="none"/>
        </w:rPr>
        <w:t>.</w:t>
      </w:r>
      <w:r w:rsidRPr="00225303">
        <w:rPr>
          <w:rFonts w:ascii="Times New Roman" w:eastAsia="Times New Roman" w:hAnsi="Times New Roman" w:cs="Times New Roman"/>
          <w:b/>
          <w:bCs/>
          <w:kern w:val="0"/>
          <w:lang w:val="en"/>
          <w14:ligatures w14:val="none"/>
        </w:rPr>
        <w:t xml:space="preserve"> </w:t>
      </w:r>
      <w:r w:rsidRPr="00225303">
        <w:rPr>
          <w:rFonts w:ascii="Times New Roman" w:eastAsia="Times New Roman" w:hAnsi="Times New Roman" w:cs="Times New Roman"/>
          <w:kern w:val="0"/>
          <w:lang w:val="en"/>
          <w14:ligatures w14:val="none"/>
        </w:rPr>
        <w:t>Keywords used to formulate the search strategy</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8"/>
        <w:gridCol w:w="3152"/>
        <w:gridCol w:w="1850"/>
      </w:tblGrid>
      <w:tr w:rsidR="00CD7F2C" w:rsidRPr="00543D85" w14:paraId="28509AFD" w14:textId="77777777" w:rsidTr="007D7CB4">
        <w:tc>
          <w:tcPr>
            <w:tcW w:w="2328" w:type="pct"/>
            <w:tcBorders>
              <w:top w:val="single" w:sz="4" w:space="0" w:color="auto"/>
              <w:bottom w:val="double" w:sz="4" w:space="0" w:color="auto"/>
            </w:tcBorders>
          </w:tcPr>
          <w:p w14:paraId="73713B3F" w14:textId="77777777" w:rsidR="00CD7F2C" w:rsidRPr="00543D85" w:rsidRDefault="00CD7F2C" w:rsidP="00170ED7">
            <w:pPr>
              <w:rPr>
                <w:rFonts w:asciiTheme="majorBidi" w:hAnsiTheme="majorBidi" w:cstheme="majorBidi"/>
                <w:b/>
                <w:bCs/>
                <w:sz w:val="20"/>
                <w:szCs w:val="20"/>
              </w:rPr>
            </w:pPr>
            <w:r w:rsidRPr="00543D85">
              <w:rPr>
                <w:rFonts w:asciiTheme="majorBidi" w:hAnsiTheme="majorBidi" w:cstheme="majorBidi"/>
                <w:b/>
                <w:bCs/>
                <w:sz w:val="20"/>
                <w:szCs w:val="20"/>
              </w:rPr>
              <w:t>COVID-19</w:t>
            </w:r>
          </w:p>
        </w:tc>
        <w:tc>
          <w:tcPr>
            <w:tcW w:w="1684" w:type="pct"/>
            <w:tcBorders>
              <w:top w:val="single" w:sz="4" w:space="0" w:color="auto"/>
              <w:bottom w:val="double" w:sz="4" w:space="0" w:color="auto"/>
            </w:tcBorders>
          </w:tcPr>
          <w:p w14:paraId="59FAD9CB" w14:textId="77777777" w:rsidR="00CD7F2C" w:rsidRPr="00543D85" w:rsidRDefault="00CD7F2C" w:rsidP="00170ED7">
            <w:pPr>
              <w:rPr>
                <w:rFonts w:asciiTheme="majorBidi" w:hAnsiTheme="majorBidi" w:cstheme="majorBidi"/>
                <w:b/>
                <w:bCs/>
                <w:sz w:val="20"/>
                <w:szCs w:val="20"/>
              </w:rPr>
            </w:pPr>
            <w:r w:rsidRPr="00543D85">
              <w:rPr>
                <w:rFonts w:asciiTheme="majorBidi" w:hAnsiTheme="majorBidi" w:cstheme="majorBidi"/>
                <w:b/>
                <w:bCs/>
                <w:sz w:val="20"/>
                <w:szCs w:val="20"/>
              </w:rPr>
              <w:t>Telehealth</w:t>
            </w:r>
          </w:p>
        </w:tc>
        <w:tc>
          <w:tcPr>
            <w:tcW w:w="988" w:type="pct"/>
            <w:tcBorders>
              <w:top w:val="single" w:sz="4" w:space="0" w:color="auto"/>
              <w:bottom w:val="double" w:sz="4" w:space="0" w:color="auto"/>
            </w:tcBorders>
          </w:tcPr>
          <w:p w14:paraId="07822EF8" w14:textId="77777777" w:rsidR="00CD7F2C" w:rsidRPr="00543D85" w:rsidRDefault="00CD7F2C" w:rsidP="00170ED7">
            <w:pPr>
              <w:rPr>
                <w:rFonts w:asciiTheme="majorBidi" w:hAnsiTheme="majorBidi" w:cstheme="majorBidi"/>
                <w:b/>
                <w:bCs/>
                <w:sz w:val="20"/>
                <w:szCs w:val="20"/>
              </w:rPr>
            </w:pPr>
            <w:r w:rsidRPr="00543D85">
              <w:rPr>
                <w:rFonts w:asciiTheme="majorBidi" w:hAnsiTheme="majorBidi" w:cstheme="majorBidi"/>
                <w:b/>
                <w:bCs/>
                <w:sz w:val="20"/>
                <w:szCs w:val="20"/>
              </w:rPr>
              <w:t>Evaluation</w:t>
            </w:r>
          </w:p>
        </w:tc>
      </w:tr>
      <w:tr w:rsidR="00CD7F2C" w:rsidRPr="00543D85" w14:paraId="1F402AD4" w14:textId="77777777" w:rsidTr="007D7CB4">
        <w:tc>
          <w:tcPr>
            <w:tcW w:w="2328" w:type="pct"/>
            <w:tcBorders>
              <w:top w:val="double" w:sz="4" w:space="0" w:color="auto"/>
            </w:tcBorders>
          </w:tcPr>
          <w:p w14:paraId="3756ACE9"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COVID 19</w:t>
            </w:r>
          </w:p>
          <w:p w14:paraId="133427AF"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2019-nCoV Infection</w:t>
            </w:r>
          </w:p>
          <w:p w14:paraId="52E33186"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2019 nCoV Infection</w:t>
            </w:r>
          </w:p>
          <w:p w14:paraId="70EFD06C"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2019-nCoV Infections</w:t>
            </w:r>
          </w:p>
          <w:p w14:paraId="3B1BAAE8"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Infection, 2019-nCoV</w:t>
            </w:r>
          </w:p>
          <w:p w14:paraId="2F7860DF"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SARS-CoV-2 Infection</w:t>
            </w:r>
          </w:p>
          <w:p w14:paraId="382915A4"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Infection, SARS-CoV-2</w:t>
            </w:r>
          </w:p>
          <w:p w14:paraId="1B300B1F"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SARS CoV 2 Infection</w:t>
            </w:r>
          </w:p>
          <w:p w14:paraId="1D27763C"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SARS-CoV-2 Infections</w:t>
            </w:r>
          </w:p>
          <w:p w14:paraId="0DEFAAB3"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2019 Novel Coronavirus Disease</w:t>
            </w:r>
          </w:p>
          <w:p w14:paraId="3E7452C5"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2019 Novel Coronavirus Infection</w:t>
            </w:r>
          </w:p>
          <w:p w14:paraId="0F981CD2"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COVID-19 Virus Infection</w:t>
            </w:r>
          </w:p>
          <w:p w14:paraId="5996622E"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COVID 19 Virus Infection</w:t>
            </w:r>
          </w:p>
          <w:p w14:paraId="794159E5"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COVID-19 Virus Infections</w:t>
            </w:r>
          </w:p>
          <w:p w14:paraId="5B22A891"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COVID19</w:t>
            </w:r>
          </w:p>
          <w:p w14:paraId="5BA99E9D"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Coronavirus Disease 2019</w:t>
            </w:r>
          </w:p>
          <w:p w14:paraId="1536C202"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Coronavirus Disease-19</w:t>
            </w:r>
          </w:p>
          <w:p w14:paraId="70BD7973"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Coronavirus Disease 19</w:t>
            </w:r>
          </w:p>
          <w:p w14:paraId="2FE92FDB"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Severe Acute Respiratory Syndrome Coronavirus 2 Infection</w:t>
            </w:r>
          </w:p>
          <w:p w14:paraId="1FDDC0CC"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COVID-19 Virus Disease</w:t>
            </w:r>
          </w:p>
          <w:p w14:paraId="193A1C97"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COVID 19 Virus Disease</w:t>
            </w:r>
          </w:p>
          <w:p w14:paraId="65679576"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COVID-19 Virus Diseases</w:t>
            </w:r>
          </w:p>
          <w:p w14:paraId="51DDAA15"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Disease, COVID-19 Virus</w:t>
            </w:r>
          </w:p>
          <w:p w14:paraId="3FD2B5C8"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SARS Coronavirus 2 Infection</w:t>
            </w:r>
          </w:p>
          <w:p w14:paraId="11947E72"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2019-nCoV Disease</w:t>
            </w:r>
          </w:p>
          <w:p w14:paraId="08C38527"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2019 nCoV Disease</w:t>
            </w:r>
          </w:p>
          <w:p w14:paraId="4FD7E350"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2019-nCoV Diseases</w:t>
            </w:r>
          </w:p>
          <w:p w14:paraId="28384C1B"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COVID-19 Pandemic</w:t>
            </w:r>
          </w:p>
          <w:p w14:paraId="12CC6BB2"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COVID 19 Pandemic</w:t>
            </w:r>
          </w:p>
          <w:p w14:paraId="474C54DE"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COVID-19 Pandemics</w:t>
            </w:r>
          </w:p>
        </w:tc>
        <w:tc>
          <w:tcPr>
            <w:tcW w:w="1684" w:type="pct"/>
            <w:tcBorders>
              <w:top w:val="double" w:sz="4" w:space="0" w:color="auto"/>
            </w:tcBorders>
          </w:tcPr>
          <w:p w14:paraId="5660B43F"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Mobile Health</w:t>
            </w:r>
          </w:p>
          <w:p w14:paraId="56EFA86E"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mHealth</w:t>
            </w:r>
          </w:p>
          <w:p w14:paraId="431D721B"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Telehealth</w:t>
            </w:r>
          </w:p>
          <w:p w14:paraId="5BAF5019"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eHealth</w:t>
            </w:r>
          </w:p>
          <w:p w14:paraId="6FA0A433"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Telemedicine</w:t>
            </w:r>
          </w:p>
          <w:p w14:paraId="00C81F8F"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Tele-Referral</w:t>
            </w:r>
          </w:p>
          <w:p w14:paraId="186F5B23"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Tele Referral</w:t>
            </w:r>
          </w:p>
          <w:p w14:paraId="03080B50"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Tele-Referrals</w:t>
            </w:r>
          </w:p>
          <w:p w14:paraId="66A6A083"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Virtual Medicine</w:t>
            </w:r>
          </w:p>
          <w:p w14:paraId="2168BCBD"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Tele-Intensive care</w:t>
            </w:r>
          </w:p>
          <w:p w14:paraId="4A1D6A1D"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Tele Intensive Care</w:t>
            </w:r>
          </w:p>
          <w:p w14:paraId="657CB100"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Tele-ICU</w:t>
            </w:r>
          </w:p>
          <w:p w14:paraId="7B9F3E5D"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Tele ICU</w:t>
            </w:r>
          </w:p>
          <w:p w14:paraId="27286F2C"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Mobile Application</w:t>
            </w:r>
          </w:p>
          <w:p w14:paraId="553DA85A"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Smartphone Application</w:t>
            </w:r>
          </w:p>
          <w:p w14:paraId="39705578"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App</w:t>
            </w:r>
          </w:p>
          <w:p w14:paraId="258BAF17"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Portable Software App</w:t>
            </w:r>
          </w:p>
          <w:p w14:paraId="7AC8DEAB"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Smartphone App</w:t>
            </w:r>
          </w:p>
          <w:p w14:paraId="071333BF"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Mobile app</w:t>
            </w:r>
          </w:p>
        </w:tc>
        <w:tc>
          <w:tcPr>
            <w:tcW w:w="988" w:type="pct"/>
            <w:tcBorders>
              <w:top w:val="double" w:sz="4" w:space="0" w:color="auto"/>
            </w:tcBorders>
          </w:tcPr>
          <w:p w14:paraId="06B4CFFA"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Evaluation</w:t>
            </w:r>
          </w:p>
          <w:p w14:paraId="619B5607" w14:textId="77777777" w:rsidR="00CD7F2C" w:rsidRPr="00543D85" w:rsidRDefault="00CD7F2C" w:rsidP="00170ED7">
            <w:pPr>
              <w:ind w:left="360"/>
              <w:rPr>
                <w:rFonts w:asciiTheme="majorBidi" w:hAnsiTheme="majorBidi" w:cstheme="majorBidi"/>
                <w:sz w:val="20"/>
                <w:szCs w:val="20"/>
              </w:rPr>
            </w:pPr>
            <w:r w:rsidRPr="00543D85">
              <w:rPr>
                <w:rFonts w:asciiTheme="majorBidi" w:hAnsiTheme="majorBidi" w:cstheme="majorBidi"/>
                <w:sz w:val="20"/>
                <w:szCs w:val="20"/>
              </w:rPr>
              <w:t>Assessment</w:t>
            </w:r>
          </w:p>
        </w:tc>
      </w:tr>
    </w:tbl>
    <w:p w14:paraId="7BB7CA26" w14:textId="77777777" w:rsidR="00CD7F2C" w:rsidRDefault="00CD7F2C"/>
    <w:p w14:paraId="29F66D8A" w14:textId="07B851F2" w:rsidR="00225303" w:rsidRPr="00225303" w:rsidRDefault="00225303" w:rsidP="00225303">
      <w:pPr>
        <w:pStyle w:val="Caption"/>
        <w:keepNext/>
        <w:spacing w:after="0"/>
        <w:rPr>
          <w:rFonts w:ascii="Times New Roman" w:eastAsia="Times New Roman" w:hAnsi="Times New Roman" w:cs="Times New Roman"/>
          <w:i w:val="0"/>
          <w:iCs w:val="0"/>
          <w:color w:val="auto"/>
          <w:kern w:val="0"/>
          <w:sz w:val="22"/>
          <w:szCs w:val="22"/>
          <w:highlight w:val="yellow"/>
          <w:lang w:val="en"/>
          <w14:ligatures w14:val="none"/>
        </w:rPr>
      </w:pPr>
      <w:r w:rsidRPr="00225303">
        <w:rPr>
          <w:rFonts w:ascii="Times New Roman" w:eastAsia="Times New Roman" w:hAnsi="Times New Roman" w:cs="Times New Roman"/>
          <w:b/>
          <w:bCs/>
          <w:i w:val="0"/>
          <w:iCs w:val="0"/>
          <w:color w:val="auto"/>
          <w:kern w:val="0"/>
          <w:sz w:val="22"/>
          <w:szCs w:val="22"/>
          <w:highlight w:val="yellow"/>
          <w:lang w:val="en"/>
          <w14:ligatures w14:val="none"/>
        </w:rPr>
        <w:t xml:space="preserve">Supplementary Table  </w:t>
      </w:r>
      <w:r w:rsidRPr="00225303">
        <w:rPr>
          <w:rFonts w:ascii="Times New Roman" w:eastAsia="Times New Roman" w:hAnsi="Times New Roman" w:cs="Times New Roman"/>
          <w:b/>
          <w:bCs/>
          <w:i w:val="0"/>
          <w:iCs w:val="0"/>
          <w:color w:val="auto"/>
          <w:kern w:val="0"/>
          <w:sz w:val="22"/>
          <w:szCs w:val="22"/>
          <w:highlight w:val="yellow"/>
          <w:lang w:val="en"/>
          <w14:ligatures w14:val="none"/>
        </w:rPr>
        <w:fldChar w:fldCharType="begin"/>
      </w:r>
      <w:r w:rsidRPr="00225303">
        <w:rPr>
          <w:rFonts w:ascii="Times New Roman" w:eastAsia="Times New Roman" w:hAnsi="Times New Roman" w:cs="Times New Roman"/>
          <w:b/>
          <w:bCs/>
          <w:i w:val="0"/>
          <w:iCs w:val="0"/>
          <w:color w:val="auto"/>
          <w:kern w:val="0"/>
          <w:sz w:val="22"/>
          <w:szCs w:val="22"/>
          <w:highlight w:val="yellow"/>
          <w:lang w:val="en"/>
          <w14:ligatures w14:val="none"/>
        </w:rPr>
        <w:instrText xml:space="preserve"> SEQ Supplementary_Table_ \* ARABIC </w:instrText>
      </w:r>
      <w:r w:rsidRPr="00225303">
        <w:rPr>
          <w:rFonts w:ascii="Times New Roman" w:eastAsia="Times New Roman" w:hAnsi="Times New Roman" w:cs="Times New Roman"/>
          <w:b/>
          <w:bCs/>
          <w:i w:val="0"/>
          <w:iCs w:val="0"/>
          <w:color w:val="auto"/>
          <w:kern w:val="0"/>
          <w:sz w:val="22"/>
          <w:szCs w:val="22"/>
          <w:highlight w:val="yellow"/>
          <w:lang w:val="en"/>
          <w14:ligatures w14:val="none"/>
        </w:rPr>
        <w:fldChar w:fldCharType="separate"/>
      </w:r>
      <w:r>
        <w:rPr>
          <w:rFonts w:ascii="Times New Roman" w:eastAsia="Times New Roman" w:hAnsi="Times New Roman" w:cs="Times New Roman"/>
          <w:b/>
          <w:bCs/>
          <w:i w:val="0"/>
          <w:iCs w:val="0"/>
          <w:noProof/>
          <w:color w:val="auto"/>
          <w:kern w:val="0"/>
          <w:sz w:val="22"/>
          <w:szCs w:val="22"/>
          <w:highlight w:val="yellow"/>
          <w:lang w:val="en"/>
          <w14:ligatures w14:val="none"/>
        </w:rPr>
        <w:t>2</w:t>
      </w:r>
      <w:r w:rsidRPr="00225303">
        <w:rPr>
          <w:rFonts w:ascii="Times New Roman" w:eastAsia="Times New Roman" w:hAnsi="Times New Roman" w:cs="Times New Roman"/>
          <w:b/>
          <w:bCs/>
          <w:i w:val="0"/>
          <w:iCs w:val="0"/>
          <w:color w:val="auto"/>
          <w:kern w:val="0"/>
          <w:sz w:val="22"/>
          <w:szCs w:val="22"/>
          <w:highlight w:val="yellow"/>
          <w:lang w:val="en"/>
          <w14:ligatures w14:val="none"/>
        </w:rPr>
        <w:fldChar w:fldCharType="end"/>
      </w:r>
      <w:r w:rsidRPr="00225303">
        <w:rPr>
          <w:rFonts w:asciiTheme="majorBidi" w:hAnsiTheme="majorBidi" w:cstheme="majorBidi"/>
          <w:b/>
          <w:bCs/>
        </w:rPr>
        <w:t>.</w:t>
      </w:r>
      <w:r>
        <w:t xml:space="preserve"> </w:t>
      </w:r>
      <w:r w:rsidRPr="00225303">
        <w:rPr>
          <w:rFonts w:ascii="Times New Roman" w:eastAsia="Times New Roman" w:hAnsi="Times New Roman" w:cs="Times New Roman"/>
          <w:i w:val="0"/>
          <w:iCs w:val="0"/>
          <w:color w:val="auto"/>
          <w:kern w:val="0"/>
          <w:sz w:val="22"/>
          <w:szCs w:val="22"/>
          <w:highlight w:val="yellow"/>
          <w:lang w:val="en"/>
          <w14:ligatures w14:val="none"/>
        </w:rPr>
        <w:t>Formulated search strategies.</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7"/>
        <w:gridCol w:w="2027"/>
        <w:gridCol w:w="5616"/>
      </w:tblGrid>
      <w:tr w:rsidR="00CD7F2C" w:rsidRPr="00E827C1" w14:paraId="31D5134E" w14:textId="77777777" w:rsidTr="007D7CB4">
        <w:tc>
          <w:tcPr>
            <w:tcW w:w="917" w:type="pct"/>
            <w:tcBorders>
              <w:top w:val="single" w:sz="4" w:space="0" w:color="auto"/>
              <w:bottom w:val="double" w:sz="4" w:space="0" w:color="auto"/>
            </w:tcBorders>
          </w:tcPr>
          <w:p w14:paraId="3F437307" w14:textId="77777777" w:rsidR="00CD7F2C" w:rsidRPr="00E827C1" w:rsidRDefault="00CD7F2C" w:rsidP="00170ED7">
            <w:pPr>
              <w:jc w:val="both"/>
              <w:rPr>
                <w:rFonts w:asciiTheme="majorBidi" w:eastAsia="Times New Roman" w:hAnsiTheme="majorBidi" w:cstheme="majorBidi"/>
                <w:b/>
                <w:bCs/>
                <w:sz w:val="20"/>
                <w:szCs w:val="20"/>
                <w:highlight w:val="yellow"/>
                <w:lang w:bidi="fa-IR"/>
              </w:rPr>
            </w:pPr>
            <w:r w:rsidRPr="00E827C1">
              <w:rPr>
                <w:rFonts w:asciiTheme="majorBidi" w:eastAsia="Times New Roman" w:hAnsiTheme="majorBidi" w:cstheme="majorBidi"/>
                <w:b/>
                <w:bCs/>
                <w:sz w:val="20"/>
                <w:szCs w:val="20"/>
                <w:highlight w:val="yellow"/>
                <w:lang w:bidi="fa-IR"/>
              </w:rPr>
              <w:t>Database</w:t>
            </w:r>
          </w:p>
        </w:tc>
        <w:tc>
          <w:tcPr>
            <w:tcW w:w="1083" w:type="pct"/>
            <w:tcBorders>
              <w:top w:val="single" w:sz="4" w:space="0" w:color="auto"/>
              <w:bottom w:val="double" w:sz="4" w:space="0" w:color="auto"/>
            </w:tcBorders>
          </w:tcPr>
          <w:p w14:paraId="19A0AA50" w14:textId="77777777" w:rsidR="00CD7F2C" w:rsidRPr="00E827C1" w:rsidRDefault="00CD7F2C" w:rsidP="009F616E">
            <w:pPr>
              <w:jc w:val="both"/>
              <w:rPr>
                <w:rFonts w:asciiTheme="majorBidi" w:hAnsiTheme="majorBidi" w:cstheme="majorBidi"/>
                <w:b/>
                <w:bCs/>
                <w:sz w:val="20"/>
                <w:szCs w:val="20"/>
                <w:highlight w:val="yellow"/>
              </w:rPr>
            </w:pPr>
            <w:r w:rsidRPr="00E827C1">
              <w:rPr>
                <w:rFonts w:asciiTheme="majorBidi" w:hAnsiTheme="majorBidi" w:cstheme="majorBidi"/>
                <w:b/>
                <w:bCs/>
                <w:sz w:val="20"/>
                <w:szCs w:val="20"/>
                <w:highlight w:val="yellow"/>
              </w:rPr>
              <w:t>Search Fields</w:t>
            </w:r>
          </w:p>
        </w:tc>
        <w:tc>
          <w:tcPr>
            <w:tcW w:w="3000" w:type="pct"/>
            <w:tcBorders>
              <w:top w:val="single" w:sz="4" w:space="0" w:color="auto"/>
              <w:bottom w:val="double" w:sz="4" w:space="0" w:color="auto"/>
            </w:tcBorders>
          </w:tcPr>
          <w:p w14:paraId="43B27F93" w14:textId="77777777" w:rsidR="00CD7F2C" w:rsidRPr="00E827C1" w:rsidRDefault="00CD7F2C" w:rsidP="00170ED7">
            <w:pPr>
              <w:jc w:val="both"/>
              <w:rPr>
                <w:rFonts w:asciiTheme="majorBidi" w:hAnsiTheme="majorBidi" w:cstheme="majorBidi"/>
                <w:b/>
                <w:bCs/>
                <w:sz w:val="20"/>
                <w:szCs w:val="20"/>
                <w:highlight w:val="yellow"/>
              </w:rPr>
            </w:pPr>
            <w:r w:rsidRPr="00E827C1">
              <w:rPr>
                <w:rFonts w:asciiTheme="majorBidi" w:hAnsiTheme="majorBidi" w:cstheme="majorBidi"/>
                <w:b/>
                <w:bCs/>
                <w:sz w:val="20"/>
                <w:szCs w:val="20"/>
                <w:highlight w:val="yellow"/>
              </w:rPr>
              <w:t>Search Strategy</w:t>
            </w:r>
          </w:p>
        </w:tc>
      </w:tr>
      <w:tr w:rsidR="00CD7F2C" w:rsidRPr="00E827C1" w14:paraId="2EFAD07C" w14:textId="77777777" w:rsidTr="007D7CB4">
        <w:trPr>
          <w:cantSplit/>
          <w:trHeight w:val="303"/>
        </w:trPr>
        <w:tc>
          <w:tcPr>
            <w:tcW w:w="917" w:type="pct"/>
            <w:tcBorders>
              <w:top w:val="double" w:sz="4" w:space="0" w:color="auto"/>
              <w:bottom w:val="single" w:sz="4" w:space="0" w:color="auto"/>
            </w:tcBorders>
            <w:vAlign w:val="center"/>
          </w:tcPr>
          <w:p w14:paraId="56525633" w14:textId="77777777" w:rsidR="00CD7F2C" w:rsidRPr="00E827C1" w:rsidRDefault="00CD7F2C" w:rsidP="009F616E">
            <w:pPr>
              <w:rPr>
                <w:rFonts w:asciiTheme="majorBidi" w:eastAsia="Times New Roman" w:hAnsiTheme="majorBidi" w:cstheme="majorBidi"/>
                <w:sz w:val="20"/>
                <w:szCs w:val="20"/>
                <w:highlight w:val="yellow"/>
                <w:lang w:bidi="fa-IR"/>
              </w:rPr>
            </w:pPr>
            <w:r w:rsidRPr="00E827C1">
              <w:rPr>
                <w:rFonts w:asciiTheme="majorBidi" w:eastAsia="Times New Roman" w:hAnsiTheme="majorBidi" w:cstheme="majorBidi"/>
                <w:sz w:val="20"/>
                <w:szCs w:val="20"/>
                <w:highlight w:val="yellow"/>
                <w:lang w:bidi="fa-IR"/>
              </w:rPr>
              <w:t>Scopus</w:t>
            </w:r>
          </w:p>
        </w:tc>
        <w:tc>
          <w:tcPr>
            <w:tcW w:w="1083" w:type="pct"/>
            <w:tcBorders>
              <w:top w:val="double" w:sz="4" w:space="0" w:color="auto"/>
              <w:bottom w:val="single" w:sz="4" w:space="0" w:color="auto"/>
            </w:tcBorders>
          </w:tcPr>
          <w:p w14:paraId="2FC1CB94" w14:textId="77777777" w:rsidR="00CD7F2C" w:rsidRPr="00E827C1" w:rsidRDefault="00CD7F2C" w:rsidP="009F616E">
            <w:pPr>
              <w:jc w:val="both"/>
              <w:rPr>
                <w:rFonts w:asciiTheme="majorBidi" w:hAnsiTheme="majorBidi" w:cstheme="majorBidi"/>
                <w:sz w:val="20"/>
                <w:szCs w:val="20"/>
                <w:highlight w:val="yellow"/>
              </w:rPr>
            </w:pPr>
            <w:r w:rsidRPr="00E827C1">
              <w:rPr>
                <w:rFonts w:asciiTheme="majorBidi" w:hAnsiTheme="majorBidi" w:cstheme="majorBidi"/>
                <w:sz w:val="20"/>
                <w:szCs w:val="20"/>
                <w:highlight w:val="yellow"/>
              </w:rPr>
              <w:t>TITLE-ABS-KEY</w:t>
            </w:r>
          </w:p>
        </w:tc>
        <w:tc>
          <w:tcPr>
            <w:tcW w:w="3000" w:type="pct"/>
            <w:vMerge w:val="restart"/>
            <w:tcBorders>
              <w:top w:val="double" w:sz="4" w:space="0" w:color="auto"/>
            </w:tcBorders>
            <w:vAlign w:val="center"/>
          </w:tcPr>
          <w:p w14:paraId="38ABB991" w14:textId="77777777" w:rsidR="00CD7F2C" w:rsidRPr="00E827C1" w:rsidRDefault="00CD7F2C" w:rsidP="009F616E">
            <w:pPr>
              <w:rPr>
                <w:rFonts w:asciiTheme="majorBidi" w:hAnsiTheme="majorBidi" w:cstheme="majorBidi"/>
                <w:sz w:val="20"/>
                <w:szCs w:val="20"/>
                <w:highlight w:val="yellow"/>
              </w:rPr>
            </w:pPr>
            <w:r w:rsidRPr="00E827C1">
              <w:rPr>
                <w:rFonts w:asciiTheme="majorBidi" w:hAnsiTheme="majorBidi" w:cstheme="majorBidi"/>
                <w:sz w:val="20"/>
                <w:szCs w:val="20"/>
                <w:highlight w:val="yellow"/>
              </w:rPr>
              <w:t xml:space="preserve">(All COVID-19 terms combined with </w:t>
            </w:r>
            <w:r w:rsidRPr="00E827C1">
              <w:rPr>
                <w:rFonts w:asciiTheme="majorBidi" w:hAnsiTheme="majorBidi" w:cstheme="majorBidi"/>
                <w:b/>
                <w:bCs/>
                <w:sz w:val="20"/>
                <w:szCs w:val="20"/>
                <w:highlight w:val="yellow"/>
              </w:rPr>
              <w:t>OR</w:t>
            </w:r>
            <w:r w:rsidRPr="00E827C1">
              <w:rPr>
                <w:rFonts w:asciiTheme="majorBidi" w:hAnsiTheme="majorBidi" w:cstheme="majorBidi"/>
                <w:sz w:val="20"/>
                <w:szCs w:val="20"/>
                <w:highlight w:val="yellow"/>
              </w:rPr>
              <w:t xml:space="preserve">) AND (“All Telehealth terms combined with </w:t>
            </w:r>
            <w:r w:rsidRPr="00E827C1">
              <w:rPr>
                <w:rFonts w:asciiTheme="majorBidi" w:hAnsiTheme="majorBidi" w:cstheme="majorBidi"/>
                <w:b/>
                <w:bCs/>
                <w:sz w:val="20"/>
                <w:szCs w:val="20"/>
                <w:highlight w:val="yellow"/>
              </w:rPr>
              <w:t>OR</w:t>
            </w:r>
            <w:r w:rsidRPr="00E827C1">
              <w:rPr>
                <w:rFonts w:asciiTheme="majorBidi" w:hAnsiTheme="majorBidi" w:cstheme="majorBidi"/>
                <w:sz w:val="20"/>
                <w:szCs w:val="20"/>
                <w:highlight w:val="yellow"/>
              </w:rPr>
              <w:t xml:space="preserve">) AND (All Evaluation terms combined with </w:t>
            </w:r>
            <w:r w:rsidRPr="00E827C1">
              <w:rPr>
                <w:rFonts w:asciiTheme="majorBidi" w:hAnsiTheme="majorBidi" w:cstheme="majorBidi"/>
                <w:b/>
                <w:bCs/>
                <w:sz w:val="20"/>
                <w:szCs w:val="20"/>
                <w:highlight w:val="yellow"/>
              </w:rPr>
              <w:t>OR</w:t>
            </w:r>
            <w:r w:rsidRPr="00E827C1">
              <w:rPr>
                <w:rFonts w:asciiTheme="majorBidi" w:hAnsiTheme="majorBidi" w:cstheme="majorBidi"/>
                <w:sz w:val="20"/>
                <w:szCs w:val="20"/>
                <w:highlight w:val="yellow"/>
              </w:rPr>
              <w:t>)</w:t>
            </w:r>
          </w:p>
        </w:tc>
      </w:tr>
      <w:tr w:rsidR="00CD7F2C" w:rsidRPr="00E827C1" w14:paraId="1D152CC8" w14:textId="77777777" w:rsidTr="007D7CB4">
        <w:trPr>
          <w:cantSplit/>
          <w:trHeight w:val="341"/>
        </w:trPr>
        <w:tc>
          <w:tcPr>
            <w:tcW w:w="917" w:type="pct"/>
            <w:tcBorders>
              <w:top w:val="single" w:sz="4" w:space="0" w:color="auto"/>
              <w:bottom w:val="single" w:sz="4" w:space="0" w:color="auto"/>
            </w:tcBorders>
            <w:vAlign w:val="center"/>
          </w:tcPr>
          <w:p w14:paraId="671CF298" w14:textId="77777777" w:rsidR="00CD7F2C" w:rsidRPr="00E827C1" w:rsidRDefault="00CD7F2C" w:rsidP="009F616E">
            <w:pPr>
              <w:rPr>
                <w:rFonts w:asciiTheme="majorBidi" w:eastAsia="Times New Roman" w:hAnsiTheme="majorBidi" w:cstheme="majorBidi"/>
                <w:sz w:val="20"/>
                <w:szCs w:val="20"/>
                <w:highlight w:val="yellow"/>
                <w:lang w:bidi="fa-IR"/>
              </w:rPr>
            </w:pPr>
            <w:r w:rsidRPr="00E827C1">
              <w:rPr>
                <w:rFonts w:asciiTheme="majorBidi" w:eastAsia="Times New Roman" w:hAnsiTheme="majorBidi" w:cstheme="majorBidi"/>
                <w:sz w:val="20"/>
                <w:szCs w:val="20"/>
                <w:highlight w:val="yellow"/>
                <w:lang w:bidi="fa-IR"/>
              </w:rPr>
              <w:t>PubMed</w:t>
            </w:r>
          </w:p>
        </w:tc>
        <w:tc>
          <w:tcPr>
            <w:tcW w:w="1083" w:type="pct"/>
            <w:tcBorders>
              <w:top w:val="single" w:sz="4" w:space="0" w:color="auto"/>
              <w:bottom w:val="single" w:sz="4" w:space="0" w:color="auto"/>
            </w:tcBorders>
          </w:tcPr>
          <w:p w14:paraId="5C93B158" w14:textId="77777777" w:rsidR="00CD7F2C" w:rsidRPr="00E827C1" w:rsidRDefault="00CD7F2C" w:rsidP="009F616E">
            <w:pPr>
              <w:jc w:val="both"/>
              <w:rPr>
                <w:rFonts w:asciiTheme="majorBidi" w:hAnsiTheme="majorBidi" w:cstheme="majorBidi"/>
                <w:sz w:val="20"/>
                <w:szCs w:val="20"/>
                <w:highlight w:val="yellow"/>
              </w:rPr>
            </w:pPr>
            <w:r w:rsidRPr="00E827C1">
              <w:rPr>
                <w:rFonts w:asciiTheme="majorBidi" w:hAnsiTheme="majorBidi" w:cstheme="majorBidi"/>
                <w:sz w:val="20"/>
                <w:szCs w:val="20"/>
                <w:highlight w:val="yellow"/>
              </w:rPr>
              <w:t>Title/Abstract</w:t>
            </w:r>
          </w:p>
        </w:tc>
        <w:tc>
          <w:tcPr>
            <w:tcW w:w="3000" w:type="pct"/>
            <w:vMerge/>
          </w:tcPr>
          <w:p w14:paraId="29076E0A" w14:textId="77777777" w:rsidR="00CD7F2C" w:rsidRPr="00E827C1" w:rsidRDefault="00CD7F2C" w:rsidP="009F616E">
            <w:pPr>
              <w:jc w:val="both"/>
              <w:rPr>
                <w:rFonts w:asciiTheme="majorBidi" w:eastAsia="Times New Roman" w:hAnsiTheme="majorBidi" w:cstheme="majorBidi"/>
                <w:sz w:val="20"/>
                <w:szCs w:val="20"/>
                <w:highlight w:val="yellow"/>
                <w:lang w:bidi="fa-IR"/>
              </w:rPr>
            </w:pPr>
          </w:p>
        </w:tc>
      </w:tr>
      <w:tr w:rsidR="00CD7F2C" w:rsidRPr="00E91D18" w14:paraId="786E5BA3" w14:textId="77777777" w:rsidTr="007D7CB4">
        <w:trPr>
          <w:cantSplit/>
          <w:trHeight w:val="269"/>
        </w:trPr>
        <w:tc>
          <w:tcPr>
            <w:tcW w:w="917" w:type="pct"/>
            <w:tcBorders>
              <w:top w:val="single" w:sz="4" w:space="0" w:color="auto"/>
            </w:tcBorders>
            <w:vAlign w:val="center"/>
          </w:tcPr>
          <w:p w14:paraId="5063C282" w14:textId="77777777" w:rsidR="00CD7F2C" w:rsidRPr="00E827C1" w:rsidRDefault="00CD7F2C" w:rsidP="009F616E">
            <w:pPr>
              <w:rPr>
                <w:rFonts w:asciiTheme="majorBidi" w:eastAsia="Times New Roman" w:hAnsiTheme="majorBidi" w:cstheme="majorBidi"/>
                <w:sz w:val="20"/>
                <w:szCs w:val="20"/>
                <w:highlight w:val="yellow"/>
                <w:lang w:bidi="fa-IR"/>
              </w:rPr>
            </w:pPr>
            <w:r w:rsidRPr="00E827C1">
              <w:rPr>
                <w:rFonts w:asciiTheme="majorBidi" w:eastAsia="Times New Roman" w:hAnsiTheme="majorBidi" w:cstheme="majorBidi"/>
                <w:sz w:val="20"/>
                <w:szCs w:val="20"/>
                <w:highlight w:val="yellow"/>
                <w:lang w:bidi="fa-IR"/>
              </w:rPr>
              <w:t>Web of Sciences</w:t>
            </w:r>
          </w:p>
        </w:tc>
        <w:tc>
          <w:tcPr>
            <w:tcW w:w="1083" w:type="pct"/>
            <w:tcBorders>
              <w:top w:val="single" w:sz="4" w:space="0" w:color="auto"/>
            </w:tcBorders>
          </w:tcPr>
          <w:p w14:paraId="1E29C481" w14:textId="77777777" w:rsidR="00CD7F2C" w:rsidRDefault="00CD7F2C" w:rsidP="009F616E">
            <w:pPr>
              <w:jc w:val="both"/>
              <w:rPr>
                <w:rFonts w:asciiTheme="majorBidi" w:eastAsia="Times New Roman" w:hAnsiTheme="majorBidi" w:cstheme="majorBidi"/>
                <w:color w:val="000000"/>
                <w:sz w:val="20"/>
                <w:szCs w:val="20"/>
                <w:rtl/>
                <w:lang w:bidi="fa-IR"/>
              </w:rPr>
            </w:pPr>
            <w:r w:rsidRPr="00E827C1">
              <w:rPr>
                <w:rFonts w:asciiTheme="majorBidi" w:eastAsia="Times New Roman" w:hAnsiTheme="majorBidi" w:cstheme="majorBidi"/>
                <w:color w:val="000000"/>
                <w:sz w:val="20"/>
                <w:szCs w:val="20"/>
                <w:highlight w:val="yellow"/>
              </w:rPr>
              <w:t>TS (Topic Search)</w:t>
            </w:r>
          </w:p>
        </w:tc>
        <w:tc>
          <w:tcPr>
            <w:tcW w:w="3000" w:type="pct"/>
            <w:vMerge/>
            <w:tcBorders>
              <w:bottom w:val="single" w:sz="4" w:space="0" w:color="auto"/>
            </w:tcBorders>
          </w:tcPr>
          <w:p w14:paraId="43644315" w14:textId="77777777" w:rsidR="00CD7F2C" w:rsidRPr="00E91D18" w:rsidRDefault="00CD7F2C" w:rsidP="009F616E">
            <w:pPr>
              <w:jc w:val="both"/>
              <w:rPr>
                <w:rFonts w:asciiTheme="majorBidi" w:eastAsia="Times New Roman" w:hAnsiTheme="majorBidi" w:cstheme="majorBidi"/>
                <w:color w:val="000000"/>
                <w:sz w:val="20"/>
                <w:szCs w:val="20"/>
                <w:rtl/>
                <w:lang w:bidi="fa-IR"/>
              </w:rPr>
            </w:pPr>
          </w:p>
        </w:tc>
      </w:tr>
    </w:tbl>
    <w:p w14:paraId="3CBE6258" w14:textId="77777777" w:rsidR="00CD7F2C" w:rsidRDefault="00CD7F2C" w:rsidP="00EE4C0F">
      <w:pPr>
        <w:pStyle w:val="EndNoteBibliography"/>
        <w:spacing w:before="240" w:after="0"/>
        <w:rPr>
          <w:lang w:bidi="fa-IR"/>
        </w:rPr>
      </w:pPr>
    </w:p>
    <w:p w14:paraId="6ECF939F" w14:textId="77777777" w:rsidR="00CD7F2C" w:rsidRDefault="00CD7F2C" w:rsidP="00EE4C0F">
      <w:pPr>
        <w:pStyle w:val="EndNoteBibliography"/>
        <w:spacing w:before="240" w:after="0"/>
        <w:rPr>
          <w:lang w:bidi="fa-IR"/>
        </w:rPr>
        <w:sectPr w:rsidR="00CD7F2C" w:rsidSect="00CD7F2C">
          <w:pgSz w:w="12240" w:h="15840"/>
          <w:pgMar w:top="1440" w:right="1440" w:bottom="1440" w:left="1440" w:header="720" w:footer="720" w:gutter="0"/>
          <w:cols w:space="720"/>
          <w:docGrid w:linePitch="360"/>
        </w:sectPr>
      </w:pPr>
    </w:p>
    <w:p w14:paraId="6E1C96D0" w14:textId="1578C55E" w:rsidR="00225303" w:rsidRPr="00225303" w:rsidRDefault="00225303" w:rsidP="00225303">
      <w:pPr>
        <w:pStyle w:val="Caption"/>
        <w:keepNext/>
        <w:spacing w:after="0"/>
        <w:rPr>
          <w:rFonts w:asciiTheme="majorBidi" w:hAnsiTheme="majorBidi" w:cstheme="majorBidi"/>
          <w:i w:val="0"/>
          <w:iCs w:val="0"/>
          <w:color w:val="auto"/>
          <w:sz w:val="20"/>
          <w:szCs w:val="20"/>
        </w:rPr>
      </w:pPr>
      <w:r w:rsidRPr="00225303">
        <w:rPr>
          <w:rFonts w:ascii="Times New Roman" w:eastAsia="Times New Roman" w:hAnsi="Times New Roman" w:cs="Times New Roman"/>
          <w:b/>
          <w:bCs/>
          <w:i w:val="0"/>
          <w:iCs w:val="0"/>
          <w:color w:val="auto"/>
          <w:kern w:val="0"/>
          <w:sz w:val="22"/>
          <w:szCs w:val="22"/>
          <w:lang w:val="en"/>
          <w14:ligatures w14:val="none"/>
        </w:rPr>
        <w:lastRenderedPageBreak/>
        <w:t xml:space="preserve">Supplementary Table  </w:t>
      </w:r>
      <w:r w:rsidRPr="00225303">
        <w:rPr>
          <w:rFonts w:ascii="Times New Roman" w:eastAsia="Times New Roman" w:hAnsi="Times New Roman" w:cs="Times New Roman"/>
          <w:b/>
          <w:bCs/>
          <w:i w:val="0"/>
          <w:iCs w:val="0"/>
          <w:color w:val="auto"/>
          <w:kern w:val="0"/>
          <w:sz w:val="22"/>
          <w:szCs w:val="22"/>
          <w:lang w:val="en"/>
          <w14:ligatures w14:val="none"/>
        </w:rPr>
        <w:fldChar w:fldCharType="begin"/>
      </w:r>
      <w:r w:rsidRPr="00225303">
        <w:rPr>
          <w:rFonts w:ascii="Times New Roman" w:eastAsia="Times New Roman" w:hAnsi="Times New Roman" w:cs="Times New Roman"/>
          <w:b/>
          <w:bCs/>
          <w:i w:val="0"/>
          <w:iCs w:val="0"/>
          <w:color w:val="auto"/>
          <w:kern w:val="0"/>
          <w:sz w:val="22"/>
          <w:szCs w:val="22"/>
          <w:lang w:val="en"/>
          <w14:ligatures w14:val="none"/>
        </w:rPr>
        <w:instrText xml:space="preserve"> SEQ Supplementary_Table_ \* ARABIC </w:instrText>
      </w:r>
      <w:r w:rsidRPr="00225303">
        <w:rPr>
          <w:rFonts w:ascii="Times New Roman" w:eastAsia="Times New Roman" w:hAnsi="Times New Roman" w:cs="Times New Roman"/>
          <w:b/>
          <w:bCs/>
          <w:i w:val="0"/>
          <w:iCs w:val="0"/>
          <w:color w:val="auto"/>
          <w:kern w:val="0"/>
          <w:sz w:val="22"/>
          <w:szCs w:val="22"/>
          <w:lang w:val="en"/>
          <w14:ligatures w14:val="none"/>
        </w:rPr>
        <w:fldChar w:fldCharType="separate"/>
      </w:r>
      <w:r w:rsidRPr="00225303">
        <w:rPr>
          <w:rFonts w:ascii="Times New Roman" w:eastAsia="Times New Roman" w:hAnsi="Times New Roman" w:cs="Times New Roman"/>
          <w:b/>
          <w:bCs/>
          <w:i w:val="0"/>
          <w:iCs w:val="0"/>
          <w:color w:val="auto"/>
          <w:kern w:val="0"/>
          <w:sz w:val="22"/>
          <w:szCs w:val="22"/>
          <w:lang w:val="en"/>
          <w14:ligatures w14:val="none"/>
        </w:rPr>
        <w:t>3</w:t>
      </w:r>
      <w:r w:rsidRPr="00225303">
        <w:rPr>
          <w:rFonts w:ascii="Times New Roman" w:eastAsia="Times New Roman" w:hAnsi="Times New Roman" w:cs="Times New Roman"/>
          <w:b/>
          <w:bCs/>
          <w:i w:val="0"/>
          <w:iCs w:val="0"/>
          <w:color w:val="auto"/>
          <w:kern w:val="0"/>
          <w:sz w:val="22"/>
          <w:szCs w:val="22"/>
          <w:lang w:val="en"/>
          <w14:ligatures w14:val="none"/>
        </w:rPr>
        <w:fldChar w:fldCharType="end"/>
      </w:r>
      <w:r w:rsidRPr="00225303">
        <w:rPr>
          <w:rFonts w:asciiTheme="majorBidi" w:hAnsiTheme="majorBidi" w:cstheme="majorBidi"/>
          <w:b/>
          <w:bCs/>
          <w:i w:val="0"/>
          <w:iCs w:val="0"/>
          <w:color w:val="auto"/>
          <w:sz w:val="20"/>
          <w:szCs w:val="20"/>
        </w:rPr>
        <w:t>.</w:t>
      </w:r>
      <w:r w:rsidRPr="00225303">
        <w:rPr>
          <w:rFonts w:asciiTheme="majorBidi" w:hAnsiTheme="majorBidi" w:cstheme="majorBidi"/>
          <w:i w:val="0"/>
          <w:iCs w:val="0"/>
          <w:color w:val="auto"/>
          <w:sz w:val="20"/>
          <w:szCs w:val="20"/>
        </w:rPr>
        <w:t xml:space="preserve"> Detailed information about telehealth systems used in</w:t>
      </w:r>
      <w:r w:rsidRPr="009C0C4D">
        <w:rPr>
          <w:rFonts w:asciiTheme="majorBidi" w:hAnsiTheme="majorBidi" w:cstheme="majorBidi"/>
          <w:sz w:val="20"/>
          <w:szCs w:val="20"/>
        </w:rPr>
        <w:t xml:space="preserve"> </w:t>
      </w:r>
      <w:r w:rsidRPr="00225303">
        <w:rPr>
          <w:rFonts w:asciiTheme="majorBidi" w:hAnsiTheme="majorBidi" w:cstheme="majorBidi"/>
          <w:i w:val="0"/>
          <w:iCs w:val="0"/>
          <w:color w:val="auto"/>
          <w:sz w:val="20"/>
          <w:szCs w:val="20"/>
        </w:rPr>
        <w:t>COVID-19</w:t>
      </w:r>
      <w:r w:rsidR="00C16B23">
        <w:rPr>
          <w:rFonts w:asciiTheme="majorBidi" w:hAnsiTheme="majorBidi" w:cstheme="majorBidi"/>
          <w:i w:val="0"/>
          <w:iCs w:val="0"/>
          <w:color w:val="auto"/>
          <w:sz w:val="20"/>
          <w:szCs w:val="20"/>
        </w:rPr>
        <w:t>.</w:t>
      </w:r>
    </w:p>
    <w:tbl>
      <w:tblPr>
        <w:tblStyle w:val="GridTable1Light"/>
        <w:tblW w:w="5000" w:type="pct"/>
        <w:jc w:val="center"/>
        <w:tblLayout w:type="fixed"/>
        <w:tblLook w:val="04A0" w:firstRow="1" w:lastRow="0" w:firstColumn="1" w:lastColumn="0" w:noHBand="0" w:noVBand="1"/>
      </w:tblPr>
      <w:tblGrid>
        <w:gridCol w:w="807"/>
        <w:gridCol w:w="654"/>
        <w:gridCol w:w="846"/>
        <w:gridCol w:w="932"/>
        <w:gridCol w:w="1531"/>
        <w:gridCol w:w="990"/>
        <w:gridCol w:w="1168"/>
        <w:gridCol w:w="1171"/>
        <w:gridCol w:w="990"/>
        <w:gridCol w:w="990"/>
        <w:gridCol w:w="990"/>
        <w:gridCol w:w="987"/>
        <w:gridCol w:w="1025"/>
        <w:gridCol w:w="1309"/>
      </w:tblGrid>
      <w:tr w:rsidR="00DD596E" w:rsidRPr="009C0C4D" w14:paraId="4CDB7C75" w14:textId="77777777" w:rsidTr="00B44AC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0" w:type="pct"/>
            <w:vAlign w:val="center"/>
          </w:tcPr>
          <w:p w14:paraId="59D3A52B" w14:textId="77777777" w:rsidR="0020220A" w:rsidRPr="009C0C4D" w:rsidRDefault="0020220A" w:rsidP="007A5B7D">
            <w:pPr>
              <w:jc w:val="center"/>
              <w:rPr>
                <w:rFonts w:asciiTheme="majorBidi" w:hAnsiTheme="majorBidi" w:cstheme="majorBidi"/>
                <w:sz w:val="16"/>
                <w:szCs w:val="16"/>
              </w:rPr>
            </w:pPr>
            <w:bookmarkStart w:id="0" w:name="_Hlk202778645"/>
            <w:r>
              <w:rPr>
                <w:rFonts w:asciiTheme="majorBidi" w:hAnsiTheme="majorBidi" w:cstheme="majorBidi"/>
                <w:sz w:val="16"/>
                <w:szCs w:val="16"/>
              </w:rPr>
              <w:t>Authers</w:t>
            </w:r>
          </w:p>
        </w:tc>
        <w:tc>
          <w:tcPr>
            <w:tcW w:w="227" w:type="pct"/>
            <w:vAlign w:val="center"/>
          </w:tcPr>
          <w:p w14:paraId="27743A97" w14:textId="77777777" w:rsidR="0020220A" w:rsidRPr="009C0C4D" w:rsidRDefault="0020220A" w:rsidP="007A5B7D">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Year</w:t>
            </w:r>
          </w:p>
        </w:tc>
        <w:tc>
          <w:tcPr>
            <w:tcW w:w="294" w:type="pct"/>
            <w:vAlign w:val="center"/>
          </w:tcPr>
          <w:p w14:paraId="30F86FC6" w14:textId="77777777" w:rsidR="0020220A" w:rsidRPr="009C0C4D" w:rsidRDefault="0020220A" w:rsidP="007A5B7D">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Country</w:t>
            </w:r>
          </w:p>
        </w:tc>
        <w:tc>
          <w:tcPr>
            <w:tcW w:w="324" w:type="pct"/>
            <w:vAlign w:val="center"/>
          </w:tcPr>
          <w:p w14:paraId="40E82DE8" w14:textId="0E078F50" w:rsidR="0020220A" w:rsidRPr="005A167C" w:rsidRDefault="001C3D37" w:rsidP="00C85B9A">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5A167C">
              <w:rPr>
                <w:rFonts w:asciiTheme="majorBidi" w:hAnsiTheme="majorBidi" w:cstheme="majorBidi"/>
                <w:sz w:val="16"/>
                <w:szCs w:val="16"/>
                <w:highlight w:val="yellow"/>
              </w:rPr>
              <w:t>Evidence</w:t>
            </w:r>
            <w:r w:rsidR="00C85B9A" w:rsidRPr="005A167C">
              <w:rPr>
                <w:rFonts w:asciiTheme="majorBidi" w:hAnsiTheme="majorBidi" w:cstheme="majorBidi"/>
                <w:sz w:val="16"/>
                <w:szCs w:val="16"/>
                <w:highlight w:val="yellow"/>
              </w:rPr>
              <w:t xml:space="preserve"> Level</w:t>
            </w:r>
            <w:r w:rsidR="007A5B7D" w:rsidRPr="005A167C">
              <w:rPr>
                <w:rFonts w:asciiTheme="majorBidi" w:hAnsiTheme="majorBidi" w:cstheme="majorBidi"/>
                <w:sz w:val="16"/>
                <w:szCs w:val="16"/>
                <w:highlight w:val="yellow"/>
              </w:rPr>
              <w:t xml:space="preserve"> / Risk Level</w:t>
            </w:r>
          </w:p>
        </w:tc>
        <w:tc>
          <w:tcPr>
            <w:tcW w:w="532" w:type="pct"/>
            <w:vAlign w:val="center"/>
          </w:tcPr>
          <w:p w14:paraId="45E4CC41" w14:textId="2997D58C" w:rsidR="0020220A" w:rsidRPr="009C0C4D" w:rsidRDefault="0020220A" w:rsidP="007A5B7D">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Objective</w:t>
            </w:r>
          </w:p>
        </w:tc>
        <w:tc>
          <w:tcPr>
            <w:tcW w:w="344" w:type="pct"/>
            <w:vAlign w:val="center"/>
          </w:tcPr>
          <w:p w14:paraId="757CC4D5" w14:textId="77777777" w:rsidR="0020220A" w:rsidRPr="009C0C4D" w:rsidRDefault="0020220A" w:rsidP="007A5B7D">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System Name</w:t>
            </w:r>
          </w:p>
        </w:tc>
        <w:tc>
          <w:tcPr>
            <w:tcW w:w="406" w:type="pct"/>
            <w:vAlign w:val="center"/>
          </w:tcPr>
          <w:p w14:paraId="4E981CCF" w14:textId="77777777" w:rsidR="0020220A" w:rsidRPr="009C0C4D" w:rsidRDefault="0020220A" w:rsidP="007A5B7D">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rtl/>
                <w:lang w:bidi="fa-IR"/>
              </w:rPr>
            </w:pPr>
            <w:r w:rsidRPr="009C0C4D">
              <w:rPr>
                <w:rFonts w:asciiTheme="majorBidi" w:hAnsiTheme="majorBidi" w:cstheme="majorBidi"/>
                <w:sz w:val="16"/>
                <w:szCs w:val="16"/>
                <w:lang w:bidi="fa-IR"/>
              </w:rPr>
              <w:t>Evaluation Methodology</w:t>
            </w:r>
          </w:p>
        </w:tc>
        <w:tc>
          <w:tcPr>
            <w:tcW w:w="407" w:type="pct"/>
            <w:vAlign w:val="center"/>
          </w:tcPr>
          <w:p w14:paraId="3C960DBC" w14:textId="77777777" w:rsidR="0020220A" w:rsidRPr="00354AB0" w:rsidRDefault="0020220A" w:rsidP="007A5B7D">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lang w:bidi="fa-IR"/>
              </w:rPr>
            </w:pPr>
            <w:r w:rsidRPr="00EC36FA">
              <w:rPr>
                <w:rFonts w:asciiTheme="majorBidi" w:hAnsiTheme="majorBidi" w:cstheme="majorBidi"/>
                <w:sz w:val="16"/>
                <w:szCs w:val="16"/>
                <w:highlight w:val="yellow"/>
                <w:lang w:bidi="fa-IR"/>
              </w:rPr>
              <w:t>Integration Assessment</w:t>
            </w:r>
          </w:p>
        </w:tc>
        <w:tc>
          <w:tcPr>
            <w:tcW w:w="344" w:type="pct"/>
            <w:vAlign w:val="center"/>
          </w:tcPr>
          <w:p w14:paraId="6399CBA6" w14:textId="77777777" w:rsidR="0020220A" w:rsidRPr="009C0C4D" w:rsidRDefault="0020220A" w:rsidP="007A5B7D">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rtl/>
                <w:lang w:bidi="fa-IR"/>
              </w:rPr>
            </w:pPr>
            <w:r w:rsidRPr="009C0C4D">
              <w:rPr>
                <w:rFonts w:asciiTheme="majorBidi" w:hAnsiTheme="majorBidi" w:cstheme="majorBidi"/>
                <w:sz w:val="16"/>
                <w:szCs w:val="16"/>
                <w:lang w:bidi="fa-IR"/>
              </w:rPr>
              <w:t>Evaluation Period</w:t>
            </w:r>
          </w:p>
        </w:tc>
        <w:tc>
          <w:tcPr>
            <w:tcW w:w="344" w:type="pct"/>
            <w:vAlign w:val="center"/>
          </w:tcPr>
          <w:p w14:paraId="1E267DCB" w14:textId="77777777" w:rsidR="0020220A" w:rsidRPr="009C0C4D" w:rsidRDefault="0020220A" w:rsidP="007A5B7D">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rtl/>
                <w:lang w:bidi="fa-IR"/>
              </w:rPr>
            </w:pPr>
            <w:r w:rsidRPr="009C0C4D">
              <w:rPr>
                <w:rFonts w:asciiTheme="majorBidi" w:hAnsiTheme="majorBidi" w:cstheme="majorBidi"/>
                <w:sz w:val="16"/>
                <w:szCs w:val="16"/>
                <w:lang w:bidi="fa-IR"/>
              </w:rPr>
              <w:t>Evaluation Objective</w:t>
            </w:r>
          </w:p>
        </w:tc>
        <w:tc>
          <w:tcPr>
            <w:tcW w:w="344" w:type="pct"/>
            <w:vAlign w:val="center"/>
          </w:tcPr>
          <w:p w14:paraId="45B48A18" w14:textId="77777777" w:rsidR="0020220A" w:rsidRPr="009C0C4D" w:rsidRDefault="0020220A" w:rsidP="007A5B7D">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Evaluation Population</w:t>
            </w:r>
          </w:p>
        </w:tc>
        <w:tc>
          <w:tcPr>
            <w:tcW w:w="343" w:type="pct"/>
            <w:vAlign w:val="center"/>
          </w:tcPr>
          <w:p w14:paraId="3A22A125" w14:textId="77777777" w:rsidR="0020220A" w:rsidRPr="009C0C4D" w:rsidRDefault="0020220A" w:rsidP="007A5B7D">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Evaluation Data</w:t>
            </w:r>
          </w:p>
        </w:tc>
        <w:tc>
          <w:tcPr>
            <w:tcW w:w="356" w:type="pct"/>
            <w:vAlign w:val="center"/>
          </w:tcPr>
          <w:p w14:paraId="5D8CEDE5" w14:textId="77777777" w:rsidR="0020220A" w:rsidRPr="009C0C4D" w:rsidRDefault="0020220A" w:rsidP="007A5B7D">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rtl/>
                <w:lang w:bidi="fa-IR"/>
              </w:rPr>
            </w:pPr>
            <w:r w:rsidRPr="009C0C4D">
              <w:rPr>
                <w:rFonts w:asciiTheme="majorBidi" w:hAnsiTheme="majorBidi" w:cstheme="majorBidi"/>
                <w:sz w:val="16"/>
                <w:szCs w:val="16"/>
              </w:rPr>
              <w:t>Evaluation Duration</w:t>
            </w:r>
          </w:p>
        </w:tc>
        <w:tc>
          <w:tcPr>
            <w:tcW w:w="455" w:type="pct"/>
            <w:vAlign w:val="center"/>
          </w:tcPr>
          <w:p w14:paraId="028F41C9" w14:textId="77777777" w:rsidR="0020220A" w:rsidRPr="009C0C4D" w:rsidRDefault="0020220A" w:rsidP="007A5B7D">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Evaluation results</w:t>
            </w:r>
          </w:p>
        </w:tc>
      </w:tr>
      <w:tr w:rsidR="00DD596E" w:rsidRPr="009C0C4D" w14:paraId="684A04F8" w14:textId="77777777" w:rsidTr="00B44AC2">
        <w:trPr>
          <w:jc w:val="center"/>
        </w:trPr>
        <w:tc>
          <w:tcPr>
            <w:cnfStyle w:val="001000000000" w:firstRow="0" w:lastRow="0" w:firstColumn="1" w:lastColumn="0" w:oddVBand="0" w:evenVBand="0" w:oddHBand="0" w:evenHBand="0" w:firstRowFirstColumn="0" w:firstRowLastColumn="0" w:lastRowFirstColumn="0" w:lastRowLastColumn="0"/>
            <w:tcW w:w="280" w:type="pct"/>
          </w:tcPr>
          <w:p w14:paraId="1B427671" w14:textId="4694FE5A" w:rsidR="0020220A" w:rsidRPr="009C0C4D" w:rsidRDefault="0020220A" w:rsidP="00201FFC">
            <w:pPr>
              <w:rPr>
                <w:rFonts w:asciiTheme="majorBidi" w:hAnsiTheme="majorBidi" w:cstheme="majorBidi"/>
                <w:sz w:val="16"/>
                <w:szCs w:val="16"/>
              </w:rPr>
            </w:pPr>
            <w:r>
              <w:rPr>
                <w:rFonts w:asciiTheme="majorBidi" w:hAnsiTheme="majorBidi" w:cstheme="majorBidi"/>
                <w:noProof/>
                <w:sz w:val="16"/>
                <w:szCs w:val="16"/>
              </w:rPr>
              <w:t>Agarwal et al.</w:t>
            </w:r>
          </w:p>
        </w:tc>
        <w:tc>
          <w:tcPr>
            <w:tcW w:w="227" w:type="pct"/>
          </w:tcPr>
          <w:p w14:paraId="5FC680AD" w14:textId="77777777" w:rsidR="0020220A" w:rsidRPr="009C0C4D" w:rsidRDefault="0020220A" w:rsidP="00201FF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2021</w:t>
            </w:r>
          </w:p>
        </w:tc>
        <w:tc>
          <w:tcPr>
            <w:tcW w:w="294" w:type="pct"/>
          </w:tcPr>
          <w:p w14:paraId="5D434C74" w14:textId="77777777" w:rsidR="0020220A" w:rsidRPr="009C0C4D" w:rsidRDefault="0020220A" w:rsidP="00201FF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Canada</w:t>
            </w:r>
          </w:p>
        </w:tc>
        <w:tc>
          <w:tcPr>
            <w:tcW w:w="324" w:type="pct"/>
          </w:tcPr>
          <w:p w14:paraId="320BAC76" w14:textId="3A445511" w:rsidR="0020220A" w:rsidRPr="005A167C" w:rsidRDefault="00B44AC2" w:rsidP="001027A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tl/>
                <w:lang w:bidi="fa-IR"/>
              </w:rPr>
            </w:pPr>
            <w:r w:rsidRPr="005A167C">
              <w:rPr>
                <w:rFonts w:asciiTheme="majorBidi" w:hAnsiTheme="majorBidi" w:cstheme="majorBidi"/>
                <w:sz w:val="16"/>
                <w:szCs w:val="16"/>
                <w:highlight w:val="yellow"/>
                <w:lang w:bidi="fa-IR"/>
              </w:rPr>
              <w:t>Level 5/ High</w:t>
            </w:r>
          </w:p>
        </w:tc>
        <w:tc>
          <w:tcPr>
            <w:tcW w:w="532" w:type="pct"/>
          </w:tcPr>
          <w:p w14:paraId="79D8F5A6" w14:textId="54328B02" w:rsidR="0020220A" w:rsidRPr="009C0C4D" w:rsidRDefault="0020220A" w:rsidP="001027A0">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To evaluate the preliminary adoption, viability, and safety of a family medicine-led remote monitoring program for managing the care of community patients with COVID-19.</w:t>
            </w:r>
          </w:p>
        </w:tc>
        <w:tc>
          <w:tcPr>
            <w:tcW w:w="344" w:type="pct"/>
          </w:tcPr>
          <w:p w14:paraId="1354D6A5" w14:textId="77777777" w:rsidR="0020220A" w:rsidRPr="009C0C4D" w:rsidRDefault="0020220A" w:rsidP="00201FF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COVIDCare@Home </w:t>
            </w:r>
          </w:p>
        </w:tc>
        <w:tc>
          <w:tcPr>
            <w:tcW w:w="406" w:type="pct"/>
          </w:tcPr>
          <w:p w14:paraId="38BB3CCD" w14:textId="77777777" w:rsidR="0020220A" w:rsidRPr="009C0C4D" w:rsidRDefault="0020220A" w:rsidP="00201FF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Qualitative and quantitative (non-integrated) </w:t>
            </w:r>
            <w:r>
              <w:rPr>
                <w:rFonts w:asciiTheme="majorBidi" w:hAnsiTheme="majorBidi" w:cstheme="majorBidi"/>
                <w:sz w:val="16"/>
                <w:szCs w:val="16"/>
              </w:rPr>
              <w:t>*</w:t>
            </w:r>
          </w:p>
        </w:tc>
        <w:tc>
          <w:tcPr>
            <w:tcW w:w="407" w:type="pct"/>
          </w:tcPr>
          <w:p w14:paraId="02185B8B" w14:textId="77777777" w:rsidR="0020220A" w:rsidRPr="00EC36FA" w:rsidRDefault="0020220A" w:rsidP="00EC36FA">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EC36FA">
              <w:rPr>
                <w:rFonts w:asciiTheme="majorBidi" w:hAnsiTheme="majorBidi" w:cstheme="majorBidi"/>
                <w:sz w:val="16"/>
                <w:szCs w:val="16"/>
                <w:highlight w:val="yellow"/>
              </w:rPr>
              <w:t>Separate reporting of qualitative feedback and quantitative metrics (e.g., hospitalization rates) without synthesis.</w:t>
            </w:r>
          </w:p>
          <w:p w14:paraId="7B7C9984" w14:textId="77777777" w:rsidR="0020220A" w:rsidRPr="00354AB0" w:rsidRDefault="0020220A" w:rsidP="00201FF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p>
        </w:tc>
        <w:tc>
          <w:tcPr>
            <w:tcW w:w="344" w:type="pct"/>
          </w:tcPr>
          <w:p w14:paraId="761A5BBB" w14:textId="77777777" w:rsidR="0020220A" w:rsidRPr="009C0C4D" w:rsidRDefault="0020220A" w:rsidP="00201FF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In use</w:t>
            </w:r>
          </w:p>
        </w:tc>
        <w:tc>
          <w:tcPr>
            <w:tcW w:w="344" w:type="pct"/>
          </w:tcPr>
          <w:p w14:paraId="6C3E12BC" w14:textId="77777777" w:rsidR="0020220A" w:rsidRPr="009C0C4D" w:rsidRDefault="0020220A" w:rsidP="00201FF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Process Evaluation</w:t>
            </w:r>
          </w:p>
        </w:tc>
        <w:tc>
          <w:tcPr>
            <w:tcW w:w="344" w:type="pct"/>
          </w:tcPr>
          <w:p w14:paraId="2461B59A" w14:textId="77777777" w:rsidR="0020220A" w:rsidRPr="009C0C4D" w:rsidRDefault="0020220A" w:rsidP="00201FF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lang w:bidi="fa-IR"/>
              </w:rPr>
              <w:t xml:space="preserve">Researchers </w:t>
            </w:r>
          </w:p>
        </w:tc>
        <w:tc>
          <w:tcPr>
            <w:tcW w:w="343" w:type="pct"/>
          </w:tcPr>
          <w:p w14:paraId="53809FCC" w14:textId="77777777" w:rsidR="0020220A" w:rsidRPr="009C0C4D" w:rsidRDefault="0020220A" w:rsidP="00201FF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tl/>
                <w:lang w:bidi="fa-IR"/>
              </w:rPr>
            </w:pPr>
            <w:r w:rsidRPr="009C0C4D">
              <w:rPr>
                <w:rFonts w:asciiTheme="majorBidi" w:hAnsiTheme="majorBidi" w:cstheme="majorBidi"/>
                <w:sz w:val="16"/>
                <w:szCs w:val="16"/>
                <w:lang w:bidi="fa-IR"/>
              </w:rPr>
              <w:t xml:space="preserve">Epic EMR </w:t>
            </w:r>
          </w:p>
        </w:tc>
        <w:tc>
          <w:tcPr>
            <w:tcW w:w="356" w:type="pct"/>
          </w:tcPr>
          <w:p w14:paraId="087F408F" w14:textId="77777777" w:rsidR="0020220A" w:rsidRPr="009C0C4D" w:rsidRDefault="0020220A" w:rsidP="00201FF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5 weeks</w:t>
            </w:r>
          </w:p>
        </w:tc>
        <w:tc>
          <w:tcPr>
            <w:tcW w:w="455" w:type="pct"/>
          </w:tcPr>
          <w:p w14:paraId="14DC7390" w14:textId="77777777" w:rsidR="0020220A" w:rsidRPr="009C0C4D" w:rsidRDefault="0020220A" w:rsidP="00201FF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The program demonstrated that remote monitoring is possible and safe. No hospitalizations or fatalities were documented throughout the research, and emergency room visits were negligible (4%).</w:t>
            </w:r>
          </w:p>
        </w:tc>
      </w:tr>
      <w:tr w:rsidR="00B44AC2" w:rsidRPr="009C0C4D" w14:paraId="68103809" w14:textId="77777777" w:rsidTr="00B44AC2">
        <w:trPr>
          <w:jc w:val="center"/>
        </w:trPr>
        <w:tc>
          <w:tcPr>
            <w:cnfStyle w:val="001000000000" w:firstRow="0" w:lastRow="0" w:firstColumn="1" w:lastColumn="0" w:oddVBand="0" w:evenVBand="0" w:oddHBand="0" w:evenHBand="0" w:firstRowFirstColumn="0" w:firstRowLastColumn="0" w:lastRowFirstColumn="0" w:lastRowLastColumn="0"/>
            <w:tcW w:w="280" w:type="pct"/>
          </w:tcPr>
          <w:p w14:paraId="7AAD9DFE" w14:textId="5B61F641" w:rsidR="00B44AC2" w:rsidRPr="009C0C4D" w:rsidRDefault="00B44AC2" w:rsidP="00B44AC2">
            <w:pPr>
              <w:rPr>
                <w:rFonts w:asciiTheme="majorBidi" w:hAnsiTheme="majorBidi" w:cstheme="majorBidi"/>
                <w:sz w:val="16"/>
                <w:szCs w:val="16"/>
              </w:rPr>
            </w:pPr>
            <w:r>
              <w:rPr>
                <w:rFonts w:asciiTheme="majorBidi" w:hAnsiTheme="majorBidi" w:cstheme="majorBidi"/>
                <w:noProof/>
                <w:sz w:val="16"/>
                <w:szCs w:val="16"/>
              </w:rPr>
              <w:t xml:space="preserve">Kortianou et al. </w:t>
            </w:r>
          </w:p>
        </w:tc>
        <w:tc>
          <w:tcPr>
            <w:tcW w:w="227" w:type="pct"/>
          </w:tcPr>
          <w:p w14:paraId="71931BCC" w14:textId="77777777" w:rsidR="00B44AC2" w:rsidRPr="009C0C4D" w:rsidRDefault="00B44AC2" w:rsidP="00B44AC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2022</w:t>
            </w:r>
          </w:p>
        </w:tc>
        <w:tc>
          <w:tcPr>
            <w:tcW w:w="294" w:type="pct"/>
          </w:tcPr>
          <w:p w14:paraId="339E4B22"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Greece</w:t>
            </w:r>
          </w:p>
        </w:tc>
        <w:tc>
          <w:tcPr>
            <w:tcW w:w="324" w:type="pct"/>
          </w:tcPr>
          <w:p w14:paraId="1FE13707" w14:textId="1F0C3AF3" w:rsidR="00B44AC2" w:rsidRPr="005A167C"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5A167C">
              <w:rPr>
                <w:rFonts w:asciiTheme="majorBidi" w:hAnsiTheme="majorBidi" w:cstheme="majorBidi"/>
                <w:sz w:val="16"/>
                <w:szCs w:val="16"/>
                <w:highlight w:val="yellow"/>
                <w:lang w:bidi="fa-IR"/>
              </w:rPr>
              <w:t>Level 5/ High</w:t>
            </w:r>
          </w:p>
        </w:tc>
        <w:tc>
          <w:tcPr>
            <w:tcW w:w="532" w:type="pct"/>
          </w:tcPr>
          <w:p w14:paraId="5AB53217" w14:textId="5BB09216"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To evaluate the feasibility and clinical outcomes of a home-based tele-rehabilitation exercise system for post-hospitalized COVID-19 patients during Greece's initial lockdown.</w:t>
            </w:r>
          </w:p>
        </w:tc>
        <w:tc>
          <w:tcPr>
            <w:tcW w:w="344" w:type="pct"/>
          </w:tcPr>
          <w:p w14:paraId="744F74EB" w14:textId="77777777" w:rsidR="00B44AC2" w:rsidRPr="009C0C4D" w:rsidRDefault="00B44AC2" w:rsidP="00B44AC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Viber </w:t>
            </w:r>
          </w:p>
        </w:tc>
        <w:tc>
          <w:tcPr>
            <w:tcW w:w="406" w:type="pct"/>
          </w:tcPr>
          <w:p w14:paraId="27455009"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Qualitative and quantitative (non-integrated) </w:t>
            </w:r>
            <w:r>
              <w:rPr>
                <w:rFonts w:asciiTheme="majorBidi" w:hAnsiTheme="majorBidi" w:cstheme="majorBidi"/>
                <w:sz w:val="16"/>
                <w:szCs w:val="16"/>
              </w:rPr>
              <w:t>*</w:t>
            </w:r>
          </w:p>
        </w:tc>
        <w:tc>
          <w:tcPr>
            <w:tcW w:w="407" w:type="pct"/>
          </w:tcPr>
          <w:p w14:paraId="291C3C11" w14:textId="77777777" w:rsidR="00B44AC2" w:rsidRPr="00EC36FA" w:rsidRDefault="00B44AC2" w:rsidP="00B44AC2">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EC36FA">
              <w:rPr>
                <w:rFonts w:asciiTheme="majorBidi" w:hAnsiTheme="majorBidi" w:cstheme="majorBidi"/>
                <w:sz w:val="16"/>
                <w:szCs w:val="16"/>
                <w:highlight w:val="yellow"/>
              </w:rPr>
              <w:t xml:space="preserve">Qualitative data (e.g., patient feedback) and quantitative data (e.g., physical performance metrics) </w:t>
            </w:r>
            <w:r w:rsidRPr="00354AB0">
              <w:rPr>
                <w:rFonts w:asciiTheme="majorBidi" w:hAnsiTheme="majorBidi" w:cstheme="majorBidi"/>
                <w:sz w:val="16"/>
                <w:szCs w:val="16"/>
                <w:highlight w:val="yellow"/>
              </w:rPr>
              <w:t xml:space="preserve">are </w:t>
            </w:r>
            <w:r w:rsidRPr="00EC36FA">
              <w:rPr>
                <w:rFonts w:asciiTheme="majorBidi" w:hAnsiTheme="majorBidi" w:cstheme="majorBidi"/>
                <w:sz w:val="16"/>
                <w:szCs w:val="16"/>
                <w:highlight w:val="yellow"/>
              </w:rPr>
              <w:t>reported independently without methodological integration.</w:t>
            </w:r>
          </w:p>
          <w:p w14:paraId="3B392700" w14:textId="77777777" w:rsidR="00B44AC2" w:rsidRPr="00354AB0"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p>
        </w:tc>
        <w:tc>
          <w:tcPr>
            <w:tcW w:w="344" w:type="pct"/>
          </w:tcPr>
          <w:p w14:paraId="1A9A0823"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Summative </w:t>
            </w:r>
          </w:p>
        </w:tc>
        <w:tc>
          <w:tcPr>
            <w:tcW w:w="344" w:type="pct"/>
          </w:tcPr>
          <w:p w14:paraId="2236F817"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Performance Evaluation</w:t>
            </w:r>
          </w:p>
        </w:tc>
        <w:tc>
          <w:tcPr>
            <w:tcW w:w="344" w:type="pct"/>
          </w:tcPr>
          <w:p w14:paraId="31D847DF"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lang w:val="en" w:bidi="fa-IR"/>
              </w:rPr>
              <w:t>Healthcare team</w:t>
            </w:r>
          </w:p>
        </w:tc>
        <w:tc>
          <w:tcPr>
            <w:tcW w:w="343" w:type="pct"/>
          </w:tcPr>
          <w:p w14:paraId="514A14B8"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Google Forms</w:t>
            </w:r>
          </w:p>
        </w:tc>
        <w:tc>
          <w:tcPr>
            <w:tcW w:w="356" w:type="pct"/>
          </w:tcPr>
          <w:p w14:paraId="2209C777"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 months</w:t>
            </w:r>
          </w:p>
        </w:tc>
        <w:tc>
          <w:tcPr>
            <w:tcW w:w="455" w:type="pct"/>
          </w:tcPr>
          <w:p w14:paraId="6C35D3EE"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The system proved viable, secure, and pragmatic, markedly enhancing patients' physical performance and diminishing anxiety and depression levels.</w:t>
            </w:r>
          </w:p>
        </w:tc>
      </w:tr>
      <w:tr w:rsidR="00B44AC2" w:rsidRPr="009C0C4D" w14:paraId="36A3EB4A" w14:textId="77777777" w:rsidTr="00B44AC2">
        <w:trPr>
          <w:jc w:val="center"/>
        </w:trPr>
        <w:tc>
          <w:tcPr>
            <w:cnfStyle w:val="001000000000" w:firstRow="0" w:lastRow="0" w:firstColumn="1" w:lastColumn="0" w:oddVBand="0" w:evenVBand="0" w:oddHBand="0" w:evenHBand="0" w:firstRowFirstColumn="0" w:firstRowLastColumn="0" w:lastRowFirstColumn="0" w:lastRowLastColumn="0"/>
            <w:tcW w:w="280" w:type="pct"/>
          </w:tcPr>
          <w:p w14:paraId="5142A4BC" w14:textId="4558CF2D" w:rsidR="00B44AC2" w:rsidRPr="009C0C4D" w:rsidRDefault="00B44AC2" w:rsidP="00B44AC2">
            <w:pPr>
              <w:rPr>
                <w:rFonts w:asciiTheme="majorBidi" w:hAnsiTheme="majorBidi" w:cstheme="majorBidi"/>
                <w:sz w:val="16"/>
                <w:szCs w:val="16"/>
              </w:rPr>
            </w:pPr>
            <w:r>
              <w:rPr>
                <w:rFonts w:asciiTheme="majorBidi" w:hAnsiTheme="majorBidi" w:cstheme="majorBidi"/>
                <w:noProof/>
                <w:sz w:val="16"/>
                <w:szCs w:val="16"/>
              </w:rPr>
              <w:t>Delgado et al.</w:t>
            </w:r>
          </w:p>
        </w:tc>
        <w:tc>
          <w:tcPr>
            <w:tcW w:w="227" w:type="pct"/>
          </w:tcPr>
          <w:p w14:paraId="04B6969E" w14:textId="77777777" w:rsidR="00B44AC2" w:rsidRPr="009C0C4D" w:rsidRDefault="00B44AC2" w:rsidP="00B44AC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2022</w:t>
            </w:r>
          </w:p>
        </w:tc>
        <w:tc>
          <w:tcPr>
            <w:tcW w:w="294" w:type="pct"/>
          </w:tcPr>
          <w:p w14:paraId="6BBCE876"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USA</w:t>
            </w:r>
          </w:p>
        </w:tc>
        <w:tc>
          <w:tcPr>
            <w:tcW w:w="324" w:type="pct"/>
          </w:tcPr>
          <w:p w14:paraId="1ADBD205" w14:textId="333E49E7" w:rsidR="00B44AC2" w:rsidRPr="005A167C"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5A167C">
              <w:rPr>
                <w:rFonts w:asciiTheme="majorBidi" w:hAnsiTheme="majorBidi" w:cstheme="majorBidi"/>
                <w:sz w:val="16"/>
                <w:szCs w:val="16"/>
                <w:highlight w:val="yellow"/>
                <w:lang w:bidi="fa-IR"/>
              </w:rPr>
              <w:t>Level 5/ High</w:t>
            </w:r>
          </w:p>
        </w:tc>
        <w:tc>
          <w:tcPr>
            <w:tcW w:w="532" w:type="pct"/>
          </w:tcPr>
          <w:p w14:paraId="492EF87E" w14:textId="081EA63B"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To assess whether participation in the “COVID Watch” remote monitoring system improved mortality outcomes for COVID-19 patients at home.</w:t>
            </w:r>
          </w:p>
        </w:tc>
        <w:tc>
          <w:tcPr>
            <w:tcW w:w="344" w:type="pct"/>
          </w:tcPr>
          <w:p w14:paraId="29FFDCE8" w14:textId="77777777" w:rsidR="00B44AC2" w:rsidRPr="009C0C4D" w:rsidRDefault="00B44AC2" w:rsidP="00B44AC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COVID Watch</w:t>
            </w:r>
          </w:p>
        </w:tc>
        <w:tc>
          <w:tcPr>
            <w:tcW w:w="406" w:type="pct"/>
          </w:tcPr>
          <w:p w14:paraId="57CA6FAB"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Qualitative and quantitative (non-integrated) </w:t>
            </w:r>
            <w:r>
              <w:rPr>
                <w:rFonts w:asciiTheme="majorBidi" w:hAnsiTheme="majorBidi" w:cstheme="majorBidi"/>
                <w:sz w:val="16"/>
                <w:szCs w:val="16"/>
              </w:rPr>
              <w:t>*</w:t>
            </w:r>
          </w:p>
        </w:tc>
        <w:tc>
          <w:tcPr>
            <w:tcW w:w="407" w:type="pct"/>
          </w:tcPr>
          <w:p w14:paraId="0C2AE697" w14:textId="77777777" w:rsidR="00B44AC2" w:rsidRPr="00354AB0"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tl/>
                <w:lang w:bidi="fa-IR"/>
              </w:rPr>
            </w:pPr>
            <w:r w:rsidRPr="00EC36FA">
              <w:rPr>
                <w:rFonts w:asciiTheme="majorBidi" w:hAnsiTheme="majorBidi" w:cstheme="majorBidi"/>
                <w:sz w:val="16"/>
                <w:szCs w:val="16"/>
                <w:highlight w:val="yellow"/>
              </w:rPr>
              <w:t>No evidence of triangulation or complementary analysis; qualitative and quantitative results presented separately.</w:t>
            </w:r>
          </w:p>
        </w:tc>
        <w:tc>
          <w:tcPr>
            <w:tcW w:w="344" w:type="pct"/>
          </w:tcPr>
          <w:p w14:paraId="64DCDECF"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Summative </w:t>
            </w:r>
          </w:p>
        </w:tc>
        <w:tc>
          <w:tcPr>
            <w:tcW w:w="344" w:type="pct"/>
          </w:tcPr>
          <w:p w14:paraId="085C8EA2"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Effectiveness Evaluation</w:t>
            </w:r>
          </w:p>
        </w:tc>
        <w:tc>
          <w:tcPr>
            <w:tcW w:w="344" w:type="pct"/>
          </w:tcPr>
          <w:p w14:paraId="61D891C0"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Researchers</w:t>
            </w:r>
          </w:p>
        </w:tc>
        <w:tc>
          <w:tcPr>
            <w:tcW w:w="343" w:type="pct"/>
          </w:tcPr>
          <w:p w14:paraId="4C5C55BB"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EHRs</w:t>
            </w:r>
          </w:p>
        </w:tc>
        <w:tc>
          <w:tcPr>
            <w:tcW w:w="356" w:type="pct"/>
          </w:tcPr>
          <w:p w14:paraId="0D51BEC1"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8 months</w:t>
            </w:r>
          </w:p>
        </w:tc>
        <w:tc>
          <w:tcPr>
            <w:tcW w:w="455" w:type="pct"/>
          </w:tcPr>
          <w:p w14:paraId="140FA119"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lang w:val="en"/>
              </w:rPr>
              <w:t xml:space="preserve">The COVIDWatch group exhibited lower mortality rates compared to the control group. </w:t>
            </w:r>
          </w:p>
        </w:tc>
      </w:tr>
      <w:tr w:rsidR="00B44AC2" w:rsidRPr="009C0C4D" w14:paraId="519DD586" w14:textId="77777777" w:rsidTr="00B44AC2">
        <w:trPr>
          <w:jc w:val="center"/>
        </w:trPr>
        <w:tc>
          <w:tcPr>
            <w:cnfStyle w:val="001000000000" w:firstRow="0" w:lastRow="0" w:firstColumn="1" w:lastColumn="0" w:oddVBand="0" w:evenVBand="0" w:oddHBand="0" w:evenHBand="0" w:firstRowFirstColumn="0" w:firstRowLastColumn="0" w:lastRowFirstColumn="0" w:lastRowLastColumn="0"/>
            <w:tcW w:w="280" w:type="pct"/>
          </w:tcPr>
          <w:p w14:paraId="498639FE" w14:textId="5103A9DB" w:rsidR="00B44AC2" w:rsidRPr="009C0C4D" w:rsidRDefault="00B44AC2" w:rsidP="00B44AC2">
            <w:pPr>
              <w:rPr>
                <w:rFonts w:asciiTheme="majorBidi" w:hAnsiTheme="majorBidi" w:cstheme="majorBidi"/>
                <w:sz w:val="16"/>
                <w:szCs w:val="16"/>
              </w:rPr>
            </w:pPr>
            <w:r>
              <w:rPr>
                <w:rFonts w:asciiTheme="majorBidi" w:hAnsiTheme="majorBidi" w:cstheme="majorBidi"/>
                <w:noProof/>
                <w:sz w:val="16"/>
                <w:szCs w:val="16"/>
              </w:rPr>
              <w:t>Gingras et al.</w:t>
            </w:r>
          </w:p>
        </w:tc>
        <w:tc>
          <w:tcPr>
            <w:tcW w:w="227" w:type="pct"/>
          </w:tcPr>
          <w:p w14:paraId="3D6BA362" w14:textId="77777777" w:rsidR="00B44AC2" w:rsidRPr="009C0C4D" w:rsidRDefault="00B44AC2" w:rsidP="00B44AC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2022</w:t>
            </w:r>
          </w:p>
        </w:tc>
        <w:tc>
          <w:tcPr>
            <w:tcW w:w="294" w:type="pct"/>
          </w:tcPr>
          <w:p w14:paraId="6567C5D5"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9C0C4D">
              <w:rPr>
                <w:rFonts w:asciiTheme="majorBidi" w:hAnsiTheme="majorBidi" w:cstheme="majorBidi"/>
                <w:sz w:val="16"/>
                <w:szCs w:val="16"/>
              </w:rPr>
              <w:t>USA</w:t>
            </w:r>
          </w:p>
        </w:tc>
        <w:tc>
          <w:tcPr>
            <w:tcW w:w="324" w:type="pct"/>
          </w:tcPr>
          <w:p w14:paraId="09EB9DEC" w14:textId="77A603A6" w:rsidR="00B44AC2" w:rsidRPr="005A167C"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lang w:bidi="fa-IR"/>
              </w:rPr>
            </w:pPr>
            <w:r w:rsidRPr="005A167C">
              <w:rPr>
                <w:rFonts w:asciiTheme="majorBidi" w:hAnsiTheme="majorBidi" w:cstheme="majorBidi"/>
                <w:sz w:val="16"/>
                <w:szCs w:val="16"/>
                <w:highlight w:val="yellow"/>
                <w:lang w:bidi="fa-IR"/>
              </w:rPr>
              <w:t>Level 5/ High</w:t>
            </w:r>
          </w:p>
        </w:tc>
        <w:tc>
          <w:tcPr>
            <w:tcW w:w="532" w:type="pct"/>
          </w:tcPr>
          <w:p w14:paraId="591D7769" w14:textId="228CAD93"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tl/>
                <w:lang w:bidi="fa-IR"/>
              </w:rPr>
            </w:pPr>
            <w:r w:rsidRPr="009C0C4D">
              <w:rPr>
                <w:rFonts w:asciiTheme="majorBidi" w:hAnsiTheme="majorBidi" w:cstheme="majorBidi"/>
                <w:sz w:val="16"/>
                <w:szCs w:val="16"/>
                <w:lang w:bidi="fa-IR"/>
              </w:rPr>
              <w:t xml:space="preserve">To develop and implement </w:t>
            </w:r>
            <w:r w:rsidRPr="009C0C4D">
              <w:rPr>
                <w:rFonts w:asciiTheme="majorBidi" w:hAnsiTheme="majorBidi" w:cstheme="majorBidi"/>
                <w:sz w:val="16"/>
                <w:szCs w:val="16"/>
              </w:rPr>
              <w:t xml:space="preserve">the Cough Cold and Fever (CCF) Clinic </w:t>
            </w:r>
            <w:r w:rsidRPr="009C0C4D">
              <w:rPr>
                <w:rFonts w:asciiTheme="majorBidi" w:hAnsiTheme="majorBidi" w:cstheme="majorBidi"/>
                <w:sz w:val="16"/>
                <w:szCs w:val="16"/>
                <w:lang w:bidi="fa-IR"/>
              </w:rPr>
              <w:t xml:space="preserve">for safe triage, assessment, treatment, and follow-up of </w:t>
            </w:r>
            <w:r w:rsidRPr="009C0C4D">
              <w:rPr>
                <w:rFonts w:asciiTheme="majorBidi" w:hAnsiTheme="majorBidi" w:cstheme="majorBidi"/>
                <w:sz w:val="16"/>
                <w:szCs w:val="16"/>
                <w:lang w:bidi="fa-IR"/>
              </w:rPr>
              <w:lastRenderedPageBreak/>
              <w:t>suspected COVID-19 cases.</w:t>
            </w:r>
          </w:p>
        </w:tc>
        <w:tc>
          <w:tcPr>
            <w:tcW w:w="344" w:type="pct"/>
          </w:tcPr>
          <w:p w14:paraId="5A7ADAB9" w14:textId="77777777" w:rsidR="00B44AC2" w:rsidRPr="009C0C4D" w:rsidRDefault="00B44AC2" w:rsidP="00B44AC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lastRenderedPageBreak/>
              <w:t xml:space="preserve">CCF Clinic </w:t>
            </w:r>
          </w:p>
        </w:tc>
        <w:tc>
          <w:tcPr>
            <w:tcW w:w="406" w:type="pct"/>
          </w:tcPr>
          <w:p w14:paraId="3625D468"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Qualitative and quantitative (non-integrated) </w:t>
            </w:r>
            <w:r>
              <w:rPr>
                <w:rFonts w:asciiTheme="majorBidi" w:hAnsiTheme="majorBidi" w:cstheme="majorBidi"/>
                <w:sz w:val="16"/>
                <w:szCs w:val="16"/>
              </w:rPr>
              <w:t>*</w:t>
            </w:r>
          </w:p>
        </w:tc>
        <w:tc>
          <w:tcPr>
            <w:tcW w:w="407" w:type="pct"/>
          </w:tcPr>
          <w:p w14:paraId="64527484" w14:textId="77777777" w:rsidR="00B44AC2" w:rsidRPr="00354AB0"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354AB0">
              <w:rPr>
                <w:rFonts w:asciiTheme="majorBidi" w:hAnsiTheme="majorBidi" w:cstheme="majorBidi"/>
                <w:sz w:val="16"/>
                <w:szCs w:val="16"/>
                <w:highlight w:val="yellow"/>
              </w:rPr>
              <w:t xml:space="preserve">No methodological framework for integrating qualitative data with quantitative metrics (e.g., triage </w:t>
            </w:r>
            <w:r w:rsidRPr="00354AB0">
              <w:rPr>
                <w:rFonts w:asciiTheme="majorBidi" w:hAnsiTheme="majorBidi" w:cstheme="majorBidi"/>
                <w:sz w:val="16"/>
                <w:szCs w:val="16"/>
                <w:highlight w:val="yellow"/>
              </w:rPr>
              <w:lastRenderedPageBreak/>
              <w:t>efficiency); results presented independently.</w:t>
            </w:r>
          </w:p>
        </w:tc>
        <w:tc>
          <w:tcPr>
            <w:tcW w:w="344" w:type="pct"/>
          </w:tcPr>
          <w:p w14:paraId="4A4CEAE2"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lastRenderedPageBreak/>
              <w:t xml:space="preserve">Summative </w:t>
            </w:r>
          </w:p>
        </w:tc>
        <w:tc>
          <w:tcPr>
            <w:tcW w:w="344" w:type="pct"/>
          </w:tcPr>
          <w:p w14:paraId="03DBAE68"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Performance Evaluation</w:t>
            </w:r>
          </w:p>
        </w:tc>
        <w:tc>
          <w:tcPr>
            <w:tcW w:w="344" w:type="pct"/>
          </w:tcPr>
          <w:p w14:paraId="1DBE7824"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tl/>
                <w:lang w:bidi="fa-IR"/>
              </w:rPr>
            </w:pPr>
            <w:r w:rsidRPr="009C0C4D">
              <w:rPr>
                <w:rFonts w:asciiTheme="majorBidi" w:hAnsiTheme="majorBidi" w:cstheme="majorBidi"/>
                <w:sz w:val="16"/>
                <w:szCs w:val="16"/>
                <w:lang w:val="en" w:bidi="fa-IR"/>
              </w:rPr>
              <w:t>Healthcare team</w:t>
            </w:r>
          </w:p>
        </w:tc>
        <w:tc>
          <w:tcPr>
            <w:tcW w:w="343" w:type="pct"/>
          </w:tcPr>
          <w:p w14:paraId="2F13C4F0"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EHRs</w:t>
            </w:r>
          </w:p>
        </w:tc>
        <w:tc>
          <w:tcPr>
            <w:tcW w:w="356" w:type="pct"/>
          </w:tcPr>
          <w:p w14:paraId="2476E615"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4 months</w:t>
            </w:r>
          </w:p>
        </w:tc>
        <w:tc>
          <w:tcPr>
            <w:tcW w:w="455" w:type="pct"/>
          </w:tcPr>
          <w:p w14:paraId="006584A1"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lang w:val="en"/>
              </w:rPr>
              <w:t>Telemedicine proved to be an excellent instrument for patient follow-up and assessment.</w:t>
            </w:r>
          </w:p>
        </w:tc>
      </w:tr>
      <w:tr w:rsidR="00B44AC2" w:rsidRPr="009C0C4D" w14:paraId="364AFA0A" w14:textId="77777777" w:rsidTr="00B44AC2">
        <w:trPr>
          <w:jc w:val="center"/>
        </w:trPr>
        <w:tc>
          <w:tcPr>
            <w:cnfStyle w:val="001000000000" w:firstRow="0" w:lastRow="0" w:firstColumn="1" w:lastColumn="0" w:oddVBand="0" w:evenVBand="0" w:oddHBand="0" w:evenHBand="0" w:firstRowFirstColumn="0" w:firstRowLastColumn="0" w:lastRowFirstColumn="0" w:lastRowLastColumn="0"/>
            <w:tcW w:w="280" w:type="pct"/>
          </w:tcPr>
          <w:p w14:paraId="2F1568FF" w14:textId="7A3BC2AB" w:rsidR="00B44AC2" w:rsidRPr="009C0C4D" w:rsidRDefault="00B44AC2" w:rsidP="00B44AC2">
            <w:pPr>
              <w:rPr>
                <w:rFonts w:asciiTheme="majorBidi" w:hAnsiTheme="majorBidi" w:cstheme="majorBidi"/>
                <w:sz w:val="16"/>
                <w:szCs w:val="16"/>
              </w:rPr>
            </w:pPr>
            <w:r>
              <w:rPr>
                <w:rFonts w:asciiTheme="majorBidi" w:hAnsiTheme="majorBidi" w:cstheme="majorBidi"/>
                <w:noProof/>
                <w:sz w:val="16"/>
                <w:szCs w:val="16"/>
              </w:rPr>
              <w:t>Motta et al.</w:t>
            </w:r>
          </w:p>
        </w:tc>
        <w:tc>
          <w:tcPr>
            <w:tcW w:w="227" w:type="pct"/>
          </w:tcPr>
          <w:p w14:paraId="6369D567" w14:textId="77777777" w:rsidR="00B44AC2" w:rsidRPr="009C0C4D" w:rsidRDefault="00B44AC2" w:rsidP="00B44AC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2021</w:t>
            </w:r>
          </w:p>
        </w:tc>
        <w:tc>
          <w:tcPr>
            <w:tcW w:w="294" w:type="pct"/>
          </w:tcPr>
          <w:p w14:paraId="6E2CB74B"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Brazil</w:t>
            </w:r>
          </w:p>
        </w:tc>
        <w:tc>
          <w:tcPr>
            <w:tcW w:w="324" w:type="pct"/>
          </w:tcPr>
          <w:p w14:paraId="7EF84BFB" w14:textId="4B2FC837" w:rsidR="00B44AC2" w:rsidRPr="005A167C"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5A167C">
              <w:rPr>
                <w:rFonts w:asciiTheme="majorBidi" w:hAnsiTheme="majorBidi" w:cstheme="majorBidi"/>
                <w:sz w:val="16"/>
                <w:szCs w:val="16"/>
                <w:highlight w:val="yellow"/>
                <w:lang w:bidi="fa-IR"/>
              </w:rPr>
              <w:t>Level 5/ High</w:t>
            </w:r>
          </w:p>
        </w:tc>
        <w:tc>
          <w:tcPr>
            <w:tcW w:w="532" w:type="pct"/>
          </w:tcPr>
          <w:p w14:paraId="4480A125" w14:textId="3BB3E22A"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To design and evaluate a home monitoring system for COVID-19 to detect early deterioration and optimize hospital resources.</w:t>
            </w:r>
          </w:p>
        </w:tc>
        <w:tc>
          <w:tcPr>
            <w:tcW w:w="344" w:type="pct"/>
          </w:tcPr>
          <w:p w14:paraId="15B2EDAC" w14:textId="77777777" w:rsidR="00B44AC2" w:rsidRPr="009C0C4D" w:rsidRDefault="00B44AC2" w:rsidP="00B44AC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Not mentioned</w:t>
            </w:r>
          </w:p>
        </w:tc>
        <w:tc>
          <w:tcPr>
            <w:tcW w:w="406" w:type="pct"/>
          </w:tcPr>
          <w:p w14:paraId="0C54A22D" w14:textId="19715900"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Qualitative and quantitative (non-integrated) </w:t>
            </w:r>
            <w:r>
              <w:rPr>
                <w:rFonts w:asciiTheme="majorBidi" w:hAnsiTheme="majorBidi" w:cstheme="majorBidi"/>
                <w:sz w:val="16"/>
                <w:szCs w:val="16"/>
              </w:rPr>
              <w:t>*</w:t>
            </w:r>
          </w:p>
        </w:tc>
        <w:tc>
          <w:tcPr>
            <w:tcW w:w="407" w:type="pct"/>
          </w:tcPr>
          <w:p w14:paraId="25DE3ECA" w14:textId="77777777" w:rsidR="00B44AC2" w:rsidRPr="00EC36FA" w:rsidRDefault="00B44AC2" w:rsidP="00B44AC2">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EC36FA">
              <w:rPr>
                <w:rFonts w:asciiTheme="majorBidi" w:hAnsiTheme="majorBidi" w:cstheme="majorBidi"/>
                <w:sz w:val="16"/>
                <w:szCs w:val="16"/>
                <w:highlight w:val="yellow"/>
              </w:rPr>
              <w:t>Qualitative usability feedback and quantitative performance data reported without complementary analysis or synthesis.</w:t>
            </w:r>
          </w:p>
          <w:p w14:paraId="5A1B85D3" w14:textId="77777777" w:rsidR="00B44AC2" w:rsidRPr="00354AB0"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p>
        </w:tc>
        <w:tc>
          <w:tcPr>
            <w:tcW w:w="344" w:type="pct"/>
          </w:tcPr>
          <w:p w14:paraId="6CE9E390"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In use</w:t>
            </w:r>
          </w:p>
        </w:tc>
        <w:tc>
          <w:tcPr>
            <w:tcW w:w="344" w:type="pct"/>
          </w:tcPr>
          <w:p w14:paraId="63CC0B70"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Performance and Usability Evaluation</w:t>
            </w:r>
          </w:p>
        </w:tc>
        <w:tc>
          <w:tcPr>
            <w:tcW w:w="344" w:type="pct"/>
          </w:tcPr>
          <w:p w14:paraId="25DFB8E8"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tl/>
                <w:lang w:bidi="fa-IR"/>
              </w:rPr>
            </w:pPr>
            <w:r w:rsidRPr="009C0C4D">
              <w:rPr>
                <w:rFonts w:asciiTheme="majorBidi" w:hAnsiTheme="majorBidi" w:cstheme="majorBidi"/>
                <w:sz w:val="16"/>
                <w:szCs w:val="16"/>
                <w:lang w:val="en" w:bidi="fa-IR"/>
              </w:rPr>
              <w:t>Physicians</w:t>
            </w:r>
          </w:p>
        </w:tc>
        <w:tc>
          <w:tcPr>
            <w:tcW w:w="343" w:type="pct"/>
          </w:tcPr>
          <w:p w14:paraId="12C5615E"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LabVIEW-based dashboard</w:t>
            </w:r>
          </w:p>
        </w:tc>
        <w:tc>
          <w:tcPr>
            <w:tcW w:w="356" w:type="pct"/>
          </w:tcPr>
          <w:p w14:paraId="393518C2"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1 month</w:t>
            </w:r>
          </w:p>
        </w:tc>
        <w:tc>
          <w:tcPr>
            <w:tcW w:w="455" w:type="pct"/>
          </w:tcPr>
          <w:p w14:paraId="45039A80"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The system effectively identified and resolved anomalies in real-time. Its usability garnered positive evaluations, and all participants expressed a robust sense of safety.</w:t>
            </w:r>
          </w:p>
        </w:tc>
      </w:tr>
      <w:tr w:rsidR="00B44AC2" w:rsidRPr="009C0C4D" w14:paraId="5439BDFD" w14:textId="77777777" w:rsidTr="00B44AC2">
        <w:trPr>
          <w:jc w:val="center"/>
        </w:trPr>
        <w:tc>
          <w:tcPr>
            <w:cnfStyle w:val="001000000000" w:firstRow="0" w:lastRow="0" w:firstColumn="1" w:lastColumn="0" w:oddVBand="0" w:evenVBand="0" w:oddHBand="0" w:evenHBand="0" w:firstRowFirstColumn="0" w:firstRowLastColumn="0" w:lastRowFirstColumn="0" w:lastRowLastColumn="0"/>
            <w:tcW w:w="280" w:type="pct"/>
          </w:tcPr>
          <w:p w14:paraId="75672DCB" w14:textId="28EF9F19" w:rsidR="00B44AC2" w:rsidRPr="009C0C4D" w:rsidRDefault="00B44AC2" w:rsidP="00B44AC2">
            <w:pPr>
              <w:rPr>
                <w:rFonts w:asciiTheme="majorBidi" w:hAnsiTheme="majorBidi" w:cstheme="majorBidi"/>
                <w:sz w:val="16"/>
                <w:szCs w:val="16"/>
              </w:rPr>
            </w:pPr>
            <w:r>
              <w:rPr>
                <w:rFonts w:asciiTheme="majorBidi" w:hAnsiTheme="majorBidi" w:cstheme="majorBidi"/>
                <w:noProof/>
                <w:sz w:val="16"/>
                <w:szCs w:val="16"/>
              </w:rPr>
              <w:t xml:space="preserve">Wariri et al. </w:t>
            </w:r>
          </w:p>
        </w:tc>
        <w:tc>
          <w:tcPr>
            <w:tcW w:w="227" w:type="pct"/>
          </w:tcPr>
          <w:p w14:paraId="1254AE9F" w14:textId="77777777" w:rsidR="00B44AC2" w:rsidRPr="009C0C4D" w:rsidRDefault="00B44AC2" w:rsidP="00B44AC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2021</w:t>
            </w:r>
          </w:p>
        </w:tc>
        <w:tc>
          <w:tcPr>
            <w:tcW w:w="294" w:type="pct"/>
          </w:tcPr>
          <w:p w14:paraId="55BBD690"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Gambia</w:t>
            </w:r>
          </w:p>
        </w:tc>
        <w:tc>
          <w:tcPr>
            <w:tcW w:w="324" w:type="pct"/>
          </w:tcPr>
          <w:p w14:paraId="42A06882" w14:textId="0320D328" w:rsidR="00B44AC2" w:rsidRPr="005A167C"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5A167C">
              <w:rPr>
                <w:rFonts w:asciiTheme="majorBidi" w:hAnsiTheme="majorBidi" w:cstheme="majorBidi"/>
                <w:sz w:val="16"/>
                <w:szCs w:val="16"/>
                <w:highlight w:val="yellow"/>
                <w:lang w:bidi="fa-IR"/>
              </w:rPr>
              <w:t>Level 5/ High</w:t>
            </w:r>
          </w:p>
        </w:tc>
        <w:tc>
          <w:tcPr>
            <w:tcW w:w="532" w:type="pct"/>
          </w:tcPr>
          <w:p w14:paraId="2223331F" w14:textId="2738A1B5"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To share expertise in developing and managing a virtual ward for home-based COVID-19 care in The Gambia, focusing on key components, deployment, and operations.</w:t>
            </w:r>
          </w:p>
        </w:tc>
        <w:tc>
          <w:tcPr>
            <w:tcW w:w="344" w:type="pct"/>
          </w:tcPr>
          <w:p w14:paraId="3B6CF9D0" w14:textId="77777777" w:rsidR="00B44AC2" w:rsidRPr="009C0C4D" w:rsidRDefault="00B44AC2" w:rsidP="00B44AC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Virtual Ward (VW)</w:t>
            </w:r>
          </w:p>
        </w:tc>
        <w:tc>
          <w:tcPr>
            <w:tcW w:w="406" w:type="pct"/>
          </w:tcPr>
          <w:p w14:paraId="5EB87A53" w14:textId="2C700268"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Qualitative and quantitative (non-integrated) </w:t>
            </w:r>
            <w:r>
              <w:rPr>
                <w:rFonts w:asciiTheme="majorBidi" w:hAnsiTheme="majorBidi" w:cstheme="majorBidi"/>
                <w:sz w:val="16"/>
                <w:szCs w:val="16"/>
              </w:rPr>
              <w:t>*</w:t>
            </w:r>
          </w:p>
        </w:tc>
        <w:tc>
          <w:tcPr>
            <w:tcW w:w="407" w:type="pct"/>
          </w:tcPr>
          <w:p w14:paraId="3C1361A5" w14:textId="77777777" w:rsidR="00B44AC2" w:rsidRPr="00D538EB"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D538EB">
              <w:rPr>
                <w:rFonts w:asciiTheme="majorBidi" w:hAnsiTheme="majorBidi" w:cstheme="majorBidi"/>
                <w:sz w:val="16"/>
                <w:szCs w:val="16"/>
                <w:highlight w:val="yellow"/>
              </w:rPr>
              <w:t>Qualitative and quantitative data reported separately; no triangulation or synthesis.</w:t>
            </w:r>
          </w:p>
          <w:p w14:paraId="6639B338" w14:textId="77777777" w:rsidR="00B44AC2" w:rsidRPr="00354AB0"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p>
        </w:tc>
        <w:tc>
          <w:tcPr>
            <w:tcW w:w="344" w:type="pct"/>
          </w:tcPr>
          <w:p w14:paraId="4E9D48DB"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In use</w:t>
            </w:r>
          </w:p>
        </w:tc>
        <w:tc>
          <w:tcPr>
            <w:tcW w:w="344" w:type="pct"/>
          </w:tcPr>
          <w:p w14:paraId="0300C76A"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Performance Evaluation</w:t>
            </w:r>
          </w:p>
        </w:tc>
        <w:tc>
          <w:tcPr>
            <w:tcW w:w="344" w:type="pct"/>
          </w:tcPr>
          <w:p w14:paraId="4FEED66B"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Healthcare team </w:t>
            </w:r>
          </w:p>
        </w:tc>
        <w:tc>
          <w:tcPr>
            <w:tcW w:w="343" w:type="pct"/>
          </w:tcPr>
          <w:p w14:paraId="18A4A775"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REDCap</w:t>
            </w:r>
          </w:p>
        </w:tc>
        <w:tc>
          <w:tcPr>
            <w:tcW w:w="356" w:type="pct"/>
          </w:tcPr>
          <w:p w14:paraId="7FB90326"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9 months</w:t>
            </w:r>
          </w:p>
        </w:tc>
        <w:tc>
          <w:tcPr>
            <w:tcW w:w="455" w:type="pct"/>
          </w:tcPr>
          <w:p w14:paraId="77BACC3A"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Four hundred twenty-seven patients received care, 2% needed hospitalization, and no deaths occurred, showing that VW reduced hospital burden and enabled safe at-home care.</w:t>
            </w:r>
          </w:p>
        </w:tc>
      </w:tr>
      <w:tr w:rsidR="00B44AC2" w:rsidRPr="009C0C4D" w14:paraId="20BE2CBB" w14:textId="77777777" w:rsidTr="00B44AC2">
        <w:trPr>
          <w:jc w:val="center"/>
        </w:trPr>
        <w:tc>
          <w:tcPr>
            <w:cnfStyle w:val="001000000000" w:firstRow="0" w:lastRow="0" w:firstColumn="1" w:lastColumn="0" w:oddVBand="0" w:evenVBand="0" w:oddHBand="0" w:evenHBand="0" w:firstRowFirstColumn="0" w:firstRowLastColumn="0" w:lastRowFirstColumn="0" w:lastRowLastColumn="0"/>
            <w:tcW w:w="280" w:type="pct"/>
          </w:tcPr>
          <w:p w14:paraId="463A628F" w14:textId="1213ED51" w:rsidR="00B44AC2" w:rsidRPr="009C0C4D" w:rsidRDefault="00B44AC2" w:rsidP="00B44AC2">
            <w:pPr>
              <w:rPr>
                <w:rFonts w:asciiTheme="majorBidi" w:hAnsiTheme="majorBidi" w:cstheme="majorBidi"/>
                <w:sz w:val="16"/>
                <w:szCs w:val="16"/>
              </w:rPr>
            </w:pPr>
            <w:r>
              <w:rPr>
                <w:rFonts w:asciiTheme="majorBidi" w:hAnsiTheme="majorBidi" w:cstheme="majorBidi"/>
                <w:noProof/>
                <w:sz w:val="16"/>
                <w:szCs w:val="16"/>
              </w:rPr>
              <w:t xml:space="preserve">Vartanian et al. </w:t>
            </w:r>
          </w:p>
        </w:tc>
        <w:tc>
          <w:tcPr>
            <w:tcW w:w="227" w:type="pct"/>
          </w:tcPr>
          <w:p w14:paraId="48E3E503" w14:textId="77777777" w:rsidR="00B44AC2" w:rsidRPr="009C0C4D" w:rsidRDefault="00B44AC2" w:rsidP="00B44AC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2020</w:t>
            </w:r>
          </w:p>
        </w:tc>
        <w:tc>
          <w:tcPr>
            <w:tcW w:w="294" w:type="pct"/>
          </w:tcPr>
          <w:p w14:paraId="69D56E7E"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USA</w:t>
            </w:r>
          </w:p>
        </w:tc>
        <w:tc>
          <w:tcPr>
            <w:tcW w:w="324" w:type="pct"/>
          </w:tcPr>
          <w:p w14:paraId="15EE1F6C" w14:textId="742E26FE" w:rsidR="00B44AC2" w:rsidRPr="005A167C"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5A167C">
              <w:rPr>
                <w:rFonts w:asciiTheme="majorBidi" w:hAnsiTheme="majorBidi" w:cstheme="majorBidi"/>
                <w:sz w:val="16"/>
                <w:szCs w:val="16"/>
                <w:highlight w:val="yellow"/>
                <w:lang w:bidi="fa-IR"/>
              </w:rPr>
              <w:t>Level 5/ High</w:t>
            </w:r>
          </w:p>
        </w:tc>
        <w:tc>
          <w:tcPr>
            <w:tcW w:w="532" w:type="pct"/>
          </w:tcPr>
          <w:p w14:paraId="3BFCBFC6" w14:textId="73336672"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To analyze involvement, patient satisfaction, and healthcare utilization within the Providence COVID-19 home monitoring program (HMP) among English and Spanish speakers.</w:t>
            </w:r>
          </w:p>
        </w:tc>
        <w:tc>
          <w:tcPr>
            <w:tcW w:w="344" w:type="pct"/>
          </w:tcPr>
          <w:p w14:paraId="6A55ED43" w14:textId="77777777" w:rsidR="00B44AC2" w:rsidRPr="009C0C4D" w:rsidRDefault="00B44AC2" w:rsidP="00B44AC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Providence COVID-19 HMP</w:t>
            </w:r>
          </w:p>
        </w:tc>
        <w:tc>
          <w:tcPr>
            <w:tcW w:w="406" w:type="pct"/>
          </w:tcPr>
          <w:p w14:paraId="7D7C177A" w14:textId="60192C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Qualitative and quantitative (non-integrated) </w:t>
            </w:r>
            <w:r>
              <w:rPr>
                <w:rFonts w:asciiTheme="majorBidi" w:hAnsiTheme="majorBidi" w:cstheme="majorBidi"/>
                <w:sz w:val="16"/>
                <w:szCs w:val="16"/>
              </w:rPr>
              <w:t>*</w:t>
            </w:r>
          </w:p>
        </w:tc>
        <w:tc>
          <w:tcPr>
            <w:tcW w:w="407" w:type="pct"/>
          </w:tcPr>
          <w:p w14:paraId="1C9D91FE" w14:textId="5928AA72" w:rsidR="00B44AC2" w:rsidRPr="00354AB0"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354AB0">
              <w:rPr>
                <w:rFonts w:asciiTheme="majorBidi" w:hAnsiTheme="majorBidi" w:cstheme="majorBidi"/>
                <w:sz w:val="16"/>
                <w:szCs w:val="16"/>
                <w:highlight w:val="yellow"/>
              </w:rPr>
              <w:t>Qualitative satisfaction data and quantitative metrics reported independently; no synthesis.</w:t>
            </w:r>
          </w:p>
        </w:tc>
        <w:tc>
          <w:tcPr>
            <w:tcW w:w="344" w:type="pct"/>
          </w:tcPr>
          <w:p w14:paraId="63F67BB0"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In use</w:t>
            </w:r>
          </w:p>
        </w:tc>
        <w:tc>
          <w:tcPr>
            <w:tcW w:w="344" w:type="pct"/>
          </w:tcPr>
          <w:p w14:paraId="01F3F48B"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Performance and Satisfaction Evaluation</w:t>
            </w:r>
          </w:p>
        </w:tc>
        <w:tc>
          <w:tcPr>
            <w:tcW w:w="344" w:type="pct"/>
          </w:tcPr>
          <w:p w14:paraId="06F937AA"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Patients</w:t>
            </w:r>
          </w:p>
        </w:tc>
        <w:tc>
          <w:tcPr>
            <w:tcW w:w="343" w:type="pct"/>
          </w:tcPr>
          <w:p w14:paraId="21D92CF5"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Twistle and EHR</w:t>
            </w:r>
          </w:p>
        </w:tc>
        <w:tc>
          <w:tcPr>
            <w:tcW w:w="356" w:type="pct"/>
          </w:tcPr>
          <w:p w14:paraId="239E8651"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8 months</w:t>
            </w:r>
          </w:p>
        </w:tc>
        <w:tc>
          <w:tcPr>
            <w:tcW w:w="455" w:type="pct"/>
          </w:tcPr>
          <w:p w14:paraId="13939B6C"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Over 97% of HMP patients felt safe and engaged and used outpatient and emergency services more frequently than the control group.</w:t>
            </w:r>
          </w:p>
        </w:tc>
      </w:tr>
      <w:tr w:rsidR="00B44AC2" w:rsidRPr="009C0C4D" w14:paraId="2DF41794" w14:textId="77777777" w:rsidTr="00B44AC2">
        <w:trPr>
          <w:jc w:val="center"/>
        </w:trPr>
        <w:tc>
          <w:tcPr>
            <w:cnfStyle w:val="001000000000" w:firstRow="0" w:lastRow="0" w:firstColumn="1" w:lastColumn="0" w:oddVBand="0" w:evenVBand="0" w:oddHBand="0" w:evenHBand="0" w:firstRowFirstColumn="0" w:firstRowLastColumn="0" w:lastRowFirstColumn="0" w:lastRowLastColumn="0"/>
            <w:tcW w:w="280" w:type="pct"/>
          </w:tcPr>
          <w:p w14:paraId="3AC6BD64" w14:textId="32464626" w:rsidR="00B44AC2" w:rsidRPr="009C0C4D" w:rsidRDefault="00B44AC2" w:rsidP="00B44AC2">
            <w:pPr>
              <w:rPr>
                <w:rFonts w:asciiTheme="majorBidi" w:hAnsiTheme="majorBidi" w:cstheme="majorBidi"/>
                <w:sz w:val="16"/>
                <w:szCs w:val="16"/>
              </w:rPr>
            </w:pPr>
            <w:r>
              <w:rPr>
                <w:rFonts w:asciiTheme="majorBidi" w:hAnsiTheme="majorBidi" w:cstheme="majorBidi"/>
                <w:noProof/>
                <w:sz w:val="16"/>
                <w:szCs w:val="16"/>
              </w:rPr>
              <w:t xml:space="preserve">Chechter et al. </w:t>
            </w:r>
          </w:p>
        </w:tc>
        <w:tc>
          <w:tcPr>
            <w:tcW w:w="227" w:type="pct"/>
          </w:tcPr>
          <w:p w14:paraId="755C710A" w14:textId="77777777" w:rsidR="00B44AC2" w:rsidRPr="009C0C4D" w:rsidRDefault="00B44AC2" w:rsidP="00B44AC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w:t>
            </w:r>
            <w:r w:rsidRPr="009C0C4D">
              <w:rPr>
                <w:sz w:val="16"/>
                <w:szCs w:val="16"/>
              </w:rPr>
              <w:t>020</w:t>
            </w:r>
          </w:p>
        </w:tc>
        <w:tc>
          <w:tcPr>
            <w:tcW w:w="294" w:type="pct"/>
          </w:tcPr>
          <w:p w14:paraId="76698EB5"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Brazil</w:t>
            </w:r>
          </w:p>
        </w:tc>
        <w:tc>
          <w:tcPr>
            <w:tcW w:w="324" w:type="pct"/>
          </w:tcPr>
          <w:p w14:paraId="7AF6E7F8" w14:textId="299ACBE5" w:rsidR="00B44AC2" w:rsidRPr="005A167C"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5A167C">
              <w:rPr>
                <w:rFonts w:asciiTheme="majorBidi" w:hAnsiTheme="majorBidi" w:cstheme="majorBidi"/>
                <w:sz w:val="16"/>
                <w:szCs w:val="16"/>
                <w:highlight w:val="yellow"/>
                <w:lang w:bidi="fa-IR"/>
              </w:rPr>
              <w:t>Level 5/ High</w:t>
            </w:r>
          </w:p>
        </w:tc>
        <w:tc>
          <w:tcPr>
            <w:tcW w:w="532" w:type="pct"/>
          </w:tcPr>
          <w:p w14:paraId="4A949C2E" w14:textId="48763C5F"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To describe our telemedicine experience in São Paulo and evaluate COVID-19 clinical outcomes.</w:t>
            </w:r>
          </w:p>
        </w:tc>
        <w:tc>
          <w:tcPr>
            <w:tcW w:w="344" w:type="pct"/>
          </w:tcPr>
          <w:p w14:paraId="4238763D" w14:textId="77777777" w:rsidR="00B44AC2" w:rsidRPr="009C0C4D" w:rsidRDefault="00B44AC2" w:rsidP="00B44AC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Not mentioned</w:t>
            </w:r>
          </w:p>
        </w:tc>
        <w:tc>
          <w:tcPr>
            <w:tcW w:w="406" w:type="pct"/>
          </w:tcPr>
          <w:p w14:paraId="0B1CE0B9" w14:textId="40CBC585"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Qualitative and quantitative (non-integrated)</w:t>
            </w:r>
            <w:r>
              <w:rPr>
                <w:rFonts w:asciiTheme="majorBidi" w:hAnsiTheme="majorBidi" w:cstheme="majorBidi"/>
                <w:sz w:val="16"/>
                <w:szCs w:val="16"/>
              </w:rPr>
              <w:t>*</w:t>
            </w:r>
            <w:r w:rsidRPr="009C0C4D">
              <w:rPr>
                <w:rFonts w:asciiTheme="majorBidi" w:hAnsiTheme="majorBidi" w:cstheme="majorBidi"/>
                <w:sz w:val="16"/>
                <w:szCs w:val="16"/>
              </w:rPr>
              <w:t xml:space="preserve"> </w:t>
            </w:r>
          </w:p>
        </w:tc>
        <w:tc>
          <w:tcPr>
            <w:tcW w:w="407" w:type="pct"/>
          </w:tcPr>
          <w:p w14:paraId="31EDC78D" w14:textId="6465558F" w:rsidR="00B44AC2" w:rsidRPr="001F2C48"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1F2C48">
              <w:rPr>
                <w:rFonts w:asciiTheme="majorBidi" w:hAnsiTheme="majorBidi" w:cstheme="majorBidi"/>
                <w:sz w:val="16"/>
                <w:szCs w:val="16"/>
                <w:highlight w:val="yellow"/>
              </w:rPr>
              <w:t xml:space="preserve">Qualitative insights and quantitative outcomes </w:t>
            </w:r>
            <w:r>
              <w:rPr>
                <w:rFonts w:asciiTheme="majorBidi" w:hAnsiTheme="majorBidi" w:cstheme="majorBidi"/>
                <w:sz w:val="16"/>
                <w:szCs w:val="16"/>
                <w:highlight w:val="yellow"/>
              </w:rPr>
              <w:t xml:space="preserve">are </w:t>
            </w:r>
            <w:r w:rsidRPr="001F2C48">
              <w:rPr>
                <w:rFonts w:asciiTheme="majorBidi" w:hAnsiTheme="majorBidi" w:cstheme="majorBidi"/>
                <w:sz w:val="16"/>
                <w:szCs w:val="16"/>
                <w:highlight w:val="yellow"/>
              </w:rPr>
              <w:t>reported separately; no methodological integration.</w:t>
            </w:r>
          </w:p>
          <w:p w14:paraId="6DE5D586" w14:textId="77777777" w:rsidR="00B44AC2" w:rsidRPr="00354AB0"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p>
        </w:tc>
        <w:tc>
          <w:tcPr>
            <w:tcW w:w="344" w:type="pct"/>
          </w:tcPr>
          <w:p w14:paraId="253D57FD"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Summative </w:t>
            </w:r>
          </w:p>
        </w:tc>
        <w:tc>
          <w:tcPr>
            <w:tcW w:w="344" w:type="pct"/>
          </w:tcPr>
          <w:p w14:paraId="3D654460"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Performance Evaluation </w:t>
            </w:r>
          </w:p>
        </w:tc>
        <w:tc>
          <w:tcPr>
            <w:tcW w:w="344" w:type="pct"/>
          </w:tcPr>
          <w:p w14:paraId="70FCEAF1"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physicians</w:t>
            </w:r>
          </w:p>
        </w:tc>
        <w:tc>
          <w:tcPr>
            <w:tcW w:w="343" w:type="pct"/>
          </w:tcPr>
          <w:p w14:paraId="31CE181D"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DFMed system</w:t>
            </w:r>
          </w:p>
        </w:tc>
        <w:tc>
          <w:tcPr>
            <w:tcW w:w="356" w:type="pct"/>
          </w:tcPr>
          <w:p w14:paraId="4A7FCE0D"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6 months</w:t>
            </w:r>
          </w:p>
        </w:tc>
        <w:tc>
          <w:tcPr>
            <w:tcW w:w="455" w:type="pct"/>
          </w:tcPr>
          <w:p w14:paraId="2410A76F"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Telemedicine eased the health system's burden and minimized staff exposure. Patients treated early with medication had better clinical outcomes and needed less hospitalization.</w:t>
            </w:r>
          </w:p>
        </w:tc>
      </w:tr>
      <w:tr w:rsidR="00B44AC2" w:rsidRPr="009C0C4D" w14:paraId="78BBAB43" w14:textId="77777777" w:rsidTr="00B44AC2">
        <w:trPr>
          <w:jc w:val="center"/>
        </w:trPr>
        <w:tc>
          <w:tcPr>
            <w:cnfStyle w:val="001000000000" w:firstRow="0" w:lastRow="0" w:firstColumn="1" w:lastColumn="0" w:oddVBand="0" w:evenVBand="0" w:oddHBand="0" w:evenHBand="0" w:firstRowFirstColumn="0" w:firstRowLastColumn="0" w:lastRowFirstColumn="0" w:lastRowLastColumn="0"/>
            <w:tcW w:w="280" w:type="pct"/>
          </w:tcPr>
          <w:p w14:paraId="083962D5" w14:textId="562C1BE1" w:rsidR="00B44AC2" w:rsidRPr="009C0C4D" w:rsidRDefault="00B44AC2" w:rsidP="00B44AC2">
            <w:pPr>
              <w:rPr>
                <w:rFonts w:asciiTheme="majorBidi" w:hAnsiTheme="majorBidi" w:cstheme="majorBidi"/>
                <w:sz w:val="16"/>
                <w:szCs w:val="16"/>
              </w:rPr>
            </w:pPr>
            <w:r>
              <w:rPr>
                <w:rFonts w:asciiTheme="majorBidi" w:hAnsiTheme="majorBidi" w:cstheme="majorBidi"/>
                <w:noProof/>
                <w:sz w:val="16"/>
                <w:szCs w:val="16"/>
              </w:rPr>
              <w:t xml:space="preserve">Pedretti et al. </w:t>
            </w:r>
          </w:p>
        </w:tc>
        <w:tc>
          <w:tcPr>
            <w:tcW w:w="227" w:type="pct"/>
          </w:tcPr>
          <w:p w14:paraId="1C914598" w14:textId="77777777" w:rsidR="00B44AC2" w:rsidRPr="009C0C4D" w:rsidRDefault="00B44AC2" w:rsidP="00B44AC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2022</w:t>
            </w:r>
          </w:p>
        </w:tc>
        <w:tc>
          <w:tcPr>
            <w:tcW w:w="294" w:type="pct"/>
          </w:tcPr>
          <w:p w14:paraId="0C27A540"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lang w:bidi="fa-IR"/>
              </w:rPr>
              <w:t>Argentina</w:t>
            </w:r>
          </w:p>
        </w:tc>
        <w:tc>
          <w:tcPr>
            <w:tcW w:w="324" w:type="pct"/>
          </w:tcPr>
          <w:p w14:paraId="209DB29D" w14:textId="34E90A8F" w:rsidR="00B44AC2" w:rsidRPr="005A167C"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5A167C">
              <w:rPr>
                <w:rFonts w:asciiTheme="majorBidi" w:hAnsiTheme="majorBidi" w:cstheme="majorBidi"/>
                <w:sz w:val="16"/>
                <w:szCs w:val="16"/>
                <w:highlight w:val="yellow"/>
                <w:lang w:bidi="fa-IR"/>
              </w:rPr>
              <w:t>Level 5/ High</w:t>
            </w:r>
          </w:p>
        </w:tc>
        <w:tc>
          <w:tcPr>
            <w:tcW w:w="532" w:type="pct"/>
          </w:tcPr>
          <w:p w14:paraId="67FB313C" w14:textId="5D625682"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To describe the design, </w:t>
            </w:r>
            <w:r w:rsidRPr="009C0C4D">
              <w:rPr>
                <w:rFonts w:asciiTheme="majorBidi" w:hAnsiTheme="majorBidi" w:cstheme="majorBidi"/>
                <w:sz w:val="16"/>
                <w:szCs w:val="16"/>
              </w:rPr>
              <w:lastRenderedPageBreak/>
              <w:t>implementation, and use of an electronic dashboard for monitoring COVID outpatients via telehealth, leveraging data science to optimize services and decision-making.</w:t>
            </w:r>
          </w:p>
        </w:tc>
        <w:tc>
          <w:tcPr>
            <w:tcW w:w="344" w:type="pct"/>
          </w:tcPr>
          <w:p w14:paraId="2A9CB259" w14:textId="77777777" w:rsidR="00B44AC2" w:rsidRPr="009C0C4D" w:rsidRDefault="00B44AC2" w:rsidP="00B44AC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lastRenderedPageBreak/>
              <w:t>Not mentioned</w:t>
            </w:r>
          </w:p>
        </w:tc>
        <w:tc>
          <w:tcPr>
            <w:tcW w:w="406" w:type="pct"/>
          </w:tcPr>
          <w:p w14:paraId="5872DB38" w14:textId="6AAC5386"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Qualitative and </w:t>
            </w:r>
            <w:r w:rsidRPr="009C0C4D">
              <w:rPr>
                <w:rFonts w:asciiTheme="majorBidi" w:hAnsiTheme="majorBidi" w:cstheme="majorBidi"/>
                <w:sz w:val="16"/>
                <w:szCs w:val="16"/>
              </w:rPr>
              <w:lastRenderedPageBreak/>
              <w:t>quantitative (non-integrated)</w:t>
            </w:r>
            <w:r>
              <w:rPr>
                <w:rFonts w:asciiTheme="majorBidi" w:hAnsiTheme="majorBidi" w:cstheme="majorBidi"/>
                <w:sz w:val="16"/>
                <w:szCs w:val="16"/>
              </w:rPr>
              <w:t>*</w:t>
            </w:r>
            <w:r w:rsidRPr="009C0C4D">
              <w:rPr>
                <w:rFonts w:asciiTheme="majorBidi" w:hAnsiTheme="majorBidi" w:cstheme="majorBidi"/>
                <w:sz w:val="16"/>
                <w:szCs w:val="16"/>
              </w:rPr>
              <w:t xml:space="preserve"> </w:t>
            </w:r>
          </w:p>
        </w:tc>
        <w:tc>
          <w:tcPr>
            <w:tcW w:w="407" w:type="pct"/>
          </w:tcPr>
          <w:p w14:paraId="66F156C3" w14:textId="1AA8206E" w:rsidR="00B44AC2" w:rsidRPr="00306BB4"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306BB4">
              <w:rPr>
                <w:rFonts w:asciiTheme="majorBidi" w:hAnsiTheme="majorBidi" w:cstheme="majorBidi"/>
                <w:sz w:val="16"/>
                <w:szCs w:val="16"/>
                <w:highlight w:val="yellow"/>
              </w:rPr>
              <w:lastRenderedPageBreak/>
              <w:t xml:space="preserve">Qualitative and </w:t>
            </w:r>
            <w:r w:rsidRPr="00306BB4">
              <w:rPr>
                <w:rFonts w:asciiTheme="majorBidi" w:hAnsiTheme="majorBidi" w:cstheme="majorBidi"/>
                <w:sz w:val="16"/>
                <w:szCs w:val="16"/>
                <w:highlight w:val="yellow"/>
              </w:rPr>
              <w:lastRenderedPageBreak/>
              <w:t xml:space="preserve">quantitative </w:t>
            </w:r>
            <w:r w:rsidRPr="00354AB0">
              <w:rPr>
                <w:rFonts w:asciiTheme="majorBidi" w:hAnsiTheme="majorBidi" w:cstheme="majorBidi"/>
                <w:sz w:val="16"/>
                <w:szCs w:val="16"/>
                <w:highlight w:val="yellow"/>
              </w:rPr>
              <w:t xml:space="preserve">usability and </w:t>
            </w:r>
            <w:r w:rsidRPr="00306BB4">
              <w:rPr>
                <w:rFonts w:asciiTheme="majorBidi" w:hAnsiTheme="majorBidi" w:cstheme="majorBidi"/>
                <w:sz w:val="16"/>
                <w:szCs w:val="16"/>
                <w:highlight w:val="yellow"/>
              </w:rPr>
              <w:t xml:space="preserve">performance data </w:t>
            </w:r>
            <w:r w:rsidRPr="00354AB0">
              <w:rPr>
                <w:rFonts w:asciiTheme="majorBidi" w:hAnsiTheme="majorBidi" w:cstheme="majorBidi"/>
                <w:sz w:val="16"/>
                <w:szCs w:val="16"/>
                <w:highlight w:val="yellow"/>
              </w:rPr>
              <w:t>are reported</w:t>
            </w:r>
            <w:r w:rsidRPr="00306BB4">
              <w:rPr>
                <w:rFonts w:asciiTheme="majorBidi" w:hAnsiTheme="majorBidi" w:cstheme="majorBidi"/>
                <w:sz w:val="16"/>
                <w:szCs w:val="16"/>
                <w:highlight w:val="yellow"/>
              </w:rPr>
              <w:t xml:space="preserve"> separately; no synthesis.</w:t>
            </w:r>
          </w:p>
          <w:p w14:paraId="4950D9D8" w14:textId="77777777" w:rsidR="00B44AC2" w:rsidRPr="00354AB0"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p>
        </w:tc>
        <w:tc>
          <w:tcPr>
            <w:tcW w:w="344" w:type="pct"/>
          </w:tcPr>
          <w:p w14:paraId="3DC21FE4"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lastRenderedPageBreak/>
              <w:t>In use</w:t>
            </w:r>
          </w:p>
        </w:tc>
        <w:tc>
          <w:tcPr>
            <w:tcW w:w="344" w:type="pct"/>
          </w:tcPr>
          <w:p w14:paraId="5B4E414C"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Performance and </w:t>
            </w:r>
            <w:r w:rsidRPr="009C0C4D">
              <w:rPr>
                <w:rFonts w:asciiTheme="majorBidi" w:hAnsiTheme="majorBidi" w:cstheme="majorBidi"/>
                <w:sz w:val="16"/>
                <w:szCs w:val="16"/>
              </w:rPr>
              <w:lastRenderedPageBreak/>
              <w:t>Usability Evaluation</w:t>
            </w:r>
          </w:p>
        </w:tc>
        <w:tc>
          <w:tcPr>
            <w:tcW w:w="344" w:type="pct"/>
          </w:tcPr>
          <w:p w14:paraId="642BE7C9"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lastRenderedPageBreak/>
              <w:t xml:space="preserve">Healthcare team </w:t>
            </w:r>
          </w:p>
        </w:tc>
        <w:tc>
          <w:tcPr>
            <w:tcW w:w="343" w:type="pct"/>
          </w:tcPr>
          <w:p w14:paraId="0367E86F"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EHR</w:t>
            </w:r>
          </w:p>
        </w:tc>
        <w:tc>
          <w:tcPr>
            <w:tcW w:w="356" w:type="pct"/>
          </w:tcPr>
          <w:p w14:paraId="444C98B4"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 months</w:t>
            </w:r>
          </w:p>
        </w:tc>
        <w:tc>
          <w:tcPr>
            <w:tcW w:w="455" w:type="pct"/>
          </w:tcPr>
          <w:p w14:paraId="498B1BF0"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The dashboard effectively </w:t>
            </w:r>
            <w:r w:rsidRPr="009C0C4D">
              <w:rPr>
                <w:rFonts w:asciiTheme="majorBidi" w:hAnsiTheme="majorBidi" w:cstheme="majorBidi"/>
                <w:sz w:val="16"/>
                <w:szCs w:val="16"/>
              </w:rPr>
              <w:lastRenderedPageBreak/>
              <w:t>provided real-time data for monitoring and clinical decision-making. The emergency department readmission was 18%, and the rehospitalization rate was 4%.</w:t>
            </w:r>
          </w:p>
        </w:tc>
      </w:tr>
      <w:tr w:rsidR="00B44AC2" w:rsidRPr="009C0C4D" w14:paraId="7CC52557" w14:textId="77777777" w:rsidTr="00B44AC2">
        <w:trPr>
          <w:jc w:val="center"/>
        </w:trPr>
        <w:tc>
          <w:tcPr>
            <w:cnfStyle w:val="001000000000" w:firstRow="0" w:lastRow="0" w:firstColumn="1" w:lastColumn="0" w:oddVBand="0" w:evenVBand="0" w:oddHBand="0" w:evenHBand="0" w:firstRowFirstColumn="0" w:firstRowLastColumn="0" w:lastRowFirstColumn="0" w:lastRowLastColumn="0"/>
            <w:tcW w:w="280" w:type="pct"/>
          </w:tcPr>
          <w:p w14:paraId="52A62AD1" w14:textId="12740765" w:rsidR="00B44AC2" w:rsidRPr="009C0C4D" w:rsidRDefault="00B44AC2" w:rsidP="00B44AC2">
            <w:pPr>
              <w:rPr>
                <w:rFonts w:asciiTheme="majorBidi" w:hAnsiTheme="majorBidi" w:cstheme="majorBidi"/>
                <w:sz w:val="16"/>
                <w:szCs w:val="16"/>
              </w:rPr>
            </w:pPr>
            <w:r>
              <w:rPr>
                <w:rFonts w:asciiTheme="majorBidi" w:hAnsiTheme="majorBidi" w:cstheme="majorBidi"/>
                <w:noProof/>
                <w:sz w:val="16"/>
                <w:szCs w:val="16"/>
              </w:rPr>
              <w:lastRenderedPageBreak/>
              <w:t xml:space="preserve">Reforma et al. </w:t>
            </w:r>
          </w:p>
        </w:tc>
        <w:tc>
          <w:tcPr>
            <w:tcW w:w="227" w:type="pct"/>
          </w:tcPr>
          <w:p w14:paraId="4BC568F8" w14:textId="77777777" w:rsidR="00B44AC2" w:rsidRPr="009C0C4D" w:rsidRDefault="00B44AC2" w:rsidP="00B44AC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2020</w:t>
            </w:r>
          </w:p>
        </w:tc>
        <w:tc>
          <w:tcPr>
            <w:tcW w:w="294" w:type="pct"/>
          </w:tcPr>
          <w:p w14:paraId="6F58D226"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USA</w:t>
            </w:r>
          </w:p>
        </w:tc>
        <w:tc>
          <w:tcPr>
            <w:tcW w:w="324" w:type="pct"/>
          </w:tcPr>
          <w:p w14:paraId="104764ED" w14:textId="6B46DFAC" w:rsidR="00B44AC2" w:rsidRPr="005A167C"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5A167C">
              <w:rPr>
                <w:rFonts w:asciiTheme="majorBidi" w:hAnsiTheme="majorBidi" w:cstheme="majorBidi"/>
                <w:sz w:val="16"/>
                <w:szCs w:val="16"/>
                <w:highlight w:val="yellow"/>
                <w:lang w:bidi="fa-IR"/>
              </w:rPr>
              <w:t>Level 5/ High</w:t>
            </w:r>
          </w:p>
        </w:tc>
        <w:tc>
          <w:tcPr>
            <w:tcW w:w="532" w:type="pct"/>
          </w:tcPr>
          <w:p w14:paraId="3D82F6C3" w14:textId="03A9484D"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To describe the feasibility and clinical outcomes of a multidisciplinary telemedicine surveillance model for triaging and managing obstetrical patients with COVID-19 exposures and symptoms.</w:t>
            </w:r>
          </w:p>
        </w:tc>
        <w:tc>
          <w:tcPr>
            <w:tcW w:w="344" w:type="pct"/>
          </w:tcPr>
          <w:p w14:paraId="64417386" w14:textId="77777777" w:rsidR="00B44AC2" w:rsidRPr="009C0C4D" w:rsidRDefault="00B44AC2" w:rsidP="00B44AC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Not mentioned</w:t>
            </w:r>
          </w:p>
        </w:tc>
        <w:tc>
          <w:tcPr>
            <w:tcW w:w="406" w:type="pct"/>
          </w:tcPr>
          <w:p w14:paraId="3DF9CFF8" w14:textId="700D35BC"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Qualitative and quantitative (non-integrated) </w:t>
            </w:r>
            <w:r>
              <w:rPr>
                <w:rFonts w:asciiTheme="majorBidi" w:hAnsiTheme="majorBidi" w:cstheme="majorBidi"/>
                <w:sz w:val="16"/>
                <w:szCs w:val="16"/>
              </w:rPr>
              <w:t>*</w:t>
            </w:r>
          </w:p>
        </w:tc>
        <w:tc>
          <w:tcPr>
            <w:tcW w:w="407" w:type="pct"/>
          </w:tcPr>
          <w:p w14:paraId="6411ACA1" w14:textId="15E05549" w:rsidR="00B44AC2" w:rsidRPr="00073ACF"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073ACF">
              <w:rPr>
                <w:rFonts w:asciiTheme="majorBidi" w:hAnsiTheme="majorBidi" w:cstheme="majorBidi"/>
                <w:sz w:val="16"/>
                <w:szCs w:val="16"/>
                <w:highlight w:val="yellow"/>
              </w:rPr>
              <w:t xml:space="preserve">Qualitative and quantitative outcomes reported </w:t>
            </w:r>
            <w:r w:rsidRPr="00354AB0">
              <w:rPr>
                <w:rFonts w:asciiTheme="majorBidi" w:hAnsiTheme="majorBidi" w:cstheme="majorBidi"/>
                <w:sz w:val="16"/>
                <w:szCs w:val="16"/>
                <w:highlight w:val="yellow"/>
              </w:rPr>
              <w:t>independently,</w:t>
            </w:r>
            <w:r w:rsidRPr="00073ACF">
              <w:rPr>
                <w:rFonts w:asciiTheme="majorBidi" w:hAnsiTheme="majorBidi" w:cstheme="majorBidi"/>
                <w:sz w:val="16"/>
                <w:szCs w:val="16"/>
                <w:highlight w:val="yellow"/>
              </w:rPr>
              <w:t xml:space="preserve"> no triangulation.</w:t>
            </w:r>
          </w:p>
          <w:p w14:paraId="33AC3356" w14:textId="77777777" w:rsidR="00B44AC2" w:rsidRPr="00354AB0"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p>
        </w:tc>
        <w:tc>
          <w:tcPr>
            <w:tcW w:w="344" w:type="pct"/>
          </w:tcPr>
          <w:p w14:paraId="703A46B3"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Summative </w:t>
            </w:r>
          </w:p>
        </w:tc>
        <w:tc>
          <w:tcPr>
            <w:tcW w:w="344" w:type="pct"/>
          </w:tcPr>
          <w:p w14:paraId="06B746C7"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Performance Evaluation</w:t>
            </w:r>
          </w:p>
        </w:tc>
        <w:tc>
          <w:tcPr>
            <w:tcW w:w="344" w:type="pct"/>
          </w:tcPr>
          <w:p w14:paraId="4022FC9C"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Healthcare team </w:t>
            </w:r>
          </w:p>
        </w:tc>
        <w:tc>
          <w:tcPr>
            <w:tcW w:w="343" w:type="pct"/>
          </w:tcPr>
          <w:p w14:paraId="1941CEFB"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EHR</w:t>
            </w:r>
          </w:p>
        </w:tc>
        <w:tc>
          <w:tcPr>
            <w:tcW w:w="356" w:type="pct"/>
          </w:tcPr>
          <w:p w14:paraId="0CAE32A7"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1 month</w:t>
            </w:r>
          </w:p>
        </w:tc>
        <w:tc>
          <w:tcPr>
            <w:tcW w:w="455" w:type="pct"/>
          </w:tcPr>
          <w:p w14:paraId="11D9DE61"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lang w:val="en"/>
              </w:rPr>
              <w:t>The telemedicine model helped reduce the need for in-person visits and the use of hospital resources.</w:t>
            </w:r>
          </w:p>
          <w:p w14:paraId="6E34DB12" w14:textId="77777777" w:rsidR="00B44AC2" w:rsidRPr="009C0C4D" w:rsidRDefault="00B44AC2" w:rsidP="00B44AC2">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p>
        </w:tc>
      </w:tr>
      <w:tr w:rsidR="00DD596E" w:rsidRPr="009C0C4D" w14:paraId="158DC93D" w14:textId="77777777" w:rsidTr="00B44AC2">
        <w:trPr>
          <w:jc w:val="center"/>
        </w:trPr>
        <w:tc>
          <w:tcPr>
            <w:cnfStyle w:val="001000000000" w:firstRow="0" w:lastRow="0" w:firstColumn="1" w:lastColumn="0" w:oddVBand="0" w:evenVBand="0" w:oddHBand="0" w:evenHBand="0" w:firstRowFirstColumn="0" w:firstRowLastColumn="0" w:lastRowFirstColumn="0" w:lastRowLastColumn="0"/>
            <w:tcW w:w="280" w:type="pct"/>
          </w:tcPr>
          <w:p w14:paraId="323678B6" w14:textId="120ECF89" w:rsidR="0020220A" w:rsidRPr="009C0C4D" w:rsidRDefault="0020220A" w:rsidP="00201FFC">
            <w:pPr>
              <w:rPr>
                <w:rFonts w:asciiTheme="majorBidi" w:hAnsiTheme="majorBidi" w:cstheme="majorBidi"/>
                <w:sz w:val="16"/>
                <w:szCs w:val="16"/>
              </w:rPr>
            </w:pPr>
            <w:r>
              <w:rPr>
                <w:rFonts w:asciiTheme="majorBidi" w:hAnsiTheme="majorBidi" w:cstheme="majorBidi"/>
                <w:noProof/>
                <w:sz w:val="16"/>
                <w:szCs w:val="16"/>
              </w:rPr>
              <w:t>Liu et al.</w:t>
            </w:r>
          </w:p>
        </w:tc>
        <w:tc>
          <w:tcPr>
            <w:tcW w:w="227" w:type="pct"/>
          </w:tcPr>
          <w:p w14:paraId="6EC1AC91" w14:textId="77777777" w:rsidR="0020220A" w:rsidRPr="009C0C4D" w:rsidRDefault="0020220A" w:rsidP="00201FF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2022</w:t>
            </w:r>
          </w:p>
        </w:tc>
        <w:tc>
          <w:tcPr>
            <w:tcW w:w="294" w:type="pct"/>
          </w:tcPr>
          <w:p w14:paraId="17061756" w14:textId="77777777" w:rsidR="0020220A" w:rsidRPr="009C0C4D" w:rsidRDefault="0020220A" w:rsidP="00201FF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USA</w:t>
            </w:r>
          </w:p>
        </w:tc>
        <w:tc>
          <w:tcPr>
            <w:tcW w:w="324" w:type="pct"/>
          </w:tcPr>
          <w:p w14:paraId="25E98301" w14:textId="4933BC68" w:rsidR="0020220A" w:rsidRPr="005A167C" w:rsidRDefault="00A72A6B" w:rsidP="00201FF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5A167C">
              <w:rPr>
                <w:rFonts w:asciiTheme="majorBidi" w:hAnsiTheme="majorBidi" w:cstheme="majorBidi"/>
                <w:sz w:val="16"/>
                <w:szCs w:val="16"/>
                <w:highlight w:val="yellow"/>
              </w:rPr>
              <w:t>Level 4/ Moderate</w:t>
            </w:r>
          </w:p>
        </w:tc>
        <w:tc>
          <w:tcPr>
            <w:tcW w:w="532" w:type="pct"/>
          </w:tcPr>
          <w:p w14:paraId="5FB9FE01" w14:textId="5986DD6D" w:rsidR="0020220A" w:rsidRPr="009C0C4D" w:rsidRDefault="0020220A" w:rsidP="00201FF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To assess user experience and satisfaction and to report alternatives to using a COVID-19 symptom checker with self-triage and self-scheduling features.</w:t>
            </w:r>
          </w:p>
        </w:tc>
        <w:tc>
          <w:tcPr>
            <w:tcW w:w="344" w:type="pct"/>
          </w:tcPr>
          <w:p w14:paraId="7D525C4D" w14:textId="77777777" w:rsidR="0020220A" w:rsidRPr="009C0C4D" w:rsidRDefault="0020220A" w:rsidP="00201FF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UCSF COVID-19 Symptom Checker</w:t>
            </w:r>
          </w:p>
        </w:tc>
        <w:tc>
          <w:tcPr>
            <w:tcW w:w="406" w:type="pct"/>
          </w:tcPr>
          <w:p w14:paraId="5BAC0469" w14:textId="77777777" w:rsidR="0020220A" w:rsidRPr="009C0C4D" w:rsidRDefault="0020220A" w:rsidP="00201FF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Quantitative</w:t>
            </w:r>
          </w:p>
        </w:tc>
        <w:tc>
          <w:tcPr>
            <w:tcW w:w="407" w:type="pct"/>
          </w:tcPr>
          <w:p w14:paraId="71321585" w14:textId="3EF0D1C3" w:rsidR="0020220A" w:rsidRPr="00354AB0" w:rsidRDefault="0020220A" w:rsidP="00201FF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354AB0">
              <w:rPr>
                <w:rFonts w:asciiTheme="majorBidi" w:hAnsiTheme="majorBidi" w:cstheme="majorBidi"/>
                <w:sz w:val="16"/>
                <w:szCs w:val="16"/>
                <w:highlight w:val="yellow"/>
              </w:rPr>
              <w:t>-</w:t>
            </w:r>
          </w:p>
        </w:tc>
        <w:tc>
          <w:tcPr>
            <w:tcW w:w="344" w:type="pct"/>
          </w:tcPr>
          <w:p w14:paraId="2970864E" w14:textId="77777777" w:rsidR="0020220A" w:rsidRPr="009C0C4D" w:rsidRDefault="0020220A" w:rsidP="00201FF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Summative</w:t>
            </w:r>
          </w:p>
        </w:tc>
        <w:tc>
          <w:tcPr>
            <w:tcW w:w="344" w:type="pct"/>
          </w:tcPr>
          <w:p w14:paraId="5CDD22E5" w14:textId="77777777" w:rsidR="0020220A" w:rsidRPr="009C0C4D" w:rsidRDefault="0020220A" w:rsidP="00201FF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tl/>
                <w:lang w:bidi="fa-IR"/>
              </w:rPr>
            </w:pPr>
            <w:r w:rsidRPr="009C0C4D">
              <w:rPr>
                <w:rFonts w:asciiTheme="majorBidi" w:hAnsiTheme="majorBidi" w:cstheme="majorBidi"/>
                <w:sz w:val="16"/>
                <w:szCs w:val="16"/>
              </w:rPr>
              <w:t>Satisfaction Evaluation</w:t>
            </w:r>
          </w:p>
        </w:tc>
        <w:tc>
          <w:tcPr>
            <w:tcW w:w="344" w:type="pct"/>
          </w:tcPr>
          <w:p w14:paraId="2A908CC0" w14:textId="77777777" w:rsidR="0020220A" w:rsidRPr="009C0C4D" w:rsidRDefault="0020220A" w:rsidP="00201FF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Patients </w:t>
            </w:r>
          </w:p>
        </w:tc>
        <w:tc>
          <w:tcPr>
            <w:tcW w:w="343" w:type="pct"/>
          </w:tcPr>
          <w:p w14:paraId="06746843" w14:textId="77777777" w:rsidR="0020220A" w:rsidRPr="009C0C4D" w:rsidRDefault="0020220A" w:rsidP="00201FF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Qualtrics online questionnaire</w:t>
            </w:r>
          </w:p>
        </w:tc>
        <w:tc>
          <w:tcPr>
            <w:tcW w:w="356" w:type="pct"/>
          </w:tcPr>
          <w:p w14:paraId="3AD082E5" w14:textId="77777777" w:rsidR="0020220A" w:rsidRPr="009C0C4D" w:rsidRDefault="0020220A" w:rsidP="00201FF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3 months</w:t>
            </w:r>
          </w:p>
        </w:tc>
        <w:tc>
          <w:tcPr>
            <w:tcW w:w="455" w:type="pct"/>
          </w:tcPr>
          <w:p w14:paraId="6C3A59A4" w14:textId="77777777" w:rsidR="0020220A" w:rsidRPr="009C0C4D" w:rsidRDefault="0020220A" w:rsidP="00201FF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Overall user satisfaction was high, with an average score of 8/10, and 47.6% of users rated it 9 or 10. The ability to schedule a test online was the most valued feature.</w:t>
            </w:r>
          </w:p>
        </w:tc>
      </w:tr>
      <w:tr w:rsidR="0086741C" w:rsidRPr="009C0C4D" w14:paraId="16603413" w14:textId="77777777" w:rsidTr="00B44AC2">
        <w:trPr>
          <w:jc w:val="center"/>
        </w:trPr>
        <w:tc>
          <w:tcPr>
            <w:cnfStyle w:val="001000000000" w:firstRow="0" w:lastRow="0" w:firstColumn="1" w:lastColumn="0" w:oddVBand="0" w:evenVBand="0" w:oddHBand="0" w:evenHBand="0" w:firstRowFirstColumn="0" w:firstRowLastColumn="0" w:lastRowFirstColumn="0" w:lastRowLastColumn="0"/>
            <w:tcW w:w="280" w:type="pct"/>
          </w:tcPr>
          <w:p w14:paraId="7B6DE8EC" w14:textId="0C0D7E53" w:rsidR="0086741C" w:rsidRPr="009C0C4D" w:rsidRDefault="0086741C" w:rsidP="0086741C">
            <w:pPr>
              <w:rPr>
                <w:rFonts w:asciiTheme="majorBidi" w:hAnsiTheme="majorBidi" w:cstheme="majorBidi"/>
                <w:sz w:val="16"/>
                <w:szCs w:val="16"/>
              </w:rPr>
            </w:pPr>
            <w:r>
              <w:rPr>
                <w:rFonts w:asciiTheme="majorBidi" w:hAnsiTheme="majorBidi" w:cstheme="majorBidi"/>
                <w:noProof/>
                <w:sz w:val="16"/>
                <w:szCs w:val="16"/>
              </w:rPr>
              <w:t xml:space="preserve">Xu et al. </w:t>
            </w:r>
          </w:p>
        </w:tc>
        <w:tc>
          <w:tcPr>
            <w:tcW w:w="227" w:type="pct"/>
          </w:tcPr>
          <w:p w14:paraId="428D95AD" w14:textId="77777777" w:rsidR="0086741C" w:rsidRPr="009C0C4D" w:rsidRDefault="0086741C" w:rsidP="0086741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2020</w:t>
            </w:r>
          </w:p>
        </w:tc>
        <w:tc>
          <w:tcPr>
            <w:tcW w:w="294" w:type="pct"/>
          </w:tcPr>
          <w:p w14:paraId="4CB3F613"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China</w:t>
            </w:r>
          </w:p>
        </w:tc>
        <w:tc>
          <w:tcPr>
            <w:tcW w:w="324" w:type="pct"/>
          </w:tcPr>
          <w:p w14:paraId="6FFB5129" w14:textId="36DC68D7" w:rsidR="0086741C" w:rsidRPr="005A167C"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5A167C">
              <w:rPr>
                <w:rFonts w:asciiTheme="majorBidi" w:hAnsiTheme="majorBidi" w:cstheme="majorBidi"/>
                <w:sz w:val="16"/>
                <w:szCs w:val="16"/>
                <w:highlight w:val="yellow"/>
                <w:lang w:bidi="fa-IR"/>
              </w:rPr>
              <w:t>Level 5/ High</w:t>
            </w:r>
          </w:p>
        </w:tc>
        <w:tc>
          <w:tcPr>
            <w:tcW w:w="532" w:type="pct"/>
          </w:tcPr>
          <w:p w14:paraId="2EF403C8" w14:textId="4F2C4261"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To evaluate the effectiveness of a WeChat-based telemedicine system in monitoring and managing home-quarantined COVID-19 patients, focusing on preventing delayed hospitalization and optimizing medical resources.</w:t>
            </w:r>
          </w:p>
        </w:tc>
        <w:tc>
          <w:tcPr>
            <w:tcW w:w="344" w:type="pct"/>
          </w:tcPr>
          <w:p w14:paraId="6241D111" w14:textId="77777777" w:rsidR="0086741C" w:rsidRPr="009C0C4D" w:rsidRDefault="0086741C" w:rsidP="0086741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WeChat</w:t>
            </w:r>
          </w:p>
        </w:tc>
        <w:tc>
          <w:tcPr>
            <w:tcW w:w="406" w:type="pct"/>
          </w:tcPr>
          <w:p w14:paraId="11FE68F9" w14:textId="45D36961" w:rsidR="0086741C" w:rsidRPr="009C0C4D" w:rsidRDefault="0086741C" w:rsidP="0086741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Qualitative and quantitative (non-integrated) </w:t>
            </w:r>
            <w:r>
              <w:rPr>
                <w:rFonts w:asciiTheme="majorBidi" w:hAnsiTheme="majorBidi" w:cstheme="majorBidi"/>
                <w:sz w:val="16"/>
                <w:szCs w:val="16"/>
              </w:rPr>
              <w:t>*</w:t>
            </w:r>
          </w:p>
        </w:tc>
        <w:tc>
          <w:tcPr>
            <w:tcW w:w="407" w:type="pct"/>
          </w:tcPr>
          <w:p w14:paraId="680DCC3B" w14:textId="3341C143" w:rsidR="0086741C" w:rsidRPr="00354AB0"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354AB0">
              <w:rPr>
                <w:rFonts w:asciiTheme="majorBidi" w:hAnsiTheme="majorBidi" w:cstheme="majorBidi"/>
                <w:sz w:val="16"/>
                <w:szCs w:val="16"/>
                <w:highlight w:val="yellow"/>
              </w:rPr>
              <w:t>Qualitative and quantitative data reported separately; no synthesis.</w:t>
            </w:r>
          </w:p>
        </w:tc>
        <w:tc>
          <w:tcPr>
            <w:tcW w:w="344" w:type="pct"/>
          </w:tcPr>
          <w:p w14:paraId="7460E0FA"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tl/>
              </w:rPr>
            </w:pPr>
            <w:r w:rsidRPr="009C0C4D">
              <w:rPr>
                <w:rFonts w:asciiTheme="majorBidi" w:hAnsiTheme="majorBidi" w:cstheme="majorBidi"/>
                <w:sz w:val="16"/>
                <w:szCs w:val="16"/>
              </w:rPr>
              <w:t xml:space="preserve">Formative </w:t>
            </w:r>
          </w:p>
        </w:tc>
        <w:tc>
          <w:tcPr>
            <w:tcW w:w="344" w:type="pct"/>
          </w:tcPr>
          <w:p w14:paraId="43A3C617"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Performance Evaluation</w:t>
            </w:r>
          </w:p>
        </w:tc>
        <w:tc>
          <w:tcPr>
            <w:tcW w:w="344" w:type="pct"/>
          </w:tcPr>
          <w:p w14:paraId="7CF33027"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Healthcare team </w:t>
            </w:r>
          </w:p>
        </w:tc>
        <w:tc>
          <w:tcPr>
            <w:tcW w:w="343" w:type="pct"/>
          </w:tcPr>
          <w:p w14:paraId="188B332B"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Electronic form</w:t>
            </w:r>
          </w:p>
        </w:tc>
        <w:tc>
          <w:tcPr>
            <w:tcW w:w="356" w:type="pct"/>
          </w:tcPr>
          <w:p w14:paraId="2F36BAC9"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26-days</w:t>
            </w:r>
          </w:p>
        </w:tc>
        <w:tc>
          <w:tcPr>
            <w:tcW w:w="455" w:type="pct"/>
          </w:tcPr>
          <w:p w14:paraId="61A87367"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The system effectively monitored patients, allowing timely intervention for severe cases and optimizing medical team workloads. It efficiently reduced hospitalization delays and improved resource allocation.</w:t>
            </w:r>
          </w:p>
        </w:tc>
      </w:tr>
      <w:tr w:rsidR="0086741C" w:rsidRPr="009C0C4D" w14:paraId="26FB35C9" w14:textId="77777777" w:rsidTr="00B44AC2">
        <w:trPr>
          <w:jc w:val="center"/>
        </w:trPr>
        <w:tc>
          <w:tcPr>
            <w:cnfStyle w:val="001000000000" w:firstRow="0" w:lastRow="0" w:firstColumn="1" w:lastColumn="0" w:oddVBand="0" w:evenVBand="0" w:oddHBand="0" w:evenHBand="0" w:firstRowFirstColumn="0" w:firstRowLastColumn="0" w:lastRowFirstColumn="0" w:lastRowLastColumn="0"/>
            <w:tcW w:w="280" w:type="pct"/>
          </w:tcPr>
          <w:p w14:paraId="03BA87D6" w14:textId="2BD744D1" w:rsidR="0086741C" w:rsidRPr="009C0C4D" w:rsidRDefault="0086741C" w:rsidP="0086741C">
            <w:pPr>
              <w:rPr>
                <w:rFonts w:asciiTheme="majorBidi" w:hAnsiTheme="majorBidi" w:cstheme="majorBidi"/>
                <w:sz w:val="16"/>
                <w:szCs w:val="16"/>
              </w:rPr>
            </w:pPr>
            <w:r>
              <w:rPr>
                <w:rFonts w:asciiTheme="majorBidi" w:hAnsiTheme="majorBidi" w:cstheme="majorBidi"/>
                <w:noProof/>
                <w:sz w:val="16"/>
                <w:szCs w:val="16"/>
              </w:rPr>
              <w:t>Echeverría et al.</w:t>
            </w:r>
          </w:p>
        </w:tc>
        <w:tc>
          <w:tcPr>
            <w:tcW w:w="227" w:type="pct"/>
          </w:tcPr>
          <w:p w14:paraId="25F9C26F" w14:textId="77777777" w:rsidR="0086741C" w:rsidRPr="009C0C4D" w:rsidRDefault="0086741C" w:rsidP="0086741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2022</w:t>
            </w:r>
          </w:p>
        </w:tc>
        <w:tc>
          <w:tcPr>
            <w:tcW w:w="294" w:type="pct"/>
          </w:tcPr>
          <w:p w14:paraId="79A4DDCF"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Spain</w:t>
            </w:r>
          </w:p>
        </w:tc>
        <w:tc>
          <w:tcPr>
            <w:tcW w:w="324" w:type="pct"/>
          </w:tcPr>
          <w:p w14:paraId="0BDEFE40" w14:textId="40AEE363" w:rsidR="0086741C" w:rsidRPr="005A167C"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5A167C">
              <w:rPr>
                <w:rFonts w:asciiTheme="majorBidi" w:hAnsiTheme="majorBidi" w:cstheme="majorBidi"/>
                <w:sz w:val="16"/>
                <w:szCs w:val="16"/>
                <w:highlight w:val="yellow"/>
                <w:lang w:bidi="fa-IR"/>
              </w:rPr>
              <w:t>Level 5/ High</w:t>
            </w:r>
          </w:p>
        </w:tc>
        <w:tc>
          <w:tcPr>
            <w:tcW w:w="532" w:type="pct"/>
          </w:tcPr>
          <w:p w14:paraId="44DE44F6" w14:textId="01E6BCA0"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Using the COVID App telemedicine platform to reduce </w:t>
            </w:r>
            <w:r w:rsidRPr="009C0C4D">
              <w:rPr>
                <w:rFonts w:asciiTheme="majorBidi" w:hAnsiTheme="majorBidi" w:cstheme="majorBidi"/>
                <w:sz w:val="16"/>
                <w:szCs w:val="16"/>
              </w:rPr>
              <w:lastRenderedPageBreak/>
              <w:t>COVID-19 transmission risk in workplaces through real-time communication and quick activation of safety protocols.</w:t>
            </w:r>
          </w:p>
        </w:tc>
        <w:tc>
          <w:tcPr>
            <w:tcW w:w="344" w:type="pct"/>
          </w:tcPr>
          <w:p w14:paraId="1E086776" w14:textId="77777777" w:rsidR="0086741C" w:rsidRPr="009C0C4D" w:rsidRDefault="0086741C" w:rsidP="0086741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lastRenderedPageBreak/>
              <w:t>COVID App</w:t>
            </w:r>
          </w:p>
        </w:tc>
        <w:tc>
          <w:tcPr>
            <w:tcW w:w="406" w:type="pct"/>
          </w:tcPr>
          <w:p w14:paraId="4375E864" w14:textId="5A7E8049"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Qualitative and quantitative </w:t>
            </w:r>
            <w:r w:rsidRPr="009C0C4D">
              <w:rPr>
                <w:rFonts w:asciiTheme="majorBidi" w:hAnsiTheme="majorBidi" w:cstheme="majorBidi"/>
                <w:sz w:val="16"/>
                <w:szCs w:val="16"/>
              </w:rPr>
              <w:lastRenderedPageBreak/>
              <w:t xml:space="preserve">(non-integrated) </w:t>
            </w:r>
            <w:r>
              <w:rPr>
                <w:rFonts w:asciiTheme="majorBidi" w:hAnsiTheme="majorBidi" w:cstheme="majorBidi"/>
                <w:sz w:val="16"/>
                <w:szCs w:val="16"/>
              </w:rPr>
              <w:t>*</w:t>
            </w:r>
          </w:p>
        </w:tc>
        <w:tc>
          <w:tcPr>
            <w:tcW w:w="407" w:type="pct"/>
          </w:tcPr>
          <w:p w14:paraId="6DB0257C" w14:textId="6423392D" w:rsidR="0086741C" w:rsidRPr="004009EF"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4009EF">
              <w:rPr>
                <w:rFonts w:asciiTheme="majorBidi" w:hAnsiTheme="majorBidi" w:cstheme="majorBidi"/>
                <w:sz w:val="16"/>
                <w:szCs w:val="16"/>
                <w:highlight w:val="yellow"/>
              </w:rPr>
              <w:lastRenderedPageBreak/>
              <w:t xml:space="preserve">Qualitative and quantitative </w:t>
            </w:r>
            <w:r w:rsidRPr="004009EF">
              <w:rPr>
                <w:rFonts w:asciiTheme="majorBidi" w:hAnsiTheme="majorBidi" w:cstheme="majorBidi"/>
                <w:sz w:val="16"/>
                <w:szCs w:val="16"/>
                <w:highlight w:val="yellow"/>
              </w:rPr>
              <w:lastRenderedPageBreak/>
              <w:t xml:space="preserve">usability </w:t>
            </w:r>
            <w:r w:rsidRPr="00354AB0">
              <w:rPr>
                <w:rFonts w:asciiTheme="majorBidi" w:hAnsiTheme="majorBidi" w:cstheme="majorBidi"/>
                <w:sz w:val="16"/>
                <w:szCs w:val="16"/>
                <w:highlight w:val="yellow"/>
              </w:rPr>
              <w:t xml:space="preserve">and </w:t>
            </w:r>
            <w:r w:rsidRPr="004009EF">
              <w:rPr>
                <w:rFonts w:asciiTheme="majorBidi" w:hAnsiTheme="majorBidi" w:cstheme="majorBidi"/>
                <w:sz w:val="16"/>
                <w:szCs w:val="16"/>
                <w:highlight w:val="yellow"/>
              </w:rPr>
              <w:t xml:space="preserve">performance data </w:t>
            </w:r>
            <w:r w:rsidRPr="00354AB0">
              <w:rPr>
                <w:rFonts w:asciiTheme="majorBidi" w:hAnsiTheme="majorBidi" w:cstheme="majorBidi"/>
                <w:sz w:val="16"/>
                <w:szCs w:val="16"/>
                <w:highlight w:val="yellow"/>
              </w:rPr>
              <w:t xml:space="preserve">are </w:t>
            </w:r>
            <w:r w:rsidRPr="004009EF">
              <w:rPr>
                <w:rFonts w:asciiTheme="majorBidi" w:hAnsiTheme="majorBidi" w:cstheme="majorBidi"/>
                <w:sz w:val="16"/>
                <w:szCs w:val="16"/>
                <w:highlight w:val="yellow"/>
              </w:rPr>
              <w:t xml:space="preserve">reported </w:t>
            </w:r>
            <w:r w:rsidRPr="00354AB0">
              <w:rPr>
                <w:rFonts w:asciiTheme="majorBidi" w:hAnsiTheme="majorBidi" w:cstheme="majorBidi"/>
                <w:sz w:val="16"/>
                <w:szCs w:val="16"/>
                <w:highlight w:val="yellow"/>
              </w:rPr>
              <w:t>independently,</w:t>
            </w:r>
            <w:r w:rsidRPr="004009EF">
              <w:rPr>
                <w:rFonts w:asciiTheme="majorBidi" w:hAnsiTheme="majorBidi" w:cstheme="majorBidi"/>
                <w:sz w:val="16"/>
                <w:szCs w:val="16"/>
                <w:highlight w:val="yellow"/>
              </w:rPr>
              <w:t xml:space="preserve"> </w:t>
            </w:r>
            <w:r w:rsidRPr="00354AB0">
              <w:rPr>
                <w:rFonts w:asciiTheme="majorBidi" w:hAnsiTheme="majorBidi" w:cstheme="majorBidi"/>
                <w:sz w:val="16"/>
                <w:szCs w:val="16"/>
                <w:highlight w:val="yellow"/>
              </w:rPr>
              <w:t xml:space="preserve">with </w:t>
            </w:r>
            <w:r w:rsidRPr="004009EF">
              <w:rPr>
                <w:rFonts w:asciiTheme="majorBidi" w:hAnsiTheme="majorBidi" w:cstheme="majorBidi"/>
                <w:sz w:val="16"/>
                <w:szCs w:val="16"/>
                <w:highlight w:val="yellow"/>
              </w:rPr>
              <w:t>no triangulation.</w:t>
            </w:r>
          </w:p>
          <w:p w14:paraId="1D612BF5" w14:textId="77777777" w:rsidR="0086741C" w:rsidRPr="00354AB0"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p>
        </w:tc>
        <w:tc>
          <w:tcPr>
            <w:tcW w:w="344" w:type="pct"/>
          </w:tcPr>
          <w:p w14:paraId="33E0117F"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lastRenderedPageBreak/>
              <w:t>In use</w:t>
            </w:r>
          </w:p>
        </w:tc>
        <w:tc>
          <w:tcPr>
            <w:tcW w:w="344" w:type="pct"/>
          </w:tcPr>
          <w:p w14:paraId="360C1785"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Performance and </w:t>
            </w:r>
            <w:r w:rsidRPr="009C0C4D">
              <w:rPr>
                <w:rFonts w:asciiTheme="majorBidi" w:hAnsiTheme="majorBidi" w:cstheme="majorBidi"/>
                <w:sz w:val="16"/>
                <w:szCs w:val="16"/>
              </w:rPr>
              <w:lastRenderedPageBreak/>
              <w:t>Usability Evaluation</w:t>
            </w:r>
          </w:p>
        </w:tc>
        <w:tc>
          <w:tcPr>
            <w:tcW w:w="344" w:type="pct"/>
          </w:tcPr>
          <w:p w14:paraId="08EF0FC1"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tl/>
                <w:lang w:bidi="fa-IR"/>
              </w:rPr>
            </w:pPr>
            <w:r w:rsidRPr="009C0C4D">
              <w:rPr>
                <w:rFonts w:asciiTheme="majorBidi" w:hAnsiTheme="majorBidi" w:cstheme="majorBidi"/>
                <w:sz w:val="16"/>
                <w:szCs w:val="16"/>
              </w:rPr>
              <w:lastRenderedPageBreak/>
              <w:t>Healthcare team</w:t>
            </w:r>
          </w:p>
        </w:tc>
        <w:tc>
          <w:tcPr>
            <w:tcW w:w="343" w:type="pct"/>
          </w:tcPr>
          <w:p w14:paraId="563C08B3"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COVID App platform</w:t>
            </w:r>
          </w:p>
        </w:tc>
        <w:tc>
          <w:tcPr>
            <w:tcW w:w="356" w:type="pct"/>
          </w:tcPr>
          <w:p w14:paraId="58268D99"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7 months</w:t>
            </w:r>
          </w:p>
        </w:tc>
        <w:tc>
          <w:tcPr>
            <w:tcW w:w="455" w:type="pct"/>
          </w:tcPr>
          <w:p w14:paraId="5A1306DD"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The COVID App enabled early detection of </w:t>
            </w:r>
            <w:r w:rsidRPr="009C0C4D">
              <w:rPr>
                <w:rFonts w:asciiTheme="majorBidi" w:hAnsiTheme="majorBidi" w:cstheme="majorBidi"/>
                <w:sz w:val="16"/>
                <w:szCs w:val="16"/>
              </w:rPr>
              <w:lastRenderedPageBreak/>
              <w:t>suspected cases and quick activation of protocols. Only 0.4% of workers (1 individual) tested positive for COVID-19 during the study.</w:t>
            </w:r>
          </w:p>
        </w:tc>
      </w:tr>
      <w:tr w:rsidR="0086741C" w:rsidRPr="009C0C4D" w14:paraId="5EBBAAFA" w14:textId="77777777" w:rsidTr="00B44AC2">
        <w:trPr>
          <w:jc w:val="center"/>
        </w:trPr>
        <w:tc>
          <w:tcPr>
            <w:cnfStyle w:val="001000000000" w:firstRow="0" w:lastRow="0" w:firstColumn="1" w:lastColumn="0" w:oddVBand="0" w:evenVBand="0" w:oddHBand="0" w:evenHBand="0" w:firstRowFirstColumn="0" w:firstRowLastColumn="0" w:lastRowFirstColumn="0" w:lastRowLastColumn="0"/>
            <w:tcW w:w="280" w:type="pct"/>
          </w:tcPr>
          <w:p w14:paraId="0E4B3045" w14:textId="0E5D3AD7" w:rsidR="0086741C" w:rsidRPr="009C0C4D" w:rsidRDefault="0086741C" w:rsidP="0086741C">
            <w:pPr>
              <w:rPr>
                <w:rFonts w:asciiTheme="majorBidi" w:hAnsiTheme="majorBidi" w:cstheme="majorBidi"/>
                <w:sz w:val="16"/>
                <w:szCs w:val="16"/>
              </w:rPr>
            </w:pPr>
            <w:r>
              <w:rPr>
                <w:rFonts w:asciiTheme="majorBidi" w:hAnsiTheme="majorBidi" w:cstheme="majorBidi"/>
                <w:noProof/>
                <w:sz w:val="16"/>
                <w:szCs w:val="16"/>
              </w:rPr>
              <w:lastRenderedPageBreak/>
              <w:t>Garcia-Huidobro et al.</w:t>
            </w:r>
          </w:p>
        </w:tc>
        <w:tc>
          <w:tcPr>
            <w:tcW w:w="227" w:type="pct"/>
          </w:tcPr>
          <w:p w14:paraId="75878F25" w14:textId="77777777" w:rsidR="0086741C" w:rsidRPr="009C0C4D" w:rsidRDefault="0086741C" w:rsidP="0086741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2020</w:t>
            </w:r>
          </w:p>
        </w:tc>
        <w:tc>
          <w:tcPr>
            <w:tcW w:w="294" w:type="pct"/>
          </w:tcPr>
          <w:p w14:paraId="6C8B749A"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Chile </w:t>
            </w:r>
          </w:p>
        </w:tc>
        <w:tc>
          <w:tcPr>
            <w:tcW w:w="324" w:type="pct"/>
          </w:tcPr>
          <w:p w14:paraId="43A76382" w14:textId="24F68774" w:rsidR="0086741C" w:rsidRPr="005A167C"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5A167C">
              <w:rPr>
                <w:rFonts w:asciiTheme="majorBidi" w:hAnsiTheme="majorBidi" w:cstheme="majorBidi"/>
                <w:sz w:val="16"/>
                <w:szCs w:val="16"/>
                <w:highlight w:val="yellow"/>
                <w:lang w:bidi="fa-IR"/>
              </w:rPr>
              <w:t>Level 5/ High</w:t>
            </w:r>
          </w:p>
        </w:tc>
        <w:tc>
          <w:tcPr>
            <w:tcW w:w="532" w:type="pct"/>
          </w:tcPr>
          <w:p w14:paraId="3D052305" w14:textId="0663F47F"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To report on the accelerated system-wide implementation, compare patient satisfaction between telemedicine and in-person visits, and share provider perceptions of virtual visit implementation.</w:t>
            </w:r>
          </w:p>
        </w:tc>
        <w:tc>
          <w:tcPr>
            <w:tcW w:w="344" w:type="pct"/>
          </w:tcPr>
          <w:p w14:paraId="091D4006" w14:textId="77777777" w:rsidR="0086741C" w:rsidRPr="009C0C4D" w:rsidRDefault="0086741C" w:rsidP="0086741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Not mentioned</w:t>
            </w:r>
          </w:p>
        </w:tc>
        <w:tc>
          <w:tcPr>
            <w:tcW w:w="406" w:type="pct"/>
          </w:tcPr>
          <w:p w14:paraId="422DEB6A" w14:textId="420C4663"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Qualitative and quantitative (non-integrated) </w:t>
            </w:r>
            <w:r>
              <w:rPr>
                <w:rFonts w:asciiTheme="majorBidi" w:hAnsiTheme="majorBidi" w:cstheme="majorBidi"/>
                <w:sz w:val="16"/>
                <w:szCs w:val="16"/>
              </w:rPr>
              <w:t>*</w:t>
            </w:r>
          </w:p>
        </w:tc>
        <w:tc>
          <w:tcPr>
            <w:tcW w:w="407" w:type="pct"/>
          </w:tcPr>
          <w:p w14:paraId="7972C7BE" w14:textId="62BC30A5" w:rsidR="0086741C" w:rsidRPr="00201020"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201020">
              <w:rPr>
                <w:rFonts w:asciiTheme="majorBidi" w:hAnsiTheme="majorBidi" w:cstheme="majorBidi"/>
                <w:sz w:val="16"/>
                <w:szCs w:val="16"/>
                <w:highlight w:val="yellow"/>
              </w:rPr>
              <w:t xml:space="preserve">Qualitative and quantitative data </w:t>
            </w:r>
            <w:r w:rsidRPr="00354AB0">
              <w:rPr>
                <w:rFonts w:asciiTheme="majorBidi" w:hAnsiTheme="majorBidi" w:cstheme="majorBidi"/>
                <w:sz w:val="16"/>
                <w:szCs w:val="16"/>
                <w:highlight w:val="yellow"/>
              </w:rPr>
              <w:t xml:space="preserve">are </w:t>
            </w:r>
            <w:r w:rsidRPr="00201020">
              <w:rPr>
                <w:rFonts w:asciiTheme="majorBidi" w:hAnsiTheme="majorBidi" w:cstheme="majorBidi"/>
                <w:sz w:val="16"/>
                <w:szCs w:val="16"/>
                <w:highlight w:val="yellow"/>
              </w:rPr>
              <w:t xml:space="preserve">reported </w:t>
            </w:r>
            <w:r w:rsidRPr="00354AB0">
              <w:rPr>
                <w:rFonts w:asciiTheme="majorBidi" w:hAnsiTheme="majorBidi" w:cstheme="majorBidi"/>
                <w:sz w:val="16"/>
                <w:szCs w:val="16"/>
                <w:highlight w:val="yellow"/>
              </w:rPr>
              <w:t>separately,</w:t>
            </w:r>
            <w:r w:rsidRPr="00201020">
              <w:rPr>
                <w:rFonts w:asciiTheme="majorBidi" w:hAnsiTheme="majorBidi" w:cstheme="majorBidi"/>
                <w:sz w:val="16"/>
                <w:szCs w:val="16"/>
                <w:highlight w:val="yellow"/>
              </w:rPr>
              <w:t xml:space="preserve"> </w:t>
            </w:r>
            <w:r w:rsidRPr="00354AB0">
              <w:rPr>
                <w:rFonts w:asciiTheme="majorBidi" w:hAnsiTheme="majorBidi" w:cstheme="majorBidi"/>
                <w:sz w:val="16"/>
                <w:szCs w:val="16"/>
                <w:highlight w:val="yellow"/>
              </w:rPr>
              <w:t xml:space="preserve">with </w:t>
            </w:r>
            <w:r w:rsidRPr="00201020">
              <w:rPr>
                <w:rFonts w:asciiTheme="majorBidi" w:hAnsiTheme="majorBidi" w:cstheme="majorBidi"/>
                <w:sz w:val="16"/>
                <w:szCs w:val="16"/>
                <w:highlight w:val="yellow"/>
              </w:rPr>
              <w:t>no synthesis.</w:t>
            </w:r>
          </w:p>
          <w:p w14:paraId="76AD150D" w14:textId="77777777" w:rsidR="0086741C" w:rsidRPr="00354AB0"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p>
        </w:tc>
        <w:tc>
          <w:tcPr>
            <w:tcW w:w="344" w:type="pct"/>
          </w:tcPr>
          <w:p w14:paraId="690D81DD"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In use</w:t>
            </w:r>
          </w:p>
        </w:tc>
        <w:tc>
          <w:tcPr>
            <w:tcW w:w="344" w:type="pct"/>
          </w:tcPr>
          <w:p w14:paraId="463BFC16"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Satisfaction Evaluation</w:t>
            </w:r>
          </w:p>
        </w:tc>
        <w:tc>
          <w:tcPr>
            <w:tcW w:w="344" w:type="pct"/>
          </w:tcPr>
          <w:p w14:paraId="0642BB0D"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Patients and Physicians</w:t>
            </w:r>
          </w:p>
        </w:tc>
        <w:tc>
          <w:tcPr>
            <w:tcW w:w="343" w:type="pct"/>
          </w:tcPr>
          <w:p w14:paraId="490E9A25"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Online researcher made a Questionnaire</w:t>
            </w:r>
          </w:p>
        </w:tc>
        <w:tc>
          <w:tcPr>
            <w:tcW w:w="356" w:type="pct"/>
          </w:tcPr>
          <w:p w14:paraId="503C4EAA"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tl/>
                <w:lang w:bidi="fa-IR"/>
              </w:rPr>
            </w:pPr>
            <w:r w:rsidRPr="009C0C4D">
              <w:rPr>
                <w:rFonts w:asciiTheme="majorBidi" w:hAnsiTheme="majorBidi" w:cstheme="majorBidi"/>
                <w:sz w:val="16"/>
                <w:szCs w:val="16"/>
                <w:lang w:bidi="fa-IR"/>
              </w:rPr>
              <w:t>2 months</w:t>
            </w:r>
          </w:p>
        </w:tc>
        <w:tc>
          <w:tcPr>
            <w:tcW w:w="455" w:type="pct"/>
          </w:tcPr>
          <w:p w14:paraId="34A2A5B4"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Telemedicine implemented in response to the COVID-19 pandemic produced high patient and provider satisfaction.</w:t>
            </w:r>
          </w:p>
        </w:tc>
      </w:tr>
      <w:tr w:rsidR="0086741C" w:rsidRPr="009C0C4D" w14:paraId="3743FFD9" w14:textId="77777777" w:rsidTr="00B44AC2">
        <w:trPr>
          <w:jc w:val="center"/>
        </w:trPr>
        <w:tc>
          <w:tcPr>
            <w:cnfStyle w:val="001000000000" w:firstRow="0" w:lastRow="0" w:firstColumn="1" w:lastColumn="0" w:oddVBand="0" w:evenVBand="0" w:oddHBand="0" w:evenHBand="0" w:firstRowFirstColumn="0" w:firstRowLastColumn="0" w:lastRowFirstColumn="0" w:lastRowLastColumn="0"/>
            <w:tcW w:w="280" w:type="pct"/>
          </w:tcPr>
          <w:p w14:paraId="609B28B0" w14:textId="484764C1" w:rsidR="0086741C" w:rsidRPr="009C0C4D" w:rsidRDefault="0086741C" w:rsidP="0086741C">
            <w:pPr>
              <w:rPr>
                <w:rFonts w:asciiTheme="majorBidi" w:hAnsiTheme="majorBidi" w:cstheme="majorBidi"/>
                <w:sz w:val="16"/>
                <w:szCs w:val="16"/>
              </w:rPr>
            </w:pPr>
            <w:r>
              <w:rPr>
                <w:rFonts w:asciiTheme="majorBidi" w:hAnsiTheme="majorBidi" w:cstheme="majorBidi"/>
                <w:noProof/>
                <w:sz w:val="16"/>
                <w:szCs w:val="16"/>
              </w:rPr>
              <w:t>Agia et al.</w:t>
            </w:r>
          </w:p>
        </w:tc>
        <w:tc>
          <w:tcPr>
            <w:tcW w:w="227" w:type="pct"/>
          </w:tcPr>
          <w:p w14:paraId="3B74C90C" w14:textId="77777777" w:rsidR="0086741C" w:rsidRPr="009C0C4D" w:rsidRDefault="0086741C" w:rsidP="0086741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tl/>
                <w:lang w:bidi="fa-IR"/>
              </w:rPr>
            </w:pPr>
            <w:r w:rsidRPr="009C0C4D">
              <w:rPr>
                <w:rFonts w:asciiTheme="majorBidi" w:hAnsiTheme="majorBidi" w:cstheme="majorBidi"/>
                <w:sz w:val="16"/>
                <w:szCs w:val="16"/>
              </w:rPr>
              <w:t>2022</w:t>
            </w:r>
          </w:p>
        </w:tc>
        <w:tc>
          <w:tcPr>
            <w:tcW w:w="294" w:type="pct"/>
          </w:tcPr>
          <w:p w14:paraId="0A51946C"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Brazil</w:t>
            </w:r>
          </w:p>
        </w:tc>
        <w:tc>
          <w:tcPr>
            <w:tcW w:w="324" w:type="pct"/>
          </w:tcPr>
          <w:p w14:paraId="063D4811" w14:textId="20B7221E" w:rsidR="0086741C" w:rsidRPr="005A167C"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5A167C">
              <w:rPr>
                <w:rFonts w:asciiTheme="majorBidi" w:hAnsiTheme="majorBidi" w:cstheme="majorBidi"/>
                <w:sz w:val="16"/>
                <w:szCs w:val="16"/>
                <w:highlight w:val="yellow"/>
                <w:lang w:bidi="fa-IR"/>
              </w:rPr>
              <w:t>Level 5/ High</w:t>
            </w:r>
          </w:p>
        </w:tc>
        <w:tc>
          <w:tcPr>
            <w:tcW w:w="532" w:type="pct"/>
          </w:tcPr>
          <w:p w14:paraId="76B7BC83" w14:textId="410C0C36"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To evaluate a telehealth system by measuring health professionals' satisfaction with its usability and identifying factors that influence the evaluation.</w:t>
            </w:r>
          </w:p>
        </w:tc>
        <w:tc>
          <w:tcPr>
            <w:tcW w:w="344" w:type="pct"/>
          </w:tcPr>
          <w:p w14:paraId="01C7E029" w14:textId="77777777" w:rsidR="0086741C" w:rsidRPr="009C0C4D" w:rsidRDefault="0086741C" w:rsidP="0086741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TeleSUS</w:t>
            </w:r>
          </w:p>
        </w:tc>
        <w:tc>
          <w:tcPr>
            <w:tcW w:w="406" w:type="pct"/>
          </w:tcPr>
          <w:p w14:paraId="6BEF2E07" w14:textId="6BF523F2"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Qualitative and quantitative (non-integrated) </w:t>
            </w:r>
            <w:r>
              <w:rPr>
                <w:rFonts w:asciiTheme="majorBidi" w:hAnsiTheme="majorBidi" w:cstheme="majorBidi"/>
                <w:sz w:val="16"/>
                <w:szCs w:val="16"/>
              </w:rPr>
              <w:t>*</w:t>
            </w:r>
          </w:p>
        </w:tc>
        <w:tc>
          <w:tcPr>
            <w:tcW w:w="407" w:type="pct"/>
          </w:tcPr>
          <w:p w14:paraId="5DB1555C" w14:textId="74F28F52" w:rsidR="0086741C" w:rsidRPr="007D1158"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7D1158">
              <w:rPr>
                <w:rFonts w:asciiTheme="majorBidi" w:hAnsiTheme="majorBidi" w:cstheme="majorBidi"/>
                <w:sz w:val="16"/>
                <w:szCs w:val="16"/>
                <w:highlight w:val="yellow"/>
              </w:rPr>
              <w:t xml:space="preserve">Qualitative and quantitative usability data reported </w:t>
            </w:r>
            <w:r w:rsidRPr="00354AB0">
              <w:rPr>
                <w:rFonts w:asciiTheme="majorBidi" w:hAnsiTheme="majorBidi" w:cstheme="majorBidi"/>
                <w:sz w:val="16"/>
                <w:szCs w:val="16"/>
                <w:highlight w:val="yellow"/>
              </w:rPr>
              <w:t>independently,</w:t>
            </w:r>
            <w:r w:rsidRPr="007D1158">
              <w:rPr>
                <w:rFonts w:asciiTheme="majorBidi" w:hAnsiTheme="majorBidi" w:cstheme="majorBidi"/>
                <w:sz w:val="16"/>
                <w:szCs w:val="16"/>
                <w:highlight w:val="yellow"/>
              </w:rPr>
              <w:t xml:space="preserve"> no synthesis.</w:t>
            </w:r>
          </w:p>
          <w:p w14:paraId="51C5B808" w14:textId="77777777" w:rsidR="0086741C" w:rsidRPr="00354AB0"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p>
        </w:tc>
        <w:tc>
          <w:tcPr>
            <w:tcW w:w="344" w:type="pct"/>
          </w:tcPr>
          <w:p w14:paraId="2931F4A2"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Summative</w:t>
            </w:r>
          </w:p>
        </w:tc>
        <w:tc>
          <w:tcPr>
            <w:tcW w:w="344" w:type="pct"/>
          </w:tcPr>
          <w:p w14:paraId="7C82A9A3"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Usability evaluation</w:t>
            </w:r>
          </w:p>
        </w:tc>
        <w:tc>
          <w:tcPr>
            <w:tcW w:w="344" w:type="pct"/>
          </w:tcPr>
          <w:p w14:paraId="3BB2DAA9"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lang w:val="en"/>
              </w:rPr>
              <w:t>Health Information Technology Experts</w:t>
            </w:r>
          </w:p>
        </w:tc>
        <w:tc>
          <w:tcPr>
            <w:tcW w:w="343" w:type="pct"/>
          </w:tcPr>
          <w:p w14:paraId="577B5664"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System Usability Scale (SUS) Questionnaire</w:t>
            </w:r>
          </w:p>
        </w:tc>
        <w:tc>
          <w:tcPr>
            <w:tcW w:w="356" w:type="pct"/>
          </w:tcPr>
          <w:p w14:paraId="31AE21BB"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4 months</w:t>
            </w:r>
          </w:p>
        </w:tc>
        <w:tc>
          <w:tcPr>
            <w:tcW w:w="455" w:type="pct"/>
          </w:tcPr>
          <w:p w14:paraId="0050CFE4" w14:textId="77777777" w:rsidR="0086741C" w:rsidRPr="009C0C4D" w:rsidRDefault="0086741C" w:rsidP="0086741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lang w:val="en"/>
              </w:rPr>
              <w:t>The average usability score was 84.6 out of 100 in the "Excellent" category.</w:t>
            </w:r>
          </w:p>
        </w:tc>
      </w:tr>
      <w:tr w:rsidR="00446CB1" w:rsidRPr="009C0C4D" w14:paraId="2680AACD" w14:textId="77777777" w:rsidTr="00B44AC2">
        <w:trPr>
          <w:jc w:val="center"/>
        </w:trPr>
        <w:tc>
          <w:tcPr>
            <w:cnfStyle w:val="001000000000" w:firstRow="0" w:lastRow="0" w:firstColumn="1" w:lastColumn="0" w:oddVBand="0" w:evenVBand="0" w:oddHBand="0" w:evenHBand="0" w:firstRowFirstColumn="0" w:firstRowLastColumn="0" w:lastRowFirstColumn="0" w:lastRowLastColumn="0"/>
            <w:tcW w:w="280" w:type="pct"/>
          </w:tcPr>
          <w:p w14:paraId="46BAED24" w14:textId="2AD1FB71" w:rsidR="00446CB1" w:rsidRPr="009C0C4D" w:rsidRDefault="00446CB1" w:rsidP="00446CB1">
            <w:pPr>
              <w:rPr>
                <w:rFonts w:asciiTheme="majorBidi" w:hAnsiTheme="majorBidi" w:cstheme="majorBidi"/>
                <w:sz w:val="16"/>
                <w:szCs w:val="16"/>
              </w:rPr>
            </w:pPr>
            <w:r>
              <w:rPr>
                <w:rFonts w:asciiTheme="majorBidi" w:hAnsiTheme="majorBidi" w:cstheme="majorBidi"/>
                <w:noProof/>
                <w:sz w:val="16"/>
                <w:szCs w:val="16"/>
              </w:rPr>
              <w:t>Van Nguyen et al.</w:t>
            </w:r>
          </w:p>
        </w:tc>
        <w:tc>
          <w:tcPr>
            <w:tcW w:w="227" w:type="pct"/>
          </w:tcPr>
          <w:p w14:paraId="0C2866FB" w14:textId="77777777" w:rsidR="00446CB1" w:rsidRPr="009C0C4D" w:rsidRDefault="00446CB1" w:rsidP="00446CB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2022</w:t>
            </w:r>
          </w:p>
        </w:tc>
        <w:tc>
          <w:tcPr>
            <w:tcW w:w="294" w:type="pct"/>
          </w:tcPr>
          <w:p w14:paraId="05036A0D"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Vietnam</w:t>
            </w:r>
          </w:p>
        </w:tc>
        <w:tc>
          <w:tcPr>
            <w:tcW w:w="324" w:type="pct"/>
          </w:tcPr>
          <w:p w14:paraId="6670EB85" w14:textId="2716AC8E" w:rsidR="00446CB1" w:rsidRPr="005A167C"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5A167C">
              <w:rPr>
                <w:rFonts w:asciiTheme="majorBidi" w:hAnsiTheme="majorBidi" w:cstheme="majorBidi"/>
                <w:sz w:val="16"/>
                <w:szCs w:val="16"/>
                <w:highlight w:val="yellow"/>
              </w:rPr>
              <w:t>Level 4/ Moderate</w:t>
            </w:r>
          </w:p>
        </w:tc>
        <w:tc>
          <w:tcPr>
            <w:tcW w:w="532" w:type="pct"/>
          </w:tcPr>
          <w:p w14:paraId="6F083768" w14:textId="3FDB985D"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To examine the utility and safety of telemedicine in caring for COVID-19 patients during the dominant periods of the Delta and Omicron variants.</w:t>
            </w:r>
          </w:p>
        </w:tc>
        <w:tc>
          <w:tcPr>
            <w:tcW w:w="344" w:type="pct"/>
          </w:tcPr>
          <w:p w14:paraId="294283F3" w14:textId="77777777" w:rsidR="00446CB1" w:rsidRPr="009C0C4D" w:rsidRDefault="00446CB1" w:rsidP="00446CB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Jio Health</w:t>
            </w:r>
          </w:p>
        </w:tc>
        <w:tc>
          <w:tcPr>
            <w:tcW w:w="406" w:type="pct"/>
          </w:tcPr>
          <w:p w14:paraId="77CCBBCB"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Quantitative</w:t>
            </w:r>
          </w:p>
        </w:tc>
        <w:tc>
          <w:tcPr>
            <w:tcW w:w="407" w:type="pct"/>
          </w:tcPr>
          <w:p w14:paraId="044D55A2" w14:textId="187124A4" w:rsidR="00446CB1" w:rsidRPr="00354AB0"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354AB0">
              <w:rPr>
                <w:rFonts w:asciiTheme="majorBidi" w:hAnsiTheme="majorBidi" w:cstheme="majorBidi"/>
                <w:sz w:val="16"/>
                <w:szCs w:val="16"/>
                <w:highlight w:val="yellow"/>
              </w:rPr>
              <w:t>-</w:t>
            </w:r>
          </w:p>
        </w:tc>
        <w:tc>
          <w:tcPr>
            <w:tcW w:w="344" w:type="pct"/>
          </w:tcPr>
          <w:p w14:paraId="25DAD722"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In use</w:t>
            </w:r>
          </w:p>
        </w:tc>
        <w:tc>
          <w:tcPr>
            <w:tcW w:w="344" w:type="pct"/>
          </w:tcPr>
          <w:p w14:paraId="577BFE6E"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Performance Evaluation</w:t>
            </w:r>
          </w:p>
        </w:tc>
        <w:tc>
          <w:tcPr>
            <w:tcW w:w="344" w:type="pct"/>
          </w:tcPr>
          <w:p w14:paraId="4ADC9BF3"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Healthcare team</w:t>
            </w:r>
          </w:p>
        </w:tc>
        <w:tc>
          <w:tcPr>
            <w:tcW w:w="343" w:type="pct"/>
          </w:tcPr>
          <w:p w14:paraId="0C5798E4"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Jio Health recorded data</w:t>
            </w:r>
          </w:p>
        </w:tc>
        <w:tc>
          <w:tcPr>
            <w:tcW w:w="356" w:type="pct"/>
          </w:tcPr>
          <w:p w14:paraId="17910D9D"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8 months</w:t>
            </w:r>
          </w:p>
        </w:tc>
        <w:tc>
          <w:tcPr>
            <w:tcW w:w="455" w:type="pct"/>
          </w:tcPr>
          <w:p w14:paraId="32C40F03"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The system was successful, with 97.02% of patients recovering at home and only 2.98% requiring hospitalization. No deaths were reported.</w:t>
            </w:r>
          </w:p>
        </w:tc>
      </w:tr>
      <w:tr w:rsidR="00446CB1" w:rsidRPr="009C0C4D" w14:paraId="2FE23620" w14:textId="77777777" w:rsidTr="00B44AC2">
        <w:trPr>
          <w:jc w:val="center"/>
        </w:trPr>
        <w:tc>
          <w:tcPr>
            <w:cnfStyle w:val="001000000000" w:firstRow="0" w:lastRow="0" w:firstColumn="1" w:lastColumn="0" w:oddVBand="0" w:evenVBand="0" w:oddHBand="0" w:evenHBand="0" w:firstRowFirstColumn="0" w:firstRowLastColumn="0" w:lastRowFirstColumn="0" w:lastRowLastColumn="0"/>
            <w:tcW w:w="280" w:type="pct"/>
          </w:tcPr>
          <w:p w14:paraId="3125439B" w14:textId="194ABCFD" w:rsidR="00446CB1" w:rsidRPr="009C0C4D" w:rsidRDefault="00446CB1" w:rsidP="00446CB1">
            <w:pPr>
              <w:rPr>
                <w:rFonts w:asciiTheme="majorBidi" w:hAnsiTheme="majorBidi" w:cstheme="majorBidi"/>
                <w:sz w:val="16"/>
                <w:szCs w:val="16"/>
              </w:rPr>
            </w:pPr>
            <w:r>
              <w:rPr>
                <w:rFonts w:asciiTheme="majorBidi" w:hAnsiTheme="majorBidi" w:cstheme="majorBidi"/>
                <w:noProof/>
                <w:sz w:val="16"/>
                <w:szCs w:val="16"/>
              </w:rPr>
              <w:t>Shaikh et al.</w:t>
            </w:r>
          </w:p>
        </w:tc>
        <w:tc>
          <w:tcPr>
            <w:tcW w:w="227" w:type="pct"/>
          </w:tcPr>
          <w:p w14:paraId="7D9F4F92" w14:textId="77777777" w:rsidR="00446CB1" w:rsidRPr="009C0C4D" w:rsidRDefault="00446CB1" w:rsidP="00446CB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2021</w:t>
            </w:r>
          </w:p>
        </w:tc>
        <w:tc>
          <w:tcPr>
            <w:tcW w:w="294" w:type="pct"/>
          </w:tcPr>
          <w:p w14:paraId="63BC9211"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Saudi Arabia</w:t>
            </w:r>
          </w:p>
        </w:tc>
        <w:tc>
          <w:tcPr>
            <w:tcW w:w="324" w:type="pct"/>
          </w:tcPr>
          <w:p w14:paraId="1AE5D48C" w14:textId="3802A94E" w:rsidR="00446CB1" w:rsidRPr="005A167C"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5A167C">
              <w:rPr>
                <w:rFonts w:asciiTheme="majorBidi" w:hAnsiTheme="majorBidi" w:cstheme="majorBidi"/>
                <w:sz w:val="16"/>
                <w:szCs w:val="16"/>
                <w:highlight w:val="yellow"/>
                <w:lang w:bidi="fa-IR"/>
              </w:rPr>
              <w:t>Level 5/ High</w:t>
            </w:r>
          </w:p>
        </w:tc>
        <w:tc>
          <w:tcPr>
            <w:tcW w:w="532" w:type="pct"/>
          </w:tcPr>
          <w:p w14:paraId="543C8418" w14:textId="2996D7E9"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To propose and implement a service-oriented architecture (SOA)-based telemedicine application (Tele-COVID) for COVID-19 patients, ensuring interoperability, preventing vendor lock-in, and supporting remote </w:t>
            </w:r>
            <w:r w:rsidRPr="009C0C4D">
              <w:rPr>
                <w:rFonts w:asciiTheme="majorBidi" w:hAnsiTheme="majorBidi" w:cstheme="majorBidi"/>
                <w:sz w:val="16"/>
                <w:szCs w:val="16"/>
              </w:rPr>
              <w:lastRenderedPageBreak/>
              <w:t>treatment during the pandemic.</w:t>
            </w:r>
          </w:p>
        </w:tc>
        <w:tc>
          <w:tcPr>
            <w:tcW w:w="344" w:type="pct"/>
          </w:tcPr>
          <w:p w14:paraId="30A47878" w14:textId="77777777" w:rsidR="00446CB1" w:rsidRPr="009C0C4D" w:rsidRDefault="00446CB1" w:rsidP="00446CB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lastRenderedPageBreak/>
              <w:t>Tele-COVID</w:t>
            </w:r>
          </w:p>
        </w:tc>
        <w:tc>
          <w:tcPr>
            <w:tcW w:w="406" w:type="pct"/>
          </w:tcPr>
          <w:p w14:paraId="30AE4EB7" w14:textId="3670EEE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Qualitative and quantitative (non-integrated) </w:t>
            </w:r>
            <w:r>
              <w:rPr>
                <w:rFonts w:asciiTheme="majorBidi" w:hAnsiTheme="majorBidi" w:cstheme="majorBidi"/>
                <w:sz w:val="16"/>
                <w:szCs w:val="16"/>
              </w:rPr>
              <w:t>*</w:t>
            </w:r>
          </w:p>
        </w:tc>
        <w:tc>
          <w:tcPr>
            <w:tcW w:w="407" w:type="pct"/>
          </w:tcPr>
          <w:p w14:paraId="3BE93DE9" w14:textId="77777777" w:rsidR="00446CB1" w:rsidRPr="006A3603"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6A3603">
              <w:rPr>
                <w:rFonts w:asciiTheme="majorBidi" w:hAnsiTheme="majorBidi" w:cstheme="majorBidi"/>
                <w:sz w:val="16"/>
                <w:szCs w:val="16"/>
                <w:highlight w:val="yellow"/>
              </w:rPr>
              <w:t>Qualitative and quantitative data reported separately; no triangulation or synthesis.</w:t>
            </w:r>
          </w:p>
          <w:p w14:paraId="2A0E8205" w14:textId="77777777" w:rsidR="00446CB1" w:rsidRPr="00354AB0"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p>
        </w:tc>
        <w:tc>
          <w:tcPr>
            <w:tcW w:w="344" w:type="pct"/>
          </w:tcPr>
          <w:p w14:paraId="099ED4DC"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In use</w:t>
            </w:r>
          </w:p>
        </w:tc>
        <w:tc>
          <w:tcPr>
            <w:tcW w:w="344" w:type="pct"/>
          </w:tcPr>
          <w:p w14:paraId="2D58A3A3"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Performance Evaluation</w:t>
            </w:r>
          </w:p>
        </w:tc>
        <w:tc>
          <w:tcPr>
            <w:tcW w:w="344" w:type="pct"/>
          </w:tcPr>
          <w:p w14:paraId="3C8A6208"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Healthcare team and Patients</w:t>
            </w:r>
          </w:p>
        </w:tc>
        <w:tc>
          <w:tcPr>
            <w:tcW w:w="343" w:type="pct"/>
          </w:tcPr>
          <w:p w14:paraId="23DFA121"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Not mentioned</w:t>
            </w:r>
          </w:p>
        </w:tc>
        <w:tc>
          <w:tcPr>
            <w:tcW w:w="356" w:type="pct"/>
          </w:tcPr>
          <w:p w14:paraId="553528C2"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Not mentioned</w:t>
            </w:r>
          </w:p>
        </w:tc>
        <w:tc>
          <w:tcPr>
            <w:tcW w:w="455" w:type="pct"/>
          </w:tcPr>
          <w:p w14:paraId="73697609"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The Tele-COVID system successfully provided safe, efficient, and reliable services for COVID-19 patients, addressing issues like vendor lock-in and lack of data exchange.</w:t>
            </w:r>
          </w:p>
        </w:tc>
      </w:tr>
      <w:tr w:rsidR="00446CB1" w:rsidRPr="009C0C4D" w14:paraId="75124ABE" w14:textId="77777777" w:rsidTr="00B44AC2">
        <w:trPr>
          <w:jc w:val="center"/>
        </w:trPr>
        <w:tc>
          <w:tcPr>
            <w:cnfStyle w:val="001000000000" w:firstRow="0" w:lastRow="0" w:firstColumn="1" w:lastColumn="0" w:oddVBand="0" w:evenVBand="0" w:oddHBand="0" w:evenHBand="0" w:firstRowFirstColumn="0" w:firstRowLastColumn="0" w:lastRowFirstColumn="0" w:lastRowLastColumn="0"/>
            <w:tcW w:w="280" w:type="pct"/>
          </w:tcPr>
          <w:p w14:paraId="14433109" w14:textId="68C58407" w:rsidR="00446CB1" w:rsidRPr="009C0C4D" w:rsidRDefault="00446CB1" w:rsidP="00446CB1">
            <w:pPr>
              <w:rPr>
                <w:rFonts w:asciiTheme="majorBidi" w:hAnsiTheme="majorBidi" w:cstheme="majorBidi"/>
                <w:sz w:val="16"/>
                <w:szCs w:val="16"/>
              </w:rPr>
            </w:pPr>
            <w:r>
              <w:rPr>
                <w:rFonts w:asciiTheme="majorBidi" w:hAnsiTheme="majorBidi" w:cstheme="majorBidi"/>
                <w:noProof/>
                <w:sz w:val="16"/>
                <w:szCs w:val="16"/>
              </w:rPr>
              <w:t>Aldekhyyel et al.</w:t>
            </w:r>
          </w:p>
        </w:tc>
        <w:tc>
          <w:tcPr>
            <w:tcW w:w="227" w:type="pct"/>
          </w:tcPr>
          <w:p w14:paraId="70BCDDB7" w14:textId="77777777" w:rsidR="00446CB1" w:rsidRPr="009C0C4D" w:rsidRDefault="00446CB1" w:rsidP="00446CB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2021</w:t>
            </w:r>
          </w:p>
        </w:tc>
        <w:tc>
          <w:tcPr>
            <w:tcW w:w="294" w:type="pct"/>
          </w:tcPr>
          <w:p w14:paraId="18929F35" w14:textId="77777777" w:rsidR="00446CB1" w:rsidRPr="009C0C4D" w:rsidRDefault="00446CB1" w:rsidP="00446CB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Saudi Arabia</w:t>
            </w:r>
          </w:p>
        </w:tc>
        <w:tc>
          <w:tcPr>
            <w:tcW w:w="324" w:type="pct"/>
          </w:tcPr>
          <w:p w14:paraId="18B2B302" w14:textId="205D3A3C" w:rsidR="00446CB1" w:rsidRPr="005A167C" w:rsidRDefault="00446CB1" w:rsidP="00446CB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5A167C">
              <w:rPr>
                <w:rFonts w:asciiTheme="majorBidi" w:hAnsiTheme="majorBidi" w:cstheme="majorBidi"/>
                <w:sz w:val="16"/>
                <w:szCs w:val="16"/>
                <w:highlight w:val="yellow"/>
              </w:rPr>
              <w:t>Level 4/ Moderate</w:t>
            </w:r>
          </w:p>
        </w:tc>
        <w:tc>
          <w:tcPr>
            <w:tcW w:w="532" w:type="pct"/>
          </w:tcPr>
          <w:p w14:paraId="4BF2731E" w14:textId="14F1BB7F" w:rsidR="00446CB1" w:rsidRPr="009C0C4D" w:rsidRDefault="00446CB1" w:rsidP="00446CB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To evaluate the usability of telemedicine app interfaces deployed during the COVID-19 pandemic in Saudi Arabia using heuristic evaluation and explore usability changes over time.</w:t>
            </w:r>
          </w:p>
        </w:tc>
        <w:tc>
          <w:tcPr>
            <w:tcW w:w="344" w:type="pct"/>
          </w:tcPr>
          <w:p w14:paraId="2F372EF3" w14:textId="77777777" w:rsidR="00446CB1" w:rsidRPr="009C0C4D" w:rsidRDefault="00446CB1" w:rsidP="00446CB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Dr. Sulaiman Alhabib </w:t>
            </w:r>
          </w:p>
        </w:tc>
        <w:tc>
          <w:tcPr>
            <w:tcW w:w="406" w:type="pct"/>
          </w:tcPr>
          <w:p w14:paraId="7310ED13"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Quantitative</w:t>
            </w:r>
          </w:p>
        </w:tc>
        <w:tc>
          <w:tcPr>
            <w:tcW w:w="407" w:type="pct"/>
          </w:tcPr>
          <w:p w14:paraId="6B63F912" w14:textId="3A45EED2" w:rsidR="00446CB1" w:rsidRPr="00354AB0"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354AB0">
              <w:rPr>
                <w:rFonts w:asciiTheme="majorBidi" w:hAnsiTheme="majorBidi" w:cstheme="majorBidi"/>
                <w:sz w:val="16"/>
                <w:szCs w:val="16"/>
                <w:highlight w:val="yellow"/>
              </w:rPr>
              <w:t>-</w:t>
            </w:r>
          </w:p>
        </w:tc>
        <w:tc>
          <w:tcPr>
            <w:tcW w:w="344" w:type="pct"/>
          </w:tcPr>
          <w:p w14:paraId="75571B73"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Formative</w:t>
            </w:r>
          </w:p>
        </w:tc>
        <w:tc>
          <w:tcPr>
            <w:tcW w:w="344" w:type="pct"/>
          </w:tcPr>
          <w:p w14:paraId="29C50AFB"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Usability Evaluation</w:t>
            </w:r>
          </w:p>
        </w:tc>
        <w:tc>
          <w:tcPr>
            <w:tcW w:w="344" w:type="pct"/>
          </w:tcPr>
          <w:p w14:paraId="074310EF"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Medical Informatics and Usability Evaluation Experts</w:t>
            </w:r>
          </w:p>
        </w:tc>
        <w:tc>
          <w:tcPr>
            <w:tcW w:w="343" w:type="pct"/>
          </w:tcPr>
          <w:p w14:paraId="32ED5AD2"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Nilsen Questionnaire</w:t>
            </w:r>
          </w:p>
        </w:tc>
        <w:tc>
          <w:tcPr>
            <w:tcW w:w="356" w:type="pct"/>
          </w:tcPr>
          <w:p w14:paraId="56C1F464"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14 months</w:t>
            </w:r>
          </w:p>
        </w:tc>
        <w:tc>
          <w:tcPr>
            <w:tcW w:w="455" w:type="pct"/>
          </w:tcPr>
          <w:p w14:paraId="69C992D1"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The results indicate that all three apps have usability issues and need improvements in their user interfaces. In the second evaluation, 10 out of 30 issues were addressed.</w:t>
            </w:r>
          </w:p>
        </w:tc>
      </w:tr>
      <w:tr w:rsidR="00446CB1" w:rsidRPr="009C0C4D" w14:paraId="1B7978C3" w14:textId="77777777" w:rsidTr="00B44AC2">
        <w:trPr>
          <w:jc w:val="center"/>
        </w:trPr>
        <w:tc>
          <w:tcPr>
            <w:cnfStyle w:val="001000000000" w:firstRow="0" w:lastRow="0" w:firstColumn="1" w:lastColumn="0" w:oddVBand="0" w:evenVBand="0" w:oddHBand="0" w:evenHBand="0" w:firstRowFirstColumn="0" w:firstRowLastColumn="0" w:lastRowFirstColumn="0" w:lastRowLastColumn="0"/>
            <w:tcW w:w="280" w:type="pct"/>
          </w:tcPr>
          <w:p w14:paraId="59CA4DAA" w14:textId="60EDCF9F" w:rsidR="00446CB1" w:rsidRPr="009C0C4D" w:rsidRDefault="00446CB1" w:rsidP="00446CB1">
            <w:pPr>
              <w:rPr>
                <w:rFonts w:asciiTheme="majorBidi" w:hAnsiTheme="majorBidi" w:cstheme="majorBidi"/>
                <w:sz w:val="16"/>
                <w:szCs w:val="16"/>
              </w:rPr>
            </w:pPr>
            <w:r>
              <w:rPr>
                <w:rFonts w:asciiTheme="majorBidi" w:hAnsiTheme="majorBidi" w:cstheme="majorBidi"/>
                <w:noProof/>
                <w:sz w:val="16"/>
                <w:szCs w:val="16"/>
              </w:rPr>
              <w:t>Dinh et al.</w:t>
            </w:r>
          </w:p>
        </w:tc>
        <w:tc>
          <w:tcPr>
            <w:tcW w:w="227" w:type="pct"/>
          </w:tcPr>
          <w:p w14:paraId="4112494D" w14:textId="77777777" w:rsidR="00446CB1" w:rsidRPr="009C0C4D" w:rsidRDefault="00446CB1" w:rsidP="00446CB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2020</w:t>
            </w:r>
          </w:p>
        </w:tc>
        <w:tc>
          <w:tcPr>
            <w:tcW w:w="294" w:type="pct"/>
          </w:tcPr>
          <w:p w14:paraId="7592E0F1" w14:textId="77777777" w:rsidR="00446CB1" w:rsidRPr="009C0C4D" w:rsidRDefault="00446CB1" w:rsidP="00446CB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France</w:t>
            </w:r>
          </w:p>
        </w:tc>
        <w:tc>
          <w:tcPr>
            <w:tcW w:w="324" w:type="pct"/>
          </w:tcPr>
          <w:p w14:paraId="6D54FD33" w14:textId="3A131F5D" w:rsidR="00446CB1" w:rsidRPr="005A167C"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5A167C">
              <w:rPr>
                <w:rFonts w:asciiTheme="majorBidi" w:hAnsiTheme="majorBidi" w:cstheme="majorBidi"/>
                <w:sz w:val="16"/>
                <w:szCs w:val="16"/>
                <w:highlight w:val="yellow"/>
              </w:rPr>
              <w:t>Level 4/ Moderate</w:t>
            </w:r>
          </w:p>
        </w:tc>
        <w:tc>
          <w:tcPr>
            <w:tcW w:w="532" w:type="pct"/>
          </w:tcPr>
          <w:p w14:paraId="1ECC72D1" w14:textId="53BF4F60"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To evaluate the safety of early home discharge with telemedicine for COVID-19 patients requiring nasal oxygen therapy.</w:t>
            </w:r>
          </w:p>
        </w:tc>
        <w:tc>
          <w:tcPr>
            <w:tcW w:w="344" w:type="pct"/>
          </w:tcPr>
          <w:p w14:paraId="245D79BE" w14:textId="77777777" w:rsidR="00446CB1" w:rsidRPr="009C0C4D" w:rsidRDefault="00446CB1" w:rsidP="00446CB1">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COVIDOM</w:t>
            </w:r>
          </w:p>
        </w:tc>
        <w:tc>
          <w:tcPr>
            <w:tcW w:w="406" w:type="pct"/>
          </w:tcPr>
          <w:p w14:paraId="3114423E"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Quantitative</w:t>
            </w:r>
          </w:p>
        </w:tc>
        <w:tc>
          <w:tcPr>
            <w:tcW w:w="407" w:type="pct"/>
          </w:tcPr>
          <w:p w14:paraId="713E24A7" w14:textId="27E7C369" w:rsidR="00446CB1" w:rsidRPr="00354AB0"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354AB0">
              <w:rPr>
                <w:rFonts w:asciiTheme="majorBidi" w:hAnsiTheme="majorBidi" w:cstheme="majorBidi"/>
                <w:sz w:val="16"/>
                <w:szCs w:val="16"/>
                <w:highlight w:val="yellow"/>
              </w:rPr>
              <w:t>-</w:t>
            </w:r>
          </w:p>
        </w:tc>
        <w:tc>
          <w:tcPr>
            <w:tcW w:w="344" w:type="pct"/>
          </w:tcPr>
          <w:p w14:paraId="78111C97"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Summative</w:t>
            </w:r>
          </w:p>
        </w:tc>
        <w:tc>
          <w:tcPr>
            <w:tcW w:w="344" w:type="pct"/>
          </w:tcPr>
          <w:p w14:paraId="4382CBDC"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tl/>
                <w:lang w:bidi="fa-IR"/>
              </w:rPr>
            </w:pPr>
            <w:r w:rsidRPr="009C0C4D">
              <w:rPr>
                <w:rFonts w:asciiTheme="majorBidi" w:hAnsiTheme="majorBidi" w:cstheme="majorBidi"/>
                <w:sz w:val="16"/>
                <w:szCs w:val="16"/>
                <w:lang w:bidi="fa-IR"/>
              </w:rPr>
              <w:t>Effectiveness Evaluation</w:t>
            </w:r>
          </w:p>
        </w:tc>
        <w:tc>
          <w:tcPr>
            <w:tcW w:w="344" w:type="pct"/>
          </w:tcPr>
          <w:p w14:paraId="0BD38C45"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Healthcare team</w:t>
            </w:r>
          </w:p>
        </w:tc>
        <w:tc>
          <w:tcPr>
            <w:tcW w:w="343" w:type="pct"/>
          </w:tcPr>
          <w:p w14:paraId="4DB8E245"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lang w:val="en"/>
              </w:rPr>
              <w:t xml:space="preserve">Self-report questionnaires in the COVIDOM system </w:t>
            </w:r>
          </w:p>
        </w:tc>
        <w:tc>
          <w:tcPr>
            <w:tcW w:w="356" w:type="pct"/>
          </w:tcPr>
          <w:p w14:paraId="48CD5B8A"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3 months</w:t>
            </w:r>
          </w:p>
        </w:tc>
        <w:tc>
          <w:tcPr>
            <w:tcW w:w="455" w:type="pct"/>
          </w:tcPr>
          <w:p w14:paraId="093D9B3F" w14:textId="77777777" w:rsidR="00446CB1" w:rsidRPr="009C0C4D" w:rsidRDefault="00446CB1" w:rsidP="00446CB1">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
              </w:rPr>
            </w:pPr>
            <w:r w:rsidRPr="009C0C4D">
              <w:rPr>
                <w:rFonts w:asciiTheme="majorBidi" w:hAnsiTheme="majorBidi" w:cstheme="majorBidi"/>
                <w:sz w:val="16"/>
                <w:szCs w:val="16"/>
                <w:lang w:val="en"/>
              </w:rPr>
              <w:t>During remote monitoring, no unexpected deaths or hospitalizations were observed, and the patients were in good condition.</w:t>
            </w:r>
          </w:p>
        </w:tc>
      </w:tr>
      <w:tr w:rsidR="001165BC" w:rsidRPr="009C0C4D" w14:paraId="383920E0" w14:textId="77777777" w:rsidTr="00B44AC2">
        <w:trPr>
          <w:jc w:val="center"/>
        </w:trPr>
        <w:tc>
          <w:tcPr>
            <w:cnfStyle w:val="001000000000" w:firstRow="0" w:lastRow="0" w:firstColumn="1" w:lastColumn="0" w:oddVBand="0" w:evenVBand="0" w:oddHBand="0" w:evenHBand="0" w:firstRowFirstColumn="0" w:firstRowLastColumn="0" w:lastRowFirstColumn="0" w:lastRowLastColumn="0"/>
            <w:tcW w:w="280" w:type="pct"/>
          </w:tcPr>
          <w:p w14:paraId="1E1A7F26" w14:textId="2A08892D" w:rsidR="001165BC" w:rsidRPr="009C0C4D" w:rsidRDefault="001165BC" w:rsidP="001165BC">
            <w:pPr>
              <w:rPr>
                <w:rFonts w:asciiTheme="majorBidi" w:hAnsiTheme="majorBidi" w:cstheme="majorBidi"/>
                <w:sz w:val="16"/>
                <w:szCs w:val="16"/>
              </w:rPr>
            </w:pPr>
            <w:r>
              <w:rPr>
                <w:rFonts w:asciiTheme="majorBidi" w:hAnsiTheme="majorBidi" w:cstheme="majorBidi"/>
                <w:noProof/>
                <w:sz w:val="16"/>
                <w:szCs w:val="16"/>
              </w:rPr>
              <w:t>Marcolino et al.</w:t>
            </w:r>
          </w:p>
        </w:tc>
        <w:tc>
          <w:tcPr>
            <w:tcW w:w="227" w:type="pct"/>
          </w:tcPr>
          <w:p w14:paraId="798C9205" w14:textId="77777777" w:rsidR="001165BC" w:rsidRPr="009C0C4D" w:rsidRDefault="001165BC" w:rsidP="001165B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2020</w:t>
            </w:r>
          </w:p>
        </w:tc>
        <w:tc>
          <w:tcPr>
            <w:tcW w:w="294" w:type="pct"/>
          </w:tcPr>
          <w:p w14:paraId="20CAB305" w14:textId="77777777" w:rsidR="001165BC" w:rsidRPr="009C0C4D" w:rsidRDefault="001165BC" w:rsidP="001165B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Brazil</w:t>
            </w:r>
          </w:p>
        </w:tc>
        <w:tc>
          <w:tcPr>
            <w:tcW w:w="324" w:type="pct"/>
          </w:tcPr>
          <w:p w14:paraId="0F25C62D" w14:textId="34183121" w:rsidR="001165BC" w:rsidRPr="005A167C"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5A167C">
              <w:rPr>
                <w:rFonts w:asciiTheme="majorBidi" w:hAnsiTheme="majorBidi" w:cstheme="majorBidi"/>
                <w:sz w:val="16"/>
                <w:szCs w:val="16"/>
                <w:highlight w:val="yellow"/>
                <w:lang w:bidi="fa-IR"/>
              </w:rPr>
              <w:t>Level 5/ High</w:t>
            </w:r>
          </w:p>
        </w:tc>
        <w:tc>
          <w:tcPr>
            <w:tcW w:w="532" w:type="pct"/>
          </w:tcPr>
          <w:p w14:paraId="1B427B32" w14:textId="4DA0067D"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To describe the development, implementation, and expansion of a synchronous </w:t>
            </w:r>
            <w:r>
              <w:rPr>
                <w:rFonts w:asciiTheme="majorBidi" w:hAnsiTheme="majorBidi" w:cstheme="majorBidi"/>
                <w:sz w:val="16"/>
                <w:szCs w:val="16"/>
              </w:rPr>
              <w:t>teleconsultation</w:t>
            </w:r>
            <w:r w:rsidRPr="009C0C4D">
              <w:rPr>
                <w:rFonts w:asciiTheme="majorBidi" w:hAnsiTheme="majorBidi" w:cstheme="majorBidi"/>
                <w:sz w:val="16"/>
                <w:szCs w:val="16"/>
              </w:rPr>
              <w:t xml:space="preserve"> service for COVID-19 symptoms in Brazil and to assess its usability and healthcare professionals’ satisfaction.</w:t>
            </w:r>
          </w:p>
        </w:tc>
        <w:tc>
          <w:tcPr>
            <w:tcW w:w="344" w:type="pct"/>
          </w:tcPr>
          <w:p w14:paraId="607CDF5D" w14:textId="77777777" w:rsidR="001165BC" w:rsidRPr="009C0C4D" w:rsidRDefault="001165BC" w:rsidP="001165B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TeleCOVID-MG</w:t>
            </w:r>
          </w:p>
        </w:tc>
        <w:tc>
          <w:tcPr>
            <w:tcW w:w="406" w:type="pct"/>
          </w:tcPr>
          <w:p w14:paraId="3191E773" w14:textId="2589F4A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Qualitative and quantitative (non-integrated)</w:t>
            </w:r>
            <w:r>
              <w:rPr>
                <w:rFonts w:asciiTheme="majorBidi" w:hAnsiTheme="majorBidi" w:cstheme="majorBidi"/>
                <w:sz w:val="16"/>
                <w:szCs w:val="16"/>
              </w:rPr>
              <w:t>*</w:t>
            </w:r>
            <w:r w:rsidRPr="009C0C4D">
              <w:rPr>
                <w:rFonts w:asciiTheme="majorBidi" w:hAnsiTheme="majorBidi" w:cstheme="majorBidi"/>
                <w:sz w:val="16"/>
                <w:szCs w:val="16"/>
              </w:rPr>
              <w:t xml:space="preserve"> </w:t>
            </w:r>
          </w:p>
        </w:tc>
        <w:tc>
          <w:tcPr>
            <w:tcW w:w="407" w:type="pct"/>
          </w:tcPr>
          <w:p w14:paraId="7B3E003C" w14:textId="77777777" w:rsidR="001165BC" w:rsidRPr="006A3603"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6A3603">
              <w:rPr>
                <w:rFonts w:asciiTheme="majorBidi" w:hAnsiTheme="majorBidi" w:cstheme="majorBidi"/>
                <w:sz w:val="16"/>
                <w:szCs w:val="16"/>
                <w:highlight w:val="yellow"/>
              </w:rPr>
              <w:t>Qualitative and quantitative data reported separately; no triangulation or synthesis.</w:t>
            </w:r>
          </w:p>
          <w:p w14:paraId="4568F980" w14:textId="77777777" w:rsidR="001165BC" w:rsidRPr="00354AB0"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p>
        </w:tc>
        <w:tc>
          <w:tcPr>
            <w:tcW w:w="344" w:type="pct"/>
          </w:tcPr>
          <w:p w14:paraId="67386B5B"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Formative</w:t>
            </w:r>
          </w:p>
        </w:tc>
        <w:tc>
          <w:tcPr>
            <w:tcW w:w="344" w:type="pct"/>
          </w:tcPr>
          <w:p w14:paraId="7A7B6350"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9C0C4D">
              <w:rPr>
                <w:rFonts w:asciiTheme="majorBidi" w:hAnsiTheme="majorBidi" w:cstheme="majorBidi"/>
                <w:sz w:val="16"/>
                <w:szCs w:val="16"/>
                <w:lang w:bidi="fa-IR"/>
              </w:rPr>
              <w:t>Satisfaction and Usability Evaluation</w:t>
            </w:r>
          </w:p>
        </w:tc>
        <w:tc>
          <w:tcPr>
            <w:tcW w:w="344" w:type="pct"/>
          </w:tcPr>
          <w:p w14:paraId="6A9DEB6C"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Healthcare team</w:t>
            </w:r>
          </w:p>
        </w:tc>
        <w:tc>
          <w:tcPr>
            <w:tcW w:w="343" w:type="pct"/>
          </w:tcPr>
          <w:p w14:paraId="475D75B6"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tl/>
                <w:lang w:bidi="fa-IR"/>
              </w:rPr>
            </w:pPr>
            <w:r w:rsidRPr="009C0C4D">
              <w:rPr>
                <w:rFonts w:asciiTheme="majorBidi" w:hAnsiTheme="majorBidi" w:cstheme="majorBidi"/>
                <w:sz w:val="16"/>
                <w:szCs w:val="16"/>
                <w:lang w:bidi="fa-IR"/>
              </w:rPr>
              <w:t>A researcher-made questionnaire</w:t>
            </w:r>
          </w:p>
        </w:tc>
        <w:tc>
          <w:tcPr>
            <w:tcW w:w="356" w:type="pct"/>
          </w:tcPr>
          <w:p w14:paraId="67799B09"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Not mentioned</w:t>
            </w:r>
          </w:p>
        </w:tc>
        <w:tc>
          <w:tcPr>
            <w:tcW w:w="455" w:type="pct"/>
          </w:tcPr>
          <w:p w14:paraId="3F3D92E5"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
              </w:rPr>
            </w:pPr>
            <w:r w:rsidRPr="009C0C4D">
              <w:rPr>
                <w:rFonts w:asciiTheme="majorBidi" w:hAnsiTheme="majorBidi" w:cstheme="majorBidi"/>
                <w:sz w:val="16"/>
                <w:szCs w:val="16"/>
              </w:rPr>
              <w:t>83% of health professionals rated the system satisfactory, although some stability issues were reported.</w:t>
            </w:r>
          </w:p>
        </w:tc>
      </w:tr>
      <w:tr w:rsidR="001165BC" w:rsidRPr="009C0C4D" w14:paraId="5B7AD227" w14:textId="77777777" w:rsidTr="00B44AC2">
        <w:trPr>
          <w:jc w:val="center"/>
        </w:trPr>
        <w:tc>
          <w:tcPr>
            <w:cnfStyle w:val="001000000000" w:firstRow="0" w:lastRow="0" w:firstColumn="1" w:lastColumn="0" w:oddVBand="0" w:evenVBand="0" w:oddHBand="0" w:evenHBand="0" w:firstRowFirstColumn="0" w:firstRowLastColumn="0" w:lastRowFirstColumn="0" w:lastRowLastColumn="0"/>
            <w:tcW w:w="280" w:type="pct"/>
          </w:tcPr>
          <w:p w14:paraId="02AF085F" w14:textId="7A18030A" w:rsidR="001165BC" w:rsidRPr="009C0C4D" w:rsidRDefault="001165BC" w:rsidP="001165BC">
            <w:pPr>
              <w:rPr>
                <w:rFonts w:asciiTheme="majorBidi" w:hAnsiTheme="majorBidi" w:cstheme="majorBidi"/>
                <w:sz w:val="16"/>
                <w:szCs w:val="16"/>
              </w:rPr>
            </w:pPr>
            <w:r>
              <w:rPr>
                <w:rFonts w:asciiTheme="majorBidi" w:hAnsiTheme="majorBidi" w:cstheme="majorBidi"/>
                <w:noProof/>
                <w:sz w:val="16"/>
                <w:szCs w:val="16"/>
              </w:rPr>
              <w:t>Oliver et al.</w:t>
            </w:r>
          </w:p>
        </w:tc>
        <w:tc>
          <w:tcPr>
            <w:tcW w:w="227" w:type="pct"/>
          </w:tcPr>
          <w:p w14:paraId="0FE0D392" w14:textId="77777777" w:rsidR="001165BC" w:rsidRPr="009C0C4D" w:rsidRDefault="001165BC" w:rsidP="001165B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2020</w:t>
            </w:r>
          </w:p>
        </w:tc>
        <w:tc>
          <w:tcPr>
            <w:tcW w:w="294" w:type="pct"/>
          </w:tcPr>
          <w:p w14:paraId="3F213E37" w14:textId="77777777" w:rsidR="001165BC" w:rsidRPr="009C0C4D" w:rsidRDefault="001165BC" w:rsidP="001165B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Australia</w:t>
            </w:r>
          </w:p>
        </w:tc>
        <w:tc>
          <w:tcPr>
            <w:tcW w:w="324" w:type="pct"/>
          </w:tcPr>
          <w:p w14:paraId="3A384557" w14:textId="75BCB7A1" w:rsidR="001165BC" w:rsidRPr="005A167C" w:rsidRDefault="001165BC" w:rsidP="001165B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5A167C">
              <w:rPr>
                <w:rFonts w:asciiTheme="majorBidi" w:hAnsiTheme="majorBidi" w:cstheme="majorBidi"/>
                <w:sz w:val="16"/>
                <w:szCs w:val="16"/>
                <w:highlight w:val="yellow"/>
                <w:lang w:bidi="fa-IR"/>
              </w:rPr>
              <w:t>Level 5/ High</w:t>
            </w:r>
          </w:p>
        </w:tc>
        <w:tc>
          <w:tcPr>
            <w:tcW w:w="532" w:type="pct"/>
          </w:tcPr>
          <w:p w14:paraId="795C9AF8" w14:textId="10D443C3" w:rsidR="001165BC" w:rsidRPr="009C0C4D" w:rsidRDefault="001165BC" w:rsidP="001165B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To evaluate the feasibility and acceptability of the Royal Melbourne Hospital (RMH) Home Monitoring Programme (HMP) from the patient's perspective.</w:t>
            </w:r>
          </w:p>
        </w:tc>
        <w:tc>
          <w:tcPr>
            <w:tcW w:w="344" w:type="pct"/>
          </w:tcPr>
          <w:p w14:paraId="70B217DF" w14:textId="77777777" w:rsidR="001165BC" w:rsidRPr="009C0C4D" w:rsidRDefault="001165BC" w:rsidP="001165B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RMH Home Monitoring Programme (HMP)</w:t>
            </w:r>
          </w:p>
        </w:tc>
        <w:tc>
          <w:tcPr>
            <w:tcW w:w="406" w:type="pct"/>
          </w:tcPr>
          <w:p w14:paraId="7B4AC8E8" w14:textId="1BDBFCAD"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Pr>
                <w:rFonts w:asciiTheme="majorBidi" w:hAnsiTheme="majorBidi" w:cstheme="majorBidi"/>
                <w:sz w:val="16"/>
                <w:szCs w:val="16"/>
              </w:rPr>
              <w:t>Q</w:t>
            </w:r>
            <w:r w:rsidRPr="009C0C4D">
              <w:rPr>
                <w:rFonts w:asciiTheme="majorBidi" w:hAnsiTheme="majorBidi" w:cstheme="majorBidi"/>
                <w:sz w:val="16"/>
                <w:szCs w:val="16"/>
              </w:rPr>
              <w:t xml:space="preserve">ualitative </w:t>
            </w:r>
          </w:p>
        </w:tc>
        <w:tc>
          <w:tcPr>
            <w:tcW w:w="407" w:type="pct"/>
          </w:tcPr>
          <w:p w14:paraId="7F0A7911" w14:textId="3D32F15B" w:rsidR="001165BC" w:rsidRPr="00354AB0"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354AB0">
              <w:rPr>
                <w:rFonts w:asciiTheme="majorBidi" w:hAnsiTheme="majorBidi" w:cstheme="majorBidi"/>
                <w:sz w:val="16"/>
                <w:szCs w:val="16"/>
                <w:highlight w:val="yellow"/>
              </w:rPr>
              <w:t>-</w:t>
            </w:r>
          </w:p>
        </w:tc>
        <w:tc>
          <w:tcPr>
            <w:tcW w:w="344" w:type="pct"/>
          </w:tcPr>
          <w:p w14:paraId="4FD38D11"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Summative </w:t>
            </w:r>
          </w:p>
        </w:tc>
        <w:tc>
          <w:tcPr>
            <w:tcW w:w="344" w:type="pct"/>
          </w:tcPr>
          <w:p w14:paraId="01D7A3D0"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9C0C4D">
              <w:rPr>
                <w:rFonts w:asciiTheme="majorBidi" w:hAnsiTheme="majorBidi" w:cstheme="majorBidi"/>
                <w:sz w:val="16"/>
                <w:szCs w:val="16"/>
                <w:lang w:bidi="fa-IR"/>
              </w:rPr>
              <w:t>Satisfaction Evaluation</w:t>
            </w:r>
          </w:p>
        </w:tc>
        <w:tc>
          <w:tcPr>
            <w:tcW w:w="344" w:type="pct"/>
          </w:tcPr>
          <w:p w14:paraId="48B425D9"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lang w:val="en"/>
              </w:rPr>
              <w:t xml:space="preserve">Patients </w:t>
            </w:r>
          </w:p>
        </w:tc>
        <w:tc>
          <w:tcPr>
            <w:tcW w:w="343" w:type="pct"/>
          </w:tcPr>
          <w:p w14:paraId="421CD405"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9C0C4D">
              <w:rPr>
                <w:rFonts w:asciiTheme="majorBidi" w:hAnsiTheme="majorBidi" w:cstheme="majorBidi"/>
                <w:sz w:val="16"/>
                <w:szCs w:val="16"/>
                <w:lang w:bidi="fa-IR"/>
              </w:rPr>
              <w:t xml:space="preserve">Interview guide </w:t>
            </w:r>
          </w:p>
        </w:tc>
        <w:tc>
          <w:tcPr>
            <w:tcW w:w="356" w:type="pct"/>
          </w:tcPr>
          <w:p w14:paraId="66FE9AA8"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 months</w:t>
            </w:r>
          </w:p>
        </w:tc>
        <w:tc>
          <w:tcPr>
            <w:tcW w:w="455" w:type="pct"/>
          </w:tcPr>
          <w:p w14:paraId="50800CE0"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
              </w:rPr>
            </w:pPr>
            <w:r w:rsidRPr="009C0C4D">
              <w:rPr>
                <w:rFonts w:asciiTheme="majorBidi" w:hAnsiTheme="majorBidi" w:cstheme="majorBidi"/>
                <w:sz w:val="16"/>
                <w:szCs w:val="16"/>
              </w:rPr>
              <w:t>Patients rated the system highly, finding it "very easy and acceptable" and feeling more secure about receiving care if their condition worsened.</w:t>
            </w:r>
          </w:p>
        </w:tc>
      </w:tr>
      <w:tr w:rsidR="001165BC" w:rsidRPr="009C0C4D" w14:paraId="33BB6AA8" w14:textId="77777777" w:rsidTr="00B44AC2">
        <w:trPr>
          <w:jc w:val="center"/>
        </w:trPr>
        <w:tc>
          <w:tcPr>
            <w:cnfStyle w:val="001000000000" w:firstRow="0" w:lastRow="0" w:firstColumn="1" w:lastColumn="0" w:oddVBand="0" w:evenVBand="0" w:oddHBand="0" w:evenHBand="0" w:firstRowFirstColumn="0" w:firstRowLastColumn="0" w:lastRowFirstColumn="0" w:lastRowLastColumn="0"/>
            <w:tcW w:w="280" w:type="pct"/>
          </w:tcPr>
          <w:p w14:paraId="11DD07C6" w14:textId="53FF481D" w:rsidR="001165BC" w:rsidRPr="009C0C4D" w:rsidRDefault="001165BC" w:rsidP="001165BC">
            <w:pPr>
              <w:rPr>
                <w:rFonts w:asciiTheme="majorBidi" w:hAnsiTheme="majorBidi" w:cstheme="majorBidi"/>
                <w:sz w:val="16"/>
                <w:szCs w:val="16"/>
              </w:rPr>
            </w:pPr>
            <w:r>
              <w:rPr>
                <w:rFonts w:asciiTheme="majorBidi" w:hAnsiTheme="majorBidi" w:cstheme="majorBidi"/>
                <w:noProof/>
                <w:sz w:val="16"/>
                <w:szCs w:val="16"/>
              </w:rPr>
              <w:t>Bouabida et al.</w:t>
            </w:r>
          </w:p>
        </w:tc>
        <w:tc>
          <w:tcPr>
            <w:tcW w:w="227" w:type="pct"/>
          </w:tcPr>
          <w:p w14:paraId="677FF618" w14:textId="77777777" w:rsidR="001165BC" w:rsidRPr="009C0C4D" w:rsidRDefault="001165BC" w:rsidP="001165B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2020</w:t>
            </w:r>
          </w:p>
        </w:tc>
        <w:tc>
          <w:tcPr>
            <w:tcW w:w="294" w:type="pct"/>
          </w:tcPr>
          <w:p w14:paraId="3310D548" w14:textId="77777777" w:rsidR="001165BC" w:rsidRPr="009C0C4D" w:rsidRDefault="001165BC" w:rsidP="001165B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Canada</w:t>
            </w:r>
          </w:p>
        </w:tc>
        <w:tc>
          <w:tcPr>
            <w:tcW w:w="324" w:type="pct"/>
          </w:tcPr>
          <w:p w14:paraId="28EF91CB" w14:textId="1C35C9F2" w:rsidR="001165BC" w:rsidRPr="005A167C"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5A167C">
              <w:rPr>
                <w:rFonts w:asciiTheme="majorBidi" w:hAnsiTheme="majorBidi" w:cstheme="majorBidi"/>
                <w:sz w:val="16"/>
                <w:szCs w:val="16"/>
                <w:highlight w:val="yellow"/>
                <w:lang w:bidi="fa-IR"/>
              </w:rPr>
              <w:t>Level 5/ High</w:t>
            </w:r>
          </w:p>
        </w:tc>
        <w:tc>
          <w:tcPr>
            <w:tcW w:w="532" w:type="pct"/>
          </w:tcPr>
          <w:p w14:paraId="27D2E77A" w14:textId="0EAD49A9"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To evaluate the capacity and contribution of two platforms used to remotely monitor COVID-19 patients, focusing on quality, safety, patient </w:t>
            </w:r>
            <w:r w:rsidRPr="009C0C4D">
              <w:rPr>
                <w:rFonts w:asciiTheme="majorBidi" w:hAnsiTheme="majorBidi" w:cstheme="majorBidi"/>
                <w:sz w:val="16"/>
                <w:szCs w:val="16"/>
              </w:rPr>
              <w:lastRenderedPageBreak/>
              <w:t>engagement, and their acceptability, usefulness, and user-friendliness from the user's perspective.</w:t>
            </w:r>
          </w:p>
        </w:tc>
        <w:tc>
          <w:tcPr>
            <w:tcW w:w="344" w:type="pct"/>
          </w:tcPr>
          <w:p w14:paraId="6106EF43" w14:textId="40785A0B" w:rsidR="001165BC" w:rsidRPr="009C0C4D" w:rsidRDefault="001165BC" w:rsidP="001165B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lastRenderedPageBreak/>
              <w:t>Telecare-C</w:t>
            </w:r>
            <w:r>
              <w:rPr>
                <w:rFonts w:asciiTheme="majorBidi" w:hAnsiTheme="majorBidi" w:cstheme="majorBidi"/>
                <w:sz w:val="16"/>
                <w:szCs w:val="16"/>
              </w:rPr>
              <w:t>OVID</w:t>
            </w:r>
            <w:r w:rsidRPr="009C0C4D">
              <w:rPr>
                <w:rFonts w:asciiTheme="majorBidi" w:hAnsiTheme="majorBidi" w:cstheme="majorBidi"/>
                <w:sz w:val="16"/>
                <w:szCs w:val="16"/>
              </w:rPr>
              <w:t xml:space="preserve"> and Care Simple-</w:t>
            </w:r>
            <w:r>
              <w:rPr>
                <w:rFonts w:asciiTheme="majorBidi" w:hAnsiTheme="majorBidi" w:cstheme="majorBidi"/>
                <w:sz w:val="16"/>
                <w:szCs w:val="16"/>
              </w:rPr>
              <w:t>COVID</w:t>
            </w:r>
          </w:p>
        </w:tc>
        <w:tc>
          <w:tcPr>
            <w:tcW w:w="406" w:type="pct"/>
          </w:tcPr>
          <w:p w14:paraId="6215C32A" w14:textId="387B7140"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Qualitative and quantitative (non-integrated) </w:t>
            </w:r>
            <w:r>
              <w:rPr>
                <w:rFonts w:asciiTheme="majorBidi" w:hAnsiTheme="majorBidi" w:cstheme="majorBidi"/>
                <w:sz w:val="16"/>
                <w:szCs w:val="16"/>
              </w:rPr>
              <w:t>*</w:t>
            </w:r>
          </w:p>
        </w:tc>
        <w:tc>
          <w:tcPr>
            <w:tcW w:w="407" w:type="pct"/>
          </w:tcPr>
          <w:p w14:paraId="2B2FA433" w14:textId="53EFFE21" w:rsidR="001165BC" w:rsidRPr="00073ACF"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073ACF">
              <w:rPr>
                <w:rFonts w:asciiTheme="majorBidi" w:hAnsiTheme="majorBidi" w:cstheme="majorBidi"/>
                <w:sz w:val="16"/>
                <w:szCs w:val="16"/>
                <w:highlight w:val="yellow"/>
              </w:rPr>
              <w:t xml:space="preserve">Qualitative and quantitative </w:t>
            </w:r>
            <w:r w:rsidRPr="00354AB0">
              <w:rPr>
                <w:rFonts w:asciiTheme="majorBidi" w:hAnsiTheme="majorBidi" w:cstheme="majorBidi"/>
                <w:sz w:val="16"/>
                <w:szCs w:val="16"/>
                <w:highlight w:val="yellow"/>
              </w:rPr>
              <w:t>results</w:t>
            </w:r>
            <w:r w:rsidRPr="00073ACF">
              <w:rPr>
                <w:rFonts w:asciiTheme="majorBidi" w:hAnsiTheme="majorBidi" w:cstheme="majorBidi"/>
                <w:sz w:val="16"/>
                <w:szCs w:val="16"/>
                <w:highlight w:val="yellow"/>
              </w:rPr>
              <w:t xml:space="preserve"> </w:t>
            </w:r>
            <w:r w:rsidRPr="00354AB0">
              <w:rPr>
                <w:rFonts w:asciiTheme="majorBidi" w:hAnsiTheme="majorBidi" w:cstheme="majorBidi"/>
                <w:sz w:val="16"/>
                <w:szCs w:val="16"/>
                <w:highlight w:val="yellow"/>
              </w:rPr>
              <w:t>were reported</w:t>
            </w:r>
            <w:r w:rsidRPr="00073ACF">
              <w:rPr>
                <w:rFonts w:asciiTheme="majorBidi" w:hAnsiTheme="majorBidi" w:cstheme="majorBidi"/>
                <w:sz w:val="16"/>
                <w:szCs w:val="16"/>
                <w:highlight w:val="yellow"/>
              </w:rPr>
              <w:t xml:space="preserve"> </w:t>
            </w:r>
            <w:r w:rsidRPr="00354AB0">
              <w:rPr>
                <w:rFonts w:asciiTheme="majorBidi" w:hAnsiTheme="majorBidi" w:cstheme="majorBidi"/>
                <w:sz w:val="16"/>
                <w:szCs w:val="16"/>
                <w:highlight w:val="yellow"/>
              </w:rPr>
              <w:t>independently,</w:t>
            </w:r>
            <w:r w:rsidRPr="00073ACF">
              <w:rPr>
                <w:rFonts w:asciiTheme="majorBidi" w:hAnsiTheme="majorBidi" w:cstheme="majorBidi"/>
                <w:sz w:val="16"/>
                <w:szCs w:val="16"/>
                <w:highlight w:val="yellow"/>
              </w:rPr>
              <w:t xml:space="preserve"> </w:t>
            </w:r>
            <w:r w:rsidRPr="00354AB0">
              <w:rPr>
                <w:rFonts w:asciiTheme="majorBidi" w:hAnsiTheme="majorBidi" w:cstheme="majorBidi"/>
                <w:sz w:val="16"/>
                <w:szCs w:val="16"/>
                <w:highlight w:val="yellow"/>
              </w:rPr>
              <w:t xml:space="preserve">with </w:t>
            </w:r>
            <w:r w:rsidRPr="00073ACF">
              <w:rPr>
                <w:rFonts w:asciiTheme="majorBidi" w:hAnsiTheme="majorBidi" w:cstheme="majorBidi"/>
                <w:sz w:val="16"/>
                <w:szCs w:val="16"/>
                <w:highlight w:val="yellow"/>
              </w:rPr>
              <w:t>no triangulation.</w:t>
            </w:r>
          </w:p>
          <w:p w14:paraId="77ED1CB0" w14:textId="77777777" w:rsidR="001165BC" w:rsidRPr="00354AB0"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p>
        </w:tc>
        <w:tc>
          <w:tcPr>
            <w:tcW w:w="344" w:type="pct"/>
          </w:tcPr>
          <w:p w14:paraId="5E72847F"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lastRenderedPageBreak/>
              <w:t xml:space="preserve">Summative </w:t>
            </w:r>
          </w:p>
        </w:tc>
        <w:tc>
          <w:tcPr>
            <w:tcW w:w="344" w:type="pct"/>
          </w:tcPr>
          <w:p w14:paraId="6A51E004"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9C0C4D">
              <w:rPr>
                <w:rFonts w:asciiTheme="majorBidi" w:hAnsiTheme="majorBidi" w:cstheme="majorBidi"/>
                <w:sz w:val="16"/>
                <w:szCs w:val="16"/>
                <w:lang w:bidi="fa-IR"/>
              </w:rPr>
              <w:t>Satisfaction Evaluation</w:t>
            </w:r>
          </w:p>
        </w:tc>
        <w:tc>
          <w:tcPr>
            <w:tcW w:w="344" w:type="pct"/>
          </w:tcPr>
          <w:p w14:paraId="620BD829"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Patients</w:t>
            </w:r>
          </w:p>
        </w:tc>
        <w:tc>
          <w:tcPr>
            <w:tcW w:w="343" w:type="pct"/>
          </w:tcPr>
          <w:p w14:paraId="7B708D82"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9C0C4D">
              <w:rPr>
                <w:rFonts w:asciiTheme="majorBidi" w:hAnsiTheme="majorBidi" w:cstheme="majorBidi"/>
                <w:sz w:val="16"/>
                <w:szCs w:val="16"/>
                <w:lang w:bidi="fa-IR"/>
              </w:rPr>
              <w:t>Redcap</w:t>
            </w:r>
          </w:p>
        </w:tc>
        <w:tc>
          <w:tcPr>
            <w:tcW w:w="356" w:type="pct"/>
          </w:tcPr>
          <w:p w14:paraId="27F1B4A8"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4 months</w:t>
            </w:r>
          </w:p>
        </w:tc>
        <w:tc>
          <w:tcPr>
            <w:tcW w:w="455" w:type="pct"/>
          </w:tcPr>
          <w:p w14:paraId="7EAC5164" w14:textId="2378FA3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Patients were pleased with the quality and safety of care. 88% of users found both platforms helpful, user-</w:t>
            </w:r>
            <w:r w:rsidRPr="009C0C4D">
              <w:rPr>
                <w:rFonts w:asciiTheme="majorBidi" w:hAnsiTheme="majorBidi" w:cstheme="majorBidi"/>
                <w:sz w:val="16"/>
                <w:szCs w:val="16"/>
              </w:rPr>
              <w:lastRenderedPageBreak/>
              <w:t xml:space="preserve">friendly, and suitable for their needs. The Care </w:t>
            </w:r>
            <w:r>
              <w:rPr>
                <w:rFonts w:asciiTheme="majorBidi" w:hAnsiTheme="majorBidi" w:cstheme="majorBidi"/>
                <w:sz w:val="16"/>
                <w:szCs w:val="16"/>
              </w:rPr>
              <w:t>Simple-COVID</w:t>
            </w:r>
            <w:r w:rsidRPr="009C0C4D">
              <w:rPr>
                <w:rFonts w:asciiTheme="majorBidi" w:hAnsiTheme="majorBidi" w:cstheme="majorBidi"/>
                <w:sz w:val="16"/>
                <w:szCs w:val="16"/>
              </w:rPr>
              <w:t xml:space="preserve"> platform outperformed </w:t>
            </w:r>
            <w:r>
              <w:rPr>
                <w:rFonts w:asciiTheme="majorBidi" w:hAnsiTheme="majorBidi" w:cstheme="majorBidi"/>
                <w:sz w:val="16"/>
                <w:szCs w:val="16"/>
              </w:rPr>
              <w:t>Telecare-COVID</w:t>
            </w:r>
            <w:r w:rsidRPr="009C0C4D">
              <w:rPr>
                <w:rFonts w:asciiTheme="majorBidi" w:hAnsiTheme="majorBidi" w:cstheme="majorBidi"/>
                <w:sz w:val="16"/>
                <w:szCs w:val="16"/>
              </w:rPr>
              <w:t xml:space="preserve"> regarding medical team empathy and quality of care.</w:t>
            </w:r>
          </w:p>
        </w:tc>
      </w:tr>
      <w:tr w:rsidR="001165BC" w:rsidRPr="009C0C4D" w14:paraId="7FB2B1C6" w14:textId="77777777" w:rsidTr="00B44AC2">
        <w:trPr>
          <w:jc w:val="center"/>
        </w:trPr>
        <w:tc>
          <w:tcPr>
            <w:cnfStyle w:val="001000000000" w:firstRow="0" w:lastRow="0" w:firstColumn="1" w:lastColumn="0" w:oddVBand="0" w:evenVBand="0" w:oddHBand="0" w:evenHBand="0" w:firstRowFirstColumn="0" w:firstRowLastColumn="0" w:lastRowFirstColumn="0" w:lastRowLastColumn="0"/>
            <w:tcW w:w="280" w:type="pct"/>
          </w:tcPr>
          <w:p w14:paraId="37F7764A" w14:textId="52166A24" w:rsidR="001165BC" w:rsidRPr="009C0C4D" w:rsidRDefault="001165BC" w:rsidP="001165BC">
            <w:pPr>
              <w:rPr>
                <w:rFonts w:asciiTheme="majorBidi" w:hAnsiTheme="majorBidi" w:cstheme="majorBidi"/>
                <w:sz w:val="16"/>
                <w:szCs w:val="16"/>
              </w:rPr>
            </w:pPr>
            <w:r>
              <w:rPr>
                <w:rFonts w:asciiTheme="majorBidi" w:hAnsiTheme="majorBidi" w:cstheme="majorBidi"/>
                <w:noProof/>
                <w:sz w:val="16"/>
                <w:szCs w:val="16"/>
              </w:rPr>
              <w:lastRenderedPageBreak/>
              <w:t>Gonzalez-Gerez et al.</w:t>
            </w:r>
          </w:p>
        </w:tc>
        <w:tc>
          <w:tcPr>
            <w:tcW w:w="227" w:type="pct"/>
          </w:tcPr>
          <w:p w14:paraId="2B81C4C2" w14:textId="77777777" w:rsidR="001165BC" w:rsidRPr="009C0C4D" w:rsidRDefault="001165BC" w:rsidP="001165B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2021</w:t>
            </w:r>
          </w:p>
        </w:tc>
        <w:tc>
          <w:tcPr>
            <w:tcW w:w="294" w:type="pct"/>
          </w:tcPr>
          <w:p w14:paraId="2C661215" w14:textId="77777777" w:rsidR="001165BC" w:rsidRPr="009C0C4D" w:rsidRDefault="001165BC" w:rsidP="001165B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Spain</w:t>
            </w:r>
          </w:p>
        </w:tc>
        <w:tc>
          <w:tcPr>
            <w:tcW w:w="324" w:type="pct"/>
          </w:tcPr>
          <w:p w14:paraId="4C2EAEE8" w14:textId="7DDDEE09" w:rsidR="001165BC" w:rsidRPr="005A167C"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5A167C">
              <w:rPr>
                <w:rFonts w:asciiTheme="majorBidi" w:hAnsiTheme="majorBidi" w:cstheme="majorBidi"/>
                <w:sz w:val="16"/>
                <w:szCs w:val="16"/>
                <w:highlight w:val="yellow"/>
              </w:rPr>
              <w:t>Level 4/ Moderate</w:t>
            </w:r>
          </w:p>
        </w:tc>
        <w:tc>
          <w:tcPr>
            <w:tcW w:w="532" w:type="pct"/>
          </w:tcPr>
          <w:p w14:paraId="62D06DAB" w14:textId="097AEEFA"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To evaluate the feasibility and effectiveness of a novel program using breathing exercises through telerehabilitation tools for COVID-19 patients with mild to moderate symptoms in the acute stage.</w:t>
            </w:r>
          </w:p>
        </w:tc>
        <w:tc>
          <w:tcPr>
            <w:tcW w:w="344" w:type="pct"/>
          </w:tcPr>
          <w:p w14:paraId="710C223E" w14:textId="77777777" w:rsidR="001165BC" w:rsidRPr="009C0C4D" w:rsidRDefault="001165BC" w:rsidP="001165B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Without specific name</w:t>
            </w:r>
          </w:p>
        </w:tc>
        <w:tc>
          <w:tcPr>
            <w:tcW w:w="406" w:type="pct"/>
          </w:tcPr>
          <w:p w14:paraId="798A9EA7"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Quantitative</w:t>
            </w:r>
          </w:p>
        </w:tc>
        <w:tc>
          <w:tcPr>
            <w:tcW w:w="407" w:type="pct"/>
          </w:tcPr>
          <w:p w14:paraId="55F56FDE" w14:textId="3E03B6C2" w:rsidR="001165BC" w:rsidRPr="00354AB0"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354AB0">
              <w:rPr>
                <w:rFonts w:asciiTheme="majorBidi" w:hAnsiTheme="majorBidi" w:cstheme="majorBidi"/>
                <w:sz w:val="16"/>
                <w:szCs w:val="16"/>
                <w:highlight w:val="yellow"/>
              </w:rPr>
              <w:t>-</w:t>
            </w:r>
          </w:p>
        </w:tc>
        <w:tc>
          <w:tcPr>
            <w:tcW w:w="344" w:type="pct"/>
          </w:tcPr>
          <w:p w14:paraId="43D17396"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Summative </w:t>
            </w:r>
          </w:p>
        </w:tc>
        <w:tc>
          <w:tcPr>
            <w:tcW w:w="344" w:type="pct"/>
          </w:tcPr>
          <w:p w14:paraId="554C1676"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9C0C4D">
              <w:rPr>
                <w:rFonts w:asciiTheme="majorBidi" w:hAnsiTheme="majorBidi" w:cstheme="majorBidi"/>
                <w:sz w:val="16"/>
                <w:szCs w:val="16"/>
                <w:lang w:bidi="fa-IR"/>
              </w:rPr>
              <w:t>Effectiveness and Safety Evaluation</w:t>
            </w:r>
          </w:p>
        </w:tc>
        <w:tc>
          <w:tcPr>
            <w:tcW w:w="344" w:type="pct"/>
          </w:tcPr>
          <w:p w14:paraId="630685F5"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Patients</w:t>
            </w:r>
          </w:p>
        </w:tc>
        <w:tc>
          <w:tcPr>
            <w:tcW w:w="343" w:type="pct"/>
          </w:tcPr>
          <w:p w14:paraId="0C4DE0B9"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9C0C4D">
              <w:rPr>
                <w:rFonts w:asciiTheme="majorBidi" w:hAnsiTheme="majorBidi" w:cstheme="majorBidi"/>
                <w:sz w:val="16"/>
                <w:szCs w:val="16"/>
                <w:lang w:bidi="fa-IR"/>
              </w:rPr>
              <w:t>Standard Questionnaire</w:t>
            </w:r>
          </w:p>
        </w:tc>
        <w:tc>
          <w:tcPr>
            <w:tcW w:w="356" w:type="pct"/>
          </w:tcPr>
          <w:p w14:paraId="22B2CF15"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1 week</w:t>
            </w:r>
          </w:p>
        </w:tc>
        <w:tc>
          <w:tcPr>
            <w:tcW w:w="455" w:type="pct"/>
          </w:tcPr>
          <w:p w14:paraId="40BF231C"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
              </w:rPr>
            </w:pPr>
            <w:r w:rsidRPr="009C0C4D">
              <w:rPr>
                <w:rFonts w:asciiTheme="majorBidi" w:hAnsiTheme="majorBidi" w:cstheme="majorBidi"/>
                <w:sz w:val="16"/>
                <w:szCs w:val="16"/>
              </w:rPr>
              <w:t>The intervention group showed significant improvements in functional capacity, reduced shortness of breath, and increased muscular endurance, and 90% of patients adhered to the rehabilitation program.</w:t>
            </w:r>
          </w:p>
        </w:tc>
      </w:tr>
      <w:tr w:rsidR="001165BC" w:rsidRPr="009C0C4D" w14:paraId="48FCBDD0" w14:textId="77777777" w:rsidTr="00B44AC2">
        <w:trPr>
          <w:jc w:val="center"/>
        </w:trPr>
        <w:tc>
          <w:tcPr>
            <w:cnfStyle w:val="001000000000" w:firstRow="0" w:lastRow="0" w:firstColumn="1" w:lastColumn="0" w:oddVBand="0" w:evenVBand="0" w:oddHBand="0" w:evenHBand="0" w:firstRowFirstColumn="0" w:firstRowLastColumn="0" w:lastRowFirstColumn="0" w:lastRowLastColumn="0"/>
            <w:tcW w:w="280" w:type="pct"/>
          </w:tcPr>
          <w:p w14:paraId="055AF983" w14:textId="0C933D22" w:rsidR="001165BC" w:rsidRPr="009C0C4D" w:rsidRDefault="001165BC" w:rsidP="001165BC">
            <w:pPr>
              <w:rPr>
                <w:rFonts w:asciiTheme="majorBidi" w:hAnsiTheme="majorBidi" w:cstheme="majorBidi"/>
                <w:sz w:val="16"/>
                <w:szCs w:val="16"/>
              </w:rPr>
            </w:pPr>
            <w:r>
              <w:rPr>
                <w:rFonts w:asciiTheme="majorBidi" w:hAnsiTheme="majorBidi" w:cstheme="majorBidi"/>
                <w:noProof/>
                <w:sz w:val="16"/>
                <w:szCs w:val="16"/>
              </w:rPr>
              <w:t xml:space="preserve">Walter et al. </w:t>
            </w:r>
          </w:p>
        </w:tc>
        <w:tc>
          <w:tcPr>
            <w:tcW w:w="227" w:type="pct"/>
          </w:tcPr>
          <w:p w14:paraId="0E22BE61" w14:textId="77777777" w:rsidR="001165BC" w:rsidRPr="009C0C4D" w:rsidRDefault="001165BC" w:rsidP="001165B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2020</w:t>
            </w:r>
          </w:p>
        </w:tc>
        <w:tc>
          <w:tcPr>
            <w:tcW w:w="294" w:type="pct"/>
          </w:tcPr>
          <w:p w14:paraId="65EE5405" w14:textId="77777777" w:rsidR="001165BC" w:rsidRPr="009C0C4D" w:rsidRDefault="001165BC" w:rsidP="001165B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USA</w:t>
            </w:r>
          </w:p>
        </w:tc>
        <w:tc>
          <w:tcPr>
            <w:tcW w:w="324" w:type="pct"/>
          </w:tcPr>
          <w:p w14:paraId="70E7CDB2" w14:textId="6C6E0C6D" w:rsidR="001165BC" w:rsidRPr="005A167C"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5A167C">
              <w:rPr>
                <w:rFonts w:asciiTheme="majorBidi" w:hAnsiTheme="majorBidi" w:cstheme="majorBidi"/>
                <w:sz w:val="16"/>
                <w:szCs w:val="16"/>
                <w:highlight w:val="yellow"/>
              </w:rPr>
              <w:t>Level 4/ Moderate</w:t>
            </w:r>
          </w:p>
        </w:tc>
        <w:tc>
          <w:tcPr>
            <w:tcW w:w="532" w:type="pct"/>
          </w:tcPr>
          <w:p w14:paraId="031A3A48" w14:textId="7216D49F"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To describe the operational model of a VC program for COVID-19, evaluate its financial impact, and detail its clinical outcomes.</w:t>
            </w:r>
          </w:p>
        </w:tc>
        <w:tc>
          <w:tcPr>
            <w:tcW w:w="344" w:type="pct"/>
          </w:tcPr>
          <w:p w14:paraId="203A964E" w14:textId="77777777" w:rsidR="001165BC" w:rsidRPr="009C0C4D" w:rsidRDefault="001165BC" w:rsidP="001165B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VC program</w:t>
            </w:r>
          </w:p>
        </w:tc>
        <w:tc>
          <w:tcPr>
            <w:tcW w:w="406" w:type="pct"/>
          </w:tcPr>
          <w:p w14:paraId="02A4E005"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Quantitative</w:t>
            </w:r>
          </w:p>
        </w:tc>
        <w:tc>
          <w:tcPr>
            <w:tcW w:w="407" w:type="pct"/>
          </w:tcPr>
          <w:p w14:paraId="0A32D458" w14:textId="2F8703A6" w:rsidR="001165BC" w:rsidRPr="00354AB0"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354AB0">
              <w:rPr>
                <w:rFonts w:asciiTheme="majorBidi" w:hAnsiTheme="majorBidi" w:cstheme="majorBidi"/>
                <w:sz w:val="16"/>
                <w:szCs w:val="16"/>
                <w:highlight w:val="yellow"/>
              </w:rPr>
              <w:t>-</w:t>
            </w:r>
          </w:p>
        </w:tc>
        <w:tc>
          <w:tcPr>
            <w:tcW w:w="344" w:type="pct"/>
          </w:tcPr>
          <w:p w14:paraId="5B08F41C"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Summative </w:t>
            </w:r>
          </w:p>
        </w:tc>
        <w:tc>
          <w:tcPr>
            <w:tcW w:w="344" w:type="pct"/>
          </w:tcPr>
          <w:p w14:paraId="0189B33A"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9C0C4D">
              <w:rPr>
                <w:rFonts w:asciiTheme="majorBidi" w:hAnsiTheme="majorBidi" w:cstheme="majorBidi"/>
                <w:sz w:val="16"/>
                <w:szCs w:val="16"/>
                <w:lang w:bidi="fa-IR"/>
              </w:rPr>
              <w:t>Effectiveness Evaluation</w:t>
            </w:r>
          </w:p>
        </w:tc>
        <w:tc>
          <w:tcPr>
            <w:tcW w:w="344" w:type="pct"/>
          </w:tcPr>
          <w:p w14:paraId="1AAD7331"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lang w:val="en"/>
              </w:rPr>
              <w:t>Healthcare team</w:t>
            </w:r>
          </w:p>
        </w:tc>
        <w:tc>
          <w:tcPr>
            <w:tcW w:w="343" w:type="pct"/>
          </w:tcPr>
          <w:p w14:paraId="0B28DE58"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9C0C4D">
              <w:rPr>
                <w:rFonts w:asciiTheme="majorBidi" w:hAnsiTheme="majorBidi" w:cstheme="majorBidi"/>
                <w:sz w:val="16"/>
                <w:szCs w:val="16"/>
                <w:lang w:val="en" w:bidi="fa-IR"/>
              </w:rPr>
              <w:t>Wearable device, blood pressure monitor, scale, and tablet</w:t>
            </w:r>
          </w:p>
        </w:tc>
        <w:tc>
          <w:tcPr>
            <w:tcW w:w="356" w:type="pct"/>
          </w:tcPr>
          <w:p w14:paraId="39E69625"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12 months</w:t>
            </w:r>
          </w:p>
        </w:tc>
        <w:tc>
          <w:tcPr>
            <w:tcW w:w="455" w:type="pct"/>
          </w:tcPr>
          <w:p w14:paraId="5E1AE62A"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
              </w:rPr>
            </w:pPr>
            <w:r w:rsidRPr="009C0C4D">
              <w:rPr>
                <w:rFonts w:asciiTheme="majorBidi" w:hAnsiTheme="majorBidi" w:cstheme="majorBidi"/>
                <w:sz w:val="16"/>
                <w:szCs w:val="16"/>
                <w:lang w:val="en"/>
              </w:rPr>
              <w:t>12% reduction in the average length of stay for COVID-19 patients. Savings of $2,047 per patient. There was no increase in readmissions or emergency room visits.</w:t>
            </w:r>
          </w:p>
        </w:tc>
      </w:tr>
      <w:tr w:rsidR="001165BC" w:rsidRPr="009C0C4D" w14:paraId="55D87F37" w14:textId="77777777" w:rsidTr="00B44AC2">
        <w:trPr>
          <w:jc w:val="center"/>
        </w:trPr>
        <w:tc>
          <w:tcPr>
            <w:cnfStyle w:val="001000000000" w:firstRow="0" w:lastRow="0" w:firstColumn="1" w:lastColumn="0" w:oddVBand="0" w:evenVBand="0" w:oddHBand="0" w:evenHBand="0" w:firstRowFirstColumn="0" w:firstRowLastColumn="0" w:lastRowFirstColumn="0" w:lastRowLastColumn="0"/>
            <w:tcW w:w="280" w:type="pct"/>
          </w:tcPr>
          <w:p w14:paraId="230AA543" w14:textId="66BA274F" w:rsidR="001165BC" w:rsidRPr="009C0C4D" w:rsidRDefault="001165BC" w:rsidP="001165BC">
            <w:pPr>
              <w:rPr>
                <w:rFonts w:asciiTheme="majorBidi" w:hAnsiTheme="majorBidi" w:cstheme="majorBidi"/>
                <w:sz w:val="16"/>
                <w:szCs w:val="16"/>
              </w:rPr>
            </w:pPr>
            <w:r>
              <w:rPr>
                <w:rFonts w:asciiTheme="majorBidi" w:hAnsiTheme="majorBidi" w:cstheme="majorBidi"/>
                <w:noProof/>
                <w:sz w:val="16"/>
                <w:szCs w:val="16"/>
              </w:rPr>
              <w:t xml:space="preserve">Kesavadev et al. </w:t>
            </w:r>
          </w:p>
        </w:tc>
        <w:tc>
          <w:tcPr>
            <w:tcW w:w="227" w:type="pct"/>
          </w:tcPr>
          <w:p w14:paraId="6A72C6DE" w14:textId="77777777" w:rsidR="001165BC" w:rsidRPr="009C0C4D" w:rsidRDefault="001165BC" w:rsidP="001165B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2020</w:t>
            </w:r>
          </w:p>
        </w:tc>
        <w:tc>
          <w:tcPr>
            <w:tcW w:w="294" w:type="pct"/>
          </w:tcPr>
          <w:p w14:paraId="50441015" w14:textId="77777777" w:rsidR="001165BC" w:rsidRPr="009C0C4D" w:rsidRDefault="001165BC" w:rsidP="001165B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India</w:t>
            </w:r>
          </w:p>
        </w:tc>
        <w:tc>
          <w:tcPr>
            <w:tcW w:w="324" w:type="pct"/>
          </w:tcPr>
          <w:p w14:paraId="20ABC919" w14:textId="3B4ECF45" w:rsidR="001165BC" w:rsidRPr="005A167C"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5A167C">
              <w:rPr>
                <w:rFonts w:asciiTheme="majorBidi" w:hAnsiTheme="majorBidi" w:cstheme="majorBidi"/>
                <w:sz w:val="16"/>
                <w:szCs w:val="16"/>
                <w:highlight w:val="yellow"/>
                <w:lang w:bidi="fa-IR"/>
              </w:rPr>
              <w:t>Level 5/ High</w:t>
            </w:r>
          </w:p>
        </w:tc>
        <w:tc>
          <w:tcPr>
            <w:tcW w:w="532" w:type="pct"/>
          </w:tcPr>
          <w:p w14:paraId="5E29E2DF" w14:textId="58BB334C"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to propose a novel, successful interventional home care model, the Virtual COVID In-Patient (VCIP) care for effective COVID management</w:t>
            </w:r>
          </w:p>
        </w:tc>
        <w:tc>
          <w:tcPr>
            <w:tcW w:w="344" w:type="pct"/>
          </w:tcPr>
          <w:p w14:paraId="07F17EC6" w14:textId="77777777" w:rsidR="001165BC" w:rsidRPr="009C0C4D" w:rsidRDefault="001165BC" w:rsidP="001165B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Virtual COVID In-Patient (VCIP)</w:t>
            </w:r>
          </w:p>
        </w:tc>
        <w:tc>
          <w:tcPr>
            <w:tcW w:w="406" w:type="pct"/>
          </w:tcPr>
          <w:p w14:paraId="56992BC6" w14:textId="72B48222"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Qualitative and quantitative (non-integrated) </w:t>
            </w:r>
            <w:r>
              <w:rPr>
                <w:rFonts w:asciiTheme="majorBidi" w:hAnsiTheme="majorBidi" w:cstheme="majorBidi"/>
                <w:sz w:val="16"/>
                <w:szCs w:val="16"/>
              </w:rPr>
              <w:t>*</w:t>
            </w:r>
          </w:p>
        </w:tc>
        <w:tc>
          <w:tcPr>
            <w:tcW w:w="407" w:type="pct"/>
          </w:tcPr>
          <w:p w14:paraId="4A6DA334" w14:textId="77777777" w:rsidR="001165BC" w:rsidRPr="006A3603"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6A3603">
              <w:rPr>
                <w:rFonts w:asciiTheme="majorBidi" w:hAnsiTheme="majorBidi" w:cstheme="majorBidi"/>
                <w:sz w:val="16"/>
                <w:szCs w:val="16"/>
                <w:highlight w:val="yellow"/>
              </w:rPr>
              <w:t>Qualitative and quantitative data reported separately; no triangulation or synthesis.</w:t>
            </w:r>
          </w:p>
          <w:p w14:paraId="4D312D76" w14:textId="77777777" w:rsidR="001165BC" w:rsidRPr="00354AB0"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p>
        </w:tc>
        <w:tc>
          <w:tcPr>
            <w:tcW w:w="344" w:type="pct"/>
          </w:tcPr>
          <w:p w14:paraId="72A9DC3C"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Formative </w:t>
            </w:r>
          </w:p>
        </w:tc>
        <w:tc>
          <w:tcPr>
            <w:tcW w:w="344" w:type="pct"/>
          </w:tcPr>
          <w:p w14:paraId="7972D7DD"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9C0C4D">
              <w:rPr>
                <w:rFonts w:asciiTheme="majorBidi" w:hAnsiTheme="majorBidi" w:cstheme="majorBidi"/>
                <w:sz w:val="16"/>
                <w:szCs w:val="16"/>
                <w:lang w:bidi="fa-IR"/>
              </w:rPr>
              <w:t>Effectiveness and Satisfaction Evaluation</w:t>
            </w:r>
          </w:p>
        </w:tc>
        <w:tc>
          <w:tcPr>
            <w:tcW w:w="344" w:type="pct"/>
          </w:tcPr>
          <w:p w14:paraId="45D0330B"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lang w:val="en"/>
              </w:rPr>
              <w:t>Healthcare team</w:t>
            </w:r>
          </w:p>
        </w:tc>
        <w:tc>
          <w:tcPr>
            <w:tcW w:w="343" w:type="pct"/>
          </w:tcPr>
          <w:p w14:paraId="5F430D47"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9C0C4D">
              <w:rPr>
                <w:rFonts w:asciiTheme="majorBidi" w:hAnsiTheme="majorBidi" w:cstheme="majorBidi"/>
                <w:sz w:val="16"/>
                <w:szCs w:val="16"/>
                <w:lang w:bidi="fa-IR"/>
              </w:rPr>
              <w:t>WhatsApp</w:t>
            </w:r>
          </w:p>
        </w:tc>
        <w:tc>
          <w:tcPr>
            <w:tcW w:w="356" w:type="pct"/>
          </w:tcPr>
          <w:p w14:paraId="2A61464B"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Not Mentioned</w:t>
            </w:r>
          </w:p>
        </w:tc>
        <w:tc>
          <w:tcPr>
            <w:tcW w:w="455" w:type="pct"/>
          </w:tcPr>
          <w:p w14:paraId="70D27B7E"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
              </w:rPr>
            </w:pPr>
            <w:r w:rsidRPr="009C0C4D">
              <w:rPr>
                <w:rFonts w:asciiTheme="majorBidi" w:hAnsiTheme="majorBidi" w:cstheme="majorBidi"/>
                <w:sz w:val="16"/>
                <w:szCs w:val="16"/>
              </w:rPr>
              <w:t>Only two of the 220 patients using the VCIP facility were hospitalized, resulting in a 99.5% success rate in preventing hospitalizations.</w:t>
            </w:r>
          </w:p>
        </w:tc>
      </w:tr>
      <w:tr w:rsidR="001165BC" w:rsidRPr="009C0C4D" w14:paraId="13E6C044" w14:textId="77777777" w:rsidTr="00B44AC2">
        <w:trPr>
          <w:jc w:val="center"/>
        </w:trPr>
        <w:tc>
          <w:tcPr>
            <w:cnfStyle w:val="001000000000" w:firstRow="0" w:lastRow="0" w:firstColumn="1" w:lastColumn="0" w:oddVBand="0" w:evenVBand="0" w:oddHBand="0" w:evenHBand="0" w:firstRowFirstColumn="0" w:firstRowLastColumn="0" w:lastRowFirstColumn="0" w:lastRowLastColumn="0"/>
            <w:tcW w:w="280" w:type="pct"/>
          </w:tcPr>
          <w:p w14:paraId="6D95574A" w14:textId="68A6975A" w:rsidR="001165BC" w:rsidRPr="009C0C4D" w:rsidRDefault="001165BC" w:rsidP="001165BC">
            <w:pPr>
              <w:rPr>
                <w:rFonts w:asciiTheme="majorBidi" w:hAnsiTheme="majorBidi" w:cstheme="majorBidi"/>
                <w:sz w:val="16"/>
                <w:szCs w:val="16"/>
              </w:rPr>
            </w:pPr>
            <w:r>
              <w:rPr>
                <w:rFonts w:asciiTheme="majorBidi" w:hAnsiTheme="majorBidi" w:cstheme="majorBidi"/>
                <w:noProof/>
                <w:sz w:val="16"/>
                <w:szCs w:val="16"/>
              </w:rPr>
              <w:t xml:space="preserve">Nakshbandi et al. </w:t>
            </w:r>
          </w:p>
        </w:tc>
        <w:tc>
          <w:tcPr>
            <w:tcW w:w="227" w:type="pct"/>
          </w:tcPr>
          <w:p w14:paraId="1542AAD2" w14:textId="77777777" w:rsidR="001165BC" w:rsidRPr="009C0C4D" w:rsidRDefault="001165BC" w:rsidP="001165B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2020</w:t>
            </w:r>
          </w:p>
        </w:tc>
        <w:tc>
          <w:tcPr>
            <w:tcW w:w="294" w:type="pct"/>
          </w:tcPr>
          <w:p w14:paraId="399FF45C" w14:textId="77777777" w:rsidR="001165BC" w:rsidRPr="009C0C4D" w:rsidRDefault="001165BC" w:rsidP="001165B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Netherland</w:t>
            </w:r>
          </w:p>
        </w:tc>
        <w:tc>
          <w:tcPr>
            <w:tcW w:w="324" w:type="pct"/>
          </w:tcPr>
          <w:p w14:paraId="1370FE56" w14:textId="56D92216" w:rsidR="001165BC" w:rsidRPr="005A167C"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5A167C">
              <w:rPr>
                <w:rFonts w:asciiTheme="majorBidi" w:hAnsiTheme="majorBidi" w:cstheme="majorBidi"/>
                <w:sz w:val="16"/>
                <w:szCs w:val="16"/>
                <w:highlight w:val="yellow"/>
                <w:lang w:bidi="fa-IR"/>
              </w:rPr>
              <w:t>Level 5/ High</w:t>
            </w:r>
          </w:p>
        </w:tc>
        <w:tc>
          <w:tcPr>
            <w:tcW w:w="532" w:type="pct"/>
          </w:tcPr>
          <w:p w14:paraId="486E3E7E" w14:textId="4646567E"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 xml:space="preserve">To gain insights into long-term recovery after COVID-19, an online home monitoring </w:t>
            </w:r>
            <w:r w:rsidRPr="009C0C4D">
              <w:rPr>
                <w:rFonts w:asciiTheme="majorBidi" w:hAnsiTheme="majorBidi" w:cstheme="majorBidi"/>
                <w:sz w:val="16"/>
                <w:szCs w:val="16"/>
              </w:rPr>
              <w:lastRenderedPageBreak/>
              <w:t>program, including home spirometry, was used. Additionally, we evaluated patient experiences with the program.</w:t>
            </w:r>
          </w:p>
        </w:tc>
        <w:tc>
          <w:tcPr>
            <w:tcW w:w="344" w:type="pct"/>
          </w:tcPr>
          <w:p w14:paraId="48605625" w14:textId="77777777" w:rsidR="001165BC" w:rsidRPr="009C0C4D" w:rsidRDefault="001165BC" w:rsidP="001165B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lastRenderedPageBreak/>
              <w:t>HOMECOMIN’ application</w:t>
            </w:r>
          </w:p>
        </w:tc>
        <w:tc>
          <w:tcPr>
            <w:tcW w:w="406" w:type="pct"/>
          </w:tcPr>
          <w:p w14:paraId="32D59246" w14:textId="6FA5DE0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Qualitative and quantitative (non-integrated)</w:t>
            </w:r>
            <w:r>
              <w:rPr>
                <w:rFonts w:asciiTheme="majorBidi" w:hAnsiTheme="majorBidi" w:cstheme="majorBidi"/>
                <w:sz w:val="16"/>
                <w:szCs w:val="16"/>
              </w:rPr>
              <w:t xml:space="preserve"> *</w:t>
            </w:r>
            <w:r w:rsidRPr="009C0C4D">
              <w:rPr>
                <w:rFonts w:asciiTheme="majorBidi" w:hAnsiTheme="majorBidi" w:cstheme="majorBidi"/>
                <w:sz w:val="16"/>
                <w:szCs w:val="16"/>
              </w:rPr>
              <w:t xml:space="preserve"> </w:t>
            </w:r>
          </w:p>
        </w:tc>
        <w:tc>
          <w:tcPr>
            <w:tcW w:w="407" w:type="pct"/>
          </w:tcPr>
          <w:p w14:paraId="7174BB78" w14:textId="51CF9A9F" w:rsidR="001165BC" w:rsidRPr="00073ACF"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073ACF">
              <w:rPr>
                <w:rFonts w:asciiTheme="majorBidi" w:hAnsiTheme="majorBidi" w:cstheme="majorBidi"/>
                <w:sz w:val="16"/>
                <w:szCs w:val="16"/>
                <w:highlight w:val="yellow"/>
              </w:rPr>
              <w:t xml:space="preserve">Qualitative and quantitative </w:t>
            </w:r>
            <w:r w:rsidRPr="00354AB0">
              <w:rPr>
                <w:rFonts w:asciiTheme="majorBidi" w:hAnsiTheme="majorBidi" w:cstheme="majorBidi"/>
                <w:sz w:val="16"/>
                <w:szCs w:val="16"/>
                <w:highlight w:val="yellow"/>
              </w:rPr>
              <w:t>results</w:t>
            </w:r>
            <w:r w:rsidRPr="00073ACF">
              <w:rPr>
                <w:rFonts w:asciiTheme="majorBidi" w:hAnsiTheme="majorBidi" w:cstheme="majorBidi"/>
                <w:sz w:val="16"/>
                <w:szCs w:val="16"/>
                <w:highlight w:val="yellow"/>
              </w:rPr>
              <w:t xml:space="preserve"> </w:t>
            </w:r>
            <w:r w:rsidRPr="00354AB0">
              <w:rPr>
                <w:rFonts w:asciiTheme="majorBidi" w:hAnsiTheme="majorBidi" w:cstheme="majorBidi"/>
                <w:sz w:val="16"/>
                <w:szCs w:val="16"/>
                <w:highlight w:val="yellow"/>
              </w:rPr>
              <w:t xml:space="preserve">were </w:t>
            </w:r>
            <w:r w:rsidRPr="00073ACF">
              <w:rPr>
                <w:rFonts w:asciiTheme="majorBidi" w:hAnsiTheme="majorBidi" w:cstheme="majorBidi"/>
                <w:sz w:val="16"/>
                <w:szCs w:val="16"/>
                <w:highlight w:val="yellow"/>
              </w:rPr>
              <w:t xml:space="preserve">reported </w:t>
            </w:r>
            <w:r w:rsidRPr="00354AB0">
              <w:rPr>
                <w:rFonts w:asciiTheme="majorBidi" w:hAnsiTheme="majorBidi" w:cstheme="majorBidi"/>
                <w:sz w:val="16"/>
                <w:szCs w:val="16"/>
                <w:highlight w:val="yellow"/>
              </w:rPr>
              <w:lastRenderedPageBreak/>
              <w:t>independently,</w:t>
            </w:r>
            <w:r w:rsidRPr="00073ACF">
              <w:rPr>
                <w:rFonts w:asciiTheme="majorBidi" w:hAnsiTheme="majorBidi" w:cstheme="majorBidi"/>
                <w:sz w:val="16"/>
                <w:szCs w:val="16"/>
                <w:highlight w:val="yellow"/>
              </w:rPr>
              <w:t xml:space="preserve"> </w:t>
            </w:r>
            <w:r w:rsidRPr="00354AB0">
              <w:rPr>
                <w:rFonts w:asciiTheme="majorBidi" w:hAnsiTheme="majorBidi" w:cstheme="majorBidi"/>
                <w:sz w:val="16"/>
                <w:szCs w:val="16"/>
                <w:highlight w:val="yellow"/>
              </w:rPr>
              <w:t xml:space="preserve">with </w:t>
            </w:r>
            <w:r w:rsidRPr="00073ACF">
              <w:rPr>
                <w:rFonts w:asciiTheme="majorBidi" w:hAnsiTheme="majorBidi" w:cstheme="majorBidi"/>
                <w:sz w:val="16"/>
                <w:szCs w:val="16"/>
                <w:highlight w:val="yellow"/>
              </w:rPr>
              <w:t>no triangulation.</w:t>
            </w:r>
          </w:p>
          <w:p w14:paraId="4659502F" w14:textId="77777777" w:rsidR="001165BC" w:rsidRPr="00354AB0"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p>
        </w:tc>
        <w:tc>
          <w:tcPr>
            <w:tcW w:w="344" w:type="pct"/>
          </w:tcPr>
          <w:p w14:paraId="6B660339"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lastRenderedPageBreak/>
              <w:t>In Use</w:t>
            </w:r>
          </w:p>
        </w:tc>
        <w:tc>
          <w:tcPr>
            <w:tcW w:w="344" w:type="pct"/>
          </w:tcPr>
          <w:p w14:paraId="43968DFB" w14:textId="4FA8EC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Pr>
                <w:rFonts w:asciiTheme="majorBidi" w:hAnsiTheme="majorBidi" w:cstheme="majorBidi"/>
                <w:sz w:val="16"/>
                <w:szCs w:val="16"/>
                <w:lang w:bidi="fa-IR"/>
              </w:rPr>
              <w:t>Effectiveness</w:t>
            </w:r>
            <w:r w:rsidRPr="009C0C4D">
              <w:rPr>
                <w:rFonts w:asciiTheme="majorBidi" w:hAnsiTheme="majorBidi" w:cstheme="majorBidi"/>
                <w:sz w:val="16"/>
                <w:szCs w:val="16"/>
                <w:lang w:bidi="fa-IR"/>
              </w:rPr>
              <w:t xml:space="preserve">, </w:t>
            </w:r>
            <w:r>
              <w:rPr>
                <w:rFonts w:asciiTheme="majorBidi" w:hAnsiTheme="majorBidi" w:cstheme="majorBidi"/>
                <w:sz w:val="16"/>
                <w:szCs w:val="16"/>
                <w:lang w:bidi="fa-IR"/>
              </w:rPr>
              <w:t>S</w:t>
            </w:r>
            <w:r w:rsidRPr="009C0C4D">
              <w:rPr>
                <w:rFonts w:asciiTheme="majorBidi" w:hAnsiTheme="majorBidi" w:cstheme="majorBidi"/>
                <w:sz w:val="16"/>
                <w:szCs w:val="16"/>
                <w:lang w:bidi="fa-IR"/>
              </w:rPr>
              <w:t>atisfaction,</w:t>
            </w:r>
            <w:r w:rsidRPr="009C0C4D">
              <w:rPr>
                <w:rFonts w:asciiTheme="majorBidi" w:hAnsiTheme="majorBidi" w:cstheme="majorBidi" w:hint="cs"/>
                <w:sz w:val="16"/>
                <w:szCs w:val="16"/>
                <w:rtl/>
                <w:lang w:bidi="fa-IR"/>
              </w:rPr>
              <w:t xml:space="preserve"> </w:t>
            </w:r>
            <w:r w:rsidRPr="009C0C4D">
              <w:rPr>
                <w:rFonts w:asciiTheme="majorBidi" w:hAnsiTheme="majorBidi" w:cstheme="majorBidi"/>
                <w:sz w:val="16"/>
                <w:szCs w:val="16"/>
                <w:lang w:bidi="fa-IR"/>
              </w:rPr>
              <w:t>and Performanc</w:t>
            </w:r>
            <w:r w:rsidRPr="009C0C4D">
              <w:rPr>
                <w:rFonts w:asciiTheme="majorBidi" w:hAnsiTheme="majorBidi" w:cstheme="majorBidi"/>
                <w:sz w:val="16"/>
                <w:szCs w:val="16"/>
                <w:lang w:bidi="fa-IR"/>
              </w:rPr>
              <w:lastRenderedPageBreak/>
              <w:t>e Evaluation</w:t>
            </w:r>
          </w:p>
        </w:tc>
        <w:tc>
          <w:tcPr>
            <w:tcW w:w="344" w:type="pct"/>
          </w:tcPr>
          <w:p w14:paraId="01D19BCC" w14:textId="494D6E1D"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lastRenderedPageBreak/>
              <w:t xml:space="preserve">Healthcare </w:t>
            </w:r>
            <w:r>
              <w:rPr>
                <w:rFonts w:asciiTheme="majorBidi" w:hAnsiTheme="majorBidi" w:cstheme="majorBidi"/>
                <w:sz w:val="16"/>
                <w:szCs w:val="16"/>
              </w:rPr>
              <w:t>Team</w:t>
            </w:r>
            <w:r w:rsidRPr="009C0C4D">
              <w:rPr>
                <w:rFonts w:asciiTheme="majorBidi" w:hAnsiTheme="majorBidi" w:cstheme="majorBidi"/>
                <w:sz w:val="16"/>
                <w:szCs w:val="16"/>
              </w:rPr>
              <w:t xml:space="preserve"> and Patients</w:t>
            </w:r>
          </w:p>
        </w:tc>
        <w:tc>
          <w:tcPr>
            <w:tcW w:w="343" w:type="pct"/>
          </w:tcPr>
          <w:p w14:paraId="61528AC5"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9C0C4D">
              <w:rPr>
                <w:rFonts w:asciiTheme="majorBidi" w:hAnsiTheme="majorBidi" w:cstheme="majorBidi"/>
                <w:sz w:val="16"/>
                <w:szCs w:val="16"/>
                <w:lang w:bidi="fa-IR"/>
              </w:rPr>
              <w:t>Electronic Questionnaire</w:t>
            </w:r>
          </w:p>
        </w:tc>
        <w:tc>
          <w:tcPr>
            <w:tcW w:w="356" w:type="pct"/>
          </w:tcPr>
          <w:p w14:paraId="36A2811C"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9C0C4D">
              <w:rPr>
                <w:rFonts w:asciiTheme="majorBidi" w:hAnsiTheme="majorBidi" w:cstheme="majorBidi"/>
                <w:sz w:val="16"/>
                <w:szCs w:val="16"/>
              </w:rPr>
              <w:t>6 months</w:t>
            </w:r>
          </w:p>
        </w:tc>
        <w:tc>
          <w:tcPr>
            <w:tcW w:w="455" w:type="pct"/>
          </w:tcPr>
          <w:p w14:paraId="133FDBFA" w14:textId="77777777" w:rsidR="001165BC" w:rsidRPr="009C0C4D" w:rsidRDefault="001165BC" w:rsidP="001165BC">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
              </w:rPr>
            </w:pPr>
            <w:r w:rsidRPr="009C0C4D">
              <w:rPr>
                <w:rFonts w:asciiTheme="majorBidi" w:hAnsiTheme="majorBidi" w:cstheme="majorBidi"/>
                <w:sz w:val="16"/>
                <w:szCs w:val="16"/>
              </w:rPr>
              <w:t xml:space="preserve">Though fatigue persisted, the remote monitoring system improved </w:t>
            </w:r>
            <w:r w:rsidRPr="009C0C4D">
              <w:rPr>
                <w:rFonts w:asciiTheme="majorBidi" w:hAnsiTheme="majorBidi" w:cstheme="majorBidi"/>
                <w:sz w:val="16"/>
                <w:szCs w:val="16"/>
              </w:rPr>
              <w:lastRenderedPageBreak/>
              <w:t>lung function and quality of life. Patients were satisfied with the system and found it unobtrusive.</w:t>
            </w:r>
          </w:p>
        </w:tc>
      </w:tr>
      <w:tr w:rsidR="00E827C1" w:rsidRPr="009C0C4D" w14:paraId="44D79EAA" w14:textId="77777777" w:rsidTr="00E827C1">
        <w:trPr>
          <w:jc w:val="center"/>
        </w:trPr>
        <w:tc>
          <w:tcPr>
            <w:cnfStyle w:val="001000000000" w:firstRow="0" w:lastRow="0" w:firstColumn="1" w:lastColumn="0" w:oddVBand="0" w:evenVBand="0" w:oddHBand="0" w:evenHBand="0" w:firstRowFirstColumn="0" w:firstRowLastColumn="0" w:lastRowFirstColumn="0" w:lastRowLastColumn="0"/>
            <w:tcW w:w="5000" w:type="pct"/>
            <w:gridSpan w:val="14"/>
          </w:tcPr>
          <w:p w14:paraId="18119D61" w14:textId="62938070" w:rsidR="00E827C1" w:rsidRDefault="00E827C1" w:rsidP="001165BC">
            <w:pPr>
              <w:jc w:val="both"/>
              <w:rPr>
                <w:rFonts w:asciiTheme="majorBidi" w:hAnsiTheme="majorBidi" w:cstheme="majorBidi"/>
                <w:sz w:val="18"/>
                <w:szCs w:val="18"/>
              </w:rPr>
            </w:pPr>
          </w:p>
          <w:p w14:paraId="76CF5CF0" w14:textId="77777777" w:rsidR="00E827C1" w:rsidRPr="00EC36FA" w:rsidRDefault="00E827C1" w:rsidP="001165BC">
            <w:pPr>
              <w:jc w:val="both"/>
              <w:rPr>
                <w:rFonts w:asciiTheme="majorBidi" w:hAnsiTheme="majorBidi" w:cstheme="majorBidi"/>
                <w:b w:val="0"/>
                <w:bCs w:val="0"/>
              </w:rPr>
            </w:pPr>
            <w:r w:rsidRPr="00D65F47">
              <w:rPr>
                <w:rFonts w:asciiTheme="majorBidi" w:hAnsiTheme="majorBidi" w:cstheme="majorBidi"/>
                <w:b w:val="0"/>
                <w:bCs w:val="0"/>
                <w:sz w:val="18"/>
                <w:szCs w:val="18"/>
                <w:highlight w:val="yellow"/>
              </w:rPr>
              <w:t>* Note: Qualitative and quantitative (non-integrated) refers to studies that collected both qualitative and quantitative data but did not employ a methodological framework to integrate findings, such as triangulation or complementary analysis, as per mixed methods research guidelines. Integration was assessed by reviewing whether studies explicitly described combining qualitative and quantitative results to generate unified insights or reported them separately without synthesis</w:t>
            </w:r>
          </w:p>
          <w:p w14:paraId="0C2D6711" w14:textId="77777777" w:rsidR="00E827C1" w:rsidRPr="009C0C4D" w:rsidRDefault="00E827C1" w:rsidP="001165BC">
            <w:pPr>
              <w:jc w:val="both"/>
              <w:rPr>
                <w:rFonts w:asciiTheme="majorBidi" w:hAnsiTheme="majorBidi" w:cstheme="majorBidi"/>
                <w:sz w:val="16"/>
                <w:szCs w:val="16"/>
              </w:rPr>
            </w:pPr>
          </w:p>
        </w:tc>
      </w:tr>
      <w:bookmarkEnd w:id="0"/>
    </w:tbl>
    <w:p w14:paraId="1EEEAF09" w14:textId="77777777" w:rsidR="00CD7F2C" w:rsidRDefault="00CD7F2C" w:rsidP="001C7E27">
      <w:pPr>
        <w:pStyle w:val="EndNoteBibliography"/>
        <w:spacing w:before="240" w:after="0"/>
      </w:pPr>
    </w:p>
    <w:sectPr w:rsidR="00CD7F2C" w:rsidSect="00CD7F2C">
      <w:pgSz w:w="15840" w:h="12240" w:orient="landscape"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CD7F2C"/>
    <w:rsid w:val="000660E0"/>
    <w:rsid w:val="00073ACF"/>
    <w:rsid w:val="001165BC"/>
    <w:rsid w:val="001C3D37"/>
    <w:rsid w:val="001F2C48"/>
    <w:rsid w:val="00201020"/>
    <w:rsid w:val="0020220A"/>
    <w:rsid w:val="00225303"/>
    <w:rsid w:val="003057B0"/>
    <w:rsid w:val="00306BB4"/>
    <w:rsid w:val="00354AB0"/>
    <w:rsid w:val="003B280B"/>
    <w:rsid w:val="003B4026"/>
    <w:rsid w:val="003B6327"/>
    <w:rsid w:val="003C4BE1"/>
    <w:rsid w:val="004009EF"/>
    <w:rsid w:val="00406B71"/>
    <w:rsid w:val="00432FB3"/>
    <w:rsid w:val="00446CB1"/>
    <w:rsid w:val="005643DD"/>
    <w:rsid w:val="005A167C"/>
    <w:rsid w:val="0060525C"/>
    <w:rsid w:val="006A3603"/>
    <w:rsid w:val="007A5B7D"/>
    <w:rsid w:val="007D1158"/>
    <w:rsid w:val="00842DC9"/>
    <w:rsid w:val="00851896"/>
    <w:rsid w:val="0086741C"/>
    <w:rsid w:val="00995B9A"/>
    <w:rsid w:val="009A53B2"/>
    <w:rsid w:val="00A25085"/>
    <w:rsid w:val="00A72A6B"/>
    <w:rsid w:val="00B44AC2"/>
    <w:rsid w:val="00BA2C2D"/>
    <w:rsid w:val="00BE4A84"/>
    <w:rsid w:val="00C16B23"/>
    <w:rsid w:val="00C66FA3"/>
    <w:rsid w:val="00C85B9A"/>
    <w:rsid w:val="00CD7F2C"/>
    <w:rsid w:val="00D00008"/>
    <w:rsid w:val="00D538EB"/>
    <w:rsid w:val="00D65F47"/>
    <w:rsid w:val="00D81506"/>
    <w:rsid w:val="00DD596E"/>
    <w:rsid w:val="00E31F07"/>
    <w:rsid w:val="00E827C1"/>
    <w:rsid w:val="00FE23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7AB98"/>
  <w15:chartTrackingRefBased/>
  <w15:docId w15:val="{9B12384B-F783-4F11-B91C-37508F625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F2C"/>
    <w:pPr>
      <w:spacing w:line="259" w:lineRule="auto"/>
    </w:pPr>
    <w:rPr>
      <w:sz w:val="22"/>
      <w:szCs w:val="22"/>
    </w:rPr>
  </w:style>
  <w:style w:type="paragraph" w:styleId="Heading1">
    <w:name w:val="heading 1"/>
    <w:basedOn w:val="Normal"/>
    <w:next w:val="Normal"/>
    <w:link w:val="Heading1Char"/>
    <w:uiPriority w:val="9"/>
    <w:qFormat/>
    <w:rsid w:val="00CD7F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7F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7F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7F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7F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7F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7F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7F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7F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7F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7F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7F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7F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7F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7F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7F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7F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7F2C"/>
    <w:rPr>
      <w:rFonts w:eastAsiaTheme="majorEastAsia" w:cstheme="majorBidi"/>
      <w:color w:val="272727" w:themeColor="text1" w:themeTint="D8"/>
    </w:rPr>
  </w:style>
  <w:style w:type="paragraph" w:styleId="Title">
    <w:name w:val="Title"/>
    <w:basedOn w:val="Normal"/>
    <w:next w:val="Normal"/>
    <w:link w:val="TitleChar"/>
    <w:uiPriority w:val="10"/>
    <w:qFormat/>
    <w:rsid w:val="00CD7F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7F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7F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7F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7F2C"/>
    <w:pPr>
      <w:spacing w:before="160"/>
      <w:jc w:val="center"/>
    </w:pPr>
    <w:rPr>
      <w:i/>
      <w:iCs/>
      <w:color w:val="404040" w:themeColor="text1" w:themeTint="BF"/>
    </w:rPr>
  </w:style>
  <w:style w:type="character" w:customStyle="1" w:styleId="QuoteChar">
    <w:name w:val="Quote Char"/>
    <w:basedOn w:val="DefaultParagraphFont"/>
    <w:link w:val="Quote"/>
    <w:uiPriority w:val="29"/>
    <w:rsid w:val="00CD7F2C"/>
    <w:rPr>
      <w:i/>
      <w:iCs/>
      <w:color w:val="404040" w:themeColor="text1" w:themeTint="BF"/>
    </w:rPr>
  </w:style>
  <w:style w:type="paragraph" w:styleId="ListParagraph">
    <w:name w:val="List Paragraph"/>
    <w:basedOn w:val="Normal"/>
    <w:uiPriority w:val="34"/>
    <w:qFormat/>
    <w:rsid w:val="00CD7F2C"/>
    <w:pPr>
      <w:ind w:left="720"/>
      <w:contextualSpacing/>
    </w:pPr>
  </w:style>
  <w:style w:type="character" w:styleId="IntenseEmphasis">
    <w:name w:val="Intense Emphasis"/>
    <w:basedOn w:val="DefaultParagraphFont"/>
    <w:uiPriority w:val="21"/>
    <w:qFormat/>
    <w:rsid w:val="00CD7F2C"/>
    <w:rPr>
      <w:i/>
      <w:iCs/>
      <w:color w:val="0F4761" w:themeColor="accent1" w:themeShade="BF"/>
    </w:rPr>
  </w:style>
  <w:style w:type="paragraph" w:styleId="IntenseQuote">
    <w:name w:val="Intense Quote"/>
    <w:basedOn w:val="Normal"/>
    <w:next w:val="Normal"/>
    <w:link w:val="IntenseQuoteChar"/>
    <w:uiPriority w:val="30"/>
    <w:qFormat/>
    <w:rsid w:val="00CD7F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7F2C"/>
    <w:rPr>
      <w:i/>
      <w:iCs/>
      <w:color w:val="0F4761" w:themeColor="accent1" w:themeShade="BF"/>
    </w:rPr>
  </w:style>
  <w:style w:type="character" w:styleId="IntenseReference">
    <w:name w:val="Intense Reference"/>
    <w:basedOn w:val="DefaultParagraphFont"/>
    <w:uiPriority w:val="32"/>
    <w:qFormat/>
    <w:rsid w:val="00CD7F2C"/>
    <w:rPr>
      <w:b/>
      <w:bCs/>
      <w:smallCaps/>
      <w:color w:val="0F4761" w:themeColor="accent1" w:themeShade="BF"/>
      <w:spacing w:val="5"/>
    </w:rPr>
  </w:style>
  <w:style w:type="table" w:styleId="TableGrid">
    <w:name w:val="Table Grid"/>
    <w:basedOn w:val="TableNormal"/>
    <w:uiPriority w:val="39"/>
    <w:rsid w:val="00CD7F2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CD7F2C"/>
    <w:pPr>
      <w:spacing w:after="0" w:line="240" w:lineRule="auto"/>
    </w:pPr>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CD7F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F2C"/>
    <w:rPr>
      <w:sz w:val="22"/>
      <w:szCs w:val="22"/>
    </w:rPr>
  </w:style>
  <w:style w:type="paragraph" w:styleId="Footer">
    <w:name w:val="footer"/>
    <w:basedOn w:val="Normal"/>
    <w:link w:val="FooterChar"/>
    <w:uiPriority w:val="99"/>
    <w:unhideWhenUsed/>
    <w:rsid w:val="00CD7F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F2C"/>
    <w:rPr>
      <w:sz w:val="22"/>
      <w:szCs w:val="22"/>
    </w:rPr>
  </w:style>
  <w:style w:type="paragraph" w:customStyle="1" w:styleId="EndNoteBibliographyTitle">
    <w:name w:val="EndNote Bibliography Title"/>
    <w:basedOn w:val="Normal"/>
    <w:link w:val="EndNoteBibliographyTitleChar"/>
    <w:rsid w:val="00CD7F2C"/>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CD7F2C"/>
    <w:rPr>
      <w:rFonts w:ascii="Calibri" w:hAnsi="Calibri" w:cs="Calibri"/>
      <w:noProof/>
      <w:sz w:val="22"/>
      <w:szCs w:val="22"/>
    </w:rPr>
  </w:style>
  <w:style w:type="paragraph" w:customStyle="1" w:styleId="EndNoteBibliography">
    <w:name w:val="EndNote Bibliography"/>
    <w:basedOn w:val="Normal"/>
    <w:link w:val="EndNoteBibliographyChar"/>
    <w:rsid w:val="00CD7F2C"/>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CD7F2C"/>
    <w:rPr>
      <w:rFonts w:ascii="Calibri" w:hAnsi="Calibri" w:cs="Calibri"/>
      <w:noProof/>
      <w:sz w:val="22"/>
      <w:szCs w:val="22"/>
    </w:rPr>
  </w:style>
  <w:style w:type="character" w:styleId="Hyperlink">
    <w:name w:val="Hyperlink"/>
    <w:basedOn w:val="DefaultParagraphFont"/>
    <w:uiPriority w:val="99"/>
    <w:unhideWhenUsed/>
    <w:rsid w:val="00CD7F2C"/>
    <w:rPr>
      <w:color w:val="467886" w:themeColor="hyperlink"/>
      <w:u w:val="single"/>
    </w:rPr>
  </w:style>
  <w:style w:type="character" w:styleId="UnresolvedMention">
    <w:name w:val="Unresolved Mention"/>
    <w:basedOn w:val="DefaultParagraphFont"/>
    <w:uiPriority w:val="99"/>
    <w:semiHidden/>
    <w:unhideWhenUsed/>
    <w:rsid w:val="00CD7F2C"/>
    <w:rPr>
      <w:color w:val="605E5C"/>
      <w:shd w:val="clear" w:color="auto" w:fill="E1DFDD"/>
    </w:rPr>
  </w:style>
  <w:style w:type="paragraph" w:styleId="Caption">
    <w:name w:val="caption"/>
    <w:basedOn w:val="Normal"/>
    <w:next w:val="Normal"/>
    <w:uiPriority w:val="35"/>
    <w:unhideWhenUsed/>
    <w:qFormat/>
    <w:rsid w:val="00225303"/>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1579">
      <w:bodyDiv w:val="1"/>
      <w:marLeft w:val="0"/>
      <w:marRight w:val="0"/>
      <w:marTop w:val="0"/>
      <w:marBottom w:val="0"/>
      <w:divBdr>
        <w:top w:val="none" w:sz="0" w:space="0" w:color="auto"/>
        <w:left w:val="none" w:sz="0" w:space="0" w:color="auto"/>
        <w:bottom w:val="none" w:sz="0" w:space="0" w:color="auto"/>
        <w:right w:val="none" w:sz="0" w:space="0" w:color="auto"/>
      </w:divBdr>
    </w:div>
    <w:div w:id="109323581">
      <w:bodyDiv w:val="1"/>
      <w:marLeft w:val="0"/>
      <w:marRight w:val="0"/>
      <w:marTop w:val="0"/>
      <w:marBottom w:val="0"/>
      <w:divBdr>
        <w:top w:val="none" w:sz="0" w:space="0" w:color="auto"/>
        <w:left w:val="none" w:sz="0" w:space="0" w:color="auto"/>
        <w:bottom w:val="none" w:sz="0" w:space="0" w:color="auto"/>
        <w:right w:val="none" w:sz="0" w:space="0" w:color="auto"/>
      </w:divBdr>
    </w:div>
    <w:div w:id="125246346">
      <w:bodyDiv w:val="1"/>
      <w:marLeft w:val="0"/>
      <w:marRight w:val="0"/>
      <w:marTop w:val="0"/>
      <w:marBottom w:val="0"/>
      <w:divBdr>
        <w:top w:val="none" w:sz="0" w:space="0" w:color="auto"/>
        <w:left w:val="none" w:sz="0" w:space="0" w:color="auto"/>
        <w:bottom w:val="none" w:sz="0" w:space="0" w:color="auto"/>
        <w:right w:val="none" w:sz="0" w:space="0" w:color="auto"/>
      </w:divBdr>
    </w:div>
    <w:div w:id="175534787">
      <w:bodyDiv w:val="1"/>
      <w:marLeft w:val="0"/>
      <w:marRight w:val="0"/>
      <w:marTop w:val="0"/>
      <w:marBottom w:val="0"/>
      <w:divBdr>
        <w:top w:val="none" w:sz="0" w:space="0" w:color="auto"/>
        <w:left w:val="none" w:sz="0" w:space="0" w:color="auto"/>
        <w:bottom w:val="none" w:sz="0" w:space="0" w:color="auto"/>
        <w:right w:val="none" w:sz="0" w:space="0" w:color="auto"/>
      </w:divBdr>
    </w:div>
    <w:div w:id="341005867">
      <w:bodyDiv w:val="1"/>
      <w:marLeft w:val="0"/>
      <w:marRight w:val="0"/>
      <w:marTop w:val="0"/>
      <w:marBottom w:val="0"/>
      <w:divBdr>
        <w:top w:val="none" w:sz="0" w:space="0" w:color="auto"/>
        <w:left w:val="none" w:sz="0" w:space="0" w:color="auto"/>
        <w:bottom w:val="none" w:sz="0" w:space="0" w:color="auto"/>
        <w:right w:val="none" w:sz="0" w:space="0" w:color="auto"/>
      </w:divBdr>
    </w:div>
    <w:div w:id="355159107">
      <w:bodyDiv w:val="1"/>
      <w:marLeft w:val="0"/>
      <w:marRight w:val="0"/>
      <w:marTop w:val="0"/>
      <w:marBottom w:val="0"/>
      <w:divBdr>
        <w:top w:val="none" w:sz="0" w:space="0" w:color="auto"/>
        <w:left w:val="none" w:sz="0" w:space="0" w:color="auto"/>
        <w:bottom w:val="none" w:sz="0" w:space="0" w:color="auto"/>
        <w:right w:val="none" w:sz="0" w:space="0" w:color="auto"/>
      </w:divBdr>
    </w:div>
    <w:div w:id="422653429">
      <w:bodyDiv w:val="1"/>
      <w:marLeft w:val="0"/>
      <w:marRight w:val="0"/>
      <w:marTop w:val="0"/>
      <w:marBottom w:val="0"/>
      <w:divBdr>
        <w:top w:val="none" w:sz="0" w:space="0" w:color="auto"/>
        <w:left w:val="none" w:sz="0" w:space="0" w:color="auto"/>
        <w:bottom w:val="none" w:sz="0" w:space="0" w:color="auto"/>
        <w:right w:val="none" w:sz="0" w:space="0" w:color="auto"/>
      </w:divBdr>
    </w:div>
    <w:div w:id="735206808">
      <w:bodyDiv w:val="1"/>
      <w:marLeft w:val="0"/>
      <w:marRight w:val="0"/>
      <w:marTop w:val="0"/>
      <w:marBottom w:val="0"/>
      <w:divBdr>
        <w:top w:val="none" w:sz="0" w:space="0" w:color="auto"/>
        <w:left w:val="none" w:sz="0" w:space="0" w:color="auto"/>
        <w:bottom w:val="none" w:sz="0" w:space="0" w:color="auto"/>
        <w:right w:val="none" w:sz="0" w:space="0" w:color="auto"/>
      </w:divBdr>
    </w:div>
    <w:div w:id="762653510">
      <w:bodyDiv w:val="1"/>
      <w:marLeft w:val="0"/>
      <w:marRight w:val="0"/>
      <w:marTop w:val="0"/>
      <w:marBottom w:val="0"/>
      <w:divBdr>
        <w:top w:val="none" w:sz="0" w:space="0" w:color="auto"/>
        <w:left w:val="none" w:sz="0" w:space="0" w:color="auto"/>
        <w:bottom w:val="none" w:sz="0" w:space="0" w:color="auto"/>
        <w:right w:val="none" w:sz="0" w:space="0" w:color="auto"/>
      </w:divBdr>
    </w:div>
    <w:div w:id="1004820766">
      <w:bodyDiv w:val="1"/>
      <w:marLeft w:val="0"/>
      <w:marRight w:val="0"/>
      <w:marTop w:val="0"/>
      <w:marBottom w:val="0"/>
      <w:divBdr>
        <w:top w:val="none" w:sz="0" w:space="0" w:color="auto"/>
        <w:left w:val="none" w:sz="0" w:space="0" w:color="auto"/>
        <w:bottom w:val="none" w:sz="0" w:space="0" w:color="auto"/>
        <w:right w:val="none" w:sz="0" w:space="0" w:color="auto"/>
      </w:divBdr>
    </w:div>
    <w:div w:id="1047341094">
      <w:bodyDiv w:val="1"/>
      <w:marLeft w:val="0"/>
      <w:marRight w:val="0"/>
      <w:marTop w:val="0"/>
      <w:marBottom w:val="0"/>
      <w:divBdr>
        <w:top w:val="none" w:sz="0" w:space="0" w:color="auto"/>
        <w:left w:val="none" w:sz="0" w:space="0" w:color="auto"/>
        <w:bottom w:val="none" w:sz="0" w:space="0" w:color="auto"/>
        <w:right w:val="none" w:sz="0" w:space="0" w:color="auto"/>
      </w:divBdr>
    </w:div>
    <w:div w:id="1315524920">
      <w:bodyDiv w:val="1"/>
      <w:marLeft w:val="0"/>
      <w:marRight w:val="0"/>
      <w:marTop w:val="0"/>
      <w:marBottom w:val="0"/>
      <w:divBdr>
        <w:top w:val="none" w:sz="0" w:space="0" w:color="auto"/>
        <w:left w:val="none" w:sz="0" w:space="0" w:color="auto"/>
        <w:bottom w:val="none" w:sz="0" w:space="0" w:color="auto"/>
        <w:right w:val="none" w:sz="0" w:space="0" w:color="auto"/>
      </w:divBdr>
    </w:div>
    <w:div w:id="1374382728">
      <w:bodyDiv w:val="1"/>
      <w:marLeft w:val="0"/>
      <w:marRight w:val="0"/>
      <w:marTop w:val="0"/>
      <w:marBottom w:val="0"/>
      <w:divBdr>
        <w:top w:val="none" w:sz="0" w:space="0" w:color="auto"/>
        <w:left w:val="none" w:sz="0" w:space="0" w:color="auto"/>
        <w:bottom w:val="none" w:sz="0" w:space="0" w:color="auto"/>
        <w:right w:val="none" w:sz="0" w:space="0" w:color="auto"/>
      </w:divBdr>
    </w:div>
    <w:div w:id="1495803799">
      <w:bodyDiv w:val="1"/>
      <w:marLeft w:val="0"/>
      <w:marRight w:val="0"/>
      <w:marTop w:val="0"/>
      <w:marBottom w:val="0"/>
      <w:divBdr>
        <w:top w:val="none" w:sz="0" w:space="0" w:color="auto"/>
        <w:left w:val="none" w:sz="0" w:space="0" w:color="auto"/>
        <w:bottom w:val="none" w:sz="0" w:space="0" w:color="auto"/>
        <w:right w:val="none" w:sz="0" w:space="0" w:color="auto"/>
      </w:divBdr>
    </w:div>
    <w:div w:id="1842742609">
      <w:bodyDiv w:val="1"/>
      <w:marLeft w:val="0"/>
      <w:marRight w:val="0"/>
      <w:marTop w:val="0"/>
      <w:marBottom w:val="0"/>
      <w:divBdr>
        <w:top w:val="none" w:sz="0" w:space="0" w:color="auto"/>
        <w:left w:val="none" w:sz="0" w:space="0" w:color="auto"/>
        <w:bottom w:val="none" w:sz="0" w:space="0" w:color="auto"/>
        <w:right w:val="none" w:sz="0" w:space="0" w:color="auto"/>
      </w:divBdr>
    </w:div>
    <w:div w:id="1972704495">
      <w:bodyDiv w:val="1"/>
      <w:marLeft w:val="0"/>
      <w:marRight w:val="0"/>
      <w:marTop w:val="0"/>
      <w:marBottom w:val="0"/>
      <w:divBdr>
        <w:top w:val="none" w:sz="0" w:space="0" w:color="auto"/>
        <w:left w:val="none" w:sz="0" w:space="0" w:color="auto"/>
        <w:bottom w:val="none" w:sz="0" w:space="0" w:color="auto"/>
        <w:right w:val="none" w:sz="0" w:space="0" w:color="auto"/>
      </w:divBdr>
    </w:div>
    <w:div w:id="2020505890">
      <w:bodyDiv w:val="1"/>
      <w:marLeft w:val="0"/>
      <w:marRight w:val="0"/>
      <w:marTop w:val="0"/>
      <w:marBottom w:val="0"/>
      <w:divBdr>
        <w:top w:val="none" w:sz="0" w:space="0" w:color="auto"/>
        <w:left w:val="none" w:sz="0" w:space="0" w:color="auto"/>
        <w:bottom w:val="none" w:sz="0" w:space="0" w:color="auto"/>
        <w:right w:val="none" w:sz="0" w:space="0" w:color="auto"/>
      </w:divBdr>
    </w:div>
    <w:div w:id="2027055653">
      <w:bodyDiv w:val="1"/>
      <w:marLeft w:val="0"/>
      <w:marRight w:val="0"/>
      <w:marTop w:val="0"/>
      <w:marBottom w:val="0"/>
      <w:divBdr>
        <w:top w:val="none" w:sz="0" w:space="0" w:color="auto"/>
        <w:left w:val="none" w:sz="0" w:space="0" w:color="auto"/>
        <w:bottom w:val="none" w:sz="0" w:space="0" w:color="auto"/>
        <w:right w:val="none" w:sz="0" w:space="0" w:color="auto"/>
      </w:divBdr>
    </w:div>
    <w:div w:id="2042512305">
      <w:bodyDiv w:val="1"/>
      <w:marLeft w:val="0"/>
      <w:marRight w:val="0"/>
      <w:marTop w:val="0"/>
      <w:marBottom w:val="0"/>
      <w:divBdr>
        <w:top w:val="none" w:sz="0" w:space="0" w:color="auto"/>
        <w:left w:val="none" w:sz="0" w:space="0" w:color="auto"/>
        <w:bottom w:val="none" w:sz="0" w:space="0" w:color="auto"/>
        <w:right w:val="none" w:sz="0" w:space="0" w:color="auto"/>
      </w:divBdr>
    </w:div>
    <w:div w:id="2088451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8</Pages>
  <Words>2461</Words>
  <Characters>14919</Characters>
  <Application>Microsoft Office Word</Application>
  <DocSecurity>0</DocSecurity>
  <Lines>271</Lines>
  <Paragraphs>118</Paragraphs>
  <ScaleCrop>false</ScaleCrop>
  <Company/>
  <LinksUpToDate>false</LinksUpToDate>
  <CharactersWithSpaces>17262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aynaz.nourani@gmail.com</dc:creator>
  <cp:keywords/>
  <dc:description/>
  <cp:lastModifiedBy>aynaz.nourani@gmail.com</cp:lastModifiedBy>
  <cp:revision>6</cp:revision>
  <dcterms:created xsi:type="dcterms:W3CDTF">2025-07-08T08:45:00Z</dcterms:created>
  <dcterms:modified xsi:type="dcterms:W3CDTF">2025-07-12T06:19:00Z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5a9eccb9-6dbd-4ebf-b516-a6ddbaa1cfb5</vt:lpwstr>
  </property>
</Properties>
</file>