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6BE6A" w14:textId="731F76FD" w:rsidR="00090B87" w:rsidRPr="00EF4A20" w:rsidRDefault="00631CBF" w:rsidP="008D1854">
      <w:pPr>
        <w:pStyle w:val="Heading1"/>
        <w:numPr>
          <w:ilvl w:val="0"/>
          <w:numId w:val="0"/>
        </w:numPr>
        <w:spacing w:before="0" w:line="480" w:lineRule="auto"/>
        <w:rPr>
          <w:rFonts w:ascii="Times New Roman" w:hAnsi="Times New Roman" w:cs="Times New Roman"/>
          <w:b/>
          <w:bCs/>
          <w:color w:val="000000" w:themeColor="text1"/>
          <w:sz w:val="22"/>
          <w:szCs w:val="22"/>
        </w:rPr>
      </w:pPr>
      <w:bookmarkStart w:id="0" w:name="_Hlk182461431"/>
      <w:bookmarkEnd w:id="0"/>
      <w:r w:rsidRPr="00EF4A20">
        <w:rPr>
          <w:rFonts w:ascii="Times New Roman" w:hAnsi="Times New Roman" w:cs="Times New Roman"/>
          <w:b/>
          <w:bCs/>
          <w:color w:val="000000" w:themeColor="text1"/>
          <w:sz w:val="22"/>
          <w:szCs w:val="22"/>
        </w:rPr>
        <w:t>Supplementary</w:t>
      </w:r>
      <w:r w:rsidR="00090B87" w:rsidRPr="00EF4A20">
        <w:rPr>
          <w:rFonts w:ascii="Times New Roman" w:hAnsi="Times New Roman" w:cs="Times New Roman"/>
          <w:b/>
          <w:bCs/>
          <w:color w:val="000000" w:themeColor="text1"/>
          <w:sz w:val="22"/>
          <w:szCs w:val="22"/>
        </w:rPr>
        <w:t xml:space="preserve"> </w:t>
      </w:r>
      <w:r w:rsidR="00C661AC">
        <w:rPr>
          <w:rFonts w:ascii="Times New Roman" w:hAnsi="Times New Roman" w:cs="Times New Roman"/>
          <w:b/>
          <w:bCs/>
          <w:color w:val="000000" w:themeColor="text1"/>
          <w:sz w:val="22"/>
          <w:szCs w:val="22"/>
        </w:rPr>
        <w:t>m</w:t>
      </w:r>
      <w:r w:rsidRPr="00EF4A20">
        <w:rPr>
          <w:rFonts w:ascii="Times New Roman" w:hAnsi="Times New Roman" w:cs="Times New Roman"/>
          <w:b/>
          <w:bCs/>
          <w:color w:val="000000" w:themeColor="text1"/>
          <w:sz w:val="22"/>
          <w:szCs w:val="22"/>
        </w:rPr>
        <w:t>aterials</w:t>
      </w:r>
    </w:p>
    <w:p w14:paraId="3E9DD18C" w14:textId="3FE5F82F" w:rsidR="00821A3C" w:rsidRPr="00EF4A20" w:rsidRDefault="00821A3C" w:rsidP="008D1854">
      <w:pPr>
        <w:pStyle w:val="Heading2"/>
        <w:numPr>
          <w:ilvl w:val="0"/>
          <w:numId w:val="0"/>
        </w:numPr>
        <w:spacing w:before="0" w:line="480" w:lineRule="auto"/>
        <w:rPr>
          <w:rFonts w:ascii="Times New Roman" w:hAnsi="Times New Roman" w:cs="Times New Roman"/>
          <w:b/>
          <w:bCs/>
          <w:color w:val="000000" w:themeColor="text1"/>
          <w:sz w:val="22"/>
          <w:szCs w:val="22"/>
        </w:rPr>
      </w:pPr>
      <w:r w:rsidRPr="00EF4A20">
        <w:rPr>
          <w:rFonts w:ascii="Times New Roman" w:hAnsi="Times New Roman" w:cs="Times New Roman"/>
          <w:b/>
          <w:bCs/>
          <w:color w:val="000000" w:themeColor="text1"/>
          <w:sz w:val="22"/>
          <w:szCs w:val="22"/>
        </w:rPr>
        <w:t>S1</w:t>
      </w:r>
      <w:r w:rsidR="00F26468">
        <w:rPr>
          <w:rFonts w:ascii="Times New Roman" w:hAnsi="Times New Roman" w:cs="Times New Roman"/>
          <w:color w:val="000000" w:themeColor="text1"/>
          <w:sz w:val="22"/>
          <w:szCs w:val="22"/>
        </w:rPr>
        <w:t>.</w:t>
      </w:r>
      <w:r w:rsidRPr="00EF4A20">
        <w:rPr>
          <w:rFonts w:ascii="Times New Roman" w:hAnsi="Times New Roman" w:cs="Times New Roman"/>
          <w:color w:val="000000" w:themeColor="text1"/>
          <w:sz w:val="22"/>
          <w:szCs w:val="22"/>
        </w:rPr>
        <w:t xml:space="preserve"> </w:t>
      </w:r>
      <w:r w:rsidRPr="00EF4A20">
        <w:rPr>
          <w:rFonts w:ascii="Times New Roman" w:hAnsi="Times New Roman" w:cs="Times New Roman"/>
          <w:b/>
          <w:bCs/>
          <w:color w:val="000000" w:themeColor="text1"/>
          <w:sz w:val="22"/>
          <w:szCs w:val="22"/>
        </w:rPr>
        <w:t xml:space="preserve">Search </w:t>
      </w:r>
      <w:r w:rsidR="00C661AC">
        <w:rPr>
          <w:rFonts w:ascii="Times New Roman" w:hAnsi="Times New Roman" w:cs="Times New Roman"/>
          <w:b/>
          <w:bCs/>
          <w:color w:val="000000" w:themeColor="text1"/>
          <w:sz w:val="22"/>
          <w:szCs w:val="22"/>
        </w:rPr>
        <w:t>s</w:t>
      </w:r>
      <w:r w:rsidRPr="00EF4A20">
        <w:rPr>
          <w:rFonts w:ascii="Times New Roman" w:hAnsi="Times New Roman" w:cs="Times New Roman"/>
          <w:b/>
          <w:bCs/>
          <w:color w:val="000000" w:themeColor="text1"/>
          <w:sz w:val="22"/>
          <w:szCs w:val="22"/>
        </w:rPr>
        <w:t>trategy</w:t>
      </w:r>
    </w:p>
    <w:p w14:paraId="1AF0988B" w14:textId="636C0580" w:rsidR="00090B87" w:rsidRPr="00CC2419" w:rsidRDefault="00090B87" w:rsidP="008D1854">
      <w:pPr>
        <w:pStyle w:val="Caption"/>
        <w:keepNext/>
        <w:spacing w:after="0" w:line="480" w:lineRule="auto"/>
        <w:rPr>
          <w:rFonts w:ascii="Times New Roman" w:hAnsi="Times New Roman" w:cs="Times New Roman"/>
          <w:i w:val="0"/>
          <w:iCs w:val="0"/>
          <w:color w:val="000000" w:themeColor="text1"/>
          <w:sz w:val="22"/>
          <w:szCs w:val="22"/>
        </w:rPr>
      </w:pPr>
      <w:r w:rsidRPr="00CC2419">
        <w:rPr>
          <w:rFonts w:ascii="Times New Roman" w:hAnsi="Times New Roman" w:cs="Times New Roman"/>
          <w:i w:val="0"/>
          <w:iCs w:val="0"/>
          <w:color w:val="000000" w:themeColor="text1"/>
          <w:sz w:val="22"/>
          <w:szCs w:val="22"/>
        </w:rPr>
        <w:t xml:space="preserve">Table </w:t>
      </w:r>
      <w:r w:rsidR="00821A3C" w:rsidRPr="00CC2419">
        <w:rPr>
          <w:rFonts w:ascii="Times New Roman" w:hAnsi="Times New Roman" w:cs="Times New Roman"/>
          <w:i w:val="0"/>
          <w:iCs w:val="0"/>
          <w:color w:val="000000" w:themeColor="text1"/>
          <w:sz w:val="22"/>
          <w:szCs w:val="22"/>
        </w:rPr>
        <w:t>S</w:t>
      </w:r>
      <w:r w:rsidRPr="00CC2419">
        <w:rPr>
          <w:rFonts w:ascii="Times New Roman" w:hAnsi="Times New Roman" w:cs="Times New Roman"/>
          <w:i w:val="0"/>
          <w:iCs w:val="0"/>
          <w:color w:val="000000" w:themeColor="text1"/>
          <w:sz w:val="22"/>
          <w:szCs w:val="22"/>
        </w:rPr>
        <w:t xml:space="preserve">1 represents the detailed search strategy for identifying relevant resources. </w:t>
      </w:r>
    </w:p>
    <w:p w14:paraId="33DAB4CE" w14:textId="68A8925F" w:rsidR="00090B87" w:rsidRPr="00CC2419" w:rsidRDefault="00090B87" w:rsidP="00E655C1">
      <w:pPr>
        <w:pStyle w:val="Caption"/>
        <w:keepNext/>
        <w:spacing w:after="0"/>
        <w:jc w:val="center"/>
        <w:rPr>
          <w:rFonts w:ascii="Times New Roman" w:hAnsi="Times New Roman" w:cs="Times New Roman"/>
          <w:i w:val="0"/>
          <w:iCs w:val="0"/>
          <w:color w:val="000000" w:themeColor="text1"/>
          <w:sz w:val="20"/>
          <w:szCs w:val="20"/>
        </w:rPr>
      </w:pPr>
      <w:r w:rsidRPr="00CC2419">
        <w:rPr>
          <w:rFonts w:ascii="Times New Roman" w:hAnsi="Times New Roman" w:cs="Times New Roman"/>
          <w:b/>
          <w:bCs/>
          <w:i w:val="0"/>
          <w:iCs w:val="0"/>
          <w:color w:val="000000" w:themeColor="text1"/>
          <w:sz w:val="20"/>
          <w:szCs w:val="20"/>
        </w:rPr>
        <w:t xml:space="preserve">Table </w:t>
      </w:r>
      <w:r w:rsidR="00821A3C" w:rsidRPr="00CC2419">
        <w:rPr>
          <w:rFonts w:ascii="Times New Roman" w:hAnsi="Times New Roman" w:cs="Times New Roman"/>
          <w:b/>
          <w:bCs/>
          <w:i w:val="0"/>
          <w:iCs w:val="0"/>
          <w:color w:val="000000" w:themeColor="text1"/>
          <w:sz w:val="20"/>
          <w:szCs w:val="20"/>
        </w:rPr>
        <w:t>S</w:t>
      </w:r>
      <w:r w:rsidRPr="00CC2419">
        <w:rPr>
          <w:rFonts w:ascii="Times New Roman" w:hAnsi="Times New Roman" w:cs="Times New Roman"/>
          <w:b/>
          <w:bCs/>
          <w:i w:val="0"/>
          <w:iCs w:val="0"/>
          <w:color w:val="000000" w:themeColor="text1"/>
          <w:sz w:val="20"/>
          <w:szCs w:val="20"/>
        </w:rPr>
        <w:fldChar w:fldCharType="begin"/>
      </w:r>
      <w:r w:rsidRPr="00CC2419">
        <w:rPr>
          <w:rFonts w:ascii="Times New Roman" w:hAnsi="Times New Roman" w:cs="Times New Roman"/>
          <w:b/>
          <w:bCs/>
          <w:i w:val="0"/>
          <w:iCs w:val="0"/>
          <w:color w:val="000000" w:themeColor="text1"/>
          <w:sz w:val="20"/>
          <w:szCs w:val="20"/>
        </w:rPr>
        <w:instrText xml:space="preserve"> SEQ Table \* ARABIC </w:instrText>
      </w:r>
      <w:r w:rsidRPr="00CC2419">
        <w:rPr>
          <w:rFonts w:ascii="Times New Roman" w:hAnsi="Times New Roman" w:cs="Times New Roman"/>
          <w:b/>
          <w:bCs/>
          <w:i w:val="0"/>
          <w:iCs w:val="0"/>
          <w:color w:val="000000" w:themeColor="text1"/>
          <w:sz w:val="20"/>
          <w:szCs w:val="20"/>
        </w:rPr>
        <w:fldChar w:fldCharType="separate"/>
      </w:r>
      <w:r w:rsidR="00821A3C" w:rsidRPr="00CC2419">
        <w:rPr>
          <w:rFonts w:ascii="Times New Roman" w:hAnsi="Times New Roman" w:cs="Times New Roman"/>
          <w:b/>
          <w:bCs/>
          <w:i w:val="0"/>
          <w:iCs w:val="0"/>
          <w:color w:val="000000" w:themeColor="text1"/>
          <w:sz w:val="20"/>
          <w:szCs w:val="20"/>
        </w:rPr>
        <w:t>1</w:t>
      </w:r>
      <w:r w:rsidRPr="00CC2419">
        <w:rPr>
          <w:rFonts w:ascii="Times New Roman" w:hAnsi="Times New Roman" w:cs="Times New Roman"/>
          <w:b/>
          <w:bCs/>
          <w:i w:val="0"/>
          <w:iCs w:val="0"/>
          <w:color w:val="000000" w:themeColor="text1"/>
          <w:sz w:val="20"/>
          <w:szCs w:val="20"/>
        </w:rPr>
        <w:fldChar w:fldCharType="end"/>
      </w:r>
      <w:r w:rsidR="00683647" w:rsidRPr="00CC2419">
        <w:rPr>
          <w:rFonts w:ascii="Times New Roman" w:hAnsi="Times New Roman" w:cs="Times New Roman"/>
          <w:b/>
          <w:bCs/>
          <w:i w:val="0"/>
          <w:iCs w:val="0"/>
          <w:color w:val="000000" w:themeColor="text1"/>
          <w:sz w:val="20"/>
          <w:szCs w:val="20"/>
        </w:rPr>
        <w:t>.</w:t>
      </w:r>
      <w:r w:rsidRPr="00CC2419">
        <w:rPr>
          <w:rFonts w:ascii="Times New Roman" w:hAnsi="Times New Roman" w:cs="Times New Roman"/>
          <w:i w:val="0"/>
          <w:iCs w:val="0"/>
          <w:color w:val="000000" w:themeColor="text1"/>
          <w:sz w:val="20"/>
          <w:szCs w:val="20"/>
        </w:rPr>
        <w:t xml:space="preserve"> Detailed search strategy</w:t>
      </w:r>
    </w:p>
    <w:tbl>
      <w:tblPr>
        <w:tblStyle w:val="PlainTable1"/>
        <w:tblW w:w="5000" w:type="pct"/>
        <w:jc w:val="center"/>
        <w:tblLayout w:type="fixed"/>
        <w:tblLook w:val="04A0" w:firstRow="1" w:lastRow="0" w:firstColumn="1" w:lastColumn="0" w:noHBand="0" w:noVBand="1"/>
      </w:tblPr>
      <w:tblGrid>
        <w:gridCol w:w="445"/>
        <w:gridCol w:w="8905"/>
      </w:tblGrid>
      <w:tr w:rsidR="00090B87" w:rsidRPr="00CC2419" w14:paraId="0B6E4BEC" w14:textId="77777777" w:rsidTr="00683647">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tcPr>
          <w:p w14:paraId="49AE46B0" w14:textId="77777777" w:rsidR="00090B87" w:rsidRPr="00CC2419" w:rsidRDefault="00090B87" w:rsidP="00090B87">
            <w:pPr>
              <w:rPr>
                <w:rFonts w:ascii="Times New Roman" w:hAnsi="Times New Roman" w:cs="Times New Roman"/>
                <w:color w:val="000000" w:themeColor="text1"/>
                <w:sz w:val="20"/>
                <w:szCs w:val="20"/>
              </w:rPr>
            </w:pPr>
            <w:bookmarkStart w:id="1" w:name="_Hlk143381155"/>
          </w:p>
        </w:tc>
        <w:tc>
          <w:tcPr>
            <w:tcW w:w="4762" w:type="pct"/>
            <w:noWrap/>
            <w:vAlign w:val="center"/>
          </w:tcPr>
          <w:p w14:paraId="3DDABC15" w14:textId="77777777" w:rsidR="00090B87" w:rsidRPr="00CC2419" w:rsidRDefault="00090B87" w:rsidP="00090B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Search terms</w:t>
            </w:r>
          </w:p>
        </w:tc>
      </w:tr>
      <w:tr w:rsidR="00090B87" w:rsidRPr="00CC2419" w14:paraId="21FC562A" w14:textId="77777777" w:rsidTr="0068364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21634B7E"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w:t>
            </w:r>
          </w:p>
        </w:tc>
        <w:tc>
          <w:tcPr>
            <w:tcW w:w="4762" w:type="pct"/>
            <w:noWrap/>
            <w:vAlign w:val="center"/>
            <w:hideMark/>
          </w:tcPr>
          <w:p w14:paraId="7953E16F" w14:textId="22AB8DB7" w:rsidR="00090B87" w:rsidRPr="00CC2419" w:rsidRDefault="00090B87" w:rsidP="00090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 xml:space="preserve">(elderly OR seniors OR geriatric* OR gerontolog*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 age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older adults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older persons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older people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older men</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older women</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older patients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older inpatients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w:t>
            </w:r>
          </w:p>
        </w:tc>
      </w:tr>
      <w:tr w:rsidR="00090B87" w:rsidRPr="00CC2419" w14:paraId="7B4B3BAB" w14:textId="77777777" w:rsidTr="00683647">
        <w:trPr>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68824007"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2</w:t>
            </w:r>
          </w:p>
        </w:tc>
        <w:tc>
          <w:tcPr>
            <w:tcW w:w="4762" w:type="pct"/>
            <w:noWrap/>
            <w:vAlign w:val="center"/>
            <w:hideMark/>
          </w:tcPr>
          <w:p w14:paraId="67DF4447" w14:textId="453CE0DE" w:rsidR="00090B87" w:rsidRPr="00CC2419" w:rsidRDefault="00090B87" w:rsidP="00090B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 xml:space="preserve">(transitions OR transfers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hand over</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hand-off</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move OR admission OR admit* OR discharge)</w:t>
            </w:r>
          </w:p>
        </w:tc>
      </w:tr>
      <w:tr w:rsidR="00090B87" w:rsidRPr="00CC2419" w14:paraId="37E3BEF0" w14:textId="77777777" w:rsidTr="0068364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103D1432"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3</w:t>
            </w:r>
          </w:p>
        </w:tc>
        <w:tc>
          <w:tcPr>
            <w:tcW w:w="4762" w:type="pct"/>
            <w:noWrap/>
            <w:vAlign w:val="center"/>
            <w:hideMark/>
          </w:tcPr>
          <w:p w14:paraId="123C8C6C" w14:textId="196347C0" w:rsidR="00090B87" w:rsidRPr="00CC2419" w:rsidRDefault="00090B87" w:rsidP="00090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acute care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hospital*)</w:t>
            </w:r>
          </w:p>
        </w:tc>
      </w:tr>
      <w:tr w:rsidR="00090B87" w:rsidRPr="00CC2419" w14:paraId="1C8515C4" w14:textId="77777777" w:rsidTr="00683647">
        <w:trPr>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3720BD67"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4</w:t>
            </w:r>
          </w:p>
        </w:tc>
        <w:tc>
          <w:tcPr>
            <w:tcW w:w="4762" w:type="pct"/>
            <w:noWrap/>
            <w:vAlign w:val="center"/>
            <w:hideMark/>
          </w:tcPr>
          <w:p w14:paraId="7E0EE571" w14:textId="380A33C7" w:rsidR="00090B87" w:rsidRPr="00CC2419" w:rsidRDefault="00090B87" w:rsidP="00090B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long-term care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nursing home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assisted living</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supportive living</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supportive care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w:t>
            </w:r>
          </w:p>
        </w:tc>
      </w:tr>
      <w:tr w:rsidR="00090B87" w:rsidRPr="00CC2419" w14:paraId="28173260" w14:textId="77777777" w:rsidTr="0068364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38A0C177"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5</w:t>
            </w:r>
          </w:p>
        </w:tc>
        <w:tc>
          <w:tcPr>
            <w:tcW w:w="4762" w:type="pct"/>
            <w:noWrap/>
            <w:vAlign w:val="center"/>
            <w:hideMark/>
          </w:tcPr>
          <w:p w14:paraId="0A2AD417" w14:textId="66447BE5" w:rsidR="00090B87" w:rsidRPr="00CC2419" w:rsidRDefault="00090B87" w:rsidP="00090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complex continuing care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chronic care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rehabilitation</w:t>
            </w:r>
            <w:r w:rsidR="00CB7B5F">
              <w:rPr>
                <w:rFonts w:ascii="Times New Roman" w:hAnsi="Times New Roman" w:cs="Times New Roman"/>
                <w:color w:val="000000" w:themeColor="text1"/>
                <w:sz w:val="20"/>
                <w:szCs w:val="20"/>
              </w:rPr>
              <w:t>”</w:t>
            </w:r>
            <w:r w:rsidR="00BA668D"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00BA668D" w:rsidRPr="00CC2419">
              <w:rPr>
                <w:rFonts w:ascii="Times New Roman" w:hAnsi="Times New Roman" w:cs="Times New Roman"/>
                <w:color w:val="000000" w:themeColor="text1"/>
                <w:sz w:val="20"/>
                <w:szCs w:val="20"/>
              </w:rPr>
              <w:t>skilled nursing</w:t>
            </w:r>
            <w:r w:rsidR="00CB7B5F">
              <w:rPr>
                <w:rFonts w:ascii="Times New Roman" w:hAnsi="Times New Roman" w:cs="Times New Roman"/>
                <w:color w:val="000000" w:themeColor="text1"/>
                <w:sz w:val="20"/>
                <w:szCs w:val="20"/>
              </w:rPr>
              <w:t>”</w:t>
            </w:r>
            <w:r w:rsidR="00BA668D"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00BA668D" w:rsidRPr="00CC2419">
              <w:rPr>
                <w:rFonts w:ascii="Times New Roman" w:hAnsi="Times New Roman" w:cs="Times New Roman"/>
                <w:color w:val="000000" w:themeColor="text1"/>
                <w:sz w:val="20"/>
                <w:szCs w:val="20"/>
              </w:rPr>
              <w:t>continuing care</w:t>
            </w:r>
            <w:r w:rsidR="00CB7B5F">
              <w:rPr>
                <w:rFonts w:ascii="Times New Roman" w:hAnsi="Times New Roman" w:cs="Times New Roman"/>
                <w:color w:val="000000" w:themeColor="text1"/>
                <w:sz w:val="20"/>
                <w:szCs w:val="20"/>
              </w:rPr>
              <w:t>”</w:t>
            </w:r>
            <w:r w:rsidR="00BA668D"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00BA668D" w:rsidRPr="00CC2419">
              <w:rPr>
                <w:rFonts w:ascii="Times New Roman" w:hAnsi="Times New Roman" w:cs="Times New Roman"/>
                <w:color w:val="000000" w:themeColor="text1"/>
                <w:sz w:val="20"/>
                <w:szCs w:val="20"/>
              </w:rPr>
              <w:t>integrated care</w:t>
            </w:r>
            <w:r w:rsidR="00CB7B5F">
              <w:rPr>
                <w:rFonts w:ascii="Times New Roman" w:hAnsi="Times New Roman" w:cs="Times New Roman"/>
                <w:color w:val="000000" w:themeColor="text1"/>
                <w:sz w:val="20"/>
                <w:szCs w:val="20"/>
              </w:rPr>
              <w:t>”</w:t>
            </w:r>
            <w:r w:rsidR="00BA668D" w:rsidRPr="00CC2419">
              <w:rPr>
                <w:rFonts w:ascii="Times New Roman" w:hAnsi="Times New Roman" w:cs="Times New Roman"/>
                <w:color w:val="000000" w:themeColor="text1"/>
                <w:sz w:val="20"/>
                <w:szCs w:val="20"/>
              </w:rPr>
              <w:t>)</w:t>
            </w:r>
          </w:p>
        </w:tc>
      </w:tr>
      <w:tr w:rsidR="00090B87" w:rsidRPr="00CC2419" w14:paraId="25DA2BE1" w14:textId="77777777" w:rsidTr="00683647">
        <w:trPr>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1CF4534F"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6</w:t>
            </w:r>
          </w:p>
        </w:tc>
        <w:tc>
          <w:tcPr>
            <w:tcW w:w="4762" w:type="pct"/>
            <w:noWrap/>
            <w:vAlign w:val="center"/>
            <w:hideMark/>
          </w:tcPr>
          <w:p w14:paraId="642CCDA5" w14:textId="3A5BA00D" w:rsidR="00090B87" w:rsidRPr="00CC2419" w:rsidRDefault="00090B87" w:rsidP="00090B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home care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community care</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home health nursing</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w:t>
            </w:r>
          </w:p>
        </w:tc>
      </w:tr>
      <w:tr w:rsidR="00090B87" w:rsidRPr="00CC2419" w14:paraId="2EF9BFA8" w14:textId="77777777" w:rsidTr="0068364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3DD210A9"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7</w:t>
            </w:r>
          </w:p>
        </w:tc>
        <w:tc>
          <w:tcPr>
            <w:tcW w:w="4762" w:type="pct"/>
            <w:noWrap/>
            <w:vAlign w:val="center"/>
            <w:hideMark/>
          </w:tcPr>
          <w:p w14:paraId="3ED5E688" w14:textId="6D4C62BA" w:rsidR="00090B87" w:rsidRPr="00CC2419" w:rsidRDefault="00090B87" w:rsidP="00090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 xml:space="preserve">(factors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associated factors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underlying factors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key factors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determinants OR predictors OR influences OR correlates OR barriers OR facilitators OR impacting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driving forces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conditioning factors</w:t>
            </w:r>
            <w:r w:rsidR="00CB7B5F">
              <w:rPr>
                <w:rFonts w:ascii="Times New Roman" w:hAnsi="Times New Roman" w:cs="Times New Roman"/>
                <w:color w:val="000000" w:themeColor="text1"/>
                <w:sz w:val="20"/>
                <w:szCs w:val="20"/>
              </w:rPr>
              <w:t>”</w:t>
            </w:r>
            <w:r w:rsidRPr="00CC2419">
              <w:rPr>
                <w:rFonts w:ascii="Times New Roman" w:hAnsi="Times New Roman" w:cs="Times New Roman"/>
                <w:color w:val="000000" w:themeColor="text1"/>
                <w:sz w:val="20"/>
                <w:szCs w:val="20"/>
              </w:rPr>
              <w:t xml:space="preserve"> OR characteristics OR variables OR attributes OR challenges OR circumstances OR context OR conditions)</w:t>
            </w:r>
          </w:p>
        </w:tc>
      </w:tr>
      <w:tr w:rsidR="00090B87" w:rsidRPr="00CC2419" w14:paraId="130C47E1" w14:textId="77777777" w:rsidTr="00683647">
        <w:trPr>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3E3A581D"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8</w:t>
            </w:r>
          </w:p>
        </w:tc>
        <w:tc>
          <w:tcPr>
            <w:tcW w:w="4762" w:type="pct"/>
            <w:noWrap/>
            <w:vAlign w:val="center"/>
            <w:hideMark/>
          </w:tcPr>
          <w:p w14:paraId="5F532055" w14:textId="77777777" w:rsidR="00090B87" w:rsidRPr="00CC2419" w:rsidRDefault="00090B87" w:rsidP="00090B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 AND 2 AND 3 AND 4 AND 7</w:t>
            </w:r>
          </w:p>
        </w:tc>
      </w:tr>
      <w:tr w:rsidR="00090B87" w:rsidRPr="00CC2419" w14:paraId="6D15CBA0" w14:textId="77777777" w:rsidTr="0068364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592E44E6"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9</w:t>
            </w:r>
          </w:p>
        </w:tc>
        <w:tc>
          <w:tcPr>
            <w:tcW w:w="4762" w:type="pct"/>
            <w:noWrap/>
            <w:vAlign w:val="center"/>
            <w:hideMark/>
          </w:tcPr>
          <w:p w14:paraId="5F16144E" w14:textId="77777777" w:rsidR="00090B87" w:rsidRPr="00CC2419" w:rsidRDefault="00090B87" w:rsidP="00090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 AND 2 AND 3 AND 5 AND 7</w:t>
            </w:r>
          </w:p>
        </w:tc>
      </w:tr>
      <w:tr w:rsidR="00090B87" w:rsidRPr="00CC2419" w14:paraId="1BA1C3AA" w14:textId="77777777" w:rsidTr="00683647">
        <w:trPr>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7831AA6A"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10</w:t>
            </w:r>
          </w:p>
        </w:tc>
        <w:tc>
          <w:tcPr>
            <w:tcW w:w="4762" w:type="pct"/>
            <w:noWrap/>
            <w:vAlign w:val="center"/>
            <w:hideMark/>
          </w:tcPr>
          <w:p w14:paraId="246396ED" w14:textId="77777777" w:rsidR="00090B87" w:rsidRPr="00CC2419" w:rsidRDefault="00090B87" w:rsidP="00090B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 AND 2 AND 3 AND 6 AND 7</w:t>
            </w:r>
          </w:p>
        </w:tc>
      </w:tr>
      <w:tr w:rsidR="00090B87" w:rsidRPr="00CC2419" w14:paraId="2E648598" w14:textId="77777777" w:rsidTr="0068364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27DC01C3"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11</w:t>
            </w:r>
          </w:p>
        </w:tc>
        <w:tc>
          <w:tcPr>
            <w:tcW w:w="4762" w:type="pct"/>
            <w:noWrap/>
            <w:vAlign w:val="center"/>
            <w:hideMark/>
          </w:tcPr>
          <w:p w14:paraId="3E3C67BD" w14:textId="77777777" w:rsidR="00090B87" w:rsidRPr="00CC2419" w:rsidRDefault="00090B87" w:rsidP="00090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 AND 2 AND 4 AND 6 AND 7</w:t>
            </w:r>
          </w:p>
        </w:tc>
      </w:tr>
      <w:tr w:rsidR="00090B87" w:rsidRPr="00CC2419" w14:paraId="1EC150A4" w14:textId="77777777" w:rsidTr="00683647">
        <w:trPr>
          <w:trHeight w:val="290"/>
          <w:jc w:val="center"/>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6165DA14" w14:textId="77777777" w:rsidR="00090B87" w:rsidRPr="00CC2419" w:rsidRDefault="00090B87" w:rsidP="00090B87">
            <w:pPr>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12</w:t>
            </w:r>
          </w:p>
        </w:tc>
        <w:tc>
          <w:tcPr>
            <w:tcW w:w="4762" w:type="pct"/>
            <w:noWrap/>
            <w:vAlign w:val="center"/>
            <w:hideMark/>
          </w:tcPr>
          <w:p w14:paraId="1B6C2482" w14:textId="77777777" w:rsidR="00090B87" w:rsidRPr="00CC2419" w:rsidRDefault="00090B87" w:rsidP="00090B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C2419">
              <w:rPr>
                <w:rFonts w:ascii="Times New Roman" w:hAnsi="Times New Roman" w:cs="Times New Roman"/>
                <w:color w:val="000000" w:themeColor="text1"/>
                <w:sz w:val="20"/>
                <w:szCs w:val="20"/>
              </w:rPr>
              <w:t>1 AND 2 AND 5 AND 6 AND 7</w:t>
            </w:r>
          </w:p>
        </w:tc>
      </w:tr>
      <w:bookmarkEnd w:id="1"/>
    </w:tbl>
    <w:p w14:paraId="4A2FA379" w14:textId="77777777" w:rsidR="00C2397B" w:rsidRPr="00CC2419" w:rsidRDefault="00C2397B">
      <w:pPr>
        <w:rPr>
          <w:rFonts w:ascii="Times New Roman" w:hAnsi="Times New Roman" w:cs="Times New Roman"/>
          <w:color w:val="000000" w:themeColor="text1"/>
        </w:rPr>
      </w:pPr>
      <w:r w:rsidRPr="00CC2419">
        <w:rPr>
          <w:rFonts w:ascii="Times New Roman" w:hAnsi="Times New Roman" w:cs="Times New Roman"/>
          <w:color w:val="000000" w:themeColor="text1"/>
        </w:rPr>
        <w:br w:type="page"/>
      </w:r>
    </w:p>
    <w:p w14:paraId="268667B1" w14:textId="019C85E7" w:rsidR="00821A3C" w:rsidRPr="00EF4A20" w:rsidRDefault="00821A3C" w:rsidP="001A05AC">
      <w:pPr>
        <w:pStyle w:val="Heading2"/>
        <w:numPr>
          <w:ilvl w:val="0"/>
          <w:numId w:val="0"/>
        </w:numPr>
        <w:spacing w:before="0" w:line="480" w:lineRule="auto"/>
        <w:rPr>
          <w:rFonts w:ascii="Times New Roman" w:hAnsi="Times New Roman" w:cs="Times New Roman"/>
          <w:b/>
          <w:bCs/>
          <w:color w:val="000000" w:themeColor="text1"/>
          <w:sz w:val="22"/>
          <w:szCs w:val="22"/>
        </w:rPr>
      </w:pPr>
      <w:r w:rsidRPr="00EF4A20">
        <w:rPr>
          <w:rFonts w:ascii="Times New Roman" w:hAnsi="Times New Roman" w:cs="Times New Roman"/>
          <w:b/>
          <w:bCs/>
          <w:color w:val="000000" w:themeColor="text1"/>
          <w:sz w:val="22"/>
          <w:szCs w:val="22"/>
        </w:rPr>
        <w:lastRenderedPageBreak/>
        <w:t>S2</w:t>
      </w:r>
      <w:r w:rsidR="00F26468">
        <w:rPr>
          <w:rFonts w:ascii="Times New Roman" w:hAnsi="Times New Roman" w:cs="Times New Roman"/>
          <w:b/>
          <w:bCs/>
          <w:color w:val="000000" w:themeColor="text1"/>
          <w:sz w:val="22"/>
          <w:szCs w:val="22"/>
        </w:rPr>
        <w:t>.</w:t>
      </w:r>
      <w:r w:rsidRPr="00EF4A20">
        <w:rPr>
          <w:rFonts w:ascii="Times New Roman" w:hAnsi="Times New Roman" w:cs="Times New Roman"/>
          <w:b/>
          <w:bCs/>
          <w:color w:val="000000" w:themeColor="text1"/>
          <w:sz w:val="22"/>
          <w:szCs w:val="22"/>
        </w:rPr>
        <w:t xml:space="preserve"> Full list of included publications</w:t>
      </w:r>
    </w:p>
    <w:p w14:paraId="15D26238" w14:textId="3D155B20" w:rsidR="00C2397B" w:rsidRPr="00EF4A20" w:rsidRDefault="00C2397B" w:rsidP="001A05AC">
      <w:pPr>
        <w:spacing w:after="0" w:line="480" w:lineRule="auto"/>
        <w:rPr>
          <w:rFonts w:ascii="Times New Roman" w:hAnsi="Times New Roman" w:cs="Times New Roman"/>
          <w:color w:val="000000" w:themeColor="text1"/>
        </w:rPr>
      </w:pPr>
      <w:r w:rsidRPr="00EF4A20">
        <w:rPr>
          <w:rFonts w:ascii="Times New Roman" w:hAnsi="Times New Roman" w:cs="Times New Roman"/>
          <w:color w:val="000000" w:themeColor="text1"/>
        </w:rPr>
        <w:t xml:space="preserve">Table </w:t>
      </w:r>
      <w:r w:rsidR="00821A3C" w:rsidRPr="00EF4A20">
        <w:rPr>
          <w:rFonts w:ascii="Times New Roman" w:hAnsi="Times New Roman" w:cs="Times New Roman"/>
          <w:color w:val="000000" w:themeColor="text1"/>
        </w:rPr>
        <w:t>S</w:t>
      </w:r>
      <w:r w:rsidRPr="00EF4A20">
        <w:rPr>
          <w:rFonts w:ascii="Times New Roman" w:hAnsi="Times New Roman" w:cs="Times New Roman"/>
          <w:color w:val="000000" w:themeColor="text1"/>
        </w:rPr>
        <w:t xml:space="preserve">2 provides a comprehensive list of the </w:t>
      </w:r>
      <w:r w:rsidR="00821A3C" w:rsidRPr="00EF4A20">
        <w:rPr>
          <w:rFonts w:ascii="Times New Roman" w:hAnsi="Times New Roman" w:cs="Times New Roman"/>
          <w:color w:val="000000" w:themeColor="text1"/>
        </w:rPr>
        <w:t>publications</w:t>
      </w:r>
      <w:r w:rsidRPr="00EF4A20">
        <w:rPr>
          <w:rFonts w:ascii="Times New Roman" w:hAnsi="Times New Roman" w:cs="Times New Roman"/>
          <w:color w:val="000000" w:themeColor="text1"/>
        </w:rPr>
        <w:t xml:space="preserve"> included in this scoping review.</w:t>
      </w:r>
    </w:p>
    <w:p w14:paraId="2F185103" w14:textId="1EC521D3" w:rsidR="00C2397B" w:rsidRPr="00CC2419" w:rsidRDefault="00C2397B" w:rsidP="00E655C1">
      <w:pPr>
        <w:pStyle w:val="Caption"/>
        <w:keepNext/>
        <w:tabs>
          <w:tab w:val="right" w:pos="9360"/>
        </w:tabs>
        <w:spacing w:after="0"/>
        <w:jc w:val="center"/>
        <w:rPr>
          <w:rFonts w:ascii="Times New Roman" w:hAnsi="Times New Roman" w:cs="Times New Roman"/>
          <w:i w:val="0"/>
          <w:iCs w:val="0"/>
          <w:color w:val="000000" w:themeColor="text1"/>
          <w:sz w:val="20"/>
          <w:szCs w:val="20"/>
        </w:rPr>
      </w:pPr>
      <w:r w:rsidRPr="00CC2419">
        <w:rPr>
          <w:rFonts w:ascii="Times New Roman" w:hAnsi="Times New Roman" w:cs="Times New Roman"/>
          <w:b/>
          <w:bCs/>
          <w:i w:val="0"/>
          <w:iCs w:val="0"/>
          <w:color w:val="000000" w:themeColor="text1"/>
          <w:sz w:val="20"/>
          <w:szCs w:val="20"/>
        </w:rPr>
        <w:t xml:space="preserve">Table </w:t>
      </w:r>
      <w:r w:rsidR="00821A3C" w:rsidRPr="00CC2419">
        <w:rPr>
          <w:rFonts w:ascii="Times New Roman" w:hAnsi="Times New Roman" w:cs="Times New Roman"/>
          <w:b/>
          <w:bCs/>
          <w:i w:val="0"/>
          <w:iCs w:val="0"/>
          <w:color w:val="000000" w:themeColor="text1"/>
          <w:sz w:val="20"/>
          <w:szCs w:val="20"/>
        </w:rPr>
        <w:t>S</w:t>
      </w:r>
      <w:r w:rsidRPr="00CC2419">
        <w:rPr>
          <w:rFonts w:ascii="Times New Roman" w:hAnsi="Times New Roman" w:cs="Times New Roman"/>
          <w:b/>
          <w:bCs/>
          <w:i w:val="0"/>
          <w:iCs w:val="0"/>
          <w:color w:val="000000" w:themeColor="text1"/>
          <w:sz w:val="20"/>
          <w:szCs w:val="20"/>
        </w:rPr>
        <w:fldChar w:fldCharType="begin"/>
      </w:r>
      <w:r w:rsidRPr="00CC2419">
        <w:rPr>
          <w:rFonts w:ascii="Times New Roman" w:hAnsi="Times New Roman" w:cs="Times New Roman"/>
          <w:b/>
          <w:bCs/>
          <w:i w:val="0"/>
          <w:iCs w:val="0"/>
          <w:color w:val="000000" w:themeColor="text1"/>
          <w:sz w:val="20"/>
          <w:szCs w:val="20"/>
        </w:rPr>
        <w:instrText xml:space="preserve"> SEQ Table \* ARABIC </w:instrText>
      </w:r>
      <w:r w:rsidRPr="00CC2419">
        <w:rPr>
          <w:rFonts w:ascii="Times New Roman" w:hAnsi="Times New Roman" w:cs="Times New Roman"/>
          <w:b/>
          <w:bCs/>
          <w:i w:val="0"/>
          <w:iCs w:val="0"/>
          <w:color w:val="000000" w:themeColor="text1"/>
          <w:sz w:val="20"/>
          <w:szCs w:val="20"/>
        </w:rPr>
        <w:fldChar w:fldCharType="separate"/>
      </w:r>
      <w:r w:rsidR="00821A3C" w:rsidRPr="00CC2419">
        <w:rPr>
          <w:rFonts w:ascii="Times New Roman" w:hAnsi="Times New Roman" w:cs="Times New Roman"/>
          <w:b/>
          <w:bCs/>
          <w:i w:val="0"/>
          <w:iCs w:val="0"/>
          <w:color w:val="000000" w:themeColor="text1"/>
          <w:sz w:val="20"/>
          <w:szCs w:val="20"/>
        </w:rPr>
        <w:t>2</w:t>
      </w:r>
      <w:r w:rsidRPr="00CC2419">
        <w:rPr>
          <w:rFonts w:ascii="Times New Roman" w:hAnsi="Times New Roman" w:cs="Times New Roman"/>
          <w:b/>
          <w:bCs/>
          <w:i w:val="0"/>
          <w:iCs w:val="0"/>
          <w:color w:val="000000" w:themeColor="text1"/>
          <w:sz w:val="20"/>
          <w:szCs w:val="20"/>
        </w:rPr>
        <w:fldChar w:fldCharType="end"/>
      </w:r>
      <w:r w:rsidR="00683647" w:rsidRPr="00CC2419">
        <w:rPr>
          <w:rFonts w:ascii="Times New Roman" w:hAnsi="Times New Roman" w:cs="Times New Roman"/>
          <w:b/>
          <w:bCs/>
          <w:i w:val="0"/>
          <w:iCs w:val="0"/>
          <w:color w:val="000000" w:themeColor="text1"/>
          <w:sz w:val="20"/>
          <w:szCs w:val="20"/>
        </w:rPr>
        <w:t>.</w:t>
      </w:r>
      <w:r w:rsidRPr="00CC2419">
        <w:rPr>
          <w:rFonts w:ascii="Times New Roman" w:hAnsi="Times New Roman" w:cs="Times New Roman"/>
          <w:i w:val="0"/>
          <w:iCs w:val="0"/>
          <w:color w:val="000000" w:themeColor="text1"/>
          <w:sz w:val="20"/>
          <w:szCs w:val="20"/>
        </w:rPr>
        <w:t xml:space="preserve"> A complete list of </w:t>
      </w:r>
      <w:r w:rsidR="004A1E13" w:rsidRPr="00CC2419">
        <w:rPr>
          <w:rFonts w:ascii="Times New Roman" w:hAnsi="Times New Roman" w:cs="Times New Roman"/>
          <w:i w:val="0"/>
          <w:iCs w:val="0"/>
          <w:color w:val="000000" w:themeColor="text1"/>
          <w:sz w:val="20"/>
          <w:szCs w:val="20"/>
        </w:rPr>
        <w:t>publications</w:t>
      </w:r>
      <w:r w:rsidRPr="00CC2419">
        <w:rPr>
          <w:rFonts w:ascii="Times New Roman" w:hAnsi="Times New Roman" w:cs="Times New Roman"/>
          <w:i w:val="0"/>
          <w:iCs w:val="0"/>
          <w:color w:val="000000" w:themeColor="text1"/>
          <w:sz w:val="20"/>
          <w:szCs w:val="20"/>
        </w:rPr>
        <w:t xml:space="preserve"> included in the review</w:t>
      </w:r>
    </w:p>
    <w:tbl>
      <w:tblPr>
        <w:tblStyle w:val="TableGridLight"/>
        <w:tblW w:w="5000" w:type="pct"/>
        <w:tblLayout w:type="fixed"/>
        <w:tblLook w:val="04A0" w:firstRow="1" w:lastRow="0" w:firstColumn="1" w:lastColumn="0" w:noHBand="0" w:noVBand="1"/>
      </w:tblPr>
      <w:tblGrid>
        <w:gridCol w:w="1615"/>
        <w:gridCol w:w="361"/>
        <w:gridCol w:w="449"/>
        <w:gridCol w:w="361"/>
        <w:gridCol w:w="359"/>
        <w:gridCol w:w="899"/>
        <w:gridCol w:w="361"/>
        <w:gridCol w:w="449"/>
        <w:gridCol w:w="361"/>
        <w:gridCol w:w="2160"/>
        <w:gridCol w:w="1975"/>
      </w:tblGrid>
      <w:tr w:rsidR="00FE007C" w:rsidRPr="00CE1629" w14:paraId="742B50EF" w14:textId="77777777" w:rsidTr="0002791C">
        <w:trPr>
          <w:cantSplit/>
          <w:trHeight w:val="1970"/>
          <w:tblHeader/>
        </w:trPr>
        <w:tc>
          <w:tcPr>
            <w:tcW w:w="864" w:type="pct"/>
            <w:shd w:val="clear" w:color="auto" w:fill="F2F2F2" w:themeFill="background1" w:themeFillShade="F2"/>
            <w:textDirection w:val="btLr"/>
            <w:vAlign w:val="center"/>
            <w:hideMark/>
          </w:tcPr>
          <w:p w14:paraId="4D11A9DE"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Title</w:t>
            </w:r>
          </w:p>
        </w:tc>
        <w:tc>
          <w:tcPr>
            <w:tcW w:w="193" w:type="pct"/>
            <w:shd w:val="clear" w:color="auto" w:fill="F2F2F2" w:themeFill="background1" w:themeFillShade="F2"/>
            <w:textDirection w:val="btLr"/>
            <w:vAlign w:val="center"/>
            <w:hideMark/>
          </w:tcPr>
          <w:p w14:paraId="39AE81D7"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First Author</w:t>
            </w:r>
          </w:p>
        </w:tc>
        <w:tc>
          <w:tcPr>
            <w:tcW w:w="240" w:type="pct"/>
            <w:shd w:val="clear" w:color="auto" w:fill="F2F2F2" w:themeFill="background1" w:themeFillShade="F2"/>
            <w:textDirection w:val="btLr"/>
            <w:vAlign w:val="center"/>
            <w:hideMark/>
          </w:tcPr>
          <w:p w14:paraId="76B7E6ED"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Year of Publication</w:t>
            </w:r>
          </w:p>
        </w:tc>
        <w:tc>
          <w:tcPr>
            <w:tcW w:w="193" w:type="pct"/>
            <w:shd w:val="clear" w:color="auto" w:fill="F2F2F2" w:themeFill="background1" w:themeFillShade="F2"/>
            <w:textDirection w:val="btLr"/>
            <w:vAlign w:val="center"/>
            <w:hideMark/>
          </w:tcPr>
          <w:p w14:paraId="0822F96D"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Analysis Period</w:t>
            </w:r>
          </w:p>
        </w:tc>
        <w:tc>
          <w:tcPr>
            <w:tcW w:w="192" w:type="pct"/>
            <w:shd w:val="clear" w:color="auto" w:fill="F2F2F2" w:themeFill="background1" w:themeFillShade="F2"/>
            <w:textDirection w:val="btLr"/>
            <w:vAlign w:val="center"/>
            <w:hideMark/>
          </w:tcPr>
          <w:p w14:paraId="40C790A8"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Jurisdiction</w:t>
            </w:r>
          </w:p>
        </w:tc>
        <w:tc>
          <w:tcPr>
            <w:tcW w:w="481" w:type="pct"/>
            <w:shd w:val="clear" w:color="auto" w:fill="F2F2F2" w:themeFill="background1" w:themeFillShade="F2"/>
            <w:textDirection w:val="btLr"/>
            <w:vAlign w:val="center"/>
            <w:hideMark/>
          </w:tcPr>
          <w:p w14:paraId="43055080"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Study Population</w:t>
            </w:r>
          </w:p>
        </w:tc>
        <w:tc>
          <w:tcPr>
            <w:tcW w:w="193" w:type="pct"/>
            <w:shd w:val="clear" w:color="auto" w:fill="F2F2F2" w:themeFill="background1" w:themeFillShade="F2"/>
            <w:textDirection w:val="btLr"/>
            <w:vAlign w:val="center"/>
            <w:hideMark/>
          </w:tcPr>
          <w:p w14:paraId="3DEE25AD"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Research Design</w:t>
            </w:r>
          </w:p>
        </w:tc>
        <w:tc>
          <w:tcPr>
            <w:tcW w:w="240" w:type="pct"/>
            <w:shd w:val="clear" w:color="auto" w:fill="F2F2F2" w:themeFill="background1" w:themeFillShade="F2"/>
            <w:textDirection w:val="btLr"/>
            <w:vAlign w:val="center"/>
            <w:hideMark/>
          </w:tcPr>
          <w:p w14:paraId="74283C41"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Setting transitioned from</w:t>
            </w:r>
          </w:p>
        </w:tc>
        <w:tc>
          <w:tcPr>
            <w:tcW w:w="193" w:type="pct"/>
            <w:shd w:val="clear" w:color="auto" w:fill="F2F2F2" w:themeFill="background1" w:themeFillShade="F2"/>
            <w:textDirection w:val="btLr"/>
            <w:vAlign w:val="center"/>
            <w:hideMark/>
          </w:tcPr>
          <w:p w14:paraId="469C84B8"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Setting transitioned to</w:t>
            </w:r>
          </w:p>
        </w:tc>
        <w:tc>
          <w:tcPr>
            <w:tcW w:w="1155" w:type="pct"/>
            <w:shd w:val="clear" w:color="auto" w:fill="F2F2F2" w:themeFill="background1" w:themeFillShade="F2"/>
            <w:textDirection w:val="btLr"/>
            <w:vAlign w:val="center"/>
            <w:hideMark/>
          </w:tcPr>
          <w:p w14:paraId="7D9C7177"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Factors Associated with the Care Destination (positive effect)</w:t>
            </w:r>
          </w:p>
        </w:tc>
        <w:tc>
          <w:tcPr>
            <w:tcW w:w="1056" w:type="pct"/>
            <w:shd w:val="clear" w:color="auto" w:fill="F2F2F2" w:themeFill="background1" w:themeFillShade="F2"/>
            <w:textDirection w:val="btLr"/>
            <w:vAlign w:val="center"/>
            <w:hideMark/>
          </w:tcPr>
          <w:p w14:paraId="75B9CE46" w14:textId="77777777" w:rsidR="00FE007C" w:rsidRPr="00CE1629" w:rsidRDefault="00FE007C" w:rsidP="000D0F31">
            <w:pPr>
              <w:ind w:left="115" w:right="115"/>
              <w:jc w:val="center"/>
              <w:rPr>
                <w:rFonts w:eastAsia="Times New Roman"/>
                <w:b/>
                <w:bCs/>
                <w:i w:val="0"/>
                <w:color w:val="000000"/>
                <w:kern w:val="0"/>
                <w:sz w:val="16"/>
                <w:szCs w:val="16"/>
                <w:lang w:val="en-GB" w:eastAsia="en-GB"/>
                <w14:ligatures w14:val="none"/>
              </w:rPr>
            </w:pPr>
            <w:r w:rsidRPr="00CE1629">
              <w:rPr>
                <w:rFonts w:eastAsia="Times New Roman"/>
                <w:b/>
                <w:bCs/>
                <w:i w:val="0"/>
                <w:color w:val="000000"/>
                <w:kern w:val="0"/>
                <w:sz w:val="16"/>
                <w:szCs w:val="16"/>
                <w:lang w:val="en-GB" w:eastAsia="en-GB"/>
                <w14:ligatures w14:val="none"/>
              </w:rPr>
              <w:t>Factors Associated with the Care Destination (negative effect)</w:t>
            </w:r>
          </w:p>
        </w:tc>
      </w:tr>
      <w:tr w:rsidR="00FE007C" w:rsidRPr="00CE1629" w14:paraId="16817A77" w14:textId="77777777" w:rsidTr="0002791C">
        <w:trPr>
          <w:cantSplit/>
          <w:trHeight w:val="2240"/>
        </w:trPr>
        <w:tc>
          <w:tcPr>
            <w:tcW w:w="864" w:type="pct"/>
            <w:textDirection w:val="btLr"/>
            <w:vAlign w:val="center"/>
            <w:hideMark/>
          </w:tcPr>
          <w:p w14:paraId="3CCCC44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Earlier physical therapy input is associated with a reduced length of hospital stay and reduced care needs on discharge in frail older inpatients: an observational study</w:t>
            </w:r>
          </w:p>
        </w:tc>
        <w:tc>
          <w:tcPr>
            <w:tcW w:w="193" w:type="pct"/>
            <w:textDirection w:val="btLr"/>
            <w:vAlign w:val="center"/>
            <w:hideMark/>
          </w:tcPr>
          <w:p w14:paraId="1691CCF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Peter J. Hartley</w:t>
            </w:r>
          </w:p>
        </w:tc>
        <w:tc>
          <w:tcPr>
            <w:tcW w:w="240" w:type="pct"/>
            <w:textDirection w:val="btLr"/>
            <w:vAlign w:val="center"/>
            <w:hideMark/>
          </w:tcPr>
          <w:p w14:paraId="7270703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5E8E34C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2" w:type="pct"/>
            <w:textDirection w:val="btLr"/>
            <w:vAlign w:val="center"/>
            <w:hideMark/>
          </w:tcPr>
          <w:p w14:paraId="108B190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UK</w:t>
            </w:r>
          </w:p>
        </w:tc>
        <w:tc>
          <w:tcPr>
            <w:tcW w:w="481" w:type="pct"/>
            <w:textDirection w:val="btLr"/>
            <w:vAlign w:val="center"/>
            <w:hideMark/>
          </w:tcPr>
          <w:p w14:paraId="434AC7A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Frail older adults admitted to the Department of Medicine for the Elderly wards</w:t>
            </w:r>
          </w:p>
        </w:tc>
        <w:tc>
          <w:tcPr>
            <w:tcW w:w="193" w:type="pct"/>
            <w:textDirection w:val="btLr"/>
            <w:vAlign w:val="center"/>
            <w:hideMark/>
          </w:tcPr>
          <w:p w14:paraId="26DA236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98D79D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638903C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1A61CF3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355845F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Early physical therapy assessment (within 24 hours of admission)</w:t>
            </w:r>
          </w:p>
        </w:tc>
      </w:tr>
      <w:tr w:rsidR="00FE007C" w:rsidRPr="00CE1629" w14:paraId="6D34E73F" w14:textId="77777777" w:rsidTr="0002791C">
        <w:trPr>
          <w:cantSplit/>
          <w:trHeight w:val="2150"/>
        </w:trPr>
        <w:tc>
          <w:tcPr>
            <w:tcW w:w="864" w:type="pct"/>
            <w:textDirection w:val="btLr"/>
            <w:vAlign w:val="center"/>
            <w:hideMark/>
          </w:tcPr>
          <w:p w14:paraId="0043D74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Complementing chronic frailty assessment at hospital admission with an electronic frailty index (FI-Laboratory) comprising routine blood test results</w:t>
            </w:r>
          </w:p>
        </w:tc>
        <w:tc>
          <w:tcPr>
            <w:tcW w:w="193" w:type="pct"/>
            <w:textDirection w:val="btLr"/>
            <w:vAlign w:val="center"/>
            <w:hideMark/>
          </w:tcPr>
          <w:p w14:paraId="45A5E96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Hugh Logan Ellis</w:t>
            </w:r>
          </w:p>
        </w:tc>
        <w:tc>
          <w:tcPr>
            <w:tcW w:w="240" w:type="pct"/>
            <w:textDirection w:val="btLr"/>
            <w:vAlign w:val="center"/>
            <w:hideMark/>
          </w:tcPr>
          <w:p w14:paraId="08F6DF0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01D68E33" w14:textId="0625460E"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 to 2017</w:t>
            </w:r>
          </w:p>
        </w:tc>
        <w:tc>
          <w:tcPr>
            <w:tcW w:w="192" w:type="pct"/>
            <w:textDirection w:val="btLr"/>
            <w:vAlign w:val="center"/>
            <w:hideMark/>
          </w:tcPr>
          <w:p w14:paraId="1F19E3A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UK</w:t>
            </w:r>
          </w:p>
        </w:tc>
        <w:tc>
          <w:tcPr>
            <w:tcW w:w="481" w:type="pct"/>
            <w:textDirection w:val="btLr"/>
            <w:vAlign w:val="center"/>
            <w:hideMark/>
          </w:tcPr>
          <w:p w14:paraId="3F3FBFE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admitted to a large tertiary hospital.</w:t>
            </w:r>
          </w:p>
        </w:tc>
        <w:tc>
          <w:tcPr>
            <w:tcW w:w="193" w:type="pct"/>
            <w:textDirection w:val="btLr"/>
            <w:vAlign w:val="center"/>
            <w:hideMark/>
          </w:tcPr>
          <w:p w14:paraId="0BB12AC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26C1E5F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779EE80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LTC/CCC</w:t>
            </w:r>
          </w:p>
        </w:tc>
        <w:tc>
          <w:tcPr>
            <w:tcW w:w="1155" w:type="pct"/>
            <w:textDirection w:val="btLr"/>
            <w:vAlign w:val="center"/>
            <w:hideMark/>
          </w:tcPr>
          <w:p w14:paraId="2638251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Frailty</w:t>
            </w:r>
          </w:p>
        </w:tc>
        <w:tc>
          <w:tcPr>
            <w:tcW w:w="1056" w:type="pct"/>
            <w:textDirection w:val="btLr"/>
            <w:vAlign w:val="center"/>
            <w:hideMark/>
          </w:tcPr>
          <w:p w14:paraId="52F3C76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218E1DAA" w14:textId="77777777" w:rsidTr="0002791C">
        <w:trPr>
          <w:cantSplit/>
          <w:trHeight w:val="2501"/>
        </w:trPr>
        <w:tc>
          <w:tcPr>
            <w:tcW w:w="864" w:type="pct"/>
            <w:textDirection w:val="btLr"/>
            <w:vAlign w:val="center"/>
            <w:hideMark/>
          </w:tcPr>
          <w:p w14:paraId="2198444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Accuracy of the Clinical Frailty Scale for perioperative frailty screening: a prospective observational study</w:t>
            </w:r>
          </w:p>
        </w:tc>
        <w:tc>
          <w:tcPr>
            <w:tcW w:w="193" w:type="pct"/>
            <w:textDirection w:val="btLr"/>
            <w:vAlign w:val="center"/>
            <w:hideMark/>
          </w:tcPr>
          <w:p w14:paraId="697F993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Jai N. Darvall</w:t>
            </w:r>
          </w:p>
        </w:tc>
        <w:tc>
          <w:tcPr>
            <w:tcW w:w="240" w:type="pct"/>
            <w:textDirection w:val="btLr"/>
            <w:vAlign w:val="center"/>
            <w:hideMark/>
          </w:tcPr>
          <w:p w14:paraId="5F262C9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5688C97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2" w:type="pct"/>
            <w:textDirection w:val="btLr"/>
            <w:vAlign w:val="center"/>
            <w:hideMark/>
          </w:tcPr>
          <w:p w14:paraId="58A5875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w:t>
            </w:r>
          </w:p>
        </w:tc>
        <w:tc>
          <w:tcPr>
            <w:tcW w:w="481" w:type="pct"/>
            <w:textDirection w:val="btLr"/>
            <w:vAlign w:val="center"/>
            <w:hideMark/>
          </w:tcPr>
          <w:p w14:paraId="6145D56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aged 65 years and above undergoing elective and emergency surgery at the Royal Melbourne Hospital</w:t>
            </w:r>
          </w:p>
        </w:tc>
        <w:tc>
          <w:tcPr>
            <w:tcW w:w="193" w:type="pct"/>
            <w:textDirection w:val="btLr"/>
            <w:vAlign w:val="center"/>
            <w:hideMark/>
          </w:tcPr>
          <w:p w14:paraId="4F19484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7F6C6E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7139501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LTC/CCC</w:t>
            </w:r>
          </w:p>
        </w:tc>
        <w:tc>
          <w:tcPr>
            <w:tcW w:w="1155" w:type="pct"/>
            <w:textDirection w:val="btLr"/>
            <w:vAlign w:val="center"/>
            <w:hideMark/>
          </w:tcPr>
          <w:p w14:paraId="3EC2DA8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Frailty</w:t>
            </w:r>
          </w:p>
        </w:tc>
        <w:tc>
          <w:tcPr>
            <w:tcW w:w="1056" w:type="pct"/>
            <w:textDirection w:val="btLr"/>
            <w:vAlign w:val="center"/>
            <w:hideMark/>
          </w:tcPr>
          <w:p w14:paraId="544621D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7A8FC2E7" w14:textId="77777777" w:rsidTr="0002791C">
        <w:trPr>
          <w:cantSplit/>
          <w:trHeight w:val="2780"/>
        </w:trPr>
        <w:tc>
          <w:tcPr>
            <w:tcW w:w="864" w:type="pct"/>
            <w:textDirection w:val="btLr"/>
            <w:vAlign w:val="center"/>
            <w:hideMark/>
          </w:tcPr>
          <w:p w14:paraId="6414B85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Living settings and cognitive impairment are stronger predictors of nursing home admission after hip fracture surgery than physical comorbidities: A nationwide Danish cohort study</w:t>
            </w:r>
          </w:p>
        </w:tc>
        <w:tc>
          <w:tcPr>
            <w:tcW w:w="193" w:type="pct"/>
            <w:textDirection w:val="btLr"/>
            <w:vAlign w:val="center"/>
            <w:hideMark/>
          </w:tcPr>
          <w:p w14:paraId="09F069D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Liv Riisager Wahlsten</w:t>
            </w:r>
          </w:p>
        </w:tc>
        <w:tc>
          <w:tcPr>
            <w:tcW w:w="240" w:type="pct"/>
            <w:textDirection w:val="btLr"/>
            <w:vAlign w:val="center"/>
            <w:hideMark/>
          </w:tcPr>
          <w:p w14:paraId="671982E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58C0707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2005 to 2015</w:t>
            </w:r>
          </w:p>
        </w:tc>
        <w:tc>
          <w:tcPr>
            <w:tcW w:w="192" w:type="pct"/>
            <w:textDirection w:val="btLr"/>
            <w:vAlign w:val="center"/>
            <w:hideMark/>
          </w:tcPr>
          <w:p w14:paraId="69A6C80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Denmark</w:t>
            </w:r>
          </w:p>
        </w:tc>
        <w:tc>
          <w:tcPr>
            <w:tcW w:w="481" w:type="pct"/>
            <w:textDirection w:val="btLr"/>
            <w:vAlign w:val="center"/>
            <w:hideMark/>
          </w:tcPr>
          <w:p w14:paraId="3E540BE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Community-dwelling Danish patients aged 60 to 100 years undergoing their first hip fracture surgery</w:t>
            </w:r>
          </w:p>
        </w:tc>
        <w:tc>
          <w:tcPr>
            <w:tcW w:w="193" w:type="pct"/>
            <w:textDirection w:val="btLr"/>
            <w:vAlign w:val="center"/>
            <w:hideMark/>
          </w:tcPr>
          <w:p w14:paraId="395A986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3968E2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21D9228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220D4D4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Living alone, dementia, Preinjury home care, Parkinson’s disease, and depression</w:t>
            </w:r>
          </w:p>
        </w:tc>
        <w:tc>
          <w:tcPr>
            <w:tcW w:w="1056" w:type="pct"/>
            <w:textDirection w:val="btLr"/>
            <w:vAlign w:val="center"/>
            <w:hideMark/>
          </w:tcPr>
          <w:p w14:paraId="735AB99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344732C6" w14:textId="77777777" w:rsidTr="0002791C">
        <w:trPr>
          <w:cantSplit/>
          <w:trHeight w:val="2510"/>
        </w:trPr>
        <w:tc>
          <w:tcPr>
            <w:tcW w:w="864" w:type="pct"/>
            <w:textDirection w:val="btLr"/>
            <w:vAlign w:val="center"/>
            <w:hideMark/>
          </w:tcPr>
          <w:p w14:paraId="7835165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LTC provision, hospital bed blocking, and discharge destination for hip fracture and stroke patients</w:t>
            </w:r>
          </w:p>
        </w:tc>
        <w:tc>
          <w:tcPr>
            <w:tcW w:w="193" w:type="pct"/>
            <w:textDirection w:val="btLr"/>
            <w:vAlign w:val="center"/>
            <w:hideMark/>
          </w:tcPr>
          <w:p w14:paraId="27A6321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James Gaughan</w:t>
            </w:r>
          </w:p>
        </w:tc>
        <w:tc>
          <w:tcPr>
            <w:tcW w:w="240" w:type="pct"/>
            <w:textDirection w:val="btLr"/>
            <w:vAlign w:val="center"/>
            <w:hideMark/>
          </w:tcPr>
          <w:p w14:paraId="2DDD52C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1EBDB11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2008 to 2009</w:t>
            </w:r>
          </w:p>
        </w:tc>
        <w:tc>
          <w:tcPr>
            <w:tcW w:w="192" w:type="pct"/>
            <w:textDirection w:val="btLr"/>
            <w:vAlign w:val="center"/>
            <w:hideMark/>
          </w:tcPr>
          <w:p w14:paraId="6E40023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UK</w:t>
            </w:r>
          </w:p>
        </w:tc>
        <w:tc>
          <w:tcPr>
            <w:tcW w:w="481" w:type="pct"/>
            <w:textDirection w:val="btLr"/>
            <w:vAlign w:val="center"/>
            <w:hideMark/>
          </w:tcPr>
          <w:p w14:paraId="28A2EF8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aged 65 and above admitted from home with hip fracture or stroke to NHS hospitals</w:t>
            </w:r>
          </w:p>
        </w:tc>
        <w:tc>
          <w:tcPr>
            <w:tcW w:w="193" w:type="pct"/>
            <w:textDirection w:val="btLr"/>
            <w:vAlign w:val="center"/>
            <w:hideMark/>
          </w:tcPr>
          <w:p w14:paraId="0DCBA9D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93F85D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74FEF9D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74C3EB1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female gender, number of diagnoses, number of additional procedures conducted during hospitalization</w:t>
            </w:r>
          </w:p>
        </w:tc>
        <w:tc>
          <w:tcPr>
            <w:tcW w:w="1056" w:type="pct"/>
            <w:textDirection w:val="btLr"/>
            <w:vAlign w:val="center"/>
            <w:hideMark/>
          </w:tcPr>
          <w:p w14:paraId="1B1FF6A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39ACCE5B" w14:textId="77777777" w:rsidTr="0002791C">
        <w:trPr>
          <w:cantSplit/>
          <w:trHeight w:val="2510"/>
        </w:trPr>
        <w:tc>
          <w:tcPr>
            <w:tcW w:w="864" w:type="pct"/>
            <w:textDirection w:val="btLr"/>
            <w:vAlign w:val="center"/>
            <w:hideMark/>
          </w:tcPr>
          <w:p w14:paraId="2A73AD4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Stakeholder involvement in care transition planning for older adults and the factors guiding their decision-making: a scoping review</w:t>
            </w:r>
          </w:p>
        </w:tc>
        <w:tc>
          <w:tcPr>
            <w:tcW w:w="193" w:type="pct"/>
            <w:textDirection w:val="btLr"/>
            <w:vAlign w:val="center"/>
            <w:hideMark/>
          </w:tcPr>
          <w:p w14:paraId="32CC0E8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Sarah Carbone</w:t>
            </w:r>
          </w:p>
        </w:tc>
        <w:tc>
          <w:tcPr>
            <w:tcW w:w="240" w:type="pct"/>
            <w:textDirection w:val="btLr"/>
            <w:vAlign w:val="center"/>
            <w:hideMark/>
          </w:tcPr>
          <w:p w14:paraId="5955592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3A4A3BC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 date restriction</w:t>
            </w:r>
          </w:p>
        </w:tc>
        <w:tc>
          <w:tcPr>
            <w:tcW w:w="192" w:type="pct"/>
            <w:textDirection w:val="btLr"/>
            <w:vAlign w:val="center"/>
            <w:hideMark/>
          </w:tcPr>
          <w:p w14:paraId="4CE34E5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Multiple countries</w:t>
            </w:r>
          </w:p>
        </w:tc>
        <w:tc>
          <w:tcPr>
            <w:tcW w:w="481" w:type="pct"/>
            <w:textDirection w:val="btLr"/>
            <w:vAlign w:val="center"/>
            <w:hideMark/>
          </w:tcPr>
          <w:p w14:paraId="4741BA79" w14:textId="51C3495E" w:rsidR="00FE007C" w:rsidRPr="00CE1629" w:rsidRDefault="00E71D07"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w:t>
            </w:r>
            <w:r w:rsidR="00FE007C" w:rsidRPr="00CE1629">
              <w:rPr>
                <w:rFonts w:eastAsia="Times New Roman"/>
                <w:i w:val="0"/>
                <w:color w:val="000000"/>
                <w:kern w:val="0"/>
                <w:sz w:val="16"/>
                <w:szCs w:val="16"/>
                <w:lang w:val="en-GB" w:eastAsia="en-GB"/>
                <w14:ligatures w14:val="none"/>
              </w:rPr>
              <w:t xml:space="preserve"> 65 or over, caregivers and health professionals</w:t>
            </w:r>
          </w:p>
        </w:tc>
        <w:tc>
          <w:tcPr>
            <w:tcW w:w="193" w:type="pct"/>
            <w:textDirection w:val="btLr"/>
            <w:vAlign w:val="center"/>
            <w:hideMark/>
          </w:tcPr>
          <w:p w14:paraId="3F9B7D6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4B26191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0F9DE7F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LTC/CCC/Home care</w:t>
            </w:r>
          </w:p>
        </w:tc>
        <w:tc>
          <w:tcPr>
            <w:tcW w:w="1155" w:type="pct"/>
            <w:textDirection w:val="btLr"/>
            <w:vAlign w:val="center"/>
            <w:hideMark/>
          </w:tcPr>
          <w:p w14:paraId="37D9C42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Institutional priorities and requirements, resources available for care and transition, knowledge of stakeholders, risk of transition, group structure and dynamic, health and support needs, </w:t>
            </w:r>
            <w:r w:rsidRPr="00CE1629">
              <w:rPr>
                <w:rFonts w:eastAsia="Times New Roman"/>
                <w:i w:val="0"/>
                <w:color w:val="000000" w:themeColor="text1"/>
                <w:kern w:val="0"/>
                <w:sz w:val="16"/>
                <w:szCs w:val="16"/>
                <w:lang w:val="en-GB" w:eastAsia="en-GB"/>
                <w14:ligatures w14:val="none"/>
              </w:rPr>
              <w:t>personality preferences and beliefs</w:t>
            </w:r>
          </w:p>
        </w:tc>
        <w:tc>
          <w:tcPr>
            <w:tcW w:w="1056" w:type="pct"/>
            <w:textDirection w:val="btLr"/>
            <w:vAlign w:val="center"/>
            <w:hideMark/>
          </w:tcPr>
          <w:p w14:paraId="3847E86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336F58C9" w14:textId="77777777" w:rsidTr="0002791C">
        <w:trPr>
          <w:cantSplit/>
          <w:trHeight w:val="3140"/>
        </w:trPr>
        <w:tc>
          <w:tcPr>
            <w:tcW w:w="864" w:type="pct"/>
            <w:textDirection w:val="btLr"/>
            <w:vAlign w:val="center"/>
            <w:hideMark/>
          </w:tcPr>
          <w:p w14:paraId="35753F58" w14:textId="58B928FE"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Ageing Well - School of Policy Studies - Queen</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University</w:t>
            </w:r>
          </w:p>
        </w:tc>
        <w:tc>
          <w:tcPr>
            <w:tcW w:w="193" w:type="pct"/>
            <w:textDirection w:val="btLr"/>
            <w:vAlign w:val="center"/>
            <w:hideMark/>
          </w:tcPr>
          <w:p w14:paraId="6E0BD4F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Don Drummond</w:t>
            </w:r>
          </w:p>
        </w:tc>
        <w:tc>
          <w:tcPr>
            <w:tcW w:w="240" w:type="pct"/>
            <w:textDirection w:val="btLr"/>
            <w:vAlign w:val="center"/>
            <w:hideMark/>
          </w:tcPr>
          <w:p w14:paraId="56F67BF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48FFC52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Not applicable (policy report)</w:t>
            </w:r>
          </w:p>
        </w:tc>
        <w:tc>
          <w:tcPr>
            <w:tcW w:w="192" w:type="pct"/>
            <w:textDirection w:val="btLr"/>
            <w:vAlign w:val="center"/>
            <w:hideMark/>
          </w:tcPr>
          <w:p w14:paraId="173BF32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 (Particularly Ontario)</w:t>
            </w:r>
          </w:p>
        </w:tc>
        <w:tc>
          <w:tcPr>
            <w:tcW w:w="481" w:type="pct"/>
            <w:textDirection w:val="btLr"/>
            <w:vAlign w:val="center"/>
            <w:hideMark/>
          </w:tcPr>
          <w:p w14:paraId="71EC655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Elderly Canadians, specifically those with dementia and frailty.</w:t>
            </w:r>
          </w:p>
        </w:tc>
        <w:tc>
          <w:tcPr>
            <w:tcW w:w="193" w:type="pct"/>
            <w:textDirection w:val="btLr"/>
            <w:vAlign w:val="center"/>
            <w:hideMark/>
          </w:tcPr>
          <w:p w14:paraId="14F91865"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Policy analysis and recommendations</w:t>
            </w:r>
          </w:p>
        </w:tc>
        <w:tc>
          <w:tcPr>
            <w:tcW w:w="240" w:type="pct"/>
            <w:textDirection w:val="btLr"/>
            <w:vAlign w:val="center"/>
            <w:hideMark/>
          </w:tcPr>
          <w:p w14:paraId="3329A75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Institution (Hospital, LTC, CCC)</w:t>
            </w:r>
          </w:p>
        </w:tc>
        <w:tc>
          <w:tcPr>
            <w:tcW w:w="193" w:type="pct"/>
            <w:textDirection w:val="btLr"/>
            <w:vAlign w:val="center"/>
            <w:hideMark/>
          </w:tcPr>
          <w:p w14:paraId="6005ADD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LTC/CCC/Home care</w:t>
            </w:r>
          </w:p>
        </w:tc>
        <w:tc>
          <w:tcPr>
            <w:tcW w:w="1155" w:type="pct"/>
            <w:textDirection w:val="btLr"/>
            <w:vAlign w:val="center"/>
            <w:hideMark/>
          </w:tcPr>
          <w:p w14:paraId="54EAE6E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Positive on going to LTC:  Dementia, frailty, falls, caregiver distress, medical instability, Assessment location (assessed in hospital than if assessed in a community setting), need assistance with ADL                              Positive on going to home care: Availability of home care services, community support, communal living arrangements, policy support for aging in place</w:t>
            </w:r>
          </w:p>
        </w:tc>
        <w:tc>
          <w:tcPr>
            <w:tcW w:w="1056" w:type="pct"/>
            <w:textDirection w:val="btLr"/>
            <w:vAlign w:val="center"/>
            <w:hideMark/>
          </w:tcPr>
          <w:p w14:paraId="52A8DE9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07B599C1" w14:textId="77777777" w:rsidTr="0002791C">
        <w:trPr>
          <w:cantSplit/>
          <w:trHeight w:val="3680"/>
        </w:trPr>
        <w:tc>
          <w:tcPr>
            <w:tcW w:w="864" w:type="pct"/>
            <w:textDirection w:val="btLr"/>
            <w:vAlign w:val="center"/>
            <w:hideMark/>
          </w:tcPr>
          <w:p w14:paraId="51ADF76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Evidence-based considerations around LTC</w:t>
            </w:r>
          </w:p>
        </w:tc>
        <w:tc>
          <w:tcPr>
            <w:tcW w:w="193" w:type="pct"/>
            <w:textDirection w:val="btLr"/>
            <w:vAlign w:val="center"/>
            <w:hideMark/>
          </w:tcPr>
          <w:p w14:paraId="19F80E5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McMaster University</w:t>
            </w:r>
          </w:p>
        </w:tc>
        <w:tc>
          <w:tcPr>
            <w:tcW w:w="240" w:type="pct"/>
            <w:textDirection w:val="btLr"/>
            <w:vAlign w:val="center"/>
            <w:hideMark/>
          </w:tcPr>
          <w:p w14:paraId="5C4B121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4702118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Not applicable</w:t>
            </w:r>
          </w:p>
        </w:tc>
        <w:tc>
          <w:tcPr>
            <w:tcW w:w="192" w:type="pct"/>
            <w:textDirection w:val="btLr"/>
            <w:vAlign w:val="center"/>
            <w:hideMark/>
          </w:tcPr>
          <w:p w14:paraId="3567A76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648E3D8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Seniors, particularly those considering transition to LTC facilities</w:t>
            </w:r>
          </w:p>
        </w:tc>
        <w:tc>
          <w:tcPr>
            <w:tcW w:w="193" w:type="pct"/>
            <w:textDirection w:val="btLr"/>
            <w:vAlign w:val="center"/>
            <w:hideMark/>
          </w:tcPr>
          <w:p w14:paraId="3FDB9B2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Review and synthesis of evidence-based practices</w:t>
            </w:r>
          </w:p>
        </w:tc>
        <w:tc>
          <w:tcPr>
            <w:tcW w:w="240" w:type="pct"/>
            <w:textDirection w:val="btLr"/>
            <w:vAlign w:val="center"/>
            <w:hideMark/>
          </w:tcPr>
          <w:p w14:paraId="66DC97C3" w14:textId="50F32532" w:rsidR="00FE007C" w:rsidRPr="00CE1629" w:rsidRDefault="001E1255"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37B6F73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01360D7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Serious functional and cognitive impairments (such as dementia), comorbidities, using several medications, having previously been hospitalized or temporarily placed in another care facility, caregiver stress, local healthcare system conditions, availability of LTC beds, and the standards determining how available beds are distributed</w:t>
            </w:r>
          </w:p>
        </w:tc>
        <w:tc>
          <w:tcPr>
            <w:tcW w:w="1056" w:type="pct"/>
            <w:textDirection w:val="btLr"/>
            <w:vAlign w:val="center"/>
            <w:hideMark/>
          </w:tcPr>
          <w:p w14:paraId="11AF289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689B0507" w14:textId="77777777" w:rsidTr="0002791C">
        <w:trPr>
          <w:cantSplit/>
          <w:trHeight w:val="4310"/>
        </w:trPr>
        <w:tc>
          <w:tcPr>
            <w:tcW w:w="864" w:type="pct"/>
            <w:textDirection w:val="btLr"/>
            <w:vAlign w:val="center"/>
            <w:hideMark/>
          </w:tcPr>
          <w:p w14:paraId="5CD83F1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future of LTC requires investment in both facility- and home-based services</w:t>
            </w:r>
          </w:p>
        </w:tc>
        <w:tc>
          <w:tcPr>
            <w:tcW w:w="193" w:type="pct"/>
            <w:textDirection w:val="btLr"/>
            <w:vAlign w:val="center"/>
            <w:hideMark/>
          </w:tcPr>
          <w:p w14:paraId="6EFA345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David C. Grabowski</w:t>
            </w:r>
          </w:p>
        </w:tc>
        <w:tc>
          <w:tcPr>
            <w:tcW w:w="240" w:type="pct"/>
            <w:textDirection w:val="btLr"/>
            <w:vAlign w:val="center"/>
            <w:hideMark/>
          </w:tcPr>
          <w:p w14:paraId="0FB7701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0B54AF2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Not explicitly mentioned.</w:t>
            </w:r>
          </w:p>
        </w:tc>
        <w:tc>
          <w:tcPr>
            <w:tcW w:w="192" w:type="pct"/>
            <w:textDirection w:val="btLr"/>
            <w:vAlign w:val="center"/>
            <w:hideMark/>
          </w:tcPr>
          <w:p w14:paraId="4ACF270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USA, with comparisons to other OECD countries  </w:t>
            </w:r>
          </w:p>
        </w:tc>
        <w:tc>
          <w:tcPr>
            <w:tcW w:w="481" w:type="pct"/>
            <w:textDirection w:val="btLr"/>
            <w:vAlign w:val="center"/>
            <w:hideMark/>
          </w:tcPr>
          <w:p w14:paraId="08183D0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Seniors requiring continuing care services, particularly those in LTC homes.</w:t>
            </w:r>
          </w:p>
        </w:tc>
        <w:tc>
          <w:tcPr>
            <w:tcW w:w="193" w:type="pct"/>
            <w:textDirection w:val="btLr"/>
            <w:vAlign w:val="center"/>
            <w:hideMark/>
          </w:tcPr>
          <w:p w14:paraId="24EA5CC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240" w:type="pct"/>
            <w:textDirection w:val="btLr"/>
            <w:vAlign w:val="center"/>
            <w:hideMark/>
          </w:tcPr>
          <w:p w14:paraId="4DF64EA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7D3543D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F79B9F8" w14:textId="12F26FD0"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preferences of the individual and their family members for home-based models, more government spending on home-based models and prioritizing it (The Dutch, Norwegian and Swedish systems of prioritizing HCBS is the better approach, but this approach is not cheap.)</w:t>
            </w:r>
          </w:p>
        </w:tc>
        <w:tc>
          <w:tcPr>
            <w:tcW w:w="1056" w:type="pct"/>
            <w:textDirection w:val="btLr"/>
            <w:vAlign w:val="center"/>
            <w:hideMark/>
          </w:tcPr>
          <w:p w14:paraId="7BE057F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specific health concerns like cognitive issues. lack a home to receive care in the community, isolation and loneliness in the community</w:t>
            </w:r>
          </w:p>
        </w:tc>
      </w:tr>
      <w:tr w:rsidR="00FE007C" w:rsidRPr="00CE1629" w14:paraId="225D5281" w14:textId="77777777" w:rsidTr="0002791C">
        <w:trPr>
          <w:cantSplit/>
          <w:trHeight w:val="3770"/>
        </w:trPr>
        <w:tc>
          <w:tcPr>
            <w:tcW w:w="864" w:type="pct"/>
            <w:textDirection w:val="btLr"/>
            <w:vAlign w:val="center"/>
            <w:hideMark/>
          </w:tcPr>
          <w:p w14:paraId="1E1CD235"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Gender Differences in Institutional LTC Transitions</w:t>
            </w:r>
          </w:p>
        </w:tc>
        <w:tc>
          <w:tcPr>
            <w:tcW w:w="193" w:type="pct"/>
            <w:textDirection w:val="btLr"/>
            <w:vAlign w:val="center"/>
            <w:hideMark/>
          </w:tcPr>
          <w:p w14:paraId="52B90DF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Stipica Mudrazija</w:t>
            </w:r>
          </w:p>
        </w:tc>
        <w:tc>
          <w:tcPr>
            <w:tcW w:w="240" w:type="pct"/>
            <w:textDirection w:val="btLr"/>
            <w:vAlign w:val="center"/>
            <w:hideMark/>
          </w:tcPr>
          <w:p w14:paraId="2059F7A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w:t>
            </w:r>
          </w:p>
        </w:tc>
        <w:tc>
          <w:tcPr>
            <w:tcW w:w="193" w:type="pct"/>
            <w:textDirection w:val="btLr"/>
            <w:vAlign w:val="center"/>
            <w:hideMark/>
          </w:tcPr>
          <w:p w14:paraId="367F891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2000-2010</w:t>
            </w:r>
          </w:p>
        </w:tc>
        <w:tc>
          <w:tcPr>
            <w:tcW w:w="192" w:type="pct"/>
            <w:textDirection w:val="btLr"/>
            <w:vAlign w:val="center"/>
            <w:hideMark/>
          </w:tcPr>
          <w:p w14:paraId="55BBA1C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A3B433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3,351 respondents aged 65 and older admitted to LTC (LTC) facilities</w:t>
            </w:r>
          </w:p>
        </w:tc>
        <w:tc>
          <w:tcPr>
            <w:tcW w:w="193" w:type="pct"/>
            <w:textDirection w:val="btLr"/>
            <w:vAlign w:val="center"/>
            <w:hideMark/>
          </w:tcPr>
          <w:p w14:paraId="6E8F481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09CE48E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49D024D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5121C17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Younger age, Higher use of rehabilitation services, Family ties (e.g., living children), Being female, staying less than one year, Hispanic origin (for men, short-term stay), Non-Hispanic Black identity (for women, short-term stay), Larger household size (men, short-term; women, long-term), Use of special facilities or services (women only)</w:t>
            </w:r>
            <w:r w:rsidRPr="00CE1629">
              <w:rPr>
                <w:rFonts w:eastAsia="Times New Roman"/>
                <w:i w:val="0"/>
                <w:color w:val="000000"/>
                <w:kern w:val="0"/>
                <w:sz w:val="16"/>
                <w:szCs w:val="16"/>
                <w:lang w:val="en-GB" w:eastAsia="en-GB"/>
                <w14:ligatures w14:val="none"/>
              </w:rPr>
              <w:br/>
              <w:t>Overnight hospital stays (women only), Low education (for women, long-term stay)</w:t>
            </w:r>
          </w:p>
        </w:tc>
        <w:tc>
          <w:tcPr>
            <w:tcW w:w="1056" w:type="pct"/>
            <w:textDirection w:val="btLr"/>
            <w:vAlign w:val="center"/>
            <w:hideMark/>
          </w:tcPr>
          <w:p w14:paraId="1707D40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being male, Cognitive issues,</w:t>
            </w:r>
            <w:r w:rsidRPr="00CE1629">
              <w:rPr>
                <w:rFonts w:eastAsia="Times New Roman"/>
                <w:i w:val="0"/>
                <w:color w:val="000000"/>
                <w:kern w:val="0"/>
                <w:sz w:val="16"/>
                <w:szCs w:val="16"/>
                <w:lang w:val="en-GB" w:eastAsia="en-GB"/>
                <w14:ligatures w14:val="none"/>
              </w:rPr>
              <w:br/>
              <w:t>Memory-related problems, including Alzheimers and dementia (more significant for men)</w:t>
            </w:r>
          </w:p>
        </w:tc>
      </w:tr>
      <w:tr w:rsidR="00FE007C" w:rsidRPr="00CE1629" w14:paraId="6112AD98" w14:textId="77777777" w:rsidTr="0002791C">
        <w:trPr>
          <w:cantSplit/>
          <w:trHeight w:val="3320"/>
        </w:trPr>
        <w:tc>
          <w:tcPr>
            <w:tcW w:w="864" w:type="pct"/>
            <w:textDirection w:val="btLr"/>
            <w:vAlign w:val="center"/>
            <w:hideMark/>
          </w:tcPr>
          <w:p w14:paraId="7132E96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Community discharge of nursing home residents: the role of facility characteristics</w:t>
            </w:r>
          </w:p>
        </w:tc>
        <w:tc>
          <w:tcPr>
            <w:tcW w:w="193" w:type="pct"/>
            <w:textDirection w:val="btLr"/>
            <w:vAlign w:val="center"/>
            <w:hideMark/>
          </w:tcPr>
          <w:p w14:paraId="49317D7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Amanda A. Holup</w:t>
            </w:r>
          </w:p>
        </w:tc>
        <w:tc>
          <w:tcPr>
            <w:tcW w:w="240" w:type="pct"/>
            <w:textDirection w:val="btLr"/>
            <w:vAlign w:val="center"/>
            <w:hideMark/>
          </w:tcPr>
          <w:p w14:paraId="0AA654A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3" w:type="pct"/>
            <w:textDirection w:val="btLr"/>
            <w:vAlign w:val="center"/>
            <w:hideMark/>
          </w:tcPr>
          <w:p w14:paraId="2A0A8D7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July 2007-June 2008</w:t>
            </w:r>
          </w:p>
        </w:tc>
        <w:tc>
          <w:tcPr>
            <w:tcW w:w="192" w:type="pct"/>
            <w:textDirection w:val="btLr"/>
            <w:vAlign w:val="center"/>
            <w:hideMark/>
          </w:tcPr>
          <w:p w14:paraId="71E2FA2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 (California and Florida)</w:t>
            </w:r>
          </w:p>
        </w:tc>
        <w:tc>
          <w:tcPr>
            <w:tcW w:w="481" w:type="pct"/>
            <w:textDirection w:val="btLr"/>
            <w:vAlign w:val="center"/>
            <w:hideMark/>
          </w:tcPr>
          <w:p w14:paraId="2BA3B32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residents in California (n = 1,127) and Florida (n=657)</w:t>
            </w:r>
          </w:p>
        </w:tc>
        <w:tc>
          <w:tcPr>
            <w:tcW w:w="193" w:type="pct"/>
            <w:textDirection w:val="btLr"/>
            <w:vAlign w:val="center"/>
            <w:hideMark/>
          </w:tcPr>
          <w:p w14:paraId="421C210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C2CD9A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6FA76F2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05610D6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Larger Facility size (number of beds), Higher occupancy rate, For-profit ownership (only long-stay residents), Higher proportion of residents admitted from acute care facilities (California), higher proportion of Medicare-funded residents (long-stay), facilities located in more densely populated markets (Florida long-stay population), markets with a greater NH concentration (Florida long-stay population)</w:t>
            </w:r>
          </w:p>
        </w:tc>
        <w:tc>
          <w:tcPr>
            <w:tcW w:w="1056" w:type="pct"/>
            <w:textDirection w:val="btLr"/>
            <w:vAlign w:val="center"/>
            <w:hideMark/>
          </w:tcPr>
          <w:p w14:paraId="774D070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Longer average length of stay, Higher proportion of Medicaid residents, Cognitive impairment ADL dependencies, Behavioural problems</w:t>
            </w:r>
          </w:p>
        </w:tc>
      </w:tr>
      <w:tr w:rsidR="00FE007C" w:rsidRPr="00CE1629" w14:paraId="28CF4F9B" w14:textId="77777777" w:rsidTr="0002791C">
        <w:trPr>
          <w:cantSplit/>
          <w:trHeight w:val="3320"/>
        </w:trPr>
        <w:tc>
          <w:tcPr>
            <w:tcW w:w="864" w:type="pct"/>
            <w:textDirection w:val="btLr"/>
            <w:vAlign w:val="center"/>
            <w:hideMark/>
          </w:tcPr>
          <w:p w14:paraId="249A805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Shall I Stay or Shall I Go? The Choice to Remain in the Nursing Home Among Residents with High Potential for Discharge</w:t>
            </w:r>
          </w:p>
        </w:tc>
        <w:tc>
          <w:tcPr>
            <w:tcW w:w="193" w:type="pct"/>
            <w:textDirection w:val="btLr"/>
            <w:vAlign w:val="center"/>
            <w:hideMark/>
          </w:tcPr>
          <w:p w14:paraId="563AD84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Kathleen Abrahamson</w:t>
            </w:r>
          </w:p>
        </w:tc>
        <w:tc>
          <w:tcPr>
            <w:tcW w:w="240" w:type="pct"/>
            <w:textDirection w:val="btLr"/>
            <w:vAlign w:val="center"/>
            <w:hideMark/>
          </w:tcPr>
          <w:p w14:paraId="2A87347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1FF4A6E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July 2015 to June 2016</w:t>
            </w:r>
          </w:p>
        </w:tc>
        <w:tc>
          <w:tcPr>
            <w:tcW w:w="192" w:type="pct"/>
            <w:textDirection w:val="btLr"/>
            <w:vAlign w:val="center"/>
            <w:hideMark/>
          </w:tcPr>
          <w:p w14:paraId="07B4A8F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38C1ED0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Private paying residents admitted to Minnesota nursing facilities who expressed a desire for discharge, but chose to stay in the facility</w:t>
            </w:r>
          </w:p>
        </w:tc>
        <w:tc>
          <w:tcPr>
            <w:tcW w:w="193" w:type="pct"/>
            <w:textDirection w:val="btLr"/>
            <w:vAlign w:val="center"/>
            <w:hideMark/>
          </w:tcPr>
          <w:p w14:paraId="02AF30B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5EB8F2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08E096E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B0904F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140F44CE" w14:textId="40DB2132"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Moderate to severe Cognitive impairment, unmarried status, Behavioural problems, Diagnosis of dementia or Alzheimer</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Dependency in ADL</w:t>
            </w:r>
          </w:p>
        </w:tc>
      </w:tr>
      <w:tr w:rsidR="00FE007C" w:rsidRPr="00CE1629" w14:paraId="17E0E05E" w14:textId="77777777" w:rsidTr="0002791C">
        <w:trPr>
          <w:cantSplit/>
          <w:trHeight w:val="1520"/>
        </w:trPr>
        <w:tc>
          <w:tcPr>
            <w:tcW w:w="864" w:type="pct"/>
            <w:textDirection w:val="btLr"/>
            <w:vAlign w:val="center"/>
            <w:hideMark/>
          </w:tcPr>
          <w:p w14:paraId="342DACB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Sizing Up the Challenge.</w:t>
            </w:r>
            <w:r w:rsidRPr="00CE1629">
              <w:rPr>
                <w:rFonts w:eastAsia="Times New Roman"/>
                <w:i w:val="0"/>
                <w:color w:val="000000"/>
                <w:kern w:val="0"/>
                <w:sz w:val="16"/>
                <w:szCs w:val="16"/>
                <w:lang w:val="en-GB" w:eastAsia="en-GB"/>
                <w14:ligatures w14:val="none"/>
              </w:rPr>
              <w:br/>
              <w:t>Meeting the Demand for LTC in Canada</w:t>
            </w:r>
          </w:p>
        </w:tc>
        <w:tc>
          <w:tcPr>
            <w:tcW w:w="193" w:type="pct"/>
            <w:textDirection w:val="btLr"/>
            <w:vAlign w:val="center"/>
            <w:hideMark/>
          </w:tcPr>
          <w:p w14:paraId="57471C2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Robyn Gibbard</w:t>
            </w:r>
          </w:p>
        </w:tc>
        <w:tc>
          <w:tcPr>
            <w:tcW w:w="240" w:type="pct"/>
            <w:textDirection w:val="btLr"/>
            <w:vAlign w:val="center"/>
            <w:hideMark/>
          </w:tcPr>
          <w:p w14:paraId="5E0EF44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7EBF37C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2015 to 2016 </w:t>
            </w:r>
          </w:p>
        </w:tc>
        <w:tc>
          <w:tcPr>
            <w:tcW w:w="192" w:type="pct"/>
            <w:textDirection w:val="btLr"/>
            <w:vAlign w:val="center"/>
            <w:hideMark/>
          </w:tcPr>
          <w:p w14:paraId="08CB357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76CEF95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Seniors (particularly those aged 75 and up) requiring LTC</w:t>
            </w:r>
          </w:p>
        </w:tc>
        <w:tc>
          <w:tcPr>
            <w:tcW w:w="193" w:type="pct"/>
            <w:textDirection w:val="btLr"/>
            <w:vAlign w:val="center"/>
            <w:hideMark/>
          </w:tcPr>
          <w:p w14:paraId="7D41242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240" w:type="pct"/>
            <w:textDirection w:val="btLr"/>
            <w:vAlign w:val="center"/>
            <w:hideMark/>
          </w:tcPr>
          <w:p w14:paraId="47159F9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239894E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2211" w:type="pct"/>
            <w:gridSpan w:val="2"/>
            <w:textDirection w:val="btLr"/>
            <w:vAlign w:val="center"/>
            <w:hideMark/>
          </w:tcPr>
          <w:p w14:paraId="2F9590C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the presence of acute conditions, the availability of LTC beds, the cost of care in different settings (hospitals vs. LTC homes), waitlist status</w:t>
            </w:r>
          </w:p>
        </w:tc>
      </w:tr>
      <w:tr w:rsidR="00FE007C" w:rsidRPr="00CE1629" w14:paraId="0E31C05A" w14:textId="77777777" w:rsidTr="0002791C">
        <w:trPr>
          <w:cantSplit/>
          <w:trHeight w:val="1871"/>
        </w:trPr>
        <w:tc>
          <w:tcPr>
            <w:tcW w:w="864" w:type="pct"/>
            <w:textDirection w:val="btLr"/>
            <w:vAlign w:val="center"/>
            <w:hideMark/>
          </w:tcPr>
          <w:p w14:paraId="290C2C1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Frailty in an Older Inpatient Population: Using the Clinical Frailty Scale to Predict Patient Outcomes</w:t>
            </w:r>
          </w:p>
        </w:tc>
        <w:tc>
          <w:tcPr>
            <w:tcW w:w="193" w:type="pct"/>
            <w:textDirection w:val="btLr"/>
            <w:vAlign w:val="center"/>
            <w:hideMark/>
          </w:tcPr>
          <w:p w14:paraId="53048C8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David Basic</w:t>
            </w:r>
          </w:p>
        </w:tc>
        <w:tc>
          <w:tcPr>
            <w:tcW w:w="240" w:type="pct"/>
            <w:textDirection w:val="btLr"/>
            <w:vAlign w:val="center"/>
            <w:hideMark/>
          </w:tcPr>
          <w:p w14:paraId="709001E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w:t>
            </w:r>
          </w:p>
        </w:tc>
        <w:tc>
          <w:tcPr>
            <w:tcW w:w="193" w:type="pct"/>
            <w:textDirection w:val="btLr"/>
            <w:vAlign w:val="center"/>
            <w:hideMark/>
          </w:tcPr>
          <w:p w14:paraId="5FA5626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2010 to 2014</w:t>
            </w:r>
          </w:p>
        </w:tc>
        <w:tc>
          <w:tcPr>
            <w:tcW w:w="192" w:type="pct"/>
            <w:textDirection w:val="btLr"/>
            <w:vAlign w:val="center"/>
            <w:hideMark/>
          </w:tcPr>
          <w:p w14:paraId="66BD6D9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w:t>
            </w:r>
          </w:p>
        </w:tc>
        <w:tc>
          <w:tcPr>
            <w:tcW w:w="481" w:type="pct"/>
            <w:textDirection w:val="btLr"/>
            <w:vAlign w:val="center"/>
            <w:hideMark/>
          </w:tcPr>
          <w:p w14:paraId="0C217DE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admitted under the care of eight geriatricians.</w:t>
            </w:r>
          </w:p>
        </w:tc>
        <w:tc>
          <w:tcPr>
            <w:tcW w:w="193" w:type="pct"/>
            <w:textDirection w:val="btLr"/>
            <w:vAlign w:val="center"/>
            <w:hideMark/>
          </w:tcPr>
          <w:p w14:paraId="7BE847D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919923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050A68E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7B67062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Frailty (CSHA-CFS), urine retention, deconditioning, dementia, comorbidities</w:t>
            </w:r>
          </w:p>
        </w:tc>
        <w:tc>
          <w:tcPr>
            <w:tcW w:w="1056" w:type="pct"/>
            <w:textDirection w:val="btLr"/>
            <w:vAlign w:val="center"/>
            <w:hideMark/>
          </w:tcPr>
          <w:p w14:paraId="3A634A9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3F330237" w14:textId="77777777" w:rsidTr="0002791C">
        <w:trPr>
          <w:cantSplit/>
          <w:trHeight w:val="3100"/>
        </w:trPr>
        <w:tc>
          <w:tcPr>
            <w:tcW w:w="864" w:type="pct"/>
            <w:textDirection w:val="btLr"/>
            <w:vAlign w:val="center"/>
            <w:hideMark/>
          </w:tcPr>
          <w:p w14:paraId="25ACFE5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Clinical predictors of protracted length of stay in Ontario CCC hospitals</w:t>
            </w:r>
          </w:p>
        </w:tc>
        <w:tc>
          <w:tcPr>
            <w:tcW w:w="193" w:type="pct"/>
            <w:textDirection w:val="btLr"/>
            <w:vAlign w:val="center"/>
            <w:hideMark/>
          </w:tcPr>
          <w:p w14:paraId="78A5E13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Luke A. Turcotte</w:t>
            </w:r>
          </w:p>
        </w:tc>
        <w:tc>
          <w:tcPr>
            <w:tcW w:w="240" w:type="pct"/>
            <w:textDirection w:val="btLr"/>
            <w:vAlign w:val="center"/>
            <w:hideMark/>
          </w:tcPr>
          <w:p w14:paraId="0EBDC8C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21CB82E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March 31, 2001, to March 31, 2013</w:t>
            </w:r>
          </w:p>
        </w:tc>
        <w:tc>
          <w:tcPr>
            <w:tcW w:w="192" w:type="pct"/>
            <w:textDirection w:val="btLr"/>
            <w:vAlign w:val="center"/>
            <w:hideMark/>
          </w:tcPr>
          <w:p w14:paraId="176AD71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78CAD6D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admitted to CCC hospitals in Ontario, with a sample size of 91,113 episodes of care.</w:t>
            </w:r>
          </w:p>
        </w:tc>
        <w:tc>
          <w:tcPr>
            <w:tcW w:w="193" w:type="pct"/>
            <w:textDirection w:val="btLr"/>
            <w:vAlign w:val="center"/>
            <w:hideMark/>
          </w:tcPr>
          <w:p w14:paraId="18A0BA25"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911CE3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6B211DB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07D305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female sex, older age, higher levels of medical instability, increasing number of recent hospitals stays and emergency department visits, cancer diagnosis, pneumonia, unsteady gait, patients that desired to return to the community, and having a support person who was positive towards discharge.</w:t>
            </w:r>
          </w:p>
        </w:tc>
        <w:tc>
          <w:tcPr>
            <w:tcW w:w="1056" w:type="pct"/>
            <w:textDirection w:val="btLr"/>
            <w:vAlign w:val="center"/>
            <w:hideMark/>
          </w:tcPr>
          <w:p w14:paraId="0DB3A0F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increasing levels of functional impairment, cognitive impairment, pressure ulcer risk, hemiplegia, traumatic brain injury, aphasia, antibiotic resistant infection, HIV infection, feeding tube, dialysis, psychological therapy, tracheostomy, ventilator, respirator</w:t>
            </w:r>
          </w:p>
        </w:tc>
      </w:tr>
      <w:tr w:rsidR="00FE007C" w:rsidRPr="00CE1629" w14:paraId="282673CE" w14:textId="77777777" w:rsidTr="0002791C">
        <w:trPr>
          <w:cantSplit/>
          <w:trHeight w:val="1754"/>
        </w:trPr>
        <w:tc>
          <w:tcPr>
            <w:tcW w:w="864" w:type="pct"/>
            <w:textDirection w:val="btLr"/>
            <w:vAlign w:val="center"/>
            <w:hideMark/>
          </w:tcPr>
          <w:p w14:paraId="22E8D3B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Factors Associated With Discharge Destination in Community-Dwelling Adults Admitted to Acute General Medical Units</w:t>
            </w:r>
          </w:p>
        </w:tc>
        <w:tc>
          <w:tcPr>
            <w:tcW w:w="193" w:type="pct"/>
            <w:textDirection w:val="btLr"/>
            <w:vAlign w:val="center"/>
            <w:hideMark/>
          </w:tcPr>
          <w:p w14:paraId="590E13B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Aruska N. D’Souza</w:t>
            </w:r>
          </w:p>
        </w:tc>
        <w:tc>
          <w:tcPr>
            <w:tcW w:w="240" w:type="pct"/>
            <w:textDirection w:val="btLr"/>
            <w:vAlign w:val="center"/>
            <w:hideMark/>
          </w:tcPr>
          <w:p w14:paraId="0C17AC0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032F39C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July 2016 to August 2017</w:t>
            </w:r>
          </w:p>
        </w:tc>
        <w:tc>
          <w:tcPr>
            <w:tcW w:w="192" w:type="pct"/>
            <w:textDirection w:val="btLr"/>
            <w:vAlign w:val="center"/>
            <w:hideMark/>
          </w:tcPr>
          <w:p w14:paraId="45C8215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w:t>
            </w:r>
          </w:p>
        </w:tc>
        <w:tc>
          <w:tcPr>
            <w:tcW w:w="481" w:type="pct"/>
            <w:textDirection w:val="btLr"/>
            <w:vAlign w:val="center"/>
            <w:hideMark/>
          </w:tcPr>
          <w:p w14:paraId="29B4F515"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Inpatients admitted to the general medical unit of a tertiary hospital and referred to physical therapy</w:t>
            </w:r>
          </w:p>
        </w:tc>
        <w:tc>
          <w:tcPr>
            <w:tcW w:w="193" w:type="pct"/>
            <w:textDirection w:val="btLr"/>
            <w:vAlign w:val="center"/>
            <w:hideMark/>
          </w:tcPr>
          <w:p w14:paraId="1E2B009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2C38D0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530556E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0EE29E6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functional scores, higher mobility scores, higher cognitive scores, shorter length of stay, lower incidence of falls in the past 6 months</w:t>
            </w:r>
          </w:p>
        </w:tc>
        <w:tc>
          <w:tcPr>
            <w:tcW w:w="1056" w:type="pct"/>
            <w:textDirection w:val="btLr"/>
            <w:vAlign w:val="center"/>
            <w:hideMark/>
          </w:tcPr>
          <w:p w14:paraId="26E4874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p>
        </w:tc>
      </w:tr>
      <w:tr w:rsidR="00FE007C" w:rsidRPr="00CE1629" w14:paraId="6BD2402F" w14:textId="77777777" w:rsidTr="0002791C">
        <w:trPr>
          <w:cantSplit/>
          <w:trHeight w:val="2480"/>
        </w:trPr>
        <w:tc>
          <w:tcPr>
            <w:tcW w:w="864" w:type="pct"/>
            <w:textDirection w:val="btLr"/>
            <w:vAlign w:val="center"/>
            <w:hideMark/>
          </w:tcPr>
          <w:p w14:paraId="6635647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Challenges to community transitions through Money Follows the Person</w:t>
            </w:r>
          </w:p>
        </w:tc>
        <w:tc>
          <w:tcPr>
            <w:tcW w:w="193" w:type="pct"/>
            <w:textDirection w:val="btLr"/>
            <w:vAlign w:val="center"/>
            <w:hideMark/>
          </w:tcPr>
          <w:p w14:paraId="295C707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Julie Robison</w:t>
            </w:r>
          </w:p>
        </w:tc>
        <w:tc>
          <w:tcPr>
            <w:tcW w:w="240" w:type="pct"/>
            <w:textDirection w:val="btLr"/>
            <w:vAlign w:val="center"/>
            <w:hideMark/>
          </w:tcPr>
          <w:p w14:paraId="5A535E65"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4B59286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December 2008 to December 2017</w:t>
            </w:r>
          </w:p>
        </w:tc>
        <w:tc>
          <w:tcPr>
            <w:tcW w:w="192" w:type="pct"/>
            <w:textDirection w:val="btLr"/>
            <w:vAlign w:val="center"/>
            <w:hideMark/>
          </w:tcPr>
          <w:p w14:paraId="366EC2F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523B5520" w14:textId="4A0D2BF9"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Individuals enrolled in Connecticut</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MFP program, including older adults, people with mental health disabilities, and people with physical disabilities.</w:t>
            </w:r>
          </w:p>
        </w:tc>
        <w:tc>
          <w:tcPr>
            <w:tcW w:w="193" w:type="pct"/>
            <w:textDirection w:val="btLr"/>
            <w:vAlign w:val="center"/>
            <w:hideMark/>
          </w:tcPr>
          <w:p w14:paraId="493D981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AFFD68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23D52F9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4490739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non-white and Hispanic race, facility-related or services/supports challenges</w:t>
            </w:r>
          </w:p>
        </w:tc>
        <w:tc>
          <w:tcPr>
            <w:tcW w:w="1056" w:type="pct"/>
            <w:textDirection w:val="btLr"/>
            <w:vAlign w:val="center"/>
            <w:hideMark/>
          </w:tcPr>
          <w:p w14:paraId="74AEAA9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age, longer length of stay, Consumer engagement challenges, housing challenges, issues with family members or unpaid caregivers, mental health disability, physical health challenges, cognitive issues, dementia,</w:t>
            </w:r>
          </w:p>
        </w:tc>
      </w:tr>
      <w:tr w:rsidR="00FE007C" w:rsidRPr="00CE1629" w14:paraId="12B9AA0C" w14:textId="77777777" w:rsidTr="0002791C">
        <w:trPr>
          <w:cantSplit/>
          <w:trHeight w:val="2170"/>
        </w:trPr>
        <w:tc>
          <w:tcPr>
            <w:tcW w:w="864" w:type="pct"/>
            <w:textDirection w:val="btLr"/>
            <w:vAlign w:val="center"/>
            <w:hideMark/>
          </w:tcPr>
          <w:p w14:paraId="7BF53E3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Experiences of Informal Caregivers of Older Adults</w:t>
            </w:r>
            <w:r w:rsidRPr="00CE1629">
              <w:rPr>
                <w:rFonts w:eastAsia="Times New Roman"/>
                <w:i w:val="0"/>
                <w:color w:val="000000"/>
                <w:kern w:val="0"/>
                <w:sz w:val="16"/>
                <w:szCs w:val="16"/>
                <w:lang w:val="en-GB" w:eastAsia="en-GB"/>
                <w14:ligatures w14:val="none"/>
              </w:rPr>
              <w:br/>
              <w:t>Transitioned From Nursing Homes to the Community</w:t>
            </w:r>
            <w:r w:rsidRPr="00CE1629">
              <w:rPr>
                <w:rFonts w:eastAsia="Times New Roman"/>
                <w:i w:val="0"/>
                <w:color w:val="000000"/>
                <w:kern w:val="0"/>
                <w:sz w:val="16"/>
                <w:szCs w:val="16"/>
                <w:lang w:val="en-GB" w:eastAsia="en-GB"/>
                <w14:ligatures w14:val="none"/>
              </w:rPr>
              <w:br/>
              <w:t>Through the Money Follows the Person Demonstration</w:t>
            </w:r>
          </w:p>
        </w:tc>
        <w:tc>
          <w:tcPr>
            <w:tcW w:w="193" w:type="pct"/>
            <w:textDirection w:val="btLr"/>
            <w:vAlign w:val="center"/>
            <w:hideMark/>
          </w:tcPr>
          <w:p w14:paraId="0A618B0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Lorand Kristof</w:t>
            </w:r>
          </w:p>
        </w:tc>
        <w:tc>
          <w:tcPr>
            <w:tcW w:w="240" w:type="pct"/>
            <w:textDirection w:val="btLr"/>
            <w:vAlign w:val="center"/>
            <w:hideMark/>
          </w:tcPr>
          <w:p w14:paraId="5B1FF99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74B6F27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September 2011 to November 2013</w:t>
            </w:r>
          </w:p>
        </w:tc>
        <w:tc>
          <w:tcPr>
            <w:tcW w:w="192" w:type="pct"/>
            <w:textDirection w:val="btLr"/>
            <w:vAlign w:val="center"/>
            <w:hideMark/>
          </w:tcPr>
          <w:p w14:paraId="2980AC8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486877A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Informal caregivers of older adults who transitioned to the community living through the Connecticut Money Follows the Person (MFP) after prolonged nursing home stays</w:t>
            </w:r>
          </w:p>
        </w:tc>
        <w:tc>
          <w:tcPr>
            <w:tcW w:w="193" w:type="pct"/>
            <w:textDirection w:val="btLr"/>
            <w:vAlign w:val="center"/>
            <w:hideMark/>
          </w:tcPr>
          <w:p w14:paraId="6AC3717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Mixed methods</w:t>
            </w:r>
          </w:p>
        </w:tc>
        <w:tc>
          <w:tcPr>
            <w:tcW w:w="240" w:type="pct"/>
            <w:textDirection w:val="btLr"/>
            <w:vAlign w:val="center"/>
            <w:hideMark/>
          </w:tcPr>
          <w:p w14:paraId="66E4278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59CE908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648BADB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Caregiver satisfaction with services, person-centred care plans.</w:t>
            </w:r>
          </w:p>
        </w:tc>
        <w:tc>
          <w:tcPr>
            <w:tcW w:w="1056" w:type="pct"/>
            <w:textDirection w:val="btLr"/>
            <w:vAlign w:val="center"/>
            <w:hideMark/>
          </w:tcPr>
          <w:p w14:paraId="5D940611"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 Unmet service needs, High degree of assistance needed with Activities of Daily Living (ADLs) and Instrumental Activities of Daily Living (IADLs), high caregiver burden. Depressive symptoms</w:t>
            </w:r>
          </w:p>
        </w:tc>
      </w:tr>
      <w:tr w:rsidR="00FE007C" w:rsidRPr="00CE1629" w14:paraId="527FFF4B" w14:textId="77777777" w:rsidTr="0002791C">
        <w:trPr>
          <w:cantSplit/>
          <w:trHeight w:val="2402"/>
        </w:trPr>
        <w:tc>
          <w:tcPr>
            <w:tcW w:w="864" w:type="pct"/>
            <w:textDirection w:val="btLr"/>
            <w:vAlign w:val="center"/>
            <w:hideMark/>
          </w:tcPr>
          <w:p w14:paraId="77BD491A"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Risk factors associated with residential aged care, respite and transitional aged care admission for older people following an injury-related hospitalisation</w:t>
            </w:r>
          </w:p>
        </w:tc>
        <w:tc>
          <w:tcPr>
            <w:tcW w:w="193" w:type="pct"/>
            <w:textDirection w:val="btLr"/>
            <w:vAlign w:val="center"/>
            <w:hideMark/>
          </w:tcPr>
          <w:p w14:paraId="33AA53D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Rebecca Mitchell</w:t>
            </w:r>
          </w:p>
        </w:tc>
        <w:tc>
          <w:tcPr>
            <w:tcW w:w="240" w:type="pct"/>
            <w:textDirection w:val="btLr"/>
            <w:vAlign w:val="center"/>
            <w:hideMark/>
          </w:tcPr>
          <w:p w14:paraId="28605B5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139DF85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July 1, 2008 to June 30, 2013</w:t>
            </w:r>
          </w:p>
        </w:tc>
        <w:tc>
          <w:tcPr>
            <w:tcW w:w="192" w:type="pct"/>
            <w:textDirection w:val="btLr"/>
            <w:vAlign w:val="center"/>
            <w:hideMark/>
          </w:tcPr>
          <w:p w14:paraId="2E4C2D1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w:t>
            </w:r>
          </w:p>
        </w:tc>
        <w:tc>
          <w:tcPr>
            <w:tcW w:w="481" w:type="pct"/>
            <w:textDirection w:val="btLr"/>
            <w:vAlign w:val="center"/>
            <w:hideMark/>
          </w:tcPr>
          <w:p w14:paraId="3B6ABA4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Individuals aged ≥65 years who had an injury hospitalisation in New South Wales, Australia.</w:t>
            </w:r>
          </w:p>
        </w:tc>
        <w:tc>
          <w:tcPr>
            <w:tcW w:w="193" w:type="pct"/>
            <w:textDirection w:val="btLr"/>
            <w:vAlign w:val="center"/>
            <w:hideMark/>
          </w:tcPr>
          <w:p w14:paraId="0877FC8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E1E666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6F4B8E8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40A8B148"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age, female, not married, had more than one comorbidity, dementia,  hospitalised following a fall,  injuries to the hip and thigh, Age-adjusted mean</w:t>
            </w:r>
            <w:r w:rsidRPr="00CE1629">
              <w:rPr>
                <w:rFonts w:eastAsia="Times New Roman"/>
                <w:i w:val="0"/>
                <w:color w:val="000000"/>
                <w:kern w:val="0"/>
                <w:sz w:val="16"/>
                <w:szCs w:val="16"/>
                <w:lang w:val="en-GB" w:eastAsia="en-GB"/>
                <w14:ligatures w14:val="none"/>
              </w:rPr>
              <w:br/>
              <w:t>hospital LOS</w:t>
            </w:r>
          </w:p>
        </w:tc>
        <w:tc>
          <w:tcPr>
            <w:tcW w:w="1056" w:type="pct"/>
            <w:textDirection w:val="btLr"/>
            <w:vAlign w:val="center"/>
            <w:hideMark/>
          </w:tcPr>
          <w:p w14:paraId="22A5ECF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FE007C" w:rsidRPr="00CE1629" w14:paraId="0C321629" w14:textId="77777777" w:rsidTr="0002791C">
        <w:trPr>
          <w:cantSplit/>
          <w:trHeight w:val="1860"/>
        </w:trPr>
        <w:tc>
          <w:tcPr>
            <w:tcW w:w="864" w:type="pct"/>
            <w:textDirection w:val="btLr"/>
            <w:vAlign w:val="center"/>
            <w:hideMark/>
          </w:tcPr>
          <w:p w14:paraId="1371B1F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Association of Functional and Cognitive Impairment Severity with Discharge to LTC Facilities in Older Patients Admitted to a General Acute Care Hospital from Home</w:t>
            </w:r>
          </w:p>
        </w:tc>
        <w:tc>
          <w:tcPr>
            <w:tcW w:w="193" w:type="pct"/>
            <w:textDirection w:val="btLr"/>
            <w:vAlign w:val="center"/>
            <w:hideMark/>
          </w:tcPr>
          <w:p w14:paraId="0BC63DA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Seigo Mitsutake</w:t>
            </w:r>
          </w:p>
        </w:tc>
        <w:tc>
          <w:tcPr>
            <w:tcW w:w="240" w:type="pct"/>
            <w:textDirection w:val="btLr"/>
            <w:vAlign w:val="center"/>
            <w:hideMark/>
          </w:tcPr>
          <w:p w14:paraId="4F3739F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14B7382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July 2016 to December 2018</w:t>
            </w:r>
          </w:p>
        </w:tc>
        <w:tc>
          <w:tcPr>
            <w:tcW w:w="192" w:type="pct"/>
            <w:textDirection w:val="btLr"/>
            <w:vAlign w:val="center"/>
            <w:hideMark/>
          </w:tcPr>
          <w:p w14:paraId="53F138C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681D297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aged ≥65 years discharged from a general acute care hospital in Japan, with a sample size of 9,060.</w:t>
            </w:r>
          </w:p>
        </w:tc>
        <w:tc>
          <w:tcPr>
            <w:tcW w:w="193" w:type="pct"/>
            <w:textDirection w:val="btLr"/>
            <w:vAlign w:val="center"/>
            <w:hideMark/>
          </w:tcPr>
          <w:p w14:paraId="41CD03B6"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114478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32086A1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07DAFE27"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Moderate to severe dementia and/or BADL impairment (Category III on DASC-8), Higher age (≥85 years)</w:t>
            </w:r>
            <w:r w:rsidRPr="00CE1629">
              <w:rPr>
                <w:rFonts w:eastAsia="Times New Roman"/>
                <w:i w:val="0"/>
                <w:color w:val="000000"/>
                <w:kern w:val="0"/>
                <w:sz w:val="16"/>
                <w:szCs w:val="16"/>
                <w:lang w:val="en-GB" w:eastAsia="en-GB"/>
                <w14:ligatures w14:val="none"/>
              </w:rPr>
              <w:br/>
              <w:t>High frailty risk (HFRS ≥5)</w:t>
            </w:r>
          </w:p>
        </w:tc>
        <w:tc>
          <w:tcPr>
            <w:tcW w:w="1056" w:type="pct"/>
            <w:textDirection w:val="btLr"/>
            <w:vAlign w:val="center"/>
            <w:hideMark/>
          </w:tcPr>
          <w:p w14:paraId="7754D310"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BI scores (Higher functional independence)</w:t>
            </w:r>
          </w:p>
        </w:tc>
      </w:tr>
      <w:tr w:rsidR="00FE007C" w:rsidRPr="00CE1629" w14:paraId="7F5229D4" w14:textId="77777777" w:rsidTr="0002791C">
        <w:trPr>
          <w:cantSplit/>
          <w:trHeight w:val="1808"/>
        </w:trPr>
        <w:tc>
          <w:tcPr>
            <w:tcW w:w="864" w:type="pct"/>
            <w:textDirection w:val="btLr"/>
            <w:vAlign w:val="center"/>
            <w:hideMark/>
          </w:tcPr>
          <w:p w14:paraId="7888D46B"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myriad of factors influencing the implementation of transitional care innovations: a scoping review</w:t>
            </w:r>
          </w:p>
        </w:tc>
        <w:tc>
          <w:tcPr>
            <w:tcW w:w="193" w:type="pct"/>
            <w:textDirection w:val="btLr"/>
            <w:vAlign w:val="center"/>
            <w:hideMark/>
          </w:tcPr>
          <w:p w14:paraId="344A0F8C"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Amal Fakha</w:t>
            </w:r>
          </w:p>
        </w:tc>
        <w:tc>
          <w:tcPr>
            <w:tcW w:w="240" w:type="pct"/>
            <w:textDirection w:val="btLr"/>
            <w:vAlign w:val="center"/>
            <w:hideMark/>
          </w:tcPr>
          <w:p w14:paraId="18433F4F"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66E07E2E"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2000 to 2020</w:t>
            </w:r>
          </w:p>
        </w:tc>
        <w:tc>
          <w:tcPr>
            <w:tcW w:w="192" w:type="pct"/>
            <w:textDirection w:val="btLr"/>
            <w:vAlign w:val="center"/>
            <w:hideMark/>
          </w:tcPr>
          <w:p w14:paraId="4D55ABA9"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International </w:t>
            </w:r>
          </w:p>
        </w:tc>
        <w:tc>
          <w:tcPr>
            <w:tcW w:w="481" w:type="pct"/>
            <w:textDirection w:val="btLr"/>
            <w:vAlign w:val="center"/>
            <w:hideMark/>
          </w:tcPr>
          <w:p w14:paraId="6AA7636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persons (aged 65 years and above) and healthcare professionals involved in transitional care.</w:t>
            </w:r>
          </w:p>
        </w:tc>
        <w:tc>
          <w:tcPr>
            <w:tcW w:w="193" w:type="pct"/>
            <w:textDirection w:val="btLr"/>
            <w:vAlign w:val="center"/>
            <w:hideMark/>
          </w:tcPr>
          <w:p w14:paraId="329CA382"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3E398433"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3F91676D"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4839A4B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High-perceived advantage of the innovation, encouraging transition roles, continuous monitoring</w:t>
            </w:r>
          </w:p>
        </w:tc>
        <w:tc>
          <w:tcPr>
            <w:tcW w:w="1056" w:type="pct"/>
            <w:textDirection w:val="btLr"/>
            <w:vAlign w:val="center"/>
            <w:hideMark/>
          </w:tcPr>
          <w:p w14:paraId="66705AA4" w14:textId="77777777" w:rsidR="00FE007C" w:rsidRPr="00CE1629" w:rsidRDefault="00FE007C" w:rsidP="000D0F31">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Low organizational readiness, poor implementation climate, targeting the wrong population group, skilled users with restricted knowledge and mixed attitudes about the innovation</w:t>
            </w:r>
          </w:p>
        </w:tc>
      </w:tr>
      <w:tr w:rsidR="00E407BF" w:rsidRPr="00CE1629" w14:paraId="3630A62A" w14:textId="77777777" w:rsidTr="0002791C">
        <w:trPr>
          <w:cantSplit/>
          <w:trHeight w:val="1880"/>
        </w:trPr>
        <w:tc>
          <w:tcPr>
            <w:tcW w:w="864" w:type="pct"/>
            <w:textDirection w:val="btLr"/>
            <w:vAlign w:val="center"/>
            <w:hideMark/>
          </w:tcPr>
          <w:p w14:paraId="0E1BAB9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Do financial aspects affect care transitions in LTC systems? A systematic review</w:t>
            </w:r>
          </w:p>
        </w:tc>
        <w:tc>
          <w:tcPr>
            <w:tcW w:w="193" w:type="pct"/>
            <w:textDirection w:val="btLr"/>
            <w:vAlign w:val="center"/>
            <w:hideMark/>
          </w:tcPr>
          <w:p w14:paraId="5691B5C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Estera Wieczorek</w:t>
            </w:r>
          </w:p>
        </w:tc>
        <w:tc>
          <w:tcPr>
            <w:tcW w:w="240" w:type="pct"/>
            <w:textDirection w:val="btLr"/>
            <w:vAlign w:val="center"/>
            <w:hideMark/>
          </w:tcPr>
          <w:p w14:paraId="2EF6DC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4F7F5C3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2005 to 2020</w:t>
            </w:r>
          </w:p>
        </w:tc>
        <w:tc>
          <w:tcPr>
            <w:tcW w:w="192" w:type="pct"/>
            <w:textDirection w:val="btLr"/>
            <w:vAlign w:val="center"/>
            <w:hideMark/>
          </w:tcPr>
          <w:p w14:paraId="6402434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International </w:t>
            </w:r>
          </w:p>
        </w:tc>
        <w:tc>
          <w:tcPr>
            <w:tcW w:w="481" w:type="pct"/>
            <w:textDirection w:val="btLr"/>
            <w:vAlign w:val="center"/>
            <w:hideMark/>
          </w:tcPr>
          <w:p w14:paraId="45DB368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(aged 60 years and above)</w:t>
            </w:r>
          </w:p>
        </w:tc>
        <w:tc>
          <w:tcPr>
            <w:tcW w:w="193" w:type="pct"/>
            <w:textDirection w:val="btLr"/>
            <w:vAlign w:val="center"/>
            <w:hideMark/>
          </w:tcPr>
          <w:p w14:paraId="05C7ED6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61EB54C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settings</w:t>
            </w:r>
          </w:p>
        </w:tc>
        <w:tc>
          <w:tcPr>
            <w:tcW w:w="193" w:type="pct"/>
            <w:textDirection w:val="btLr"/>
            <w:vAlign w:val="center"/>
            <w:hideMark/>
          </w:tcPr>
          <w:p w14:paraId="1C1FE6E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settings</w:t>
            </w:r>
          </w:p>
        </w:tc>
        <w:tc>
          <w:tcPr>
            <w:tcW w:w="1155" w:type="pct"/>
            <w:textDirection w:val="btLr"/>
            <w:vAlign w:val="center"/>
            <w:hideMark/>
          </w:tcPr>
          <w:p w14:paraId="0EEAF861" w14:textId="65CD2FC8" w:rsidR="00E407BF" w:rsidRPr="00CE1629" w:rsidRDefault="00E4283A"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reimbursement mechanism, reward, and penalty</w:t>
            </w:r>
          </w:p>
        </w:tc>
        <w:tc>
          <w:tcPr>
            <w:tcW w:w="1056" w:type="pct"/>
            <w:textDirection w:val="btLr"/>
            <w:vAlign w:val="center"/>
            <w:hideMark/>
          </w:tcPr>
          <w:p w14:paraId="67475264" w14:textId="77777777" w:rsidR="00E407BF" w:rsidRPr="00CE1629" w:rsidRDefault="00E407BF" w:rsidP="00E407BF">
            <w:pPr>
              <w:ind w:left="115" w:right="115"/>
              <w:jc w:val="center"/>
              <w:rPr>
                <w:rFonts w:eastAsia="Times New Roman"/>
                <w:i w:val="0"/>
                <w:kern w:val="0"/>
                <w:sz w:val="16"/>
                <w:szCs w:val="16"/>
                <w:lang w:val="en-GB" w:eastAsia="en-GB"/>
                <w14:ligatures w14:val="none"/>
              </w:rPr>
            </w:pPr>
            <w:r w:rsidRPr="00CE1629">
              <w:rPr>
                <w:rFonts w:eastAsia="Times New Roman"/>
                <w:i w:val="0"/>
                <w:kern w:val="0"/>
                <w:sz w:val="16"/>
                <w:szCs w:val="16"/>
                <w:lang w:val="en-GB" w:eastAsia="en-GB"/>
                <w14:ligatures w14:val="none"/>
              </w:rPr>
              <w:t>-</w:t>
            </w:r>
          </w:p>
        </w:tc>
      </w:tr>
      <w:tr w:rsidR="00E407BF" w:rsidRPr="00CE1629" w14:paraId="55965229" w14:textId="77777777" w:rsidTr="0002791C">
        <w:trPr>
          <w:cantSplit/>
          <w:trHeight w:val="2330"/>
        </w:trPr>
        <w:tc>
          <w:tcPr>
            <w:tcW w:w="864" w:type="pct"/>
            <w:textDirection w:val="btLr"/>
            <w:vAlign w:val="center"/>
            <w:hideMark/>
          </w:tcPr>
          <w:p w14:paraId="036358F3" w14:textId="616F5119"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Assessing the impact of Minnesota</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return to community</w:t>
            </w:r>
            <w:r w:rsidRPr="00CE1629">
              <w:rPr>
                <w:rFonts w:eastAsia="Times New Roman"/>
                <w:i w:val="0"/>
                <w:color w:val="000000"/>
                <w:kern w:val="0"/>
                <w:sz w:val="16"/>
                <w:szCs w:val="16"/>
                <w:lang w:val="en-GB" w:eastAsia="en-GB"/>
                <w14:ligatures w14:val="none"/>
              </w:rPr>
              <w:br/>
              <w:t>initiative for newly admitted nursing home residents</w:t>
            </w:r>
          </w:p>
        </w:tc>
        <w:tc>
          <w:tcPr>
            <w:tcW w:w="193" w:type="pct"/>
            <w:textDirection w:val="btLr"/>
            <w:vAlign w:val="center"/>
            <w:hideMark/>
          </w:tcPr>
          <w:p w14:paraId="155824E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Zachary Hass</w:t>
            </w:r>
          </w:p>
        </w:tc>
        <w:tc>
          <w:tcPr>
            <w:tcW w:w="240" w:type="pct"/>
            <w:textDirection w:val="btLr"/>
            <w:vAlign w:val="center"/>
            <w:hideMark/>
          </w:tcPr>
          <w:p w14:paraId="718C04A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239BAC5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2014 to 2016</w:t>
            </w:r>
          </w:p>
        </w:tc>
        <w:tc>
          <w:tcPr>
            <w:tcW w:w="192" w:type="pct"/>
            <w:textDirection w:val="btLr"/>
            <w:vAlign w:val="center"/>
            <w:hideMark/>
          </w:tcPr>
          <w:p w14:paraId="262EB96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698B88A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Non-Medicaid nursing home admissions in Minnesota who remained in the nursing home for at least 45 days</w:t>
            </w:r>
          </w:p>
        </w:tc>
        <w:tc>
          <w:tcPr>
            <w:tcW w:w="193" w:type="pct"/>
            <w:textDirection w:val="btLr"/>
            <w:vAlign w:val="center"/>
            <w:hideMark/>
          </w:tcPr>
          <w:p w14:paraId="290709A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0E0AE78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535FCF1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1D97E0E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RTCI Score, shorter length of stay, higher facility participation rates</w:t>
            </w:r>
          </w:p>
        </w:tc>
        <w:tc>
          <w:tcPr>
            <w:tcW w:w="1056" w:type="pct"/>
            <w:textDirection w:val="btLr"/>
            <w:vAlign w:val="center"/>
            <w:hideMark/>
          </w:tcPr>
          <w:p w14:paraId="669AA41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Pneumonia, feeding tube</w:t>
            </w:r>
          </w:p>
        </w:tc>
      </w:tr>
      <w:tr w:rsidR="00E407BF" w:rsidRPr="00CE1629" w14:paraId="3D6F48EB" w14:textId="77777777" w:rsidTr="0002791C">
        <w:trPr>
          <w:cantSplit/>
          <w:trHeight w:val="2240"/>
        </w:trPr>
        <w:tc>
          <w:tcPr>
            <w:tcW w:w="864" w:type="pct"/>
            <w:textDirection w:val="btLr"/>
            <w:vAlign w:val="center"/>
            <w:hideMark/>
          </w:tcPr>
          <w:p w14:paraId="02DACB2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Statewide Model for Assisting Nursing Home</w:t>
            </w:r>
            <w:r w:rsidRPr="00CE1629">
              <w:rPr>
                <w:rFonts w:eastAsia="Times New Roman"/>
                <w:i w:val="0"/>
                <w:color w:val="000000"/>
                <w:kern w:val="0"/>
                <w:sz w:val="16"/>
                <w:szCs w:val="16"/>
                <w:lang w:val="en-GB" w:eastAsia="en-GB"/>
                <w14:ligatures w14:val="none"/>
              </w:rPr>
              <w:br/>
              <w:t>Residents to Transition Successfully to the Community</w:t>
            </w:r>
          </w:p>
        </w:tc>
        <w:tc>
          <w:tcPr>
            <w:tcW w:w="193" w:type="pct"/>
            <w:textDirection w:val="btLr"/>
            <w:vAlign w:val="center"/>
            <w:hideMark/>
          </w:tcPr>
          <w:p w14:paraId="1EAFA1D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Darci Buttke</w:t>
            </w:r>
          </w:p>
        </w:tc>
        <w:tc>
          <w:tcPr>
            <w:tcW w:w="240" w:type="pct"/>
            <w:textDirection w:val="btLr"/>
            <w:vAlign w:val="center"/>
            <w:hideMark/>
          </w:tcPr>
          <w:p w14:paraId="52E030F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7DC424C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2012 to 2016</w:t>
            </w:r>
          </w:p>
        </w:tc>
        <w:tc>
          <w:tcPr>
            <w:tcW w:w="192" w:type="pct"/>
            <w:textDirection w:val="btLr"/>
            <w:vAlign w:val="center"/>
            <w:hideMark/>
          </w:tcPr>
          <w:p w14:paraId="68C3384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245334A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Nursing home residents, primarily private-paying ones, who are part of the Return to Community Initiative (RTCI)</w:t>
            </w:r>
          </w:p>
        </w:tc>
        <w:tc>
          <w:tcPr>
            <w:tcW w:w="193" w:type="pct"/>
            <w:textDirection w:val="btLr"/>
            <w:vAlign w:val="center"/>
            <w:hideMark/>
          </w:tcPr>
          <w:p w14:paraId="2717558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Mixed methods</w:t>
            </w:r>
          </w:p>
        </w:tc>
        <w:tc>
          <w:tcPr>
            <w:tcW w:w="240" w:type="pct"/>
            <w:textDirection w:val="btLr"/>
            <w:vAlign w:val="center"/>
            <w:hideMark/>
          </w:tcPr>
          <w:p w14:paraId="4539606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453538D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5D3A5D8" w14:textId="0711A85B"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Health status at the time of discharge, functional ability, fit a community discharge, Availability of a primary caregiver, resident</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own desire to return to the community, entering the nursing facility directly from a hospital</w:t>
            </w:r>
          </w:p>
        </w:tc>
        <w:tc>
          <w:tcPr>
            <w:tcW w:w="1056" w:type="pct"/>
            <w:textDirection w:val="btLr"/>
            <w:vAlign w:val="center"/>
            <w:hideMark/>
          </w:tcPr>
          <w:p w14:paraId="438E195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concerns about access to healthcare and personal safety in the community</w:t>
            </w:r>
          </w:p>
        </w:tc>
      </w:tr>
      <w:tr w:rsidR="00E407BF" w:rsidRPr="00CE1629" w14:paraId="68BA7E5F" w14:textId="77777777" w:rsidTr="0002791C">
        <w:trPr>
          <w:cantSplit/>
          <w:trHeight w:val="2420"/>
        </w:trPr>
        <w:tc>
          <w:tcPr>
            <w:tcW w:w="864" w:type="pct"/>
            <w:textDirection w:val="btLr"/>
            <w:vAlign w:val="center"/>
            <w:hideMark/>
          </w:tcPr>
          <w:p w14:paraId="714D343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Seniors in Transition: Exploring Pathways Across the Care Continuum</w:t>
            </w:r>
          </w:p>
        </w:tc>
        <w:tc>
          <w:tcPr>
            <w:tcW w:w="193" w:type="pct"/>
            <w:textDirection w:val="btLr"/>
            <w:vAlign w:val="center"/>
            <w:hideMark/>
          </w:tcPr>
          <w:p w14:paraId="39D806F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Kim Nuernberger (CIHI)</w:t>
            </w:r>
          </w:p>
        </w:tc>
        <w:tc>
          <w:tcPr>
            <w:tcW w:w="240" w:type="pct"/>
            <w:textDirection w:val="btLr"/>
            <w:vAlign w:val="center"/>
            <w:hideMark/>
          </w:tcPr>
          <w:p w14:paraId="2F8F9FA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33ED6BF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2012 to 2015</w:t>
            </w:r>
          </w:p>
        </w:tc>
        <w:tc>
          <w:tcPr>
            <w:tcW w:w="192" w:type="pct"/>
            <w:textDirection w:val="btLr"/>
            <w:vAlign w:val="center"/>
            <w:hideMark/>
          </w:tcPr>
          <w:p w14:paraId="3652C9F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211A617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Seniors aged 65 and older receiving publicly funded continuing care services</w:t>
            </w:r>
          </w:p>
        </w:tc>
        <w:tc>
          <w:tcPr>
            <w:tcW w:w="193" w:type="pct"/>
            <w:textDirection w:val="btLr"/>
            <w:vAlign w:val="center"/>
            <w:hideMark/>
          </w:tcPr>
          <w:p w14:paraId="0C1A0B8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E3989E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606BEB1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27267D1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Initial assessment in the hospital, requires physical assistance, Cognitive impairment, wandering, Living Alone, Caregiver unable to continue, caregiver distress, Wandering, falls, medical instability, and a diagnosis of dementia</w:t>
            </w:r>
          </w:p>
        </w:tc>
        <w:tc>
          <w:tcPr>
            <w:tcW w:w="1056" w:type="pct"/>
            <w:textDirection w:val="btLr"/>
            <w:vAlign w:val="center"/>
            <w:hideMark/>
          </w:tcPr>
          <w:p w14:paraId="0A9A9E6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0D4B0CD2" w14:textId="77777777" w:rsidTr="0002791C">
        <w:trPr>
          <w:cantSplit/>
          <w:trHeight w:val="3590"/>
        </w:trPr>
        <w:tc>
          <w:tcPr>
            <w:tcW w:w="864" w:type="pct"/>
            <w:textDirection w:val="btLr"/>
            <w:vAlign w:val="center"/>
            <w:hideMark/>
          </w:tcPr>
          <w:p w14:paraId="558EF6E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Modelling Community Discharge of Medicaid Nursing Home Residents: Implications for Money Follows the Person</w:t>
            </w:r>
          </w:p>
        </w:tc>
        <w:tc>
          <w:tcPr>
            <w:tcW w:w="193" w:type="pct"/>
            <w:textDirection w:val="btLr"/>
            <w:vAlign w:val="center"/>
            <w:hideMark/>
          </w:tcPr>
          <w:p w14:paraId="68A1CC9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Zachary Hass</w:t>
            </w:r>
          </w:p>
        </w:tc>
        <w:tc>
          <w:tcPr>
            <w:tcW w:w="240" w:type="pct"/>
            <w:textDirection w:val="btLr"/>
            <w:vAlign w:val="center"/>
            <w:hideMark/>
          </w:tcPr>
          <w:p w14:paraId="22326ED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03D2C12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2011 to 2013</w:t>
            </w:r>
          </w:p>
        </w:tc>
        <w:tc>
          <w:tcPr>
            <w:tcW w:w="192" w:type="pct"/>
            <w:textDirection w:val="btLr"/>
            <w:vAlign w:val="center"/>
            <w:hideMark/>
          </w:tcPr>
          <w:p w14:paraId="47483AC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3904913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Medicaid-eligible nursing home residents in Minnesota (33,590 nursing home stays that qualified for Medicaid by the 90th day of their stay from 383 Minnesota nursing homes).</w:t>
            </w:r>
          </w:p>
        </w:tc>
        <w:tc>
          <w:tcPr>
            <w:tcW w:w="193" w:type="pct"/>
            <w:textDirection w:val="btLr"/>
            <w:vAlign w:val="center"/>
            <w:hideMark/>
          </w:tcPr>
          <w:p w14:paraId="7F4363B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755259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788F0D9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309DCA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Preference for community discharge as indicated by the resident at the time of admission, Relatively better health (not being in the end stages of a disease and no heart failure diagnosis), younger than age 85, more functionally independent (lower ADL score), continent, no recent falls, having had a hip fracture, being cognitively intact, without a dementia diagnosis, absent behavioural problems, admitted from acute care and with a rehabilitation stay, and the female gender</w:t>
            </w:r>
          </w:p>
        </w:tc>
        <w:tc>
          <w:tcPr>
            <w:tcW w:w="1056" w:type="pct"/>
            <w:textDirection w:val="btLr"/>
            <w:vAlign w:val="center"/>
            <w:hideMark/>
          </w:tcPr>
          <w:p w14:paraId="4C6301D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length of stay</w:t>
            </w:r>
          </w:p>
        </w:tc>
      </w:tr>
      <w:tr w:rsidR="00E407BF" w:rsidRPr="00CE1629" w14:paraId="5423D7A4" w14:textId="77777777" w:rsidTr="0002791C">
        <w:trPr>
          <w:cantSplit/>
          <w:trHeight w:val="2330"/>
        </w:trPr>
        <w:tc>
          <w:tcPr>
            <w:tcW w:w="864" w:type="pct"/>
            <w:textDirection w:val="btLr"/>
            <w:vAlign w:val="center"/>
            <w:hideMark/>
          </w:tcPr>
          <w:p w14:paraId="13379B1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Drama and Trauma: Unpacking Moral Distress in the Context of Discharge Planning</w:t>
            </w:r>
          </w:p>
        </w:tc>
        <w:tc>
          <w:tcPr>
            <w:tcW w:w="193" w:type="pct"/>
            <w:textDirection w:val="btLr"/>
            <w:vAlign w:val="center"/>
            <w:hideMark/>
          </w:tcPr>
          <w:p w14:paraId="5745DA8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Kristi L. Kirschner</w:t>
            </w:r>
          </w:p>
        </w:tc>
        <w:tc>
          <w:tcPr>
            <w:tcW w:w="240" w:type="pct"/>
            <w:textDirection w:val="btLr"/>
            <w:vAlign w:val="center"/>
            <w:hideMark/>
          </w:tcPr>
          <w:p w14:paraId="2DDC918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01C8D6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2" w:type="pct"/>
            <w:textDirection w:val="btLr"/>
            <w:vAlign w:val="center"/>
            <w:hideMark/>
          </w:tcPr>
          <w:p w14:paraId="10E30EE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71C0035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Medicaid-eligible nursing home residents in Minnesota (33,590 nursing home stays that qualified for Medicaid by the 90th day of their stay from 383 Minnesota nursing homes).</w:t>
            </w:r>
          </w:p>
        </w:tc>
        <w:tc>
          <w:tcPr>
            <w:tcW w:w="193" w:type="pct"/>
            <w:textDirection w:val="btLr"/>
            <w:vAlign w:val="center"/>
            <w:hideMark/>
          </w:tcPr>
          <w:p w14:paraId="6E4C493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7FA28B1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19BEDAC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49DBF40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162CEA4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 and Caregiver-level Concerns:</w:t>
            </w:r>
            <w:r w:rsidRPr="00CE1629">
              <w:rPr>
                <w:rFonts w:eastAsia="Times New Roman"/>
                <w:i w:val="0"/>
                <w:color w:val="000000"/>
                <w:kern w:val="0"/>
                <w:sz w:val="16"/>
                <w:szCs w:val="16"/>
                <w:lang w:val="en-GB" w:eastAsia="en-GB"/>
                <w14:ligatures w14:val="none"/>
              </w:rPr>
              <w:br/>
              <w:t xml:space="preserve">       unilateral decision-making by healthcare teams, Feelings of abandonment and frustration.</w:t>
            </w:r>
            <w:r w:rsidRPr="00CE1629">
              <w:rPr>
                <w:rFonts w:eastAsia="Times New Roman"/>
                <w:i w:val="0"/>
                <w:color w:val="000000"/>
                <w:kern w:val="0"/>
                <w:sz w:val="16"/>
                <w:szCs w:val="16"/>
                <w:lang w:val="en-GB" w:eastAsia="en-GB"/>
                <w14:ligatures w14:val="none"/>
              </w:rPr>
              <w:br/>
              <w:t xml:space="preserve">        Feeling poorly prepared for discharge.</w:t>
            </w:r>
            <w:r w:rsidRPr="00CE1629">
              <w:rPr>
                <w:rFonts w:eastAsia="Times New Roman"/>
                <w:i w:val="0"/>
                <w:color w:val="000000"/>
                <w:kern w:val="0"/>
                <w:sz w:val="16"/>
                <w:szCs w:val="16"/>
                <w:lang w:val="en-GB" w:eastAsia="en-GB"/>
                <w14:ligatures w14:val="none"/>
              </w:rPr>
              <w:br/>
              <w:t xml:space="preserve">        Lack of information and resources.</w:t>
            </w:r>
            <w:r w:rsidRPr="00CE1629">
              <w:rPr>
                <w:rFonts w:eastAsia="Times New Roman"/>
                <w:i w:val="0"/>
                <w:color w:val="000000"/>
                <w:kern w:val="0"/>
                <w:sz w:val="16"/>
                <w:szCs w:val="16"/>
                <w:lang w:val="en-GB" w:eastAsia="en-GB"/>
                <w14:ligatures w14:val="none"/>
              </w:rPr>
              <w:br/>
              <w:t xml:space="preserve">        Discordance between medical and social needs, Pressure to accept nursing home placement.</w:t>
            </w:r>
            <w:r w:rsidRPr="00CE1629">
              <w:rPr>
                <w:rFonts w:eastAsia="Times New Roman"/>
                <w:i w:val="0"/>
                <w:color w:val="000000"/>
                <w:kern w:val="0"/>
                <w:sz w:val="16"/>
                <w:szCs w:val="16"/>
                <w:lang w:val="en-GB" w:eastAsia="en-GB"/>
                <w14:ligatures w14:val="none"/>
              </w:rPr>
              <w:br/>
              <w:t xml:space="preserve">        Lack of reasonable choices for home and community-based care.   Issues related to dignity, autonomy, and safety.</w:t>
            </w:r>
            <w:r w:rsidRPr="00CE1629">
              <w:rPr>
                <w:rFonts w:eastAsia="Times New Roman"/>
                <w:i w:val="0"/>
                <w:color w:val="000000"/>
                <w:kern w:val="0"/>
                <w:sz w:val="16"/>
                <w:szCs w:val="16"/>
                <w:lang w:val="en-GB" w:eastAsia="en-GB"/>
                <w14:ligatures w14:val="none"/>
              </w:rPr>
              <w:br/>
              <w:t xml:space="preserve">        Poor communication and lack of education about discharge.</w:t>
            </w:r>
            <w:r w:rsidRPr="00CE1629">
              <w:rPr>
                <w:rFonts w:eastAsia="Times New Roman"/>
                <w:i w:val="0"/>
                <w:color w:val="000000"/>
                <w:kern w:val="0"/>
                <w:sz w:val="16"/>
                <w:szCs w:val="16"/>
                <w:lang w:val="en-GB" w:eastAsia="en-GB"/>
                <w14:ligatures w14:val="none"/>
              </w:rPr>
              <w:br/>
              <w:t xml:space="preserve">    Structural Barriers:</w:t>
            </w:r>
            <w:r w:rsidRPr="00CE1629">
              <w:rPr>
                <w:rFonts w:eastAsia="Times New Roman"/>
                <w:i w:val="0"/>
                <w:color w:val="000000"/>
                <w:kern w:val="0"/>
                <w:sz w:val="16"/>
                <w:szCs w:val="16"/>
                <w:lang w:val="en-GB" w:eastAsia="en-GB"/>
                <w14:ligatures w14:val="none"/>
              </w:rPr>
              <w:br/>
              <w:t xml:space="preserve">        Financial pressures and insurance limitations.</w:t>
            </w:r>
          </w:p>
        </w:tc>
      </w:tr>
      <w:tr w:rsidR="00E407BF" w:rsidRPr="00CE1629" w14:paraId="21311030" w14:textId="77777777" w:rsidTr="0002791C">
        <w:trPr>
          <w:cantSplit/>
          <w:trHeight w:val="2480"/>
        </w:trPr>
        <w:tc>
          <w:tcPr>
            <w:tcW w:w="864" w:type="pct"/>
            <w:textDirection w:val="btLr"/>
            <w:vAlign w:val="center"/>
            <w:hideMark/>
          </w:tcPr>
          <w:p w14:paraId="7E149D7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Association Between Community Transition and Independence and Control Over Life: Analysis of Georgia’s Money Follows the Person Program</w:t>
            </w:r>
          </w:p>
        </w:tc>
        <w:tc>
          <w:tcPr>
            <w:tcW w:w="193" w:type="pct"/>
            <w:textDirection w:val="btLr"/>
            <w:vAlign w:val="center"/>
            <w:hideMark/>
          </w:tcPr>
          <w:p w14:paraId="77E9FE3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Farah Naz Sulaiman</w:t>
            </w:r>
          </w:p>
        </w:tc>
        <w:tc>
          <w:tcPr>
            <w:tcW w:w="240" w:type="pct"/>
            <w:textDirection w:val="btLr"/>
            <w:vAlign w:val="center"/>
            <w:hideMark/>
          </w:tcPr>
          <w:p w14:paraId="66C9E33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6A1F669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2008 to 2015</w:t>
            </w:r>
          </w:p>
        </w:tc>
        <w:tc>
          <w:tcPr>
            <w:tcW w:w="192" w:type="pct"/>
            <w:textDirection w:val="btLr"/>
            <w:vAlign w:val="center"/>
            <w:hideMark/>
          </w:tcPr>
          <w:p w14:paraId="51B06B8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7818FEDD" w14:textId="4A66FEEC"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study includes 664 participants who are part of Georgia</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Money Follows the Person (MFP) program, with a male to female ratio of 54.4% to 45.6%.</w:t>
            </w:r>
          </w:p>
        </w:tc>
        <w:tc>
          <w:tcPr>
            <w:tcW w:w="193" w:type="pct"/>
            <w:textDirection w:val="btLr"/>
            <w:vAlign w:val="center"/>
            <w:hideMark/>
          </w:tcPr>
          <w:p w14:paraId="71F65DA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3744CD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6FB5180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1168377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Being able to pick the place of residence, Age, going to bed when desired, eating whenever preferred, choosing type of food, privacy on phone, engaging in community activities, doing voluntary work, picking care providers</w:t>
            </w:r>
          </w:p>
        </w:tc>
        <w:tc>
          <w:tcPr>
            <w:tcW w:w="1056" w:type="pct"/>
            <w:textDirection w:val="btLr"/>
            <w:vAlign w:val="center"/>
            <w:hideMark/>
          </w:tcPr>
          <w:p w14:paraId="66247F3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7CC91573" w14:textId="77777777" w:rsidTr="0002791C">
        <w:trPr>
          <w:cantSplit/>
          <w:trHeight w:val="1970"/>
        </w:trPr>
        <w:tc>
          <w:tcPr>
            <w:tcW w:w="864" w:type="pct"/>
            <w:textDirection w:val="btLr"/>
            <w:vAlign w:val="center"/>
            <w:hideMark/>
          </w:tcPr>
          <w:p w14:paraId="7246C58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Geriatric nutritional risk index and 100-m walk achievement predict discharge to home in elderly patients with heart</w:t>
            </w:r>
            <w:r w:rsidRPr="00CE1629">
              <w:rPr>
                <w:rFonts w:eastAsia="Times New Roman"/>
                <w:i w:val="0"/>
                <w:color w:val="000000"/>
                <w:kern w:val="0"/>
                <w:sz w:val="16"/>
                <w:szCs w:val="16"/>
                <w:lang w:val="en-GB" w:eastAsia="en-GB"/>
                <w14:ligatures w14:val="none"/>
              </w:rPr>
              <w:br/>
              <w:t>failure</w:t>
            </w:r>
          </w:p>
        </w:tc>
        <w:tc>
          <w:tcPr>
            <w:tcW w:w="193" w:type="pct"/>
            <w:textDirection w:val="btLr"/>
            <w:vAlign w:val="center"/>
            <w:hideMark/>
          </w:tcPr>
          <w:p w14:paraId="201569F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Shota Shimoyama</w:t>
            </w:r>
          </w:p>
        </w:tc>
        <w:tc>
          <w:tcPr>
            <w:tcW w:w="240" w:type="pct"/>
            <w:textDirection w:val="btLr"/>
            <w:vAlign w:val="center"/>
            <w:hideMark/>
          </w:tcPr>
          <w:p w14:paraId="708F2E5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3FF1212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2014 to 2018</w:t>
            </w:r>
          </w:p>
        </w:tc>
        <w:tc>
          <w:tcPr>
            <w:tcW w:w="192" w:type="pct"/>
            <w:textDirection w:val="btLr"/>
            <w:vAlign w:val="center"/>
            <w:hideMark/>
          </w:tcPr>
          <w:p w14:paraId="2092EBC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3F6D0E9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165 elderly patients with heart failure aged at least 75 years, who lived at home before admission to the institution.</w:t>
            </w:r>
          </w:p>
        </w:tc>
        <w:tc>
          <w:tcPr>
            <w:tcW w:w="193" w:type="pct"/>
            <w:textDirection w:val="btLr"/>
            <w:vAlign w:val="center"/>
            <w:hideMark/>
          </w:tcPr>
          <w:p w14:paraId="55D6492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8C1CFF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5E52F17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F05724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100-m walk achievement and the Geriatric Nutritional Risk Index (GNRI) at 2 weeks after admission</w:t>
            </w:r>
          </w:p>
        </w:tc>
        <w:tc>
          <w:tcPr>
            <w:tcW w:w="1056" w:type="pct"/>
            <w:textDirection w:val="btLr"/>
            <w:vAlign w:val="center"/>
            <w:hideMark/>
          </w:tcPr>
          <w:p w14:paraId="7EFE4C7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4F267AD2" w14:textId="77777777" w:rsidTr="0002791C">
        <w:trPr>
          <w:cantSplit/>
          <w:trHeight w:val="2780"/>
        </w:trPr>
        <w:tc>
          <w:tcPr>
            <w:tcW w:w="864" w:type="pct"/>
            <w:textDirection w:val="btLr"/>
            <w:vAlign w:val="center"/>
            <w:hideMark/>
          </w:tcPr>
          <w:p w14:paraId="4948C5E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Machine learning prediction of hospital patient need for post-acute care using an admission mobility measure is robust across patient diagnoses</w:t>
            </w:r>
          </w:p>
        </w:tc>
        <w:tc>
          <w:tcPr>
            <w:tcW w:w="193" w:type="pct"/>
            <w:textDirection w:val="btLr"/>
            <w:vAlign w:val="center"/>
            <w:hideMark/>
          </w:tcPr>
          <w:p w14:paraId="07DD02C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Daniel L. Young</w:t>
            </w:r>
          </w:p>
        </w:tc>
        <w:tc>
          <w:tcPr>
            <w:tcW w:w="240" w:type="pct"/>
            <w:textDirection w:val="btLr"/>
            <w:vAlign w:val="center"/>
            <w:hideMark/>
          </w:tcPr>
          <w:p w14:paraId="44BFD67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0E948FF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  to 2019</w:t>
            </w:r>
          </w:p>
        </w:tc>
        <w:tc>
          <w:tcPr>
            <w:tcW w:w="192" w:type="pct"/>
            <w:textDirection w:val="btLr"/>
            <w:vAlign w:val="center"/>
            <w:hideMark/>
          </w:tcPr>
          <w:p w14:paraId="7462E72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14B359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retrospective cohort of 34,432 patient admissions to two hospitals within Johns Hopkins Medicine, Johns Hopkins Hospital and Johns Hopkins Bayview Hospital.</w:t>
            </w:r>
          </w:p>
        </w:tc>
        <w:tc>
          <w:tcPr>
            <w:tcW w:w="193" w:type="pct"/>
            <w:textDirection w:val="btLr"/>
            <w:vAlign w:val="center"/>
            <w:hideMark/>
          </w:tcPr>
          <w:p w14:paraId="0D52A02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35D756B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2126235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4F2776C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lower mobility scores (specifically AM-PAC scores), higher BMI, age</w:t>
            </w:r>
          </w:p>
        </w:tc>
        <w:tc>
          <w:tcPr>
            <w:tcW w:w="1056" w:type="pct"/>
            <w:textDirection w:val="btLr"/>
            <w:vAlign w:val="center"/>
            <w:hideMark/>
          </w:tcPr>
          <w:p w14:paraId="3805BCB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54A4E150" w14:textId="77777777" w:rsidTr="0002791C">
        <w:trPr>
          <w:cantSplit/>
          <w:trHeight w:val="3140"/>
        </w:trPr>
        <w:tc>
          <w:tcPr>
            <w:tcW w:w="864" w:type="pct"/>
            <w:textDirection w:val="btLr"/>
            <w:vAlign w:val="center"/>
            <w:hideMark/>
          </w:tcPr>
          <w:p w14:paraId="1242B42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Improving the post-acute care discharge</w:t>
            </w:r>
            <w:r w:rsidRPr="00CE1629">
              <w:rPr>
                <w:rFonts w:eastAsia="Times New Roman"/>
                <w:i w:val="0"/>
                <w:color w:val="000000"/>
                <w:kern w:val="0"/>
                <w:sz w:val="16"/>
                <w:szCs w:val="16"/>
                <w:lang w:val="en-GB" w:eastAsia="en-GB"/>
                <w14:ligatures w14:val="none"/>
              </w:rPr>
              <w:br/>
              <w:t>score (PACD) by adding patients’ self-care</w:t>
            </w:r>
            <w:r w:rsidRPr="00CE1629">
              <w:rPr>
                <w:rFonts w:eastAsia="Times New Roman"/>
                <w:i w:val="0"/>
                <w:color w:val="000000"/>
                <w:kern w:val="0"/>
                <w:sz w:val="16"/>
                <w:szCs w:val="16"/>
                <w:lang w:val="en-GB" w:eastAsia="en-GB"/>
                <w14:ligatures w14:val="none"/>
              </w:rPr>
              <w:br/>
              <w:t>abilities: A prospective cohort study</w:t>
            </w:r>
          </w:p>
        </w:tc>
        <w:tc>
          <w:tcPr>
            <w:tcW w:w="193" w:type="pct"/>
            <w:textDirection w:val="btLr"/>
            <w:vAlign w:val="center"/>
            <w:hideMark/>
          </w:tcPr>
          <w:p w14:paraId="24067BF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Daniel Koch</w:t>
            </w:r>
          </w:p>
        </w:tc>
        <w:tc>
          <w:tcPr>
            <w:tcW w:w="240" w:type="pct"/>
            <w:textDirection w:val="btLr"/>
            <w:vAlign w:val="center"/>
            <w:hideMark/>
          </w:tcPr>
          <w:p w14:paraId="27CF4C6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56B243A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February 2013 to October 2013</w:t>
            </w:r>
          </w:p>
        </w:tc>
        <w:tc>
          <w:tcPr>
            <w:tcW w:w="192" w:type="pct"/>
            <w:textDirection w:val="btLr"/>
            <w:vAlign w:val="center"/>
            <w:hideMark/>
          </w:tcPr>
          <w:p w14:paraId="0FD99D9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Switzerland</w:t>
            </w:r>
          </w:p>
        </w:tc>
        <w:tc>
          <w:tcPr>
            <w:tcW w:w="481" w:type="pct"/>
            <w:textDirection w:val="btLr"/>
            <w:vAlign w:val="center"/>
            <w:hideMark/>
          </w:tcPr>
          <w:p w14:paraId="2A80118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Consecutive adult medical and neurological inpatients at KSA, a 600-bed tertiary hospital in the Canton of Aargau, Switzerland</w:t>
            </w:r>
          </w:p>
        </w:tc>
        <w:tc>
          <w:tcPr>
            <w:tcW w:w="193" w:type="pct"/>
            <w:textDirection w:val="btLr"/>
            <w:vAlign w:val="center"/>
            <w:hideMark/>
          </w:tcPr>
          <w:p w14:paraId="0E2D808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02A860A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1090EDE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2303FE8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Lower self-care index scores, older age, longer hospital stay, a higher post-acute care discharge score (number of medically active problems on admission, number of disabilities, age)</w:t>
            </w:r>
          </w:p>
        </w:tc>
        <w:tc>
          <w:tcPr>
            <w:tcW w:w="1056" w:type="pct"/>
            <w:textDirection w:val="btLr"/>
            <w:vAlign w:val="center"/>
            <w:hideMark/>
          </w:tcPr>
          <w:p w14:paraId="6B486DB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1E97B59D" w14:textId="77777777" w:rsidTr="0002791C">
        <w:trPr>
          <w:cantSplit/>
          <w:trHeight w:val="2170"/>
        </w:trPr>
        <w:tc>
          <w:tcPr>
            <w:tcW w:w="864" w:type="pct"/>
            <w:textDirection w:val="btLr"/>
            <w:vAlign w:val="center"/>
            <w:hideMark/>
          </w:tcPr>
          <w:p w14:paraId="546494F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Association Between Therapy Intensity and Discharge Outcomes in Aged Medicare Skilled Nursing Facilities Admissions</w:t>
            </w:r>
          </w:p>
        </w:tc>
        <w:tc>
          <w:tcPr>
            <w:tcW w:w="193" w:type="pct"/>
            <w:textDirection w:val="btLr"/>
            <w:vAlign w:val="center"/>
            <w:hideMark/>
          </w:tcPr>
          <w:p w14:paraId="31B314C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Suzanne R. O’Brien</w:t>
            </w:r>
          </w:p>
        </w:tc>
        <w:tc>
          <w:tcPr>
            <w:tcW w:w="240" w:type="pct"/>
            <w:textDirection w:val="btLr"/>
            <w:vAlign w:val="center"/>
            <w:hideMark/>
          </w:tcPr>
          <w:p w14:paraId="3E3102B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7941F9F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2008</w:t>
            </w:r>
          </w:p>
        </w:tc>
        <w:tc>
          <w:tcPr>
            <w:tcW w:w="192" w:type="pct"/>
            <w:textDirection w:val="btLr"/>
            <w:vAlign w:val="center"/>
            <w:hideMark/>
          </w:tcPr>
          <w:p w14:paraId="731EC67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7EB02E9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study population includes aged Medicare fee-for-service beneficiaries in skilled nursing facilities (SNFs). The final analytical sample consisted of 311,338 admissions (80% of the total) to 3605 SNFs.</w:t>
            </w:r>
          </w:p>
        </w:tc>
        <w:tc>
          <w:tcPr>
            <w:tcW w:w="193" w:type="pct"/>
            <w:textDirection w:val="btLr"/>
            <w:vAlign w:val="center"/>
            <w:hideMark/>
          </w:tcPr>
          <w:p w14:paraId="47F98BE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B79571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090FDBD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4071749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Therapy Intensity, physical therapy, occupational therapy, and speech therapy</w:t>
            </w:r>
          </w:p>
        </w:tc>
        <w:tc>
          <w:tcPr>
            <w:tcW w:w="1056" w:type="pct"/>
            <w:textDirection w:val="btLr"/>
            <w:vAlign w:val="center"/>
            <w:hideMark/>
          </w:tcPr>
          <w:p w14:paraId="5B92822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2BC64DA5" w14:textId="77777777" w:rsidTr="0002791C">
        <w:trPr>
          <w:cantSplit/>
          <w:trHeight w:val="2843"/>
        </w:trPr>
        <w:tc>
          <w:tcPr>
            <w:tcW w:w="864" w:type="pct"/>
            <w:textDirection w:val="btLr"/>
            <w:vAlign w:val="center"/>
            <w:hideMark/>
          </w:tcPr>
          <w:p w14:paraId="3D1EF84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Transitions in Care in a Nationally Representative Sample of Older Americans with Dementia</w:t>
            </w:r>
          </w:p>
        </w:tc>
        <w:tc>
          <w:tcPr>
            <w:tcW w:w="193" w:type="pct"/>
            <w:textDirection w:val="btLr"/>
            <w:vAlign w:val="center"/>
            <w:hideMark/>
          </w:tcPr>
          <w:p w14:paraId="682807D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Christopher M. Callahan</w:t>
            </w:r>
          </w:p>
        </w:tc>
        <w:tc>
          <w:tcPr>
            <w:tcW w:w="240" w:type="pct"/>
            <w:textDirection w:val="btLr"/>
            <w:vAlign w:val="center"/>
            <w:hideMark/>
          </w:tcPr>
          <w:p w14:paraId="62C0F46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w:t>
            </w:r>
          </w:p>
        </w:tc>
        <w:tc>
          <w:tcPr>
            <w:tcW w:w="193" w:type="pct"/>
            <w:textDirection w:val="btLr"/>
            <w:vAlign w:val="center"/>
            <w:hideMark/>
          </w:tcPr>
          <w:p w14:paraId="1F6E047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1999 to 2008</w:t>
            </w:r>
          </w:p>
        </w:tc>
        <w:tc>
          <w:tcPr>
            <w:tcW w:w="192" w:type="pct"/>
            <w:textDirection w:val="btLr"/>
            <w:vAlign w:val="center"/>
            <w:hideMark/>
          </w:tcPr>
          <w:p w14:paraId="5AAD2CC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409BC44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HRS (Health and Retirement Study) respondents aged 65 and older whose survey data were linked with Medicare claims (N = 16,186).</w:t>
            </w:r>
          </w:p>
        </w:tc>
        <w:tc>
          <w:tcPr>
            <w:tcW w:w="193" w:type="pct"/>
            <w:textDirection w:val="btLr"/>
            <w:vAlign w:val="center"/>
            <w:hideMark/>
          </w:tcPr>
          <w:p w14:paraId="32C6C16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0DF6307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38ADE08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018A933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severity of dementia, availability of formal services at home</w:t>
            </w:r>
          </w:p>
        </w:tc>
        <w:tc>
          <w:tcPr>
            <w:tcW w:w="1056" w:type="pct"/>
            <w:textDirection w:val="btLr"/>
            <w:vAlign w:val="center"/>
            <w:hideMark/>
          </w:tcPr>
          <w:p w14:paraId="3C3DD94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24057441" w14:textId="77777777" w:rsidTr="0002791C">
        <w:trPr>
          <w:cantSplit/>
          <w:trHeight w:val="2480"/>
        </w:trPr>
        <w:tc>
          <w:tcPr>
            <w:tcW w:w="864" w:type="pct"/>
            <w:textDirection w:val="btLr"/>
            <w:vAlign w:val="center"/>
            <w:hideMark/>
          </w:tcPr>
          <w:p w14:paraId="719D7CB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Medicaid home- and community-based services and discharge</w:t>
            </w:r>
            <w:r w:rsidRPr="00CE1629">
              <w:rPr>
                <w:rFonts w:eastAsia="Times New Roman"/>
                <w:i w:val="0"/>
                <w:color w:val="000000"/>
                <w:kern w:val="0"/>
                <w:sz w:val="16"/>
                <w:szCs w:val="16"/>
                <w:lang w:val="en-GB" w:eastAsia="en-GB"/>
                <w14:ligatures w14:val="none"/>
              </w:rPr>
              <w:br/>
              <w:t>from skilled nursing facilities</w:t>
            </w:r>
          </w:p>
        </w:tc>
        <w:tc>
          <w:tcPr>
            <w:tcW w:w="193" w:type="pct"/>
            <w:textDirection w:val="btLr"/>
            <w:vAlign w:val="center"/>
            <w:hideMark/>
          </w:tcPr>
          <w:p w14:paraId="41C7820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Sijiu Wang</w:t>
            </w:r>
          </w:p>
        </w:tc>
        <w:tc>
          <w:tcPr>
            <w:tcW w:w="240" w:type="pct"/>
            <w:textDirection w:val="btLr"/>
            <w:vAlign w:val="center"/>
            <w:hideMark/>
          </w:tcPr>
          <w:p w14:paraId="1DD3394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4B4A301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2010 to 2013</w:t>
            </w:r>
          </w:p>
        </w:tc>
        <w:tc>
          <w:tcPr>
            <w:tcW w:w="192" w:type="pct"/>
            <w:textDirection w:val="btLr"/>
            <w:vAlign w:val="center"/>
            <w:hideMark/>
          </w:tcPr>
          <w:p w14:paraId="7824AD0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320E3C2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study includes 224,229 community-dwelling older adults (aged 65 and above) who were dually enrolled in Medicare and Medicaid and were newly admitted to skilled nursing facilities (SNFs) following an acute inpatient event.</w:t>
            </w:r>
          </w:p>
        </w:tc>
        <w:tc>
          <w:tcPr>
            <w:tcW w:w="193" w:type="pct"/>
            <w:textDirection w:val="btLr"/>
            <w:vAlign w:val="center"/>
            <w:hideMark/>
          </w:tcPr>
          <w:p w14:paraId="6727A6B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733E44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settings</w:t>
            </w:r>
          </w:p>
        </w:tc>
        <w:tc>
          <w:tcPr>
            <w:tcW w:w="193" w:type="pct"/>
            <w:textDirection w:val="btLr"/>
            <w:vAlign w:val="center"/>
            <w:hideMark/>
          </w:tcPr>
          <w:p w14:paraId="1CC8F57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settings</w:t>
            </w:r>
          </w:p>
        </w:tc>
        <w:tc>
          <w:tcPr>
            <w:tcW w:w="1155" w:type="pct"/>
            <w:textDirection w:val="btLr"/>
            <w:vAlign w:val="center"/>
            <w:hideMark/>
          </w:tcPr>
          <w:p w14:paraId="647DE4A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Generosity of Medicaid home- and community-based services (HCBS), measured in terms of breadth and intensity, Individual factors, including age </w:t>
            </w:r>
            <w:r w:rsidRPr="00CE1629">
              <w:rPr>
                <w:rFonts w:eastAsia="Times New Roman"/>
                <w:i w:val="0"/>
                <w:color w:val="000000"/>
                <w:kern w:val="0"/>
                <w:sz w:val="16"/>
                <w:szCs w:val="16"/>
                <w:lang w:val="en-GB" w:eastAsia="en-GB"/>
                <w14:ligatures w14:val="none"/>
              </w:rPr>
              <w:br/>
            </w:r>
          </w:p>
        </w:tc>
        <w:tc>
          <w:tcPr>
            <w:tcW w:w="1056" w:type="pct"/>
            <w:textDirection w:val="btLr"/>
            <w:vAlign w:val="center"/>
            <w:hideMark/>
          </w:tcPr>
          <w:p w14:paraId="4CBA596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6F9B0FB8" w14:textId="77777777" w:rsidTr="0002791C">
        <w:trPr>
          <w:cantSplit/>
          <w:trHeight w:val="3320"/>
        </w:trPr>
        <w:tc>
          <w:tcPr>
            <w:tcW w:w="864" w:type="pct"/>
            <w:textDirection w:val="btLr"/>
            <w:vAlign w:val="center"/>
            <w:hideMark/>
          </w:tcPr>
          <w:p w14:paraId="0049AA4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Medicaid LTC Policies and Rates of Nursing Home Successful Discharge to Community</w:t>
            </w:r>
          </w:p>
        </w:tc>
        <w:tc>
          <w:tcPr>
            <w:tcW w:w="193" w:type="pct"/>
            <w:textDirection w:val="btLr"/>
            <w:vAlign w:val="center"/>
            <w:hideMark/>
          </w:tcPr>
          <w:p w14:paraId="2516E06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Huiwen Xu MHA</w:t>
            </w:r>
          </w:p>
        </w:tc>
        <w:tc>
          <w:tcPr>
            <w:tcW w:w="240" w:type="pct"/>
            <w:textDirection w:val="btLr"/>
            <w:vAlign w:val="center"/>
            <w:hideMark/>
          </w:tcPr>
          <w:p w14:paraId="79ACA5F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6F68D4D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2014 to 2017</w:t>
            </w:r>
          </w:p>
        </w:tc>
        <w:tc>
          <w:tcPr>
            <w:tcW w:w="192" w:type="pct"/>
            <w:textDirection w:val="btLr"/>
            <w:vAlign w:val="center"/>
            <w:hideMark/>
          </w:tcPr>
          <w:p w14:paraId="23B9442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57820C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11,694 unique nursing homes in the United States</w:t>
            </w:r>
          </w:p>
        </w:tc>
        <w:tc>
          <w:tcPr>
            <w:tcW w:w="193" w:type="pct"/>
            <w:textDirection w:val="btLr"/>
            <w:vAlign w:val="center"/>
            <w:hideMark/>
          </w:tcPr>
          <w:p w14:paraId="3C8E23E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3403EB7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156D4E4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1D610B6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state Medicaid spending on home and community-based service (HCBS), more generous reimbursements to nursing homes, absence of bed-hold policies, higher penetration of Medicare Advantage, , higher % older population, higher median family income, presence of Alzheimer’s unit, chain affiliation, higher percentage of Medicare residents, RN to total nurse staffing ratio, any nurse practitioner or physician’s assistant</w:t>
            </w:r>
          </w:p>
        </w:tc>
        <w:tc>
          <w:tcPr>
            <w:tcW w:w="1056" w:type="pct"/>
            <w:textDirection w:val="btLr"/>
            <w:vAlign w:val="center"/>
            <w:hideMark/>
          </w:tcPr>
          <w:p w14:paraId="2EFE5F4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rural location of nursing home, NHs in markets with stronger</w:t>
            </w:r>
            <w:r w:rsidRPr="00CE1629">
              <w:rPr>
                <w:rFonts w:eastAsia="Times New Roman"/>
                <w:i w:val="0"/>
                <w:color w:val="000000"/>
                <w:kern w:val="0"/>
                <w:sz w:val="16"/>
                <w:szCs w:val="16"/>
                <w:lang w:val="en-GB" w:eastAsia="en-GB"/>
                <w14:ligatures w14:val="none"/>
              </w:rPr>
              <w:br/>
              <w:t>competition, for-profit NH, higher %</w:t>
            </w:r>
            <w:r w:rsidRPr="00CE1629">
              <w:rPr>
                <w:rFonts w:eastAsia="Times New Roman"/>
                <w:i w:val="0"/>
                <w:color w:val="000000"/>
                <w:kern w:val="0"/>
                <w:sz w:val="16"/>
                <w:szCs w:val="16"/>
                <w:lang w:val="en-GB" w:eastAsia="en-GB"/>
                <w14:ligatures w14:val="none"/>
              </w:rPr>
              <w:br/>
              <w:t>Medicaid residents,</w:t>
            </w:r>
          </w:p>
        </w:tc>
      </w:tr>
      <w:tr w:rsidR="00E407BF" w:rsidRPr="00CE1629" w14:paraId="68E9EDEE" w14:textId="77777777" w:rsidTr="0002791C">
        <w:trPr>
          <w:cantSplit/>
          <w:trHeight w:val="2060"/>
        </w:trPr>
        <w:tc>
          <w:tcPr>
            <w:tcW w:w="864" w:type="pct"/>
            <w:textDirection w:val="btLr"/>
            <w:vAlign w:val="center"/>
            <w:hideMark/>
          </w:tcPr>
          <w:p w14:paraId="2AB704A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Facility-Level Factors and Outcomes After Skilled Nursing Facility Admission for Trauma and Surgical Patients</w:t>
            </w:r>
          </w:p>
        </w:tc>
        <w:tc>
          <w:tcPr>
            <w:tcW w:w="193" w:type="pct"/>
            <w:textDirection w:val="btLr"/>
            <w:vAlign w:val="center"/>
            <w:hideMark/>
          </w:tcPr>
          <w:p w14:paraId="4A392E7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Lucas W. Thornblade</w:t>
            </w:r>
          </w:p>
        </w:tc>
        <w:tc>
          <w:tcPr>
            <w:tcW w:w="240" w:type="pct"/>
            <w:textDirection w:val="btLr"/>
            <w:vAlign w:val="center"/>
            <w:hideMark/>
          </w:tcPr>
          <w:p w14:paraId="0EB94C6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75B3C5F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2007 to 2009</w:t>
            </w:r>
          </w:p>
        </w:tc>
        <w:tc>
          <w:tcPr>
            <w:tcW w:w="192" w:type="pct"/>
            <w:textDirection w:val="btLr"/>
            <w:vAlign w:val="center"/>
            <w:hideMark/>
          </w:tcPr>
          <w:p w14:paraId="0CBF167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9CE66E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389,133 patients (mean age 78 years, 63% female) who were discharged to Medicare-certified skilled nursing facilities (SNFs) after trauma or major surgery.</w:t>
            </w:r>
          </w:p>
        </w:tc>
        <w:tc>
          <w:tcPr>
            <w:tcW w:w="193" w:type="pct"/>
            <w:textDirection w:val="btLr"/>
            <w:vAlign w:val="center"/>
            <w:hideMark/>
          </w:tcPr>
          <w:p w14:paraId="1E4E1C7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35A78AD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7786A3CF" w14:textId="7A7E309F"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w:t>
            </w:r>
            <w:r w:rsidR="00E407BF" w:rsidRPr="00CE1629">
              <w:rPr>
                <w:rFonts w:eastAsia="Times New Roman"/>
                <w:i w:val="0"/>
                <w:color w:val="000000"/>
                <w:kern w:val="0"/>
                <w:sz w:val="16"/>
                <w:szCs w:val="16"/>
                <w:lang w:val="en-GB" w:eastAsia="en-GB"/>
                <w14:ligatures w14:val="none"/>
              </w:rPr>
              <w:t>ome care</w:t>
            </w:r>
          </w:p>
        </w:tc>
        <w:tc>
          <w:tcPr>
            <w:tcW w:w="1155" w:type="pct"/>
            <w:textDirection w:val="btLr"/>
            <w:vAlign w:val="center"/>
            <w:hideMark/>
          </w:tcPr>
          <w:p w14:paraId="03473B8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Lower Bed: Nurse ratios, greater density of specialty patients (surgery, trauma)</w:t>
            </w:r>
          </w:p>
        </w:tc>
        <w:tc>
          <w:tcPr>
            <w:tcW w:w="1056" w:type="pct"/>
            <w:textDirection w:val="btLr"/>
            <w:vAlign w:val="center"/>
            <w:hideMark/>
          </w:tcPr>
          <w:p w14:paraId="5EC28EB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ratio of LPNs to RNs</w:t>
            </w:r>
          </w:p>
        </w:tc>
      </w:tr>
      <w:tr w:rsidR="00E407BF" w:rsidRPr="00CE1629" w14:paraId="00914DFF" w14:textId="77777777" w:rsidTr="0002791C">
        <w:trPr>
          <w:cantSplit/>
          <w:trHeight w:val="2170"/>
        </w:trPr>
        <w:tc>
          <w:tcPr>
            <w:tcW w:w="864" w:type="pct"/>
            <w:textDirection w:val="btLr"/>
            <w:vAlign w:val="center"/>
            <w:hideMark/>
          </w:tcPr>
          <w:p w14:paraId="7159A01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Effect of Obesity on Postacute Outcomes of Skilled Nursing Facility Residents with Hip Fracture</w:t>
            </w:r>
          </w:p>
        </w:tc>
        <w:tc>
          <w:tcPr>
            <w:tcW w:w="193" w:type="pct"/>
            <w:textDirection w:val="btLr"/>
            <w:vAlign w:val="center"/>
            <w:hideMark/>
          </w:tcPr>
          <w:p w14:paraId="165EBFD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Cyrus M. Kosar</w:t>
            </w:r>
          </w:p>
        </w:tc>
        <w:tc>
          <w:tcPr>
            <w:tcW w:w="240" w:type="pct"/>
            <w:textDirection w:val="btLr"/>
            <w:vAlign w:val="center"/>
            <w:hideMark/>
          </w:tcPr>
          <w:p w14:paraId="4BF3355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4C52ED7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2008 to 2015</w:t>
            </w:r>
          </w:p>
        </w:tc>
        <w:tc>
          <w:tcPr>
            <w:tcW w:w="192" w:type="pct"/>
            <w:textDirection w:val="btLr"/>
            <w:vAlign w:val="center"/>
            <w:hideMark/>
          </w:tcPr>
          <w:p w14:paraId="246D401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0E411D0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Medicare fee-for-service beneficiaries discharged to a skilled nursing facility after hospitalization for hip fracture. Total population of 586,683 individuals, of which 82,768 (14.1%) met the obesity criteria.</w:t>
            </w:r>
          </w:p>
        </w:tc>
        <w:tc>
          <w:tcPr>
            <w:tcW w:w="193" w:type="pct"/>
            <w:textDirection w:val="btLr"/>
            <w:vAlign w:val="center"/>
            <w:hideMark/>
          </w:tcPr>
          <w:p w14:paraId="730391D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AFF18C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5766A0AC" w14:textId="4BBEF676"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w:t>
            </w:r>
            <w:r w:rsidR="00E407BF" w:rsidRPr="00CE1629">
              <w:rPr>
                <w:rFonts w:eastAsia="Times New Roman"/>
                <w:i w:val="0"/>
                <w:color w:val="000000"/>
                <w:kern w:val="0"/>
                <w:sz w:val="16"/>
                <w:szCs w:val="16"/>
                <w:lang w:val="en-GB" w:eastAsia="en-GB"/>
                <w14:ligatures w14:val="none"/>
              </w:rPr>
              <w:t>ome care</w:t>
            </w:r>
          </w:p>
        </w:tc>
        <w:tc>
          <w:tcPr>
            <w:tcW w:w="1155" w:type="pct"/>
            <w:textDirection w:val="btLr"/>
            <w:vAlign w:val="center"/>
            <w:hideMark/>
          </w:tcPr>
          <w:p w14:paraId="172ED59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7AC55D1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Level of obesity</w:t>
            </w:r>
          </w:p>
        </w:tc>
      </w:tr>
      <w:tr w:rsidR="00E407BF" w:rsidRPr="00CE1629" w14:paraId="49963ED2" w14:textId="77777777" w:rsidTr="0002791C">
        <w:trPr>
          <w:cantSplit/>
          <w:trHeight w:val="3023"/>
        </w:trPr>
        <w:tc>
          <w:tcPr>
            <w:tcW w:w="864" w:type="pct"/>
            <w:textDirection w:val="btLr"/>
            <w:vAlign w:val="center"/>
            <w:hideMark/>
          </w:tcPr>
          <w:p w14:paraId="6169CEE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Successful Community Discharge Among Older Adults with Traumatic Brain Injury in Skilled Nursing Facilities</w:t>
            </w:r>
          </w:p>
        </w:tc>
        <w:tc>
          <w:tcPr>
            <w:tcW w:w="193" w:type="pct"/>
            <w:textDirection w:val="btLr"/>
            <w:vAlign w:val="center"/>
            <w:hideMark/>
          </w:tcPr>
          <w:p w14:paraId="3332842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Emily Evans</w:t>
            </w:r>
          </w:p>
        </w:tc>
        <w:tc>
          <w:tcPr>
            <w:tcW w:w="240" w:type="pct"/>
            <w:textDirection w:val="btLr"/>
            <w:vAlign w:val="center"/>
            <w:hideMark/>
          </w:tcPr>
          <w:p w14:paraId="3403A4A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0ACF88A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2011 to 2015</w:t>
            </w:r>
          </w:p>
        </w:tc>
        <w:tc>
          <w:tcPr>
            <w:tcW w:w="192" w:type="pct"/>
            <w:textDirection w:val="btLr"/>
            <w:vAlign w:val="center"/>
            <w:hideMark/>
          </w:tcPr>
          <w:p w14:paraId="56B9880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26A3E12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Medicare fee-for-service beneficiaries admitted to a SNF after hospitalization for TBI.</w:t>
            </w:r>
          </w:p>
        </w:tc>
        <w:tc>
          <w:tcPr>
            <w:tcW w:w="193" w:type="pct"/>
            <w:textDirection w:val="btLr"/>
            <w:vAlign w:val="center"/>
            <w:hideMark/>
          </w:tcPr>
          <w:p w14:paraId="7800D3D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2CB5D3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5EC48BF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53A029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race other than white and Black (Asian, Hispanic, North American Native)</w:t>
            </w:r>
          </w:p>
        </w:tc>
        <w:tc>
          <w:tcPr>
            <w:tcW w:w="1056" w:type="pct"/>
            <w:textDirection w:val="btLr"/>
            <w:vAlign w:val="center"/>
            <w:hideMark/>
          </w:tcPr>
          <w:p w14:paraId="0D81DA0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Medicaid enrolment, incontinence, decreased independence with ADL, and cognitive impairment</w:t>
            </w:r>
          </w:p>
        </w:tc>
      </w:tr>
      <w:tr w:rsidR="00E407BF" w:rsidRPr="00CE1629" w14:paraId="0FD8915F" w14:textId="77777777" w:rsidTr="0002791C">
        <w:trPr>
          <w:cantSplit/>
          <w:trHeight w:val="3050"/>
        </w:trPr>
        <w:tc>
          <w:tcPr>
            <w:tcW w:w="864" w:type="pct"/>
            <w:textDirection w:val="btLr"/>
            <w:vAlign w:val="center"/>
            <w:hideMark/>
          </w:tcPr>
          <w:p w14:paraId="23F4D6E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Successful Community Discharge Among Older Adults With Traumatic Brain Injury Admitted to Inpatient Rehabilitation</w:t>
            </w:r>
            <w:r w:rsidRPr="00CE1629">
              <w:rPr>
                <w:rFonts w:eastAsia="Times New Roman"/>
                <w:i w:val="0"/>
                <w:color w:val="000000"/>
                <w:kern w:val="0"/>
                <w:sz w:val="16"/>
                <w:szCs w:val="16"/>
                <w:lang w:val="en-GB" w:eastAsia="en-GB"/>
                <w14:ligatures w14:val="none"/>
              </w:rPr>
              <w:br/>
              <w:t>Facilities</w:t>
            </w:r>
          </w:p>
        </w:tc>
        <w:tc>
          <w:tcPr>
            <w:tcW w:w="193" w:type="pct"/>
            <w:textDirection w:val="btLr"/>
            <w:vAlign w:val="center"/>
            <w:hideMark/>
          </w:tcPr>
          <w:p w14:paraId="02E63DB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Emily Evans</w:t>
            </w:r>
          </w:p>
        </w:tc>
        <w:tc>
          <w:tcPr>
            <w:tcW w:w="240" w:type="pct"/>
            <w:textDirection w:val="btLr"/>
            <w:vAlign w:val="center"/>
            <w:hideMark/>
          </w:tcPr>
          <w:p w14:paraId="55DAFD8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4D3D390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2011 to 2015</w:t>
            </w:r>
          </w:p>
        </w:tc>
        <w:tc>
          <w:tcPr>
            <w:tcW w:w="192" w:type="pct"/>
            <w:textDirection w:val="btLr"/>
            <w:vAlign w:val="center"/>
            <w:hideMark/>
          </w:tcPr>
          <w:p w14:paraId="40C0A9B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3A3C915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Community-dwelling adults aged 66 years and older, who were hospitalized after TBI and then admitted to an IRF. The sample included a mean of 1060 individuals across 30 linked datasets</w:t>
            </w:r>
          </w:p>
        </w:tc>
        <w:tc>
          <w:tcPr>
            <w:tcW w:w="193" w:type="pct"/>
            <w:textDirection w:val="btLr"/>
            <w:vAlign w:val="center"/>
            <w:hideMark/>
          </w:tcPr>
          <w:p w14:paraId="40A0ED6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8C1769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30EF72B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6D0FE99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Functional Independence Measure motor (FIM-M) and cognitive (FIM-C) scores,</w:t>
            </w:r>
          </w:p>
        </w:tc>
        <w:tc>
          <w:tcPr>
            <w:tcW w:w="1056" w:type="pct"/>
            <w:textDirection w:val="btLr"/>
            <w:vAlign w:val="center"/>
            <w:hideMark/>
          </w:tcPr>
          <w:p w14:paraId="1681E27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pre-injury chronic conditions, and pre-injury living arrangement (alone)</w:t>
            </w:r>
          </w:p>
        </w:tc>
      </w:tr>
      <w:tr w:rsidR="00E407BF" w:rsidRPr="00CE1629" w14:paraId="225A6230" w14:textId="77777777" w:rsidTr="0002791C">
        <w:trPr>
          <w:cantSplit/>
          <w:trHeight w:val="1550"/>
        </w:trPr>
        <w:tc>
          <w:tcPr>
            <w:tcW w:w="864" w:type="pct"/>
            <w:textDirection w:val="btLr"/>
            <w:vAlign w:val="center"/>
            <w:hideMark/>
          </w:tcPr>
          <w:p w14:paraId="024DA33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Association of Fragmented Readmissions and Electronic Information Sharing</w:t>
            </w:r>
            <w:r w:rsidRPr="00CE1629">
              <w:rPr>
                <w:rFonts w:eastAsia="Times New Roman"/>
                <w:i w:val="0"/>
                <w:color w:val="000000"/>
                <w:kern w:val="0"/>
                <w:sz w:val="16"/>
                <w:szCs w:val="16"/>
                <w:lang w:val="en-GB" w:eastAsia="en-GB"/>
                <w14:ligatures w14:val="none"/>
              </w:rPr>
              <w:br/>
              <w:t>With Discharge Destination Among Older Adults</w:t>
            </w:r>
          </w:p>
        </w:tc>
        <w:tc>
          <w:tcPr>
            <w:tcW w:w="193" w:type="pct"/>
            <w:textDirection w:val="btLr"/>
            <w:vAlign w:val="center"/>
            <w:hideMark/>
          </w:tcPr>
          <w:p w14:paraId="777AFCD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Sara D. Turbow</w:t>
            </w:r>
          </w:p>
        </w:tc>
        <w:tc>
          <w:tcPr>
            <w:tcW w:w="240" w:type="pct"/>
            <w:textDirection w:val="btLr"/>
            <w:vAlign w:val="center"/>
            <w:hideMark/>
          </w:tcPr>
          <w:p w14:paraId="4442ED7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569C0C7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2" w:type="pct"/>
            <w:textDirection w:val="btLr"/>
            <w:vAlign w:val="center"/>
            <w:hideMark/>
          </w:tcPr>
          <w:p w14:paraId="3B96700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5552EC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cohort included 275,189 admission-readmission pairs, representing 268,768 unique patients</w:t>
            </w:r>
          </w:p>
        </w:tc>
        <w:tc>
          <w:tcPr>
            <w:tcW w:w="193" w:type="pct"/>
            <w:textDirection w:val="btLr"/>
            <w:vAlign w:val="center"/>
            <w:hideMark/>
          </w:tcPr>
          <w:p w14:paraId="7FF0B83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0D84F6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156BF80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6A168F1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Sharing health information between the admission and readmission hospitals via Health Information Exchange (HIE)</w:t>
            </w:r>
          </w:p>
        </w:tc>
        <w:tc>
          <w:tcPr>
            <w:tcW w:w="1056" w:type="pct"/>
            <w:textDirection w:val="btLr"/>
            <w:vAlign w:val="center"/>
            <w:hideMark/>
          </w:tcPr>
          <w:p w14:paraId="7E7D275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Fragmented readmissions</w:t>
            </w:r>
          </w:p>
        </w:tc>
      </w:tr>
      <w:tr w:rsidR="00E407BF" w:rsidRPr="00CE1629" w14:paraId="1BACE0BE" w14:textId="77777777" w:rsidTr="0002791C">
        <w:trPr>
          <w:cantSplit/>
          <w:trHeight w:val="1860"/>
        </w:trPr>
        <w:tc>
          <w:tcPr>
            <w:tcW w:w="864" w:type="pct"/>
            <w:textDirection w:val="btLr"/>
            <w:vAlign w:val="center"/>
            <w:hideMark/>
          </w:tcPr>
          <w:p w14:paraId="0075866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Living Alone and Discharge to Skilled Nursing Facility Care after Hospitalization in Older Adults</w:t>
            </w:r>
          </w:p>
        </w:tc>
        <w:tc>
          <w:tcPr>
            <w:tcW w:w="193" w:type="pct"/>
            <w:textDirection w:val="btLr"/>
            <w:vAlign w:val="center"/>
            <w:hideMark/>
          </w:tcPr>
          <w:p w14:paraId="37B21B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Daniel E. Lage</w:t>
            </w:r>
          </w:p>
        </w:tc>
        <w:tc>
          <w:tcPr>
            <w:tcW w:w="240" w:type="pct"/>
            <w:textDirection w:val="btLr"/>
            <w:vAlign w:val="center"/>
            <w:hideMark/>
          </w:tcPr>
          <w:p w14:paraId="46DF51A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004CE5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2014 to 2015</w:t>
            </w:r>
          </w:p>
        </w:tc>
        <w:tc>
          <w:tcPr>
            <w:tcW w:w="192" w:type="pct"/>
            <w:textDirection w:val="btLr"/>
            <w:vAlign w:val="center"/>
            <w:hideMark/>
          </w:tcPr>
          <w:p w14:paraId="211CFED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7069B78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Community-dwelling individuals aged 50 and older who were admitted to the medical service and discharged alive between July 2014 and August 2015 (N = 7,029)</w:t>
            </w:r>
          </w:p>
        </w:tc>
        <w:tc>
          <w:tcPr>
            <w:tcW w:w="193" w:type="pct"/>
            <w:textDirection w:val="btLr"/>
            <w:vAlign w:val="center"/>
            <w:hideMark/>
          </w:tcPr>
          <w:p w14:paraId="22B399F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F25F7A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4E9BF0C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155" w:type="pct"/>
            <w:textDirection w:val="btLr"/>
            <w:vAlign w:val="center"/>
            <w:hideMark/>
          </w:tcPr>
          <w:p w14:paraId="4F71EED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Living alone, higher age, length of stay, impaired mobility, impaired bathing, dual eligibility on insurance, urinary tract infection</w:t>
            </w:r>
          </w:p>
        </w:tc>
        <w:tc>
          <w:tcPr>
            <w:tcW w:w="1056" w:type="pct"/>
            <w:textDirection w:val="btLr"/>
            <w:vAlign w:val="center"/>
            <w:hideMark/>
          </w:tcPr>
          <w:p w14:paraId="60E3BB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Asian or African American, having a diagnosis of congestive heart failure, arrythmia, myocardial infraction, coronary artery disease</w:t>
            </w:r>
          </w:p>
        </w:tc>
      </w:tr>
      <w:tr w:rsidR="00E407BF" w:rsidRPr="00CE1629" w14:paraId="1343358A" w14:textId="77777777" w:rsidTr="0002791C">
        <w:trPr>
          <w:cantSplit/>
          <w:trHeight w:val="4040"/>
        </w:trPr>
        <w:tc>
          <w:tcPr>
            <w:tcW w:w="864" w:type="pct"/>
            <w:textDirection w:val="btLr"/>
            <w:vAlign w:val="center"/>
            <w:hideMark/>
          </w:tcPr>
          <w:p w14:paraId="52369F9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 to Home: Supporting the</w:t>
            </w:r>
            <w:r w:rsidRPr="00CE1629">
              <w:rPr>
                <w:rFonts w:eastAsia="Times New Roman"/>
                <w:i w:val="0"/>
                <w:color w:val="000000"/>
                <w:kern w:val="0"/>
                <w:sz w:val="16"/>
                <w:szCs w:val="16"/>
                <w:lang w:val="en-GB" w:eastAsia="en-GB"/>
                <w14:ligatures w14:val="none"/>
              </w:rPr>
              <w:br/>
              <w:t>Transition From Hospital to Home</w:t>
            </w:r>
            <w:r w:rsidRPr="00CE1629">
              <w:rPr>
                <w:rFonts w:eastAsia="Times New Roman"/>
                <w:i w:val="0"/>
                <w:color w:val="000000"/>
                <w:kern w:val="0"/>
                <w:sz w:val="16"/>
                <w:szCs w:val="16"/>
                <w:lang w:val="en-GB" w:eastAsia="en-GB"/>
                <w14:ligatures w14:val="none"/>
              </w:rPr>
              <w:br/>
              <w:t>for Older Adults</w:t>
            </w:r>
          </w:p>
        </w:tc>
        <w:tc>
          <w:tcPr>
            <w:tcW w:w="193" w:type="pct"/>
            <w:textDirection w:val="btLr"/>
            <w:vAlign w:val="center"/>
            <w:hideMark/>
          </w:tcPr>
          <w:p w14:paraId="1495DB3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Brittany Barber</w:t>
            </w:r>
          </w:p>
        </w:tc>
        <w:tc>
          <w:tcPr>
            <w:tcW w:w="240" w:type="pct"/>
            <w:textDirection w:val="btLr"/>
            <w:vAlign w:val="center"/>
            <w:hideMark/>
          </w:tcPr>
          <w:p w14:paraId="5406D77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2585DDC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December 2019 to February 2020</w:t>
            </w:r>
          </w:p>
        </w:tc>
        <w:tc>
          <w:tcPr>
            <w:tcW w:w="192" w:type="pct"/>
            <w:textDirection w:val="btLr"/>
            <w:vAlign w:val="center"/>
            <w:hideMark/>
          </w:tcPr>
          <w:p w14:paraId="1B9B0A4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25E6ACA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who were in an acute care unit waiting for placement in LTC facilities, their family or friend caregivers, and healthcare professionals involved in their care.</w:t>
            </w:r>
          </w:p>
        </w:tc>
        <w:tc>
          <w:tcPr>
            <w:tcW w:w="193" w:type="pct"/>
            <w:textDirection w:val="btLr"/>
            <w:vAlign w:val="center"/>
            <w:hideMark/>
          </w:tcPr>
          <w:p w14:paraId="1D7A282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7262734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45EE075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579D9C8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548BD3A5" w14:textId="7887E1DA"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Lack of timely information and communication about home care services, Caregiver burnout, and stress due to lack of support.</w:t>
            </w:r>
            <w:r w:rsidRPr="00CE1629">
              <w:rPr>
                <w:rFonts w:eastAsia="Times New Roman"/>
                <w:i w:val="0"/>
                <w:color w:val="000000"/>
                <w:kern w:val="0"/>
                <w:sz w:val="16"/>
                <w:szCs w:val="16"/>
                <w:lang w:val="en-GB" w:eastAsia="en-GB"/>
                <w14:ligatures w14:val="none"/>
              </w:rPr>
              <w:br/>
              <w:t xml:space="preserve">    Insufficient home care services, particularly for overnight support. Reliance on unpaid caregivers without providing them with adequate resources and support.</w:t>
            </w:r>
            <w:r w:rsidRPr="00CE1629">
              <w:rPr>
                <w:rFonts w:eastAsia="Times New Roman"/>
                <w:i w:val="0"/>
                <w:color w:val="000000"/>
                <w:kern w:val="0"/>
                <w:sz w:val="16"/>
                <w:szCs w:val="16"/>
                <w:lang w:val="en-GB" w:eastAsia="en-GB"/>
                <w14:ligatures w14:val="none"/>
              </w:rPr>
              <w:br/>
              <w:t xml:space="preserve">    Delays and barriers in accessing LTC.</w:t>
            </w:r>
            <w:r w:rsidRPr="00CE1629">
              <w:rPr>
                <w:rFonts w:eastAsia="Times New Roman"/>
                <w:i w:val="0"/>
                <w:color w:val="000000"/>
                <w:kern w:val="0"/>
                <w:sz w:val="16"/>
                <w:szCs w:val="16"/>
                <w:lang w:val="en-GB" w:eastAsia="en-GB"/>
                <w14:ligatures w14:val="none"/>
              </w:rPr>
              <w:br/>
              <w:t xml:space="preserve">    Challenges in communicating between family caregivers and healthcare professionals.</w:t>
            </w:r>
            <w:r w:rsidRPr="00CE1629">
              <w:rPr>
                <w:rFonts w:eastAsia="Times New Roman"/>
                <w:i w:val="0"/>
                <w:color w:val="000000"/>
                <w:kern w:val="0"/>
                <w:sz w:val="16"/>
                <w:szCs w:val="16"/>
                <w:lang w:val="en-GB" w:eastAsia="en-GB"/>
                <w14:ligatures w14:val="none"/>
              </w:rPr>
              <w:br/>
              <w:t xml:space="preserve">   late introduction of home care services, financial strains on caregivers</w:t>
            </w:r>
          </w:p>
        </w:tc>
      </w:tr>
      <w:tr w:rsidR="00E407BF" w:rsidRPr="00CE1629" w14:paraId="4DA84649" w14:textId="77777777" w:rsidTr="0002791C">
        <w:trPr>
          <w:cantSplit/>
          <w:trHeight w:val="2870"/>
        </w:trPr>
        <w:tc>
          <w:tcPr>
            <w:tcW w:w="864" w:type="pct"/>
            <w:textDirection w:val="btLr"/>
            <w:vAlign w:val="center"/>
            <w:hideMark/>
          </w:tcPr>
          <w:p w14:paraId="1469A56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New care home admission following hospitalisation: How do older people, families and professionals make decisions about discharge destination? A case study narrative analysis</w:t>
            </w:r>
          </w:p>
        </w:tc>
        <w:tc>
          <w:tcPr>
            <w:tcW w:w="193" w:type="pct"/>
            <w:textDirection w:val="btLr"/>
            <w:vAlign w:val="center"/>
            <w:hideMark/>
          </w:tcPr>
          <w:p w14:paraId="33FA678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Sarah J Rhynas</w:t>
            </w:r>
          </w:p>
        </w:tc>
        <w:tc>
          <w:tcPr>
            <w:tcW w:w="240" w:type="pct"/>
            <w:textDirection w:val="btLr"/>
            <w:vAlign w:val="center"/>
            <w:hideMark/>
          </w:tcPr>
          <w:p w14:paraId="2863B35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13E2E02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November 2013 to February 2015</w:t>
            </w:r>
          </w:p>
        </w:tc>
        <w:tc>
          <w:tcPr>
            <w:tcW w:w="192" w:type="pct"/>
            <w:textDirection w:val="btLr"/>
            <w:vAlign w:val="center"/>
            <w:hideMark/>
          </w:tcPr>
          <w:p w14:paraId="01BDF4B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UK</w:t>
            </w:r>
          </w:p>
        </w:tc>
        <w:tc>
          <w:tcPr>
            <w:tcW w:w="481" w:type="pct"/>
            <w:textDirection w:val="btLr"/>
            <w:vAlign w:val="center"/>
            <w:hideMark/>
          </w:tcPr>
          <w:p w14:paraId="6F61BAF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purposive sample of 10 cases selected from a cohort of 100 individuals admitted to a hospital from home and discharged to a care home.</w:t>
            </w:r>
          </w:p>
        </w:tc>
        <w:tc>
          <w:tcPr>
            <w:tcW w:w="193" w:type="pct"/>
            <w:textDirection w:val="btLr"/>
            <w:vAlign w:val="center"/>
            <w:hideMark/>
          </w:tcPr>
          <w:p w14:paraId="134E6F3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430CBD7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5ACC373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676F4EC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Family support</w:t>
            </w:r>
          </w:p>
        </w:tc>
        <w:tc>
          <w:tcPr>
            <w:tcW w:w="1056" w:type="pct"/>
            <w:textDirection w:val="btLr"/>
            <w:vAlign w:val="center"/>
            <w:hideMark/>
          </w:tcPr>
          <w:p w14:paraId="342D6C8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7B74000C" w14:textId="77777777" w:rsidTr="0002791C">
        <w:trPr>
          <w:cantSplit/>
          <w:trHeight w:val="1860"/>
        </w:trPr>
        <w:tc>
          <w:tcPr>
            <w:tcW w:w="864" w:type="pct"/>
            <w:textDirection w:val="btLr"/>
            <w:vAlign w:val="center"/>
            <w:hideMark/>
          </w:tcPr>
          <w:p w14:paraId="4B9D4B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Risk of Care Home Placement following Acute Hospital Admission: Effects of a Pay-for-Performance Scheme for Dementia</w:t>
            </w:r>
          </w:p>
        </w:tc>
        <w:tc>
          <w:tcPr>
            <w:tcW w:w="193" w:type="pct"/>
            <w:textDirection w:val="btLr"/>
            <w:vAlign w:val="center"/>
            <w:hideMark/>
          </w:tcPr>
          <w:p w14:paraId="6C76315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Panagiotis Kasteridis</w:t>
            </w:r>
          </w:p>
        </w:tc>
        <w:tc>
          <w:tcPr>
            <w:tcW w:w="240" w:type="pct"/>
            <w:textDirection w:val="btLr"/>
            <w:vAlign w:val="center"/>
            <w:hideMark/>
          </w:tcPr>
          <w:p w14:paraId="0D4FAE9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3" w:type="pct"/>
            <w:textDirection w:val="btLr"/>
            <w:vAlign w:val="center"/>
            <w:hideMark/>
          </w:tcPr>
          <w:p w14:paraId="44E8FA7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2006/07 to 2010/11</w:t>
            </w:r>
          </w:p>
        </w:tc>
        <w:tc>
          <w:tcPr>
            <w:tcW w:w="192" w:type="pct"/>
            <w:textDirection w:val="btLr"/>
            <w:vAlign w:val="center"/>
            <w:hideMark/>
          </w:tcPr>
          <w:p w14:paraId="38DDA8D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UK</w:t>
            </w:r>
          </w:p>
        </w:tc>
        <w:tc>
          <w:tcPr>
            <w:tcW w:w="481" w:type="pct"/>
            <w:textDirection w:val="btLr"/>
            <w:vAlign w:val="center"/>
            <w:hideMark/>
          </w:tcPr>
          <w:p w14:paraId="2AA3BC8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Individuals with dementia who were admitted to a hospital with a primary diagnosis of dementia or those who were admitted for treatment of an ambulatory care sensitive condition.</w:t>
            </w:r>
          </w:p>
        </w:tc>
        <w:tc>
          <w:tcPr>
            <w:tcW w:w="193" w:type="pct"/>
            <w:textDirection w:val="btLr"/>
            <w:vAlign w:val="center"/>
            <w:hideMark/>
          </w:tcPr>
          <w:p w14:paraId="6684D1F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0772CA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46F7A55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258E71F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female gender, vascular dementia, incontinence, falls, hip fracture, and the number of comorbidities</w:t>
            </w:r>
          </w:p>
        </w:tc>
        <w:tc>
          <w:tcPr>
            <w:tcW w:w="1056" w:type="pct"/>
            <w:textDirection w:val="btLr"/>
            <w:vAlign w:val="center"/>
            <w:hideMark/>
          </w:tcPr>
          <w:p w14:paraId="64B7D50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5E069B48" w14:textId="77777777" w:rsidTr="0002791C">
        <w:trPr>
          <w:cantSplit/>
          <w:trHeight w:val="1860"/>
        </w:trPr>
        <w:tc>
          <w:tcPr>
            <w:tcW w:w="864" w:type="pct"/>
            <w:textDirection w:val="btLr"/>
            <w:vAlign w:val="center"/>
            <w:hideMark/>
          </w:tcPr>
          <w:p w14:paraId="2C32C76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Evaluating Siebens Domain Management Model for inpatient rehabilitation to increase functional independence and discharge rate to home in geriatric patients</w:t>
            </w:r>
          </w:p>
        </w:tc>
        <w:tc>
          <w:tcPr>
            <w:tcW w:w="193" w:type="pct"/>
            <w:textDirection w:val="btLr"/>
            <w:vAlign w:val="center"/>
            <w:hideMark/>
          </w:tcPr>
          <w:p w14:paraId="33182B0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David S Kushner</w:t>
            </w:r>
          </w:p>
        </w:tc>
        <w:tc>
          <w:tcPr>
            <w:tcW w:w="240" w:type="pct"/>
            <w:textDirection w:val="btLr"/>
            <w:vAlign w:val="center"/>
            <w:hideMark/>
          </w:tcPr>
          <w:p w14:paraId="4138AF3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w:t>
            </w:r>
          </w:p>
        </w:tc>
        <w:tc>
          <w:tcPr>
            <w:tcW w:w="193" w:type="pct"/>
            <w:textDirection w:val="btLr"/>
            <w:vAlign w:val="center"/>
            <w:hideMark/>
          </w:tcPr>
          <w:p w14:paraId="36A6F03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2010 to 2012 </w:t>
            </w:r>
          </w:p>
        </w:tc>
        <w:tc>
          <w:tcPr>
            <w:tcW w:w="192" w:type="pct"/>
            <w:textDirection w:val="btLr"/>
            <w:vAlign w:val="center"/>
            <w:hideMark/>
          </w:tcPr>
          <w:p w14:paraId="3D59D43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3A2EBC8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Geriatric patients aged 75 and above who were admitted to an Inpatient Rehabilitation (IR) facility in 2010 and 2012</w:t>
            </w:r>
          </w:p>
        </w:tc>
        <w:tc>
          <w:tcPr>
            <w:tcW w:w="193" w:type="pct"/>
            <w:textDirection w:val="btLr"/>
            <w:vAlign w:val="center"/>
            <w:hideMark/>
          </w:tcPr>
          <w:p w14:paraId="2E02BD7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3A2B49D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29BC54C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90D65C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implementation of the Siebens Domain Management Model (SDMM) which focuses on potential barriers to discharge home.</w:t>
            </w:r>
          </w:p>
        </w:tc>
        <w:tc>
          <w:tcPr>
            <w:tcW w:w="1056" w:type="pct"/>
            <w:textDirection w:val="btLr"/>
            <w:vAlign w:val="center"/>
            <w:hideMark/>
          </w:tcPr>
          <w:p w14:paraId="52067D6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31E6FEF1" w14:textId="77777777" w:rsidTr="0002791C">
        <w:trPr>
          <w:cantSplit/>
          <w:trHeight w:val="10430"/>
        </w:trPr>
        <w:tc>
          <w:tcPr>
            <w:tcW w:w="864" w:type="pct"/>
            <w:textDirection w:val="btLr"/>
            <w:vAlign w:val="center"/>
            <w:hideMark/>
          </w:tcPr>
          <w:p w14:paraId="3E800D7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Evidence Brief</w:t>
            </w:r>
            <w:r w:rsidRPr="00CE1629">
              <w:rPr>
                <w:rFonts w:eastAsia="Times New Roman"/>
                <w:i w:val="0"/>
                <w:color w:val="000000"/>
                <w:kern w:val="0"/>
                <w:sz w:val="16"/>
                <w:szCs w:val="16"/>
                <w:lang w:val="en-GB" w:eastAsia="en-GB"/>
                <w14:ligatures w14:val="none"/>
              </w:rPr>
              <w:br/>
              <w:t>Improving Hospital-To-Home Transitions for</w:t>
            </w:r>
            <w:r w:rsidRPr="00CE1629">
              <w:rPr>
                <w:rFonts w:eastAsia="Times New Roman"/>
                <w:i w:val="0"/>
                <w:color w:val="000000"/>
                <w:kern w:val="0"/>
                <w:sz w:val="16"/>
                <w:szCs w:val="16"/>
                <w:lang w:val="en-GB" w:eastAsia="en-GB"/>
                <w14:ligatures w14:val="none"/>
              </w:rPr>
              <w:br/>
              <w:t>Older Adults with Complex Health and Social</w:t>
            </w:r>
            <w:r w:rsidRPr="00CE1629">
              <w:rPr>
                <w:rFonts w:eastAsia="Times New Roman"/>
                <w:i w:val="0"/>
                <w:color w:val="000000"/>
                <w:kern w:val="0"/>
                <w:sz w:val="16"/>
                <w:szCs w:val="16"/>
                <w:lang w:val="en-GB" w:eastAsia="en-GB"/>
                <w14:ligatures w14:val="none"/>
              </w:rPr>
              <w:br/>
              <w:t>Needs in Ontario</w:t>
            </w:r>
          </w:p>
        </w:tc>
        <w:tc>
          <w:tcPr>
            <w:tcW w:w="193" w:type="pct"/>
            <w:textDirection w:val="btLr"/>
            <w:vAlign w:val="center"/>
            <w:hideMark/>
          </w:tcPr>
          <w:p w14:paraId="5190A4A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McMaster University Health Forum</w:t>
            </w:r>
          </w:p>
        </w:tc>
        <w:tc>
          <w:tcPr>
            <w:tcW w:w="240" w:type="pct"/>
            <w:textDirection w:val="btLr"/>
            <w:vAlign w:val="center"/>
            <w:hideMark/>
          </w:tcPr>
          <w:p w14:paraId="35099D7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4CEBCA2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92" w:type="pct"/>
            <w:textDirection w:val="btLr"/>
            <w:vAlign w:val="center"/>
            <w:hideMark/>
          </w:tcPr>
          <w:p w14:paraId="0CB7432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6D97710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with complex health and social needs transitioning from hospital to home, and their caregivers.</w:t>
            </w:r>
          </w:p>
        </w:tc>
        <w:tc>
          <w:tcPr>
            <w:tcW w:w="193" w:type="pct"/>
            <w:textDirection w:val="btLr"/>
            <w:vAlign w:val="center"/>
            <w:hideMark/>
          </w:tcPr>
          <w:p w14:paraId="65D8E9A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Systematic review of existing research evidence and synthesis of stakeholder insights</w:t>
            </w:r>
          </w:p>
        </w:tc>
        <w:tc>
          <w:tcPr>
            <w:tcW w:w="240" w:type="pct"/>
            <w:textDirection w:val="btLr"/>
            <w:vAlign w:val="center"/>
            <w:hideMark/>
          </w:tcPr>
          <w:p w14:paraId="4D893F5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254F5D2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0B62AC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17945E01" w14:textId="73E09721"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many older adults have a wide range of complex health and social needs that make hospital-to-home, transitions complex and risky;, despite a growing body of research evidence about the experiences of older adults with complex health</w:t>
            </w:r>
            <w:r w:rsidRPr="00CE1629">
              <w:rPr>
                <w:rFonts w:eastAsia="Times New Roman"/>
                <w:i w:val="0"/>
                <w:color w:val="000000"/>
                <w:kern w:val="0"/>
                <w:sz w:val="16"/>
                <w:szCs w:val="16"/>
                <w:lang w:val="en-GB" w:eastAsia="en-GB"/>
                <w14:ligatures w14:val="none"/>
              </w:rPr>
              <w:br/>
              <w:t>and social needs (and their caregivers) during hospital-to-home transitions, there is still a knowledge- to-practice gap, caregivers often feel unprepared to support hospital-to-home transitions; o the health system is not currently designed to support older adults with complex health and social needs during hospital-to-home transitions; the pressures being placed on health and social systems to respond to the, ongoing COVID-19, pandemic affect hospital-to-home transitions; and, bringing about system changes takes time,, resources and commitment from many players, including, older adults, family caregivers, providers, organizations and the system as a whole.</w:t>
            </w:r>
          </w:p>
        </w:tc>
      </w:tr>
      <w:tr w:rsidR="00E407BF" w:rsidRPr="00CE1629" w14:paraId="61B7C608" w14:textId="77777777" w:rsidTr="0002791C">
        <w:trPr>
          <w:cantSplit/>
          <w:trHeight w:val="3500"/>
        </w:trPr>
        <w:tc>
          <w:tcPr>
            <w:tcW w:w="864" w:type="pct"/>
            <w:textDirection w:val="btLr"/>
            <w:vAlign w:val="center"/>
            <w:hideMark/>
          </w:tcPr>
          <w:p w14:paraId="05CF2E5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Moving to a new home in continuing care</w:t>
            </w:r>
            <w:r w:rsidRPr="00CE1629">
              <w:rPr>
                <w:rFonts w:eastAsia="Times New Roman"/>
                <w:i w:val="0"/>
                <w:color w:val="000000"/>
                <w:kern w:val="0"/>
                <w:sz w:val="16"/>
                <w:szCs w:val="16"/>
                <w:lang w:val="en-GB" w:eastAsia="en-GB"/>
                <w14:ligatures w14:val="none"/>
              </w:rPr>
              <w:br/>
              <w:t>An information and decision-making</w:t>
            </w:r>
            <w:r w:rsidRPr="00CE1629">
              <w:rPr>
                <w:rFonts w:eastAsia="Times New Roman"/>
                <w:i w:val="0"/>
                <w:color w:val="000000"/>
                <w:kern w:val="0"/>
                <w:sz w:val="16"/>
                <w:szCs w:val="16"/>
                <w:lang w:val="en-GB" w:eastAsia="en-GB"/>
                <w14:ligatures w14:val="none"/>
              </w:rPr>
              <w:br/>
              <w:t>guide for patients and families</w:t>
            </w:r>
          </w:p>
        </w:tc>
        <w:tc>
          <w:tcPr>
            <w:tcW w:w="193" w:type="pct"/>
            <w:textDirection w:val="btLr"/>
            <w:vAlign w:val="center"/>
            <w:hideMark/>
          </w:tcPr>
          <w:p w14:paraId="783130F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Alberta health services continuing care</w:t>
            </w:r>
          </w:p>
        </w:tc>
        <w:tc>
          <w:tcPr>
            <w:tcW w:w="240" w:type="pct"/>
            <w:textDirection w:val="btLr"/>
            <w:vAlign w:val="center"/>
            <w:hideMark/>
          </w:tcPr>
          <w:p w14:paraId="1231705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0DB095C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92" w:type="pct"/>
            <w:textDirection w:val="btLr"/>
            <w:vAlign w:val="center"/>
            <w:hideMark/>
          </w:tcPr>
          <w:p w14:paraId="4A6F902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34FAB26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Individuals transitioning to continuing care facilities (mainly seniors or individuals with specific health care needs).</w:t>
            </w:r>
          </w:p>
        </w:tc>
        <w:tc>
          <w:tcPr>
            <w:tcW w:w="193" w:type="pct"/>
            <w:textDirection w:val="btLr"/>
            <w:vAlign w:val="center"/>
            <w:hideMark/>
          </w:tcPr>
          <w:p w14:paraId="109A67F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p>
        </w:tc>
        <w:tc>
          <w:tcPr>
            <w:tcW w:w="240" w:type="pct"/>
            <w:textDirection w:val="btLr"/>
            <w:vAlign w:val="center"/>
            <w:hideMark/>
          </w:tcPr>
          <w:p w14:paraId="0E934D1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440052F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5B7B22F2" w14:textId="1D6A5D1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comprehensive assessment of individual</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physical function, mental health, social abilities, financial situation, and health care needs. The guide also mentions the importance of discussing needs with family members and case managers and they being actively involved in the assessment process to communicate preferences and needs, number of people on the waitlist, size of the facility and how frequently a room becomes available at the facility</w:t>
            </w:r>
          </w:p>
        </w:tc>
        <w:tc>
          <w:tcPr>
            <w:tcW w:w="1056" w:type="pct"/>
            <w:textDirection w:val="btLr"/>
            <w:vAlign w:val="center"/>
            <w:hideMark/>
          </w:tcPr>
          <w:p w14:paraId="1DF8829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43A99435" w14:textId="77777777" w:rsidTr="0002791C">
        <w:trPr>
          <w:cantSplit/>
          <w:trHeight w:val="5890"/>
        </w:trPr>
        <w:tc>
          <w:tcPr>
            <w:tcW w:w="864" w:type="pct"/>
            <w:textDirection w:val="btLr"/>
            <w:vAlign w:val="center"/>
            <w:hideMark/>
          </w:tcPr>
          <w:p w14:paraId="62350A8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Nursing’s Role in Successful Transitions Across Settings</w:t>
            </w:r>
          </w:p>
        </w:tc>
        <w:tc>
          <w:tcPr>
            <w:tcW w:w="193" w:type="pct"/>
            <w:textDirection w:val="btLr"/>
            <w:vAlign w:val="center"/>
            <w:hideMark/>
          </w:tcPr>
          <w:p w14:paraId="27E2C7C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Michelle Camicia</w:t>
            </w:r>
          </w:p>
        </w:tc>
        <w:tc>
          <w:tcPr>
            <w:tcW w:w="240" w:type="pct"/>
            <w:textDirection w:val="btLr"/>
            <w:vAlign w:val="center"/>
            <w:hideMark/>
          </w:tcPr>
          <w:p w14:paraId="4216B6C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3" w:type="pct"/>
            <w:textDirection w:val="btLr"/>
            <w:vAlign w:val="center"/>
            <w:hideMark/>
          </w:tcPr>
          <w:p w14:paraId="7C6E741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92" w:type="pct"/>
            <w:textDirection w:val="btLr"/>
            <w:vAlign w:val="center"/>
            <w:hideMark/>
          </w:tcPr>
          <w:p w14:paraId="3469607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49A7813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Stroke patients transitioning from acute care to various post-acute care settings</w:t>
            </w:r>
          </w:p>
        </w:tc>
        <w:tc>
          <w:tcPr>
            <w:tcW w:w="193" w:type="pct"/>
            <w:textDirection w:val="btLr"/>
            <w:vAlign w:val="center"/>
            <w:hideMark/>
          </w:tcPr>
          <w:p w14:paraId="3A15D53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240" w:type="pct"/>
            <w:textDirection w:val="btLr"/>
            <w:vAlign w:val="center"/>
            <w:hideMark/>
          </w:tcPr>
          <w:p w14:paraId="72A20AA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4D7EA64B" w14:textId="1FA3F2F4"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w:t>
            </w:r>
            <w:r w:rsidR="00E407BF" w:rsidRPr="00CE1629">
              <w:rPr>
                <w:rFonts w:eastAsia="Times New Roman"/>
                <w:i w:val="0"/>
                <w:color w:val="000000"/>
                <w:kern w:val="0"/>
                <w:sz w:val="16"/>
                <w:szCs w:val="16"/>
                <w:lang w:val="en-GB" w:eastAsia="en-GB"/>
                <w14:ligatures w14:val="none"/>
              </w:rPr>
              <w:t>ome care</w:t>
            </w:r>
          </w:p>
        </w:tc>
        <w:tc>
          <w:tcPr>
            <w:tcW w:w="1155" w:type="pct"/>
            <w:textDirection w:val="btLr"/>
            <w:vAlign w:val="center"/>
            <w:hideMark/>
          </w:tcPr>
          <w:p w14:paraId="0EBE62F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Effective information transfer that contributes to optimal collaboration and coordination among the patient, family, and interprofessional team, family caregiver involvement and capacity, nurse-led transitional care programs (Nurses interact with patients/families at their most vulnerable times and often learn information critical to successful transition planning), early identification and communication of transition issues, including medication management in the transition plan (assessing patients medication, education and counselling about side effects)</w:t>
            </w:r>
          </w:p>
        </w:tc>
        <w:tc>
          <w:tcPr>
            <w:tcW w:w="1056" w:type="pct"/>
            <w:textDirection w:val="btLr"/>
            <w:vAlign w:val="center"/>
            <w:hideMark/>
          </w:tcPr>
          <w:p w14:paraId="38E8524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Poor communication and coordination, insufficient preparation and support for family caregivers, limited finances</w:t>
            </w:r>
          </w:p>
        </w:tc>
      </w:tr>
      <w:tr w:rsidR="00E407BF" w:rsidRPr="00CE1629" w14:paraId="0921A669" w14:textId="77777777" w:rsidTr="0002791C">
        <w:trPr>
          <w:cantSplit/>
          <w:trHeight w:val="2600"/>
        </w:trPr>
        <w:tc>
          <w:tcPr>
            <w:tcW w:w="864" w:type="pct"/>
            <w:textDirection w:val="btLr"/>
            <w:vAlign w:val="center"/>
            <w:hideMark/>
          </w:tcPr>
          <w:p w14:paraId="5BA79F5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From facility to home: How healthcare could shift by 2025</w:t>
            </w:r>
          </w:p>
        </w:tc>
        <w:tc>
          <w:tcPr>
            <w:tcW w:w="193" w:type="pct"/>
            <w:textDirection w:val="btLr"/>
            <w:vAlign w:val="center"/>
            <w:hideMark/>
          </w:tcPr>
          <w:p w14:paraId="4899215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Oleg Bestsennyy</w:t>
            </w:r>
          </w:p>
        </w:tc>
        <w:tc>
          <w:tcPr>
            <w:tcW w:w="240" w:type="pct"/>
            <w:textDirection w:val="btLr"/>
            <w:vAlign w:val="center"/>
            <w:hideMark/>
          </w:tcPr>
          <w:p w14:paraId="35A060F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64B5C31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92" w:type="pct"/>
            <w:textDirection w:val="btLr"/>
            <w:vAlign w:val="center"/>
            <w:hideMark/>
          </w:tcPr>
          <w:p w14:paraId="2C09585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7D8FC4E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Elderly patients or patients with chronic conditions who might be eligible for Care at Home services.</w:t>
            </w:r>
          </w:p>
        </w:tc>
        <w:tc>
          <w:tcPr>
            <w:tcW w:w="193" w:type="pct"/>
            <w:textDirection w:val="btLr"/>
            <w:vAlign w:val="center"/>
            <w:hideMark/>
          </w:tcPr>
          <w:p w14:paraId="0F82631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1820E6D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41448C63" w14:textId="3D0FF3F3"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w:t>
            </w:r>
            <w:r w:rsidR="00E407BF" w:rsidRPr="00CE1629">
              <w:rPr>
                <w:rFonts w:eastAsia="Times New Roman"/>
                <w:i w:val="0"/>
                <w:color w:val="000000"/>
                <w:kern w:val="0"/>
                <w:sz w:val="16"/>
                <w:szCs w:val="16"/>
                <w:lang w:val="en-GB" w:eastAsia="en-GB"/>
                <w14:ligatures w14:val="none"/>
              </w:rPr>
              <w:t>ome care</w:t>
            </w:r>
          </w:p>
        </w:tc>
        <w:tc>
          <w:tcPr>
            <w:tcW w:w="1155" w:type="pct"/>
            <w:textDirection w:val="btLr"/>
            <w:vAlign w:val="center"/>
            <w:hideMark/>
          </w:tcPr>
          <w:p w14:paraId="7DCA9A5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Growth in virtual care, emergence of new technologies, investment in the digital health market, economic viability of Care at Home, physician awareness and perceptions, patient preferences, and policy changes in healthcare reimbursement.</w:t>
            </w:r>
          </w:p>
        </w:tc>
        <w:tc>
          <w:tcPr>
            <w:tcW w:w="1056" w:type="pct"/>
            <w:textDirection w:val="btLr"/>
            <w:vAlign w:val="center"/>
            <w:hideMark/>
          </w:tcPr>
          <w:p w14:paraId="608FD66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6EF318DD" w14:textId="77777777" w:rsidTr="0002791C">
        <w:trPr>
          <w:cantSplit/>
          <w:trHeight w:val="2411"/>
        </w:trPr>
        <w:tc>
          <w:tcPr>
            <w:tcW w:w="864" w:type="pct"/>
            <w:textDirection w:val="btLr"/>
            <w:vAlign w:val="center"/>
            <w:hideMark/>
          </w:tcPr>
          <w:p w14:paraId="6AF9ADF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Factors associated with non-home discharge of patients hospitalized for hip fracture: A nationwide retrospective study using the Japanese diagnostic procedure combination database</w:t>
            </w:r>
          </w:p>
        </w:tc>
        <w:tc>
          <w:tcPr>
            <w:tcW w:w="193" w:type="pct"/>
            <w:textDirection w:val="btLr"/>
            <w:vAlign w:val="center"/>
            <w:hideMark/>
          </w:tcPr>
          <w:p w14:paraId="0793897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Mutsuko Moriwaki</w:t>
            </w:r>
          </w:p>
        </w:tc>
        <w:tc>
          <w:tcPr>
            <w:tcW w:w="240" w:type="pct"/>
            <w:textDirection w:val="btLr"/>
            <w:vAlign w:val="center"/>
            <w:hideMark/>
          </w:tcPr>
          <w:p w14:paraId="420D5EA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15F48D3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April 2018-March 2019</w:t>
            </w:r>
          </w:p>
        </w:tc>
        <w:tc>
          <w:tcPr>
            <w:tcW w:w="192" w:type="pct"/>
            <w:textDirection w:val="btLr"/>
            <w:vAlign w:val="center"/>
            <w:hideMark/>
          </w:tcPr>
          <w:p w14:paraId="61D9AC4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76B2F5F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aged ≥ 65 years who were hospitalized and discharged between April 2018 and March 2019</w:t>
            </w:r>
          </w:p>
        </w:tc>
        <w:tc>
          <w:tcPr>
            <w:tcW w:w="193" w:type="pct"/>
            <w:textDirection w:val="btLr"/>
            <w:vAlign w:val="center"/>
            <w:hideMark/>
          </w:tcPr>
          <w:p w14:paraId="4A92B3D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90AE28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31A031B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699F7AC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(75 to 84 years and ≥85 years), electrocardiography or respiratory treatment, level of assistance with activities of daily living, and hospital where the patient-to-nurse ratio is 7:1</w:t>
            </w:r>
          </w:p>
        </w:tc>
        <w:tc>
          <w:tcPr>
            <w:tcW w:w="1056" w:type="pct"/>
            <w:textDirection w:val="btLr"/>
            <w:vAlign w:val="center"/>
            <w:hideMark/>
          </w:tcPr>
          <w:p w14:paraId="263589C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248B29C1" w14:textId="77777777" w:rsidTr="0002791C">
        <w:trPr>
          <w:cantSplit/>
          <w:trHeight w:val="2609"/>
        </w:trPr>
        <w:tc>
          <w:tcPr>
            <w:tcW w:w="864" w:type="pct"/>
            <w:textDirection w:val="btLr"/>
            <w:vAlign w:val="center"/>
            <w:hideMark/>
          </w:tcPr>
          <w:p w14:paraId="7F0DCF5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Scoping Review of Care Trajectories across Multiple Settings for Persons with Dementia</w:t>
            </w:r>
          </w:p>
        </w:tc>
        <w:tc>
          <w:tcPr>
            <w:tcW w:w="193" w:type="pct"/>
            <w:textDirection w:val="btLr"/>
            <w:vAlign w:val="center"/>
            <w:hideMark/>
          </w:tcPr>
          <w:p w14:paraId="4FD9375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Julie G. Kosteniuk</w:t>
            </w:r>
          </w:p>
        </w:tc>
        <w:tc>
          <w:tcPr>
            <w:tcW w:w="240" w:type="pct"/>
            <w:textDirection w:val="btLr"/>
            <w:vAlign w:val="center"/>
            <w:hideMark/>
          </w:tcPr>
          <w:p w14:paraId="5B2DF27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0CBC30A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2007-2017</w:t>
            </w:r>
          </w:p>
        </w:tc>
        <w:tc>
          <w:tcPr>
            <w:tcW w:w="192" w:type="pct"/>
            <w:textDirection w:val="btLr"/>
            <w:vAlign w:val="center"/>
            <w:hideMark/>
          </w:tcPr>
          <w:p w14:paraId="2AA3339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Multiple countries</w:t>
            </w:r>
          </w:p>
        </w:tc>
        <w:tc>
          <w:tcPr>
            <w:tcW w:w="481" w:type="pct"/>
            <w:textDirection w:val="btLr"/>
            <w:vAlign w:val="center"/>
            <w:hideMark/>
          </w:tcPr>
          <w:p w14:paraId="51FECED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Persons with dementia (age &gt;= 65)</w:t>
            </w:r>
          </w:p>
        </w:tc>
        <w:tc>
          <w:tcPr>
            <w:tcW w:w="193" w:type="pct"/>
            <w:textDirection w:val="btLr"/>
            <w:vAlign w:val="center"/>
            <w:hideMark/>
          </w:tcPr>
          <w:p w14:paraId="3751132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3C586FD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27C89A6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109901F2" w14:textId="01E934A6" w:rsidR="0002791C" w:rsidRPr="00CE1629" w:rsidRDefault="00E407BF" w:rsidP="0002791C">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Widowhood, older age, female sex, severity of dementia, co-morbidity, severity of medical issues, falls, and hip fractures, incontinence, cerebrovascular disease, and cancer, percutaneous endoscopic gastrostomy, tube insertion in hospital, greater functional disability, and diabetes</w:t>
            </w:r>
            <w:r w:rsidR="0002791C" w:rsidRPr="00CE1629">
              <w:rPr>
                <w:rFonts w:eastAsia="Times New Roman"/>
                <w:i w:val="0"/>
                <w:color w:val="000000"/>
                <w:kern w:val="0"/>
                <w:sz w:val="16"/>
                <w:szCs w:val="16"/>
                <w:lang w:val="en-GB" w:eastAsia="en-GB"/>
                <w14:ligatures w14:val="none"/>
              </w:rPr>
              <w:t>, behavioural and psychological</w:t>
            </w:r>
          </w:p>
          <w:p w14:paraId="55D81378" w14:textId="7F03AB43" w:rsidR="00E407BF" w:rsidRPr="00CE1629" w:rsidRDefault="0002791C" w:rsidP="0002791C">
            <w:pPr>
              <w:ind w:left="113" w:right="115"/>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symptoms associated with dementia</w:t>
            </w:r>
          </w:p>
        </w:tc>
        <w:tc>
          <w:tcPr>
            <w:tcW w:w="1056" w:type="pct"/>
            <w:textDirection w:val="btLr"/>
            <w:vAlign w:val="center"/>
            <w:hideMark/>
          </w:tcPr>
          <w:p w14:paraId="5D6FC95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553DACAA" w14:textId="77777777" w:rsidTr="0002791C">
        <w:trPr>
          <w:cantSplit/>
          <w:trHeight w:val="3230"/>
        </w:trPr>
        <w:tc>
          <w:tcPr>
            <w:tcW w:w="864" w:type="pct"/>
            <w:textDirection w:val="btLr"/>
            <w:vAlign w:val="center"/>
            <w:hideMark/>
          </w:tcPr>
          <w:p w14:paraId="09CD983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Beyond Clinical Complexity: Nonmedical Barriers to Nursing Home Care for Rural Residents</w:t>
            </w:r>
          </w:p>
        </w:tc>
        <w:tc>
          <w:tcPr>
            <w:tcW w:w="193" w:type="pct"/>
            <w:textDirection w:val="btLr"/>
            <w:vAlign w:val="center"/>
            <w:hideMark/>
          </w:tcPr>
          <w:p w14:paraId="2F5584A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Carrie Henning-Smith</w:t>
            </w:r>
          </w:p>
        </w:tc>
        <w:tc>
          <w:tcPr>
            <w:tcW w:w="240" w:type="pct"/>
            <w:textDirection w:val="btLr"/>
            <w:vAlign w:val="center"/>
            <w:hideMark/>
          </w:tcPr>
          <w:p w14:paraId="7ECE81C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5355DFA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Not Specified</w:t>
            </w:r>
          </w:p>
        </w:tc>
        <w:tc>
          <w:tcPr>
            <w:tcW w:w="192" w:type="pct"/>
            <w:textDirection w:val="btLr"/>
            <w:vAlign w:val="center"/>
            <w:hideMark/>
          </w:tcPr>
          <w:p w14:paraId="2072B9C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6C4ED20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Rural hospital discharge planners</w:t>
            </w:r>
          </w:p>
        </w:tc>
        <w:tc>
          <w:tcPr>
            <w:tcW w:w="193" w:type="pct"/>
            <w:textDirection w:val="btLr"/>
            <w:vAlign w:val="center"/>
            <w:hideMark/>
          </w:tcPr>
          <w:p w14:paraId="26DC273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66DA412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5E014D0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72F4EEA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3974E9E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financial issues, transportation barriers, nursing home availability and infrastructure, timeliness (mention in rural areas)</w:t>
            </w:r>
          </w:p>
        </w:tc>
      </w:tr>
      <w:tr w:rsidR="00E407BF" w:rsidRPr="00CE1629" w14:paraId="3FD0F308" w14:textId="77777777" w:rsidTr="0002791C">
        <w:trPr>
          <w:cantSplit/>
          <w:trHeight w:val="2240"/>
        </w:trPr>
        <w:tc>
          <w:tcPr>
            <w:tcW w:w="864" w:type="pct"/>
            <w:textDirection w:val="btLr"/>
            <w:vAlign w:val="center"/>
            <w:hideMark/>
          </w:tcPr>
          <w:p w14:paraId="3A15D19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Care patterns and predictors of community residence among older patients after hospital discharge for traumatic brain injury</w:t>
            </w:r>
          </w:p>
        </w:tc>
        <w:tc>
          <w:tcPr>
            <w:tcW w:w="193" w:type="pct"/>
            <w:textDirection w:val="btLr"/>
            <w:vAlign w:val="center"/>
            <w:hideMark/>
          </w:tcPr>
          <w:p w14:paraId="72178EC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Monique R. Pappadis</w:t>
            </w:r>
          </w:p>
        </w:tc>
        <w:tc>
          <w:tcPr>
            <w:tcW w:w="240" w:type="pct"/>
            <w:textDirection w:val="btLr"/>
            <w:vAlign w:val="center"/>
            <w:hideMark/>
          </w:tcPr>
          <w:p w14:paraId="0CCCAC0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22F1471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2014 to 2017</w:t>
            </w:r>
          </w:p>
        </w:tc>
        <w:tc>
          <w:tcPr>
            <w:tcW w:w="192" w:type="pct"/>
            <w:textDirection w:val="btLr"/>
            <w:vAlign w:val="center"/>
          </w:tcPr>
          <w:p w14:paraId="1D40109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w:t>
            </w:r>
          </w:p>
        </w:tc>
        <w:tc>
          <w:tcPr>
            <w:tcW w:w="481" w:type="pct"/>
            <w:textDirection w:val="btLr"/>
            <w:vAlign w:val="center"/>
            <w:hideMark/>
          </w:tcPr>
          <w:p w14:paraId="3DC8902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Medicare fee-for-service patients older than 65 years hospitalized for TBI in Texas</w:t>
            </w:r>
          </w:p>
        </w:tc>
        <w:tc>
          <w:tcPr>
            <w:tcW w:w="193" w:type="pct"/>
            <w:textDirection w:val="btLr"/>
            <w:vAlign w:val="center"/>
            <w:hideMark/>
          </w:tcPr>
          <w:p w14:paraId="524DE25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0F1A8E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21E8A83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5891B37" w14:textId="5566E956"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Female sex</w:t>
            </w:r>
            <w:r w:rsidRPr="00CE1629">
              <w:rPr>
                <w:rFonts w:eastAsia="Times New Roman"/>
                <w:i w:val="0"/>
                <w:color w:val="000000"/>
                <w:kern w:val="0"/>
                <w:sz w:val="16"/>
                <w:szCs w:val="16"/>
                <w:lang w:val="en-GB" w:eastAsia="en-GB"/>
                <w14:ligatures w14:val="none"/>
              </w:rPr>
              <w:br/>
              <w:t xml:space="preserve">    Hispanic ethnicity</w:t>
            </w:r>
            <w:r w:rsidRPr="00CE1629">
              <w:rPr>
                <w:rFonts w:eastAsia="Times New Roman"/>
                <w:i w:val="0"/>
                <w:color w:val="000000"/>
                <w:kern w:val="0"/>
                <w:sz w:val="16"/>
                <w:szCs w:val="16"/>
                <w:lang w:val="en-GB" w:eastAsia="en-GB"/>
                <w14:ligatures w14:val="none"/>
              </w:rPr>
              <w:br/>
              <w:t xml:space="preserve">    </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Other</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 xml:space="preserve"> race category (e.g., Asian/Pacific Islander), having a  Prior primary care provider (PCP) prior to hospitalization</w:t>
            </w:r>
          </w:p>
        </w:tc>
        <w:tc>
          <w:tcPr>
            <w:tcW w:w="1056" w:type="pct"/>
            <w:textDirection w:val="btLr"/>
            <w:vAlign w:val="center"/>
            <w:hideMark/>
          </w:tcPr>
          <w:p w14:paraId="27E60EC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75 and above</w:t>
            </w:r>
            <w:r w:rsidRPr="00CE1629">
              <w:rPr>
                <w:rFonts w:eastAsia="Times New Roman"/>
                <w:i w:val="0"/>
                <w:color w:val="000000"/>
                <w:kern w:val="0"/>
                <w:sz w:val="16"/>
                <w:szCs w:val="16"/>
                <w:lang w:val="en-GB" w:eastAsia="en-GB"/>
                <w14:ligatures w14:val="none"/>
              </w:rPr>
              <w:br/>
              <w:t xml:space="preserve">    Prior nursing home (NH) residence, Dual eligibility (Medicare and Medicaid), Prior traumatic brain injury (TBI) diagnosis, Moderate-to-severe trauma injury severity</w:t>
            </w:r>
          </w:p>
        </w:tc>
      </w:tr>
      <w:tr w:rsidR="00E407BF" w:rsidRPr="00CE1629" w14:paraId="4CF5136A" w14:textId="77777777" w:rsidTr="0002791C">
        <w:trPr>
          <w:cantSplit/>
          <w:trHeight w:val="2591"/>
        </w:trPr>
        <w:tc>
          <w:tcPr>
            <w:tcW w:w="864" w:type="pct"/>
            <w:textDirection w:val="btLr"/>
            <w:vAlign w:val="center"/>
            <w:hideMark/>
          </w:tcPr>
          <w:p w14:paraId="4E08497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Determining discharge destination in geriatric evaluation and management units: Is progressive goal attainment a better early indicator of discharge destination than improvement in functional independence measure scores?</w:t>
            </w:r>
          </w:p>
        </w:tc>
        <w:tc>
          <w:tcPr>
            <w:tcW w:w="193" w:type="pct"/>
            <w:textDirection w:val="btLr"/>
            <w:vAlign w:val="center"/>
            <w:hideMark/>
          </w:tcPr>
          <w:p w14:paraId="2EF7C9C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Susan Black</w:t>
            </w:r>
          </w:p>
        </w:tc>
        <w:tc>
          <w:tcPr>
            <w:tcW w:w="240" w:type="pct"/>
            <w:textDirection w:val="btLr"/>
            <w:vAlign w:val="center"/>
            <w:hideMark/>
          </w:tcPr>
          <w:p w14:paraId="7304A5D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145A2A8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Not Specified</w:t>
            </w:r>
          </w:p>
        </w:tc>
        <w:tc>
          <w:tcPr>
            <w:tcW w:w="192" w:type="pct"/>
            <w:textDirection w:val="btLr"/>
            <w:vAlign w:val="center"/>
            <w:hideMark/>
          </w:tcPr>
          <w:p w14:paraId="621F452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w:t>
            </w:r>
          </w:p>
        </w:tc>
        <w:tc>
          <w:tcPr>
            <w:tcW w:w="481" w:type="pct"/>
            <w:textDirection w:val="btLr"/>
            <w:vAlign w:val="center"/>
            <w:hideMark/>
          </w:tcPr>
          <w:p w14:paraId="64ACD284" w14:textId="25240779"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82 patients admitted to the hospital</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GEM Unit</w:t>
            </w:r>
          </w:p>
        </w:tc>
        <w:tc>
          <w:tcPr>
            <w:tcW w:w="193" w:type="pct"/>
            <w:textDirection w:val="btLr"/>
            <w:vAlign w:val="center"/>
            <w:hideMark/>
          </w:tcPr>
          <w:p w14:paraId="5514FAA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20DFC2D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4341749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412376B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positive effect on going to home: goal-attainment (patients who achieved their initial short-term goals were highly likely to be discharged home),</w:t>
            </w:r>
          </w:p>
        </w:tc>
        <w:tc>
          <w:tcPr>
            <w:tcW w:w="1056" w:type="pct"/>
            <w:textDirection w:val="btLr"/>
            <w:vAlign w:val="center"/>
            <w:hideMark/>
          </w:tcPr>
          <w:p w14:paraId="088E0F7E" w14:textId="6DFEAFA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7B4592A8" w14:textId="77777777" w:rsidTr="0002791C">
        <w:trPr>
          <w:cantSplit/>
          <w:trHeight w:val="3329"/>
        </w:trPr>
        <w:tc>
          <w:tcPr>
            <w:tcW w:w="864" w:type="pct"/>
            <w:textDirection w:val="btLr"/>
            <w:vAlign w:val="center"/>
            <w:hideMark/>
          </w:tcPr>
          <w:p w14:paraId="70F69DA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Development and validation of prediction models for the discharge destination of elderly patients with aspiration pneumonia</w:t>
            </w:r>
          </w:p>
        </w:tc>
        <w:tc>
          <w:tcPr>
            <w:tcW w:w="193" w:type="pct"/>
            <w:textDirection w:val="btLr"/>
            <w:vAlign w:val="center"/>
            <w:hideMark/>
          </w:tcPr>
          <w:p w14:paraId="400AE8D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Yoshito Hirota</w:t>
            </w:r>
          </w:p>
        </w:tc>
        <w:tc>
          <w:tcPr>
            <w:tcW w:w="240" w:type="pct"/>
            <w:textDirection w:val="btLr"/>
            <w:vAlign w:val="center"/>
            <w:hideMark/>
          </w:tcPr>
          <w:p w14:paraId="7D93133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0E54E4A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April 2020-March 2021</w:t>
            </w:r>
          </w:p>
        </w:tc>
        <w:tc>
          <w:tcPr>
            <w:tcW w:w="192" w:type="pct"/>
            <w:textDirection w:val="btLr"/>
            <w:vAlign w:val="center"/>
            <w:hideMark/>
          </w:tcPr>
          <w:p w14:paraId="69D55D3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39670DA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aged 65 years and older who were admitted to and discharged from the study hospitals between April 1, 2020, and March 31, 2021, and who were recorded as having aspiration pneumonia.</w:t>
            </w:r>
          </w:p>
        </w:tc>
        <w:tc>
          <w:tcPr>
            <w:tcW w:w="193" w:type="pct"/>
            <w:textDirection w:val="btLr"/>
            <w:vAlign w:val="center"/>
            <w:hideMark/>
          </w:tcPr>
          <w:p w14:paraId="4183C2B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6D1DAC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6BC28DC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1C71AB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BMI &gt;25</w:t>
            </w:r>
          </w:p>
        </w:tc>
        <w:tc>
          <w:tcPr>
            <w:tcW w:w="1056" w:type="pct"/>
            <w:textDirection w:val="btLr"/>
            <w:vAlign w:val="center"/>
            <w:hideMark/>
          </w:tcPr>
          <w:p w14:paraId="6E5984B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Negative effect on going home: older age, male gender, BMI lower than 18.5, needing assistance with at least one of the ten ADL functions of the Barthel index, malnutrition, impaired level of consciousness on the Japan coma scale, metastatic cancer, dementia, pressure ulcers, pleural effusion, oxygen administration, respiratory support, vasopressor administration, and sputum suctioning</w:t>
            </w:r>
          </w:p>
        </w:tc>
      </w:tr>
      <w:tr w:rsidR="00E407BF" w:rsidRPr="00CE1629" w14:paraId="0D4FF726" w14:textId="77777777" w:rsidTr="0002791C">
        <w:trPr>
          <w:cantSplit/>
          <w:trHeight w:val="2600"/>
        </w:trPr>
        <w:tc>
          <w:tcPr>
            <w:tcW w:w="864" w:type="pct"/>
            <w:textDirection w:val="btLr"/>
            <w:vAlign w:val="center"/>
            <w:hideMark/>
          </w:tcPr>
          <w:p w14:paraId="3718352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Discharge from hospital – a national survey of transition to out-patient care</w:t>
            </w:r>
          </w:p>
        </w:tc>
        <w:tc>
          <w:tcPr>
            <w:tcW w:w="193" w:type="pct"/>
            <w:textDirection w:val="btLr"/>
            <w:vAlign w:val="center"/>
            <w:hideMark/>
          </w:tcPr>
          <w:p w14:paraId="36BB4E2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Elizabeth Åhsberg</w:t>
            </w:r>
          </w:p>
        </w:tc>
        <w:tc>
          <w:tcPr>
            <w:tcW w:w="240" w:type="pct"/>
            <w:textDirection w:val="btLr"/>
            <w:vAlign w:val="center"/>
            <w:hideMark/>
          </w:tcPr>
          <w:p w14:paraId="4AB281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3D2ED3F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2014</w:t>
            </w:r>
          </w:p>
        </w:tc>
        <w:tc>
          <w:tcPr>
            <w:tcW w:w="192" w:type="pct"/>
            <w:textDirection w:val="btLr"/>
            <w:vAlign w:val="center"/>
            <w:hideMark/>
          </w:tcPr>
          <w:p w14:paraId="48874C8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Sweden</w:t>
            </w:r>
          </w:p>
        </w:tc>
        <w:tc>
          <w:tcPr>
            <w:tcW w:w="481" w:type="pct"/>
            <w:textDirection w:val="btLr"/>
            <w:vAlign w:val="center"/>
            <w:hideMark/>
          </w:tcPr>
          <w:p w14:paraId="0990AD8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discharged from Swedish hospitals in 2014, with a focus on those in need of further out-patient medical care and/or social services</w:t>
            </w:r>
          </w:p>
        </w:tc>
        <w:tc>
          <w:tcPr>
            <w:tcW w:w="193" w:type="pct"/>
            <w:textDirection w:val="btLr"/>
            <w:vAlign w:val="center"/>
            <w:hideMark/>
          </w:tcPr>
          <w:p w14:paraId="0E5E6BB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Mixed methods</w:t>
            </w:r>
          </w:p>
        </w:tc>
        <w:tc>
          <w:tcPr>
            <w:tcW w:w="240" w:type="pct"/>
            <w:textDirection w:val="btLr"/>
            <w:vAlign w:val="center"/>
            <w:hideMark/>
          </w:tcPr>
          <w:p w14:paraId="57560FA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1BA2AB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4AA3757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individual planning, geriatric assessment, support and patient education</w:t>
            </w:r>
          </w:p>
        </w:tc>
        <w:tc>
          <w:tcPr>
            <w:tcW w:w="1056" w:type="pct"/>
            <w:textDirection w:val="btLr"/>
            <w:vAlign w:val="center"/>
            <w:hideMark/>
          </w:tcPr>
          <w:p w14:paraId="7BDDF6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decreasing number of beds in hospitals and nursing homes, lack of staff with proper education, and problems in the transfer of information between caregivers.</w:t>
            </w:r>
          </w:p>
        </w:tc>
      </w:tr>
      <w:tr w:rsidR="00E407BF" w:rsidRPr="00CE1629" w14:paraId="1D7A39F0" w14:textId="77777777" w:rsidTr="0002791C">
        <w:trPr>
          <w:cantSplit/>
          <w:trHeight w:val="1970"/>
        </w:trPr>
        <w:tc>
          <w:tcPr>
            <w:tcW w:w="864" w:type="pct"/>
            <w:textDirection w:val="btLr"/>
            <w:vAlign w:val="center"/>
            <w:hideMark/>
          </w:tcPr>
          <w:p w14:paraId="4FC926B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Disparities in Discharge Destination After Lower Extremity Joint Arthroplasty: Analysis of 7924 Patients in an Urban Setting</w:t>
            </w:r>
          </w:p>
        </w:tc>
        <w:tc>
          <w:tcPr>
            <w:tcW w:w="193" w:type="pct"/>
            <w:textDirection w:val="btLr"/>
            <w:vAlign w:val="center"/>
            <w:hideMark/>
          </w:tcPr>
          <w:p w14:paraId="72DF70B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Ifeoma A. Inneh</w:t>
            </w:r>
          </w:p>
        </w:tc>
        <w:tc>
          <w:tcPr>
            <w:tcW w:w="240" w:type="pct"/>
            <w:textDirection w:val="btLr"/>
            <w:vAlign w:val="center"/>
            <w:hideMark/>
          </w:tcPr>
          <w:p w14:paraId="00F3A00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3" w:type="pct"/>
            <w:textDirection w:val="btLr"/>
            <w:vAlign w:val="center"/>
            <w:hideMark/>
          </w:tcPr>
          <w:p w14:paraId="1D4E0E8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2011 to 2014</w:t>
            </w:r>
          </w:p>
        </w:tc>
        <w:tc>
          <w:tcPr>
            <w:tcW w:w="192" w:type="pct"/>
            <w:textDirection w:val="btLr"/>
            <w:vAlign w:val="center"/>
            <w:hideMark/>
          </w:tcPr>
          <w:p w14:paraId="568FDB1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67D4A70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7924 patients admitted between 2011 and 2014 for primary or revision hip or knee arthroplasty at a single institution.</w:t>
            </w:r>
          </w:p>
        </w:tc>
        <w:tc>
          <w:tcPr>
            <w:tcW w:w="193" w:type="pct"/>
            <w:textDirection w:val="btLr"/>
            <w:vAlign w:val="center"/>
            <w:hideMark/>
          </w:tcPr>
          <w:p w14:paraId="6417C8F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F84E83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28CD934C" w14:textId="1F9FAE28"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w:t>
            </w:r>
            <w:r w:rsidR="00452896" w:rsidRPr="00CE1629">
              <w:rPr>
                <w:rFonts w:eastAsia="Times New Roman"/>
                <w:i w:val="0"/>
                <w:color w:val="000000"/>
                <w:kern w:val="0"/>
                <w:sz w:val="16"/>
                <w:szCs w:val="16"/>
                <w:lang w:val="en-GB" w:eastAsia="en-GB"/>
                <w14:ligatures w14:val="none"/>
              </w:rPr>
              <w:t xml:space="preserve"> care</w:t>
            </w:r>
          </w:p>
        </w:tc>
        <w:tc>
          <w:tcPr>
            <w:tcW w:w="1155" w:type="pct"/>
            <w:textDirection w:val="btLr"/>
            <w:vAlign w:val="center"/>
            <w:hideMark/>
          </w:tcPr>
          <w:p w14:paraId="7198944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Non-Black race/ethnicity</w:t>
            </w:r>
          </w:p>
        </w:tc>
        <w:tc>
          <w:tcPr>
            <w:tcW w:w="1056" w:type="pct"/>
            <w:textDirection w:val="btLr"/>
            <w:vAlign w:val="center"/>
            <w:hideMark/>
          </w:tcPr>
          <w:p w14:paraId="057CBD6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low to middle socioeconomic status, age, female gender, and undergoing a total knee arthroplasty procedure.</w:t>
            </w:r>
          </w:p>
        </w:tc>
      </w:tr>
      <w:tr w:rsidR="00E407BF" w:rsidRPr="00CE1629" w14:paraId="64F54076" w14:textId="77777777" w:rsidTr="0002791C">
        <w:trPr>
          <w:cantSplit/>
          <w:trHeight w:val="3410"/>
        </w:trPr>
        <w:tc>
          <w:tcPr>
            <w:tcW w:w="864" w:type="pct"/>
            <w:textDirection w:val="btLr"/>
            <w:vAlign w:val="center"/>
            <w:hideMark/>
          </w:tcPr>
          <w:p w14:paraId="750D5DC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Early Predictors for Discharge to Geriatric Rehabilitation after Hip Fracture Treatment of Older Patients</w:t>
            </w:r>
          </w:p>
        </w:tc>
        <w:tc>
          <w:tcPr>
            <w:tcW w:w="193" w:type="pct"/>
            <w:textDirection w:val="btLr"/>
            <w:vAlign w:val="center"/>
            <w:hideMark/>
          </w:tcPr>
          <w:p w14:paraId="1CD3F1A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Dieuwke van Dartel</w:t>
            </w:r>
          </w:p>
        </w:tc>
        <w:tc>
          <w:tcPr>
            <w:tcW w:w="240" w:type="pct"/>
            <w:textDirection w:val="btLr"/>
            <w:vAlign w:val="center"/>
            <w:hideMark/>
          </w:tcPr>
          <w:p w14:paraId="09EAD42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10D9F4B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2017 to 2019</w:t>
            </w:r>
          </w:p>
        </w:tc>
        <w:tc>
          <w:tcPr>
            <w:tcW w:w="192" w:type="pct"/>
            <w:textDirection w:val="btLr"/>
            <w:vAlign w:val="center"/>
            <w:hideMark/>
          </w:tcPr>
          <w:p w14:paraId="148E302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Netherlands</w:t>
            </w:r>
          </w:p>
        </w:tc>
        <w:tc>
          <w:tcPr>
            <w:tcW w:w="481" w:type="pct"/>
            <w:textDirection w:val="btLr"/>
            <w:vAlign w:val="center"/>
            <w:hideMark/>
          </w:tcPr>
          <w:p w14:paraId="2DDA24E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21,176 patients with hip fracture aged 70 years and older.</w:t>
            </w:r>
          </w:p>
        </w:tc>
        <w:tc>
          <w:tcPr>
            <w:tcW w:w="193" w:type="pct"/>
            <w:textDirection w:val="btLr"/>
            <w:vAlign w:val="center"/>
            <w:hideMark/>
          </w:tcPr>
          <w:p w14:paraId="24C7935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76CDC2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4647AD8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46D9AFB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positive on going to CCC: Higher age, poor premorbid mobility, lower premorbid Katz-ADL, no history of dementia, ASA score 3-5, general anaesthesia, intramedullary implant, and cotreatment by a geriatrician                           Positive on going to LTC: Higher age, poor premorbid mobility, history of dementia, higher premorbid Katz - ADL, ASA score 3-5, general anaesthesia, intramedullary implant, and cotreatment by a geriatrician</w:t>
            </w:r>
          </w:p>
        </w:tc>
        <w:tc>
          <w:tcPr>
            <w:tcW w:w="1056" w:type="pct"/>
            <w:textDirection w:val="btLr"/>
            <w:vAlign w:val="center"/>
            <w:hideMark/>
          </w:tcPr>
          <w:p w14:paraId="28371A3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2EED3C9C" w14:textId="77777777" w:rsidTr="0002791C">
        <w:trPr>
          <w:cantSplit/>
          <w:trHeight w:val="2510"/>
        </w:trPr>
        <w:tc>
          <w:tcPr>
            <w:tcW w:w="864" w:type="pct"/>
            <w:textDirection w:val="btLr"/>
            <w:vAlign w:val="center"/>
            <w:hideMark/>
          </w:tcPr>
          <w:p w14:paraId="2FB6ED9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Effectiveness and analysis of factors predictive of discharge to home in a 4-year cohort in a residential transitional care unit</w:t>
            </w:r>
          </w:p>
        </w:tc>
        <w:tc>
          <w:tcPr>
            <w:tcW w:w="193" w:type="pct"/>
            <w:textDirection w:val="btLr"/>
            <w:vAlign w:val="center"/>
            <w:hideMark/>
          </w:tcPr>
          <w:p w14:paraId="17C4D9C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Daniel Kam Yin Chan</w:t>
            </w:r>
          </w:p>
        </w:tc>
        <w:tc>
          <w:tcPr>
            <w:tcW w:w="240" w:type="pct"/>
            <w:textDirection w:val="btLr"/>
            <w:vAlign w:val="center"/>
            <w:hideMark/>
          </w:tcPr>
          <w:p w14:paraId="75E4463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5165B2E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 January 2014 to 31 December 2017</w:t>
            </w:r>
          </w:p>
        </w:tc>
        <w:tc>
          <w:tcPr>
            <w:tcW w:w="192" w:type="pct"/>
            <w:textDirection w:val="btLr"/>
            <w:vAlign w:val="center"/>
            <w:hideMark/>
          </w:tcPr>
          <w:p w14:paraId="458CE70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w:t>
            </w:r>
          </w:p>
        </w:tc>
        <w:tc>
          <w:tcPr>
            <w:tcW w:w="481" w:type="pct"/>
            <w:textDirection w:val="btLr"/>
            <w:vAlign w:val="center"/>
            <w:hideMark/>
          </w:tcPr>
          <w:p w14:paraId="4987468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admitted to the r-TACP unit during the study period. The majority of these patients were aged 65 years or older.</w:t>
            </w:r>
          </w:p>
        </w:tc>
        <w:tc>
          <w:tcPr>
            <w:tcW w:w="193" w:type="pct"/>
            <w:textDirection w:val="btLr"/>
            <w:vAlign w:val="center"/>
            <w:hideMark/>
          </w:tcPr>
          <w:p w14:paraId="65A9FD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57ED56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2DCE5AC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607DC6F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54467B1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Greater comorbidities (the Charlson Comorbidity Index (CCI)) and poorer baseline functional status (lower Barthel index on admission to CCC)</w:t>
            </w:r>
          </w:p>
        </w:tc>
      </w:tr>
      <w:tr w:rsidR="00E407BF" w:rsidRPr="00CE1629" w14:paraId="0C4A1D39" w14:textId="77777777" w:rsidTr="0002791C">
        <w:trPr>
          <w:cantSplit/>
          <w:trHeight w:val="2790"/>
        </w:trPr>
        <w:tc>
          <w:tcPr>
            <w:tcW w:w="864" w:type="pct"/>
            <w:textDirection w:val="btLr"/>
            <w:vAlign w:val="center"/>
            <w:hideMark/>
          </w:tcPr>
          <w:p w14:paraId="5E3AEDE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Factors Affecting Discharge to Home of Geriatric Intermediate Care Facility Residents in Japan</w:t>
            </w:r>
          </w:p>
        </w:tc>
        <w:tc>
          <w:tcPr>
            <w:tcW w:w="193" w:type="pct"/>
            <w:textDirection w:val="btLr"/>
            <w:vAlign w:val="center"/>
            <w:hideMark/>
          </w:tcPr>
          <w:p w14:paraId="15C6CBA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Kojiro Morita</w:t>
            </w:r>
          </w:p>
        </w:tc>
        <w:tc>
          <w:tcPr>
            <w:tcW w:w="240" w:type="pct"/>
            <w:textDirection w:val="btLr"/>
            <w:vAlign w:val="center"/>
            <w:hideMark/>
          </w:tcPr>
          <w:p w14:paraId="0680B49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129CF1A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April 2012–March 2014</w:t>
            </w:r>
          </w:p>
        </w:tc>
        <w:tc>
          <w:tcPr>
            <w:tcW w:w="192" w:type="pct"/>
            <w:textDirection w:val="btLr"/>
            <w:vAlign w:val="center"/>
            <w:hideMark/>
          </w:tcPr>
          <w:p w14:paraId="29EF639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5FCD76F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342,758 individuals newly admitted to 3,459 geriatric intermediate care facilities during the study period.</w:t>
            </w:r>
          </w:p>
        </w:tc>
        <w:tc>
          <w:tcPr>
            <w:tcW w:w="193" w:type="pct"/>
            <w:textDirection w:val="btLr"/>
            <w:vAlign w:val="center"/>
            <w:hideMark/>
          </w:tcPr>
          <w:p w14:paraId="6859E86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C34945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682CF71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0114EB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Male gender, using home-based services 1 month before admission, underwent rehabilitation service, being in facilities with more staff members per 100 beds</w:t>
            </w:r>
          </w:p>
        </w:tc>
        <w:tc>
          <w:tcPr>
            <w:tcW w:w="1056" w:type="pct"/>
            <w:textDirection w:val="btLr"/>
            <w:vAlign w:val="center"/>
            <w:hideMark/>
          </w:tcPr>
          <w:p w14:paraId="5305458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higher level of care need, having several medical conditions (including dementia and dysphagia), private ownership of the facility, more beds in the facility, and more LTC facility beds per 1,000 adults aged 65 and older in the region</w:t>
            </w:r>
          </w:p>
        </w:tc>
      </w:tr>
      <w:tr w:rsidR="00E407BF" w:rsidRPr="00CE1629" w14:paraId="5350E693" w14:textId="77777777" w:rsidTr="0002791C">
        <w:trPr>
          <w:cantSplit/>
          <w:trHeight w:val="3680"/>
        </w:trPr>
        <w:tc>
          <w:tcPr>
            <w:tcW w:w="864" w:type="pct"/>
            <w:textDirection w:val="btLr"/>
            <w:vAlign w:val="center"/>
            <w:hideMark/>
          </w:tcPr>
          <w:p w14:paraId="124FD5D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Factors affecting residents transition from</w:t>
            </w:r>
            <w:r w:rsidRPr="00CE1629">
              <w:rPr>
                <w:rFonts w:eastAsia="Times New Roman"/>
                <w:i w:val="0"/>
                <w:color w:val="000000"/>
                <w:kern w:val="0"/>
                <w:sz w:val="16"/>
                <w:szCs w:val="16"/>
                <w:lang w:val="en-GB" w:eastAsia="en-GB"/>
                <w14:ligatures w14:val="none"/>
              </w:rPr>
              <w:br/>
              <w:t>long term care facilities to the community:</w:t>
            </w:r>
            <w:r w:rsidRPr="00CE1629">
              <w:rPr>
                <w:rFonts w:eastAsia="Times New Roman"/>
                <w:i w:val="0"/>
                <w:color w:val="000000"/>
                <w:kern w:val="0"/>
                <w:sz w:val="16"/>
                <w:szCs w:val="16"/>
                <w:lang w:val="en-GB" w:eastAsia="en-GB"/>
                <w14:ligatures w14:val="none"/>
              </w:rPr>
              <w:br/>
              <w:t>a scoping review</w:t>
            </w:r>
          </w:p>
        </w:tc>
        <w:tc>
          <w:tcPr>
            <w:tcW w:w="193" w:type="pct"/>
            <w:textDirection w:val="btLr"/>
            <w:vAlign w:val="center"/>
            <w:hideMark/>
          </w:tcPr>
          <w:p w14:paraId="1BCC8E6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Shannon Freeman</w:t>
            </w:r>
          </w:p>
        </w:tc>
        <w:tc>
          <w:tcPr>
            <w:tcW w:w="240" w:type="pct"/>
            <w:textDirection w:val="btLr"/>
            <w:vAlign w:val="center"/>
            <w:hideMark/>
          </w:tcPr>
          <w:p w14:paraId="117FB65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6B833F4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2000 to 2015</w:t>
            </w:r>
          </w:p>
        </w:tc>
        <w:tc>
          <w:tcPr>
            <w:tcW w:w="192" w:type="pct"/>
            <w:textDirection w:val="btLr"/>
            <w:vAlign w:val="center"/>
            <w:hideMark/>
          </w:tcPr>
          <w:p w14:paraId="251EB96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Different countries</w:t>
            </w:r>
          </w:p>
        </w:tc>
        <w:tc>
          <w:tcPr>
            <w:tcW w:w="481" w:type="pct"/>
            <w:textDirection w:val="btLr"/>
            <w:vAlign w:val="center"/>
            <w:hideMark/>
          </w:tcPr>
          <w:p w14:paraId="26BB194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Residents of LTC facilities who have the potential to transition to community living.</w:t>
            </w:r>
          </w:p>
        </w:tc>
        <w:tc>
          <w:tcPr>
            <w:tcW w:w="193" w:type="pct"/>
            <w:textDirection w:val="btLr"/>
            <w:vAlign w:val="center"/>
            <w:hideMark/>
          </w:tcPr>
          <w:p w14:paraId="72C4A9F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7DB9D41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5D09F1A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6187C31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Younger age, married, female, having higher cognitive and physical abilities, received intense therapy, having a preference for discharge to the community, recently had fractures, medically stable, fit a community discharge profile, supported by LTCF staff, consistency of LTCF care, staff respect and dignity for the person, receiving independent living training or community skills training, caregiver support, medication management, available community supports for ADL</w:t>
            </w:r>
          </w:p>
        </w:tc>
        <w:tc>
          <w:tcPr>
            <w:tcW w:w="1056" w:type="pct"/>
            <w:textDirection w:val="btLr"/>
            <w:vAlign w:val="center"/>
            <w:hideMark/>
          </w:tcPr>
          <w:p w14:paraId="30554BF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cancer, cognitive impairment</w:t>
            </w:r>
          </w:p>
        </w:tc>
      </w:tr>
      <w:tr w:rsidR="00E407BF" w:rsidRPr="00CE1629" w14:paraId="36C41BF2" w14:textId="77777777" w:rsidTr="0002791C">
        <w:trPr>
          <w:cantSplit/>
          <w:trHeight w:val="2141"/>
        </w:trPr>
        <w:tc>
          <w:tcPr>
            <w:tcW w:w="864" w:type="pct"/>
            <w:textDirection w:val="btLr"/>
            <w:vAlign w:val="center"/>
            <w:hideMark/>
          </w:tcPr>
          <w:p w14:paraId="61AA820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Factors influencing home discharge after inpatient rehabilitation of older patients: a systematic review</w:t>
            </w:r>
          </w:p>
        </w:tc>
        <w:tc>
          <w:tcPr>
            <w:tcW w:w="193" w:type="pct"/>
            <w:textDirection w:val="btLr"/>
            <w:vAlign w:val="center"/>
            <w:hideMark/>
          </w:tcPr>
          <w:p w14:paraId="654BEEB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Irma H. J. Everink</w:t>
            </w:r>
          </w:p>
        </w:tc>
        <w:tc>
          <w:tcPr>
            <w:tcW w:w="240" w:type="pct"/>
            <w:textDirection w:val="btLr"/>
            <w:vAlign w:val="center"/>
            <w:hideMark/>
          </w:tcPr>
          <w:p w14:paraId="2D127D1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3" w:type="pct"/>
            <w:textDirection w:val="btLr"/>
            <w:vAlign w:val="center"/>
            <w:hideMark/>
          </w:tcPr>
          <w:p w14:paraId="39567AB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2000 to 2015</w:t>
            </w:r>
          </w:p>
        </w:tc>
        <w:tc>
          <w:tcPr>
            <w:tcW w:w="192" w:type="pct"/>
            <w:textDirection w:val="btLr"/>
            <w:vAlign w:val="center"/>
            <w:hideMark/>
          </w:tcPr>
          <w:p w14:paraId="45AE3BE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Different OECD countries</w:t>
            </w:r>
          </w:p>
        </w:tc>
        <w:tc>
          <w:tcPr>
            <w:tcW w:w="481" w:type="pct"/>
            <w:textDirection w:val="btLr"/>
            <w:vAlign w:val="center"/>
            <w:hideMark/>
          </w:tcPr>
          <w:p w14:paraId="483E12E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non-stroke patients undergoing rehabilitation</w:t>
            </w:r>
          </w:p>
        </w:tc>
        <w:tc>
          <w:tcPr>
            <w:tcW w:w="193" w:type="pct"/>
            <w:textDirection w:val="btLr"/>
            <w:vAlign w:val="center"/>
            <w:hideMark/>
          </w:tcPr>
          <w:p w14:paraId="1068AC1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1A9DFB3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39BA59A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D0EF14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Younger age, Non-white ethnicity, Being married, better functional and cognitive status, absence of depression, less clinical severity of the illness, No active cardiac pathology</w:t>
            </w:r>
          </w:p>
        </w:tc>
        <w:tc>
          <w:tcPr>
            <w:tcW w:w="1056" w:type="pct"/>
            <w:textDirection w:val="btLr"/>
            <w:vAlign w:val="center"/>
            <w:hideMark/>
          </w:tcPr>
          <w:p w14:paraId="014B09D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white ethnicity, being single or not married, poor functional and cognitive status, presence of depression, greater clinical severity of the illness, active cardiac pathology</w:t>
            </w:r>
          </w:p>
        </w:tc>
      </w:tr>
      <w:tr w:rsidR="00E407BF" w:rsidRPr="00CE1629" w14:paraId="6FC7A287" w14:textId="77777777" w:rsidTr="0002791C">
        <w:trPr>
          <w:cantSplit/>
          <w:trHeight w:val="2879"/>
        </w:trPr>
        <w:tc>
          <w:tcPr>
            <w:tcW w:w="864" w:type="pct"/>
            <w:textDirection w:val="btLr"/>
            <w:vAlign w:val="center"/>
            <w:hideMark/>
          </w:tcPr>
          <w:p w14:paraId="1C70F34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Frailty independently predicts unfavorable discharge in non-operative traumatic brain injury: A retrospective single-institution cohort study</w:t>
            </w:r>
          </w:p>
        </w:tc>
        <w:tc>
          <w:tcPr>
            <w:tcW w:w="193" w:type="pct"/>
            <w:textDirection w:val="btLr"/>
            <w:vAlign w:val="center"/>
            <w:hideMark/>
          </w:tcPr>
          <w:p w14:paraId="34319A0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Rahul A. Sastry</w:t>
            </w:r>
          </w:p>
        </w:tc>
        <w:tc>
          <w:tcPr>
            <w:tcW w:w="240" w:type="pct"/>
            <w:textDirection w:val="btLr"/>
            <w:vAlign w:val="center"/>
            <w:hideMark/>
          </w:tcPr>
          <w:p w14:paraId="6DEDB61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53702E4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 to 2021</w:t>
            </w:r>
          </w:p>
        </w:tc>
        <w:tc>
          <w:tcPr>
            <w:tcW w:w="192" w:type="pct"/>
            <w:textDirection w:val="btLr"/>
            <w:vAlign w:val="center"/>
            <w:hideMark/>
          </w:tcPr>
          <w:p w14:paraId="11AC5F6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CD4540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patients aged 70 or older admitted from home to the neurosurgical service of a single institution for non-operative TBI</w:t>
            </w:r>
          </w:p>
        </w:tc>
        <w:tc>
          <w:tcPr>
            <w:tcW w:w="193" w:type="pct"/>
            <w:textDirection w:val="btLr"/>
            <w:vAlign w:val="center"/>
            <w:hideMark/>
          </w:tcPr>
          <w:p w14:paraId="18A7413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37DC42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6ADBF37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13175B5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 frailty</w:t>
            </w:r>
          </w:p>
        </w:tc>
        <w:tc>
          <w:tcPr>
            <w:tcW w:w="1056" w:type="pct"/>
            <w:textDirection w:val="btLr"/>
            <w:vAlign w:val="center"/>
            <w:hideMark/>
          </w:tcPr>
          <w:p w14:paraId="02180D6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5611B24C" w14:textId="77777777" w:rsidTr="0002791C">
        <w:trPr>
          <w:cantSplit/>
          <w:trHeight w:val="2170"/>
        </w:trPr>
        <w:tc>
          <w:tcPr>
            <w:tcW w:w="864" w:type="pct"/>
            <w:textDirection w:val="btLr"/>
            <w:vAlign w:val="center"/>
            <w:hideMark/>
          </w:tcPr>
          <w:p w14:paraId="58B2FB0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Health, Social, and Functional Characteristics of Older Adults with Continuing Care Needs: Implications for Integrated Care.</w:t>
            </w:r>
          </w:p>
        </w:tc>
        <w:tc>
          <w:tcPr>
            <w:tcW w:w="193" w:type="pct"/>
            <w:textDirection w:val="btLr"/>
            <w:vAlign w:val="center"/>
            <w:hideMark/>
          </w:tcPr>
          <w:p w14:paraId="6554E7D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Cara Brown</w:t>
            </w:r>
          </w:p>
        </w:tc>
        <w:tc>
          <w:tcPr>
            <w:tcW w:w="240" w:type="pct"/>
            <w:textDirection w:val="btLr"/>
            <w:vAlign w:val="center"/>
            <w:hideMark/>
          </w:tcPr>
          <w:p w14:paraId="054E70E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2D4E334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2014 to 2016</w:t>
            </w:r>
          </w:p>
        </w:tc>
        <w:tc>
          <w:tcPr>
            <w:tcW w:w="192" w:type="pct"/>
            <w:textDirection w:val="btLr"/>
            <w:vAlign w:val="center"/>
            <w:hideMark/>
          </w:tcPr>
          <w:p w14:paraId="2C12BB3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65A5B15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hospitalized adults who required continuing care on discharge (N = 214)</w:t>
            </w:r>
          </w:p>
        </w:tc>
        <w:tc>
          <w:tcPr>
            <w:tcW w:w="193" w:type="pct"/>
            <w:textDirection w:val="btLr"/>
            <w:vAlign w:val="center"/>
            <w:hideMark/>
          </w:tcPr>
          <w:p w14:paraId="2091D19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52360E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09497B34" w14:textId="311D2E66"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r w:rsidR="00E407BF" w:rsidRPr="00CE1629">
              <w:rPr>
                <w:rFonts w:eastAsia="Times New Roman"/>
                <w:i w:val="0"/>
                <w:color w:val="000000"/>
                <w:kern w:val="0"/>
                <w:sz w:val="16"/>
                <w:szCs w:val="16"/>
                <w:lang w:val="en-GB" w:eastAsia="en-GB"/>
                <w14:ligatures w14:val="none"/>
              </w:rPr>
              <w:t>, CCC</w:t>
            </w:r>
          </w:p>
        </w:tc>
        <w:tc>
          <w:tcPr>
            <w:tcW w:w="1155" w:type="pct"/>
            <w:textDirection w:val="btLr"/>
            <w:vAlign w:val="center"/>
            <w:hideMark/>
          </w:tcPr>
          <w:p w14:paraId="630821F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Mental and behavioural issues, living alone, functional status, and preadmission concerns about the patient management in the community (needing assistance with toileting and mobilizing), vision or hearing difficulties</w:t>
            </w:r>
          </w:p>
        </w:tc>
        <w:tc>
          <w:tcPr>
            <w:tcW w:w="1056" w:type="pct"/>
            <w:textDirection w:val="btLr"/>
            <w:vAlign w:val="center"/>
            <w:hideMark/>
          </w:tcPr>
          <w:p w14:paraId="4A0C547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59AD31D3" w14:textId="77777777" w:rsidTr="0002791C">
        <w:trPr>
          <w:cantSplit/>
          <w:trHeight w:val="4940"/>
        </w:trPr>
        <w:tc>
          <w:tcPr>
            <w:tcW w:w="864" w:type="pct"/>
            <w:textDirection w:val="btLr"/>
            <w:vAlign w:val="center"/>
            <w:hideMark/>
          </w:tcPr>
          <w:p w14:paraId="7FF1EF9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Healthcare professionals’ perception of barriers and facilitators for care coordination of older adults with complex care needs being discharged from hospital: A qualitative comparative study of two Nordic capitals</w:t>
            </w:r>
          </w:p>
        </w:tc>
        <w:tc>
          <w:tcPr>
            <w:tcW w:w="193" w:type="pct"/>
            <w:textDirection w:val="btLr"/>
            <w:vAlign w:val="center"/>
            <w:hideMark/>
          </w:tcPr>
          <w:p w14:paraId="7F824A5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Janne Agerholm</w:t>
            </w:r>
          </w:p>
        </w:tc>
        <w:tc>
          <w:tcPr>
            <w:tcW w:w="240" w:type="pct"/>
            <w:textDirection w:val="btLr"/>
            <w:vAlign w:val="center"/>
            <w:hideMark/>
          </w:tcPr>
          <w:p w14:paraId="446B435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62029EE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 to 2019</w:t>
            </w:r>
          </w:p>
        </w:tc>
        <w:tc>
          <w:tcPr>
            <w:tcW w:w="192" w:type="pct"/>
            <w:textDirection w:val="btLr"/>
            <w:vAlign w:val="center"/>
            <w:hideMark/>
          </w:tcPr>
          <w:p w14:paraId="1996859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Denmark and Sweden</w:t>
            </w:r>
          </w:p>
        </w:tc>
        <w:tc>
          <w:tcPr>
            <w:tcW w:w="481" w:type="pct"/>
            <w:textDirection w:val="btLr"/>
            <w:vAlign w:val="center"/>
            <w:hideMark/>
          </w:tcPr>
          <w:p w14:paraId="3E8EE55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5 nurses and 2 assistant nurses involved in the coordination of the discharge process at hospitals or in the home healthcare services (Copenhagen n = 11, Stockholm n = 16)</w:t>
            </w:r>
          </w:p>
        </w:tc>
        <w:tc>
          <w:tcPr>
            <w:tcW w:w="193" w:type="pct"/>
            <w:textDirection w:val="btLr"/>
            <w:vAlign w:val="center"/>
            <w:hideMark/>
          </w:tcPr>
          <w:p w14:paraId="0B020AE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686861B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077A36C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6941CB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Regular visits by municipal discharge coordinators, shared information system, follow-home nurse, (  Municipal discharge coordinators visiting patients at the hospital before discharge and the follow-home nurse were seen as facilitators in Copenhagen.</w:t>
            </w:r>
            <w:r w:rsidRPr="00CE1629">
              <w:rPr>
                <w:rFonts w:eastAsia="Times New Roman"/>
                <w:i w:val="0"/>
                <w:color w:val="000000"/>
                <w:kern w:val="0"/>
                <w:sz w:val="16"/>
                <w:szCs w:val="16"/>
                <w:lang w:val="en-GB" w:eastAsia="en-GB"/>
                <w14:ligatures w14:val="none"/>
              </w:rPr>
              <w:br/>
              <w:t xml:space="preserve">    In Stockholm, the shared information system with access to patient records was lifted as a facilitator for coordination.</w:t>
            </w:r>
            <w:r w:rsidRPr="00CE1629">
              <w:rPr>
                <w:rFonts w:eastAsia="Times New Roman"/>
                <w:i w:val="0"/>
                <w:color w:val="000000"/>
                <w:kern w:val="0"/>
                <w:sz w:val="16"/>
                <w:szCs w:val="16"/>
                <w:lang w:val="en-GB" w:eastAsia="en-GB"/>
                <w14:ligatures w14:val="none"/>
              </w:rPr>
              <w:br/>
              <w:t xml:space="preserve">    Staff influence on coordination and information: The staff’s possibility to influence the coordination and the information provided.</w:t>
            </w:r>
            <w:r w:rsidRPr="00CE1629">
              <w:rPr>
                <w:rFonts w:eastAsia="Times New Roman"/>
                <w:i w:val="0"/>
                <w:color w:val="000000"/>
                <w:kern w:val="0"/>
                <w:sz w:val="16"/>
                <w:szCs w:val="16"/>
                <w:lang w:val="en-GB" w:eastAsia="en-GB"/>
                <w14:ligatures w14:val="none"/>
              </w:rPr>
              <w:br/>
              <w:t xml:space="preserve">    System knowledge: Knowledge about the system and the working conditions/responsibility of other actors.)</w:t>
            </w:r>
          </w:p>
        </w:tc>
        <w:tc>
          <w:tcPr>
            <w:tcW w:w="1056" w:type="pct"/>
            <w:textDirection w:val="btLr"/>
            <w:vAlign w:val="center"/>
            <w:hideMark/>
          </w:tcPr>
          <w:p w14:paraId="2B1EDA65" w14:textId="09205D6D"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Lack of information in care plans (Insufficient information/communication regarding the patients</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 xml:space="preserve"> care needs after discharge.)</w:t>
            </w:r>
            <w:r w:rsidRPr="00CE1629">
              <w:rPr>
                <w:rFonts w:eastAsia="Times New Roman"/>
                <w:i w:val="0"/>
                <w:color w:val="000000"/>
                <w:kern w:val="0"/>
                <w:sz w:val="16"/>
                <w:szCs w:val="16"/>
                <w:lang w:val="en-GB" w:eastAsia="en-GB"/>
                <w14:ligatures w14:val="none"/>
              </w:rPr>
              <w:br/>
              <w:t xml:space="preserve">   Difficulty accessing collaborators (Difficulties accessing collaborators.</w:t>
            </w:r>
            <w:r w:rsidRPr="00CE1629">
              <w:rPr>
                <w:rFonts w:eastAsia="Times New Roman"/>
                <w:i w:val="0"/>
                <w:color w:val="000000"/>
                <w:kern w:val="0"/>
                <w:sz w:val="16"/>
                <w:szCs w:val="16"/>
                <w:lang w:val="en-GB" w:eastAsia="en-GB"/>
                <w14:ligatures w14:val="none"/>
              </w:rPr>
              <w:br/>
              <w:t xml:space="preserve">    Uncertain responsibility: Uncertainty about who is responsible in specific situations.)</w:t>
            </w:r>
            <w:r w:rsidRPr="00CE1629">
              <w:rPr>
                <w:rFonts w:eastAsia="Times New Roman"/>
                <w:i w:val="0"/>
                <w:color w:val="000000"/>
                <w:kern w:val="0"/>
                <w:sz w:val="16"/>
                <w:szCs w:val="16"/>
                <w:lang w:val="en-GB" w:eastAsia="en-GB"/>
                <w14:ligatures w14:val="none"/>
              </w:rPr>
              <w:br/>
              <w:t xml:space="preserve">   Work pressure on primary care nurses(Nursing staff at hospitals sometimes faced extreme challenges getting access to and collaborating with patients’ primary care clinics)</w:t>
            </w:r>
          </w:p>
        </w:tc>
      </w:tr>
      <w:tr w:rsidR="00E407BF" w:rsidRPr="00CE1629" w14:paraId="51E15676" w14:textId="77777777" w:rsidTr="0002791C">
        <w:trPr>
          <w:cantSplit/>
          <w:trHeight w:val="1961"/>
        </w:trPr>
        <w:tc>
          <w:tcPr>
            <w:tcW w:w="864" w:type="pct"/>
            <w:textDirection w:val="btLr"/>
            <w:vAlign w:val="center"/>
            <w:hideMark/>
          </w:tcPr>
          <w:p w14:paraId="645D636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 Discharge Decisions Concerning</w:t>
            </w:r>
            <w:r w:rsidRPr="00CE1629">
              <w:rPr>
                <w:rFonts w:eastAsia="Times New Roman"/>
                <w:i w:val="0"/>
                <w:color w:val="000000"/>
                <w:kern w:val="0"/>
                <w:sz w:val="16"/>
                <w:szCs w:val="16"/>
                <w:lang w:val="en-GB" w:eastAsia="en-GB"/>
                <w14:ligatures w14:val="none"/>
              </w:rPr>
              <w:br/>
              <w:t>Older Patients: Understanding the Underlying Process</w:t>
            </w:r>
          </w:p>
        </w:tc>
        <w:tc>
          <w:tcPr>
            <w:tcW w:w="193" w:type="pct"/>
            <w:textDirection w:val="btLr"/>
            <w:vAlign w:val="center"/>
            <w:hideMark/>
          </w:tcPr>
          <w:p w14:paraId="6DBAB0D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Pierre Koskas</w:t>
            </w:r>
          </w:p>
        </w:tc>
        <w:tc>
          <w:tcPr>
            <w:tcW w:w="240" w:type="pct"/>
            <w:textDirection w:val="btLr"/>
            <w:vAlign w:val="center"/>
            <w:hideMark/>
          </w:tcPr>
          <w:p w14:paraId="2E1F2D2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7D1507F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 2016</w:t>
            </w:r>
          </w:p>
        </w:tc>
        <w:tc>
          <w:tcPr>
            <w:tcW w:w="192" w:type="pct"/>
            <w:textDirection w:val="btLr"/>
            <w:vAlign w:val="center"/>
            <w:hideMark/>
          </w:tcPr>
          <w:p w14:paraId="2ADF68C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France</w:t>
            </w:r>
          </w:p>
        </w:tc>
        <w:tc>
          <w:tcPr>
            <w:tcW w:w="481" w:type="pct"/>
            <w:textDirection w:val="btLr"/>
            <w:vAlign w:val="center"/>
            <w:hideMark/>
          </w:tcPr>
          <w:p w14:paraId="57C41A7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hospitalized patients &gt;65 year at Bretonneau</w:t>
            </w:r>
            <w:r w:rsidRPr="00CE1629">
              <w:rPr>
                <w:rFonts w:eastAsia="Times New Roman"/>
                <w:i w:val="0"/>
                <w:color w:val="000000"/>
                <w:kern w:val="0"/>
                <w:sz w:val="16"/>
                <w:szCs w:val="16"/>
                <w:lang w:val="en-GB" w:eastAsia="en-GB"/>
                <w14:ligatures w14:val="none"/>
              </w:rPr>
              <w:br/>
              <w:t>Hospital</w:t>
            </w:r>
          </w:p>
        </w:tc>
        <w:tc>
          <w:tcPr>
            <w:tcW w:w="193" w:type="pct"/>
            <w:textDirection w:val="btLr"/>
            <w:vAlign w:val="center"/>
            <w:hideMark/>
          </w:tcPr>
          <w:p w14:paraId="19386EE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Mixed methods</w:t>
            </w:r>
          </w:p>
        </w:tc>
        <w:tc>
          <w:tcPr>
            <w:tcW w:w="240" w:type="pct"/>
            <w:textDirection w:val="btLr"/>
            <w:vAlign w:val="center"/>
            <w:hideMark/>
          </w:tcPr>
          <w:p w14:paraId="25041AD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2986926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2AAB73A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Isolation, social problems, refusal of care, behavioural symptoms perceived as aggressive</w:t>
            </w:r>
          </w:p>
        </w:tc>
        <w:tc>
          <w:tcPr>
            <w:tcW w:w="1056" w:type="pct"/>
            <w:textDirection w:val="btLr"/>
            <w:vAlign w:val="center"/>
            <w:hideMark/>
          </w:tcPr>
          <w:p w14:paraId="0E7FA4C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Reliable family caregivers, social support from family or professional home service</w:t>
            </w:r>
          </w:p>
        </w:tc>
      </w:tr>
      <w:tr w:rsidR="00E407BF" w:rsidRPr="00CE1629" w14:paraId="05509213" w14:textId="77777777" w:rsidTr="0002791C">
        <w:trPr>
          <w:cantSplit/>
          <w:trHeight w:val="1799"/>
        </w:trPr>
        <w:tc>
          <w:tcPr>
            <w:tcW w:w="864" w:type="pct"/>
            <w:textDirection w:val="btLr"/>
            <w:vAlign w:val="center"/>
            <w:hideMark/>
          </w:tcPr>
          <w:p w14:paraId="4CBEC37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Improved Prediction of Older Adult Discharge After</w:t>
            </w:r>
            <w:r w:rsidRPr="00CE1629">
              <w:rPr>
                <w:rFonts w:eastAsia="Times New Roman"/>
                <w:i w:val="0"/>
                <w:color w:val="000000"/>
                <w:kern w:val="0"/>
                <w:sz w:val="16"/>
                <w:szCs w:val="16"/>
                <w:lang w:val="en-GB" w:eastAsia="en-GB"/>
                <w14:ligatures w14:val="none"/>
              </w:rPr>
              <w:br/>
              <w:t>Trauma Using a Novel Machine Learning Paradigm</w:t>
            </w:r>
          </w:p>
        </w:tc>
        <w:tc>
          <w:tcPr>
            <w:tcW w:w="193" w:type="pct"/>
            <w:textDirection w:val="btLr"/>
            <w:vAlign w:val="center"/>
            <w:hideMark/>
          </w:tcPr>
          <w:p w14:paraId="4D5E44F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Rachel S. Morris</w:t>
            </w:r>
          </w:p>
        </w:tc>
        <w:tc>
          <w:tcPr>
            <w:tcW w:w="240" w:type="pct"/>
            <w:textDirection w:val="btLr"/>
            <w:vAlign w:val="center"/>
            <w:hideMark/>
          </w:tcPr>
          <w:p w14:paraId="348968B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16820C6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2007 to 2014</w:t>
            </w:r>
          </w:p>
        </w:tc>
        <w:tc>
          <w:tcPr>
            <w:tcW w:w="192" w:type="pct"/>
            <w:textDirection w:val="btLr"/>
            <w:vAlign w:val="center"/>
            <w:hideMark/>
          </w:tcPr>
          <w:p w14:paraId="16232E9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5EBF999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Individuals &gt;=65 admitted to a U.S. trauma centre for definitive care</w:t>
            </w:r>
          </w:p>
        </w:tc>
        <w:tc>
          <w:tcPr>
            <w:tcW w:w="193" w:type="pct"/>
            <w:textDirection w:val="btLr"/>
            <w:vAlign w:val="center"/>
            <w:hideMark/>
          </w:tcPr>
          <w:p w14:paraId="7774394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0C6498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1200DB0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45DF5A7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younger age, higher GCS score (Glasgow Coma Scale), the absence of a cervical spine fracture, a pelvic fracture or a hip fracture</w:t>
            </w:r>
          </w:p>
        </w:tc>
        <w:tc>
          <w:tcPr>
            <w:tcW w:w="1056" w:type="pct"/>
            <w:textDirection w:val="btLr"/>
            <w:vAlign w:val="center"/>
            <w:hideMark/>
          </w:tcPr>
          <w:p w14:paraId="249F10B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25382AD5" w14:textId="77777777" w:rsidTr="0002791C">
        <w:trPr>
          <w:cantSplit/>
          <w:trHeight w:val="3500"/>
        </w:trPr>
        <w:tc>
          <w:tcPr>
            <w:tcW w:w="864" w:type="pct"/>
            <w:textDirection w:val="btLr"/>
            <w:vAlign w:val="center"/>
            <w:hideMark/>
          </w:tcPr>
          <w:p w14:paraId="7F009DB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No Other Safe Care Option: Nursing Home Admission as a Last Resort Strategy</w:t>
            </w:r>
          </w:p>
        </w:tc>
        <w:tc>
          <w:tcPr>
            <w:tcW w:w="193" w:type="pct"/>
            <w:textDirection w:val="btLr"/>
            <w:vAlign w:val="center"/>
            <w:hideMark/>
          </w:tcPr>
          <w:p w14:paraId="55AF8C3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Heather J Campbell-Enns</w:t>
            </w:r>
          </w:p>
        </w:tc>
        <w:tc>
          <w:tcPr>
            <w:tcW w:w="240" w:type="pct"/>
            <w:textDirection w:val="btLr"/>
            <w:vAlign w:val="center"/>
            <w:hideMark/>
          </w:tcPr>
          <w:p w14:paraId="4AA3C55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07D5A75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Not Specified</w:t>
            </w:r>
          </w:p>
        </w:tc>
        <w:tc>
          <w:tcPr>
            <w:tcW w:w="192" w:type="pct"/>
            <w:textDirection w:val="btLr"/>
            <w:vAlign w:val="center"/>
            <w:hideMark/>
          </w:tcPr>
          <w:p w14:paraId="2A828D0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6D6A05A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13 lower-care residents living in nursing homes</w:t>
            </w:r>
            <w:r w:rsidRPr="00CE1629">
              <w:rPr>
                <w:rFonts w:eastAsia="Times New Roman"/>
                <w:i w:val="0"/>
                <w:color w:val="000000"/>
                <w:kern w:val="0"/>
                <w:sz w:val="16"/>
                <w:szCs w:val="16"/>
                <w:lang w:val="en-GB" w:eastAsia="en-GB"/>
                <w14:ligatures w14:val="none"/>
              </w:rPr>
              <w:br/>
              <w:t>and 13 family members of these residents.</w:t>
            </w:r>
          </w:p>
        </w:tc>
        <w:tc>
          <w:tcPr>
            <w:tcW w:w="193" w:type="pct"/>
            <w:textDirection w:val="btLr"/>
            <w:vAlign w:val="center"/>
            <w:hideMark/>
          </w:tcPr>
          <w:p w14:paraId="176716D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 interpretive description methodology</w:t>
            </w:r>
          </w:p>
        </w:tc>
        <w:tc>
          <w:tcPr>
            <w:tcW w:w="240" w:type="pct"/>
            <w:textDirection w:val="btLr"/>
            <w:vAlign w:val="center"/>
            <w:hideMark/>
          </w:tcPr>
          <w:p w14:paraId="68E4A4E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2697077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0B070A8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specialized supports targeting mental health and substance use needs, enhanced hospital discharge plans, improved information about community-based care options</w:t>
            </w:r>
          </w:p>
        </w:tc>
        <w:tc>
          <w:tcPr>
            <w:tcW w:w="1056" w:type="pct"/>
            <w:textDirection w:val="btLr"/>
            <w:vAlign w:val="center"/>
            <w:hideMark/>
          </w:tcPr>
          <w:p w14:paraId="282B6E6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Isolation, physical and cognitive decline, anxiety and depression, substance use, insufficient family caregiving support, limited and inflexible community services, ineffective discharge procedures from hospitals, lack of information regarding services and processes for accessing care</w:t>
            </w:r>
          </w:p>
        </w:tc>
      </w:tr>
      <w:tr w:rsidR="00E407BF" w:rsidRPr="00CE1629" w14:paraId="7AFB91EA" w14:textId="77777777" w:rsidTr="0002791C">
        <w:trPr>
          <w:cantSplit/>
          <w:trHeight w:val="2501"/>
        </w:trPr>
        <w:tc>
          <w:tcPr>
            <w:tcW w:w="864" w:type="pct"/>
            <w:textDirection w:val="btLr"/>
            <w:vAlign w:val="center"/>
            <w:hideMark/>
          </w:tcPr>
          <w:p w14:paraId="76D0020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Nursing Home Utilization following Implantable Cardioverter-</w:t>
            </w:r>
            <w:r w:rsidRPr="00CE1629">
              <w:rPr>
                <w:rFonts w:eastAsia="Times New Roman"/>
                <w:i w:val="0"/>
                <w:color w:val="000000"/>
                <w:kern w:val="0"/>
                <w:sz w:val="16"/>
                <w:szCs w:val="16"/>
                <w:lang w:val="en-GB" w:eastAsia="en-GB"/>
                <w14:ligatures w14:val="none"/>
              </w:rPr>
              <w:br/>
              <w:t>Defibrillator Implantation in Older Patients: Results from the</w:t>
            </w:r>
            <w:r w:rsidRPr="00CE1629">
              <w:rPr>
                <w:rFonts w:eastAsia="Times New Roman"/>
                <w:i w:val="0"/>
                <w:color w:val="000000"/>
                <w:kern w:val="0"/>
                <w:sz w:val="16"/>
                <w:szCs w:val="16"/>
                <w:lang w:val="en-GB" w:eastAsia="en-GB"/>
                <w14:ligatures w14:val="none"/>
              </w:rPr>
              <w:br/>
              <w:t>NCDR</w:t>
            </w:r>
          </w:p>
        </w:tc>
        <w:tc>
          <w:tcPr>
            <w:tcW w:w="193" w:type="pct"/>
            <w:textDirection w:val="btLr"/>
            <w:vAlign w:val="center"/>
            <w:hideMark/>
          </w:tcPr>
          <w:p w14:paraId="24EB69F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Daniel B. Kramer,</w:t>
            </w:r>
          </w:p>
        </w:tc>
        <w:tc>
          <w:tcPr>
            <w:tcW w:w="240" w:type="pct"/>
            <w:textDirection w:val="btLr"/>
            <w:vAlign w:val="center"/>
            <w:hideMark/>
          </w:tcPr>
          <w:p w14:paraId="764C057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5D7A619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2006 to 2010</w:t>
            </w:r>
          </w:p>
        </w:tc>
        <w:tc>
          <w:tcPr>
            <w:tcW w:w="192" w:type="pct"/>
            <w:textDirection w:val="btLr"/>
            <w:vAlign w:val="center"/>
            <w:hideMark/>
          </w:tcPr>
          <w:p w14:paraId="3AFE18D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410C0B8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192,483 patients &gt; 65 years receiving implantable cardioverter-defibrillators between January 1, 2006 – March 31,</w:t>
            </w:r>
            <w:r w:rsidRPr="00CE1629">
              <w:rPr>
                <w:rFonts w:eastAsia="Times New Roman"/>
                <w:i w:val="0"/>
                <w:color w:val="000000"/>
                <w:kern w:val="0"/>
                <w:sz w:val="16"/>
                <w:szCs w:val="16"/>
                <w:lang w:val="en-GB" w:eastAsia="en-GB"/>
                <w14:ligatures w14:val="none"/>
              </w:rPr>
              <w:br/>
              <w:t>2010</w:t>
            </w:r>
          </w:p>
        </w:tc>
        <w:tc>
          <w:tcPr>
            <w:tcW w:w="193" w:type="pct"/>
            <w:textDirection w:val="btLr"/>
            <w:vAlign w:val="center"/>
            <w:hideMark/>
          </w:tcPr>
          <w:p w14:paraId="0622496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C67B43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61795E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0834AB3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dementia, and recent prior NH stay, class IV heart failure,</w:t>
            </w:r>
          </w:p>
        </w:tc>
        <w:tc>
          <w:tcPr>
            <w:tcW w:w="1056" w:type="pct"/>
            <w:textDirection w:val="btLr"/>
            <w:vAlign w:val="center"/>
            <w:hideMark/>
          </w:tcPr>
          <w:p w14:paraId="6799310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75167259" w14:textId="77777777" w:rsidTr="0002791C">
        <w:trPr>
          <w:cantSplit/>
          <w:trHeight w:val="2159"/>
        </w:trPr>
        <w:tc>
          <w:tcPr>
            <w:tcW w:w="864" w:type="pct"/>
            <w:textDirection w:val="btLr"/>
            <w:vAlign w:val="center"/>
            <w:hideMark/>
          </w:tcPr>
          <w:p w14:paraId="2019C82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Positive Beliefs and the Likelihood of Successful Community Discharge From Skilled Nursing Facilities</w:t>
            </w:r>
          </w:p>
        </w:tc>
        <w:tc>
          <w:tcPr>
            <w:tcW w:w="193" w:type="pct"/>
            <w:textDirection w:val="btLr"/>
            <w:vAlign w:val="center"/>
            <w:hideMark/>
          </w:tcPr>
          <w:p w14:paraId="18213E1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Emily Evans</w:t>
            </w:r>
          </w:p>
        </w:tc>
        <w:tc>
          <w:tcPr>
            <w:tcW w:w="240" w:type="pct"/>
            <w:textDirection w:val="btLr"/>
            <w:vAlign w:val="center"/>
            <w:hideMark/>
          </w:tcPr>
          <w:p w14:paraId="4E57C6B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186FCDA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2011 to 2016</w:t>
            </w:r>
          </w:p>
        </w:tc>
        <w:tc>
          <w:tcPr>
            <w:tcW w:w="192" w:type="pct"/>
            <w:textDirection w:val="btLr"/>
            <w:vAlign w:val="center"/>
            <w:hideMark/>
          </w:tcPr>
          <w:p w14:paraId="143036D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8B5778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Fee-for-service Medicare beneficiaries (N=526,432) aged 66 years or older who were discharged to an SNF after hospitalization for stroke, hip fracture, or traumatic brain injury</w:t>
            </w:r>
          </w:p>
        </w:tc>
        <w:tc>
          <w:tcPr>
            <w:tcW w:w="193" w:type="pct"/>
            <w:textDirection w:val="btLr"/>
            <w:vAlign w:val="center"/>
            <w:hideMark/>
          </w:tcPr>
          <w:p w14:paraId="04B8501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2DE4489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29C2578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1FA3804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Positive patient beliefs about their capability to increase independence with ADLs, Positive staff beliefs about patient capability</w:t>
            </w:r>
          </w:p>
        </w:tc>
        <w:tc>
          <w:tcPr>
            <w:tcW w:w="1056" w:type="pct"/>
            <w:textDirection w:val="btLr"/>
            <w:vAlign w:val="center"/>
            <w:hideMark/>
          </w:tcPr>
          <w:p w14:paraId="5E7CCEC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Negative patient beliefs about their capability to increase independence with ADLs, Negative staff beliefs about patient capability</w:t>
            </w:r>
          </w:p>
        </w:tc>
      </w:tr>
      <w:tr w:rsidR="00E407BF" w:rsidRPr="00CE1629" w14:paraId="2EA2ADD4" w14:textId="77777777" w:rsidTr="0002791C">
        <w:trPr>
          <w:cantSplit/>
          <w:trHeight w:val="2170"/>
        </w:trPr>
        <w:tc>
          <w:tcPr>
            <w:tcW w:w="864" w:type="pct"/>
            <w:textDirection w:val="btLr"/>
            <w:vAlign w:val="center"/>
            <w:hideMark/>
          </w:tcPr>
          <w:p w14:paraId="792DC56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Predicting discharge to institutional LTC after hospital admission: a systematic review and meta-analysis</w:t>
            </w:r>
          </w:p>
        </w:tc>
        <w:tc>
          <w:tcPr>
            <w:tcW w:w="193" w:type="pct"/>
            <w:textDirection w:val="btLr"/>
            <w:vAlign w:val="center"/>
            <w:hideMark/>
          </w:tcPr>
          <w:p w14:paraId="6BFAF10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Jennifer Harrison</w:t>
            </w:r>
          </w:p>
        </w:tc>
        <w:tc>
          <w:tcPr>
            <w:tcW w:w="240" w:type="pct"/>
            <w:textDirection w:val="btLr"/>
            <w:vAlign w:val="center"/>
            <w:hideMark/>
          </w:tcPr>
          <w:p w14:paraId="14FDC06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65CB436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92" w:type="pct"/>
            <w:textDirection w:val="btLr"/>
            <w:vAlign w:val="center"/>
          </w:tcPr>
          <w:p w14:paraId="41E5964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Multiple countries </w:t>
            </w:r>
          </w:p>
        </w:tc>
        <w:tc>
          <w:tcPr>
            <w:tcW w:w="481" w:type="pct"/>
            <w:textDirection w:val="btLr"/>
            <w:vAlign w:val="center"/>
            <w:hideMark/>
          </w:tcPr>
          <w:p w14:paraId="1FC386D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354,985 participants admitted directly to long-term institutional care from the acute hospital</w:t>
            </w:r>
          </w:p>
        </w:tc>
        <w:tc>
          <w:tcPr>
            <w:tcW w:w="193" w:type="pct"/>
            <w:textDirection w:val="btLr"/>
            <w:vAlign w:val="center"/>
            <w:hideMark/>
          </w:tcPr>
          <w:p w14:paraId="2B19173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7C9D41E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37F6CE8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125D07B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female sex, dementia, functional dependency, malnutrition, unmarried status</w:t>
            </w:r>
          </w:p>
        </w:tc>
        <w:tc>
          <w:tcPr>
            <w:tcW w:w="1056" w:type="pct"/>
            <w:textDirection w:val="btLr"/>
            <w:vAlign w:val="center"/>
            <w:hideMark/>
          </w:tcPr>
          <w:p w14:paraId="15FD39E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45B18530" w14:textId="77777777" w:rsidTr="0002791C">
        <w:trPr>
          <w:cantSplit/>
          <w:trHeight w:val="3140"/>
        </w:trPr>
        <w:tc>
          <w:tcPr>
            <w:tcW w:w="864" w:type="pct"/>
            <w:textDirection w:val="btLr"/>
            <w:vAlign w:val="center"/>
            <w:hideMark/>
          </w:tcPr>
          <w:p w14:paraId="31F37B3A" w14:textId="340A0B56"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Predicting factors of elderly patients</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 xml:space="preserve"> discharge to home after rehabilitation in rural Japan: a retrospective cohort study.</w:t>
            </w:r>
          </w:p>
        </w:tc>
        <w:tc>
          <w:tcPr>
            <w:tcW w:w="193" w:type="pct"/>
            <w:textDirection w:val="btLr"/>
            <w:vAlign w:val="center"/>
            <w:hideMark/>
          </w:tcPr>
          <w:p w14:paraId="64CB386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Ryuichi Ohta</w:t>
            </w:r>
          </w:p>
        </w:tc>
        <w:tc>
          <w:tcPr>
            <w:tcW w:w="240" w:type="pct"/>
            <w:textDirection w:val="btLr"/>
            <w:vAlign w:val="center"/>
            <w:hideMark/>
          </w:tcPr>
          <w:p w14:paraId="633FF3E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277CC40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 to 2020</w:t>
            </w:r>
          </w:p>
        </w:tc>
        <w:tc>
          <w:tcPr>
            <w:tcW w:w="192" w:type="pct"/>
            <w:textDirection w:val="btLr"/>
            <w:vAlign w:val="center"/>
            <w:hideMark/>
          </w:tcPr>
          <w:p w14:paraId="7878211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339A818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783 consecutive patients aged over 65 years with frailty and multimorbidity who were admitted with acute diseases and underwent active rehabilitation at a rural community hospital.</w:t>
            </w:r>
          </w:p>
        </w:tc>
        <w:tc>
          <w:tcPr>
            <w:tcW w:w="193" w:type="pct"/>
            <w:textDirection w:val="btLr"/>
            <w:vAlign w:val="center"/>
            <w:hideMark/>
          </w:tcPr>
          <w:p w14:paraId="496873A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729DCC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2C07BBF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FC2243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high score in the motor component of the functional independence measure (FIM), shorter duration of stay</w:t>
            </w:r>
          </w:p>
        </w:tc>
        <w:tc>
          <w:tcPr>
            <w:tcW w:w="1056" w:type="pct"/>
            <w:textDirection w:val="btLr"/>
            <w:vAlign w:val="center"/>
            <w:hideMark/>
          </w:tcPr>
          <w:p w14:paraId="15F3D14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p>
        </w:tc>
      </w:tr>
      <w:tr w:rsidR="00E407BF" w:rsidRPr="00CE1629" w14:paraId="672B2F05" w14:textId="77777777" w:rsidTr="0002791C">
        <w:trPr>
          <w:cantSplit/>
          <w:trHeight w:val="2780"/>
        </w:trPr>
        <w:tc>
          <w:tcPr>
            <w:tcW w:w="864" w:type="pct"/>
            <w:textDirection w:val="btLr"/>
            <w:vAlign w:val="center"/>
            <w:hideMark/>
          </w:tcPr>
          <w:p w14:paraId="464F52D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Predictors of home discharge among patients hospitalized for behavioural and psychological symptoms of dementia</w:t>
            </w:r>
          </w:p>
        </w:tc>
        <w:tc>
          <w:tcPr>
            <w:tcW w:w="193" w:type="pct"/>
            <w:textDirection w:val="btLr"/>
            <w:vAlign w:val="center"/>
            <w:hideMark/>
          </w:tcPr>
          <w:p w14:paraId="6C29B1C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Shinnichi Tochimoto</w:t>
            </w:r>
          </w:p>
        </w:tc>
        <w:tc>
          <w:tcPr>
            <w:tcW w:w="240" w:type="pct"/>
            <w:textDirection w:val="btLr"/>
            <w:vAlign w:val="center"/>
            <w:hideMark/>
          </w:tcPr>
          <w:p w14:paraId="16954D6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w:t>
            </w:r>
          </w:p>
        </w:tc>
        <w:tc>
          <w:tcPr>
            <w:tcW w:w="193" w:type="pct"/>
            <w:textDirection w:val="btLr"/>
            <w:vAlign w:val="center"/>
            <w:hideMark/>
          </w:tcPr>
          <w:p w14:paraId="78C7078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April 2006 to March 2011</w:t>
            </w:r>
          </w:p>
        </w:tc>
        <w:tc>
          <w:tcPr>
            <w:tcW w:w="192" w:type="pct"/>
            <w:textDirection w:val="btLr"/>
            <w:vAlign w:val="center"/>
            <w:hideMark/>
          </w:tcPr>
          <w:p w14:paraId="0678150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47CC029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391 Consecutive patients who were admitted to the acute psychogeriatric ward of Ishikawa Prefectural Takamatsu Hospital from their own home for the treatment of BPSD </w:t>
            </w:r>
          </w:p>
        </w:tc>
        <w:tc>
          <w:tcPr>
            <w:tcW w:w="193" w:type="pct"/>
            <w:textDirection w:val="btLr"/>
            <w:vAlign w:val="center"/>
            <w:hideMark/>
          </w:tcPr>
          <w:p w14:paraId="788B37A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0FE3371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1AC47DF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F20363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 Mini-Mental State Examination, High Nishimura-style senile activities of daily living</w:t>
            </w:r>
          </w:p>
        </w:tc>
        <w:tc>
          <w:tcPr>
            <w:tcW w:w="1056" w:type="pct"/>
            <w:textDirection w:val="btLr"/>
            <w:vAlign w:val="center"/>
            <w:hideMark/>
          </w:tcPr>
          <w:p w14:paraId="11CC56D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Living alone and manifestation  of  aggressiveness  at  the  time  of admission</w:t>
            </w:r>
          </w:p>
        </w:tc>
      </w:tr>
      <w:tr w:rsidR="00E407BF" w:rsidRPr="00CE1629" w14:paraId="21306B04" w14:textId="77777777" w:rsidTr="0002791C">
        <w:trPr>
          <w:cantSplit/>
          <w:trHeight w:val="3050"/>
        </w:trPr>
        <w:tc>
          <w:tcPr>
            <w:tcW w:w="864" w:type="pct"/>
            <w:textDirection w:val="btLr"/>
            <w:vAlign w:val="center"/>
            <w:hideMark/>
          </w:tcPr>
          <w:p w14:paraId="7EB7BB4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Calling time on the ‘dance of the blind reflex’: how collaborative working reduced older persons’ length of stay in acute care and increased home discharge</w:t>
            </w:r>
          </w:p>
        </w:tc>
        <w:tc>
          <w:tcPr>
            <w:tcW w:w="193" w:type="pct"/>
            <w:textDirection w:val="btLr"/>
            <w:vAlign w:val="center"/>
            <w:hideMark/>
          </w:tcPr>
          <w:p w14:paraId="6998017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Dolores Donegan</w:t>
            </w:r>
          </w:p>
        </w:tc>
        <w:tc>
          <w:tcPr>
            <w:tcW w:w="240" w:type="pct"/>
            <w:textDirection w:val="btLr"/>
            <w:vAlign w:val="center"/>
            <w:hideMark/>
          </w:tcPr>
          <w:p w14:paraId="077DCD8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0042D24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 to 2019</w:t>
            </w:r>
          </w:p>
        </w:tc>
        <w:tc>
          <w:tcPr>
            <w:tcW w:w="192" w:type="pct"/>
            <w:textDirection w:val="btLr"/>
            <w:vAlign w:val="center"/>
            <w:hideMark/>
          </w:tcPr>
          <w:p w14:paraId="1E8A52B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Ireland</w:t>
            </w:r>
          </w:p>
        </w:tc>
        <w:tc>
          <w:tcPr>
            <w:tcW w:w="481" w:type="pct"/>
            <w:textDirection w:val="btLr"/>
            <w:vAlign w:val="center"/>
            <w:hideMark/>
          </w:tcPr>
          <w:p w14:paraId="3B93737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hospital patients aged over 65 years</w:t>
            </w:r>
          </w:p>
        </w:tc>
        <w:tc>
          <w:tcPr>
            <w:tcW w:w="193" w:type="pct"/>
            <w:textDirection w:val="btLr"/>
            <w:vAlign w:val="center"/>
            <w:hideMark/>
          </w:tcPr>
          <w:p w14:paraId="22C2A88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Practice development project</w:t>
            </w:r>
          </w:p>
        </w:tc>
        <w:tc>
          <w:tcPr>
            <w:tcW w:w="240" w:type="pct"/>
            <w:textDirection w:val="btLr"/>
            <w:vAlign w:val="center"/>
            <w:hideMark/>
          </w:tcPr>
          <w:p w14:paraId="20C8114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364B4FD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0241F74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an integrated system of care based on a combination of Lean Six Sigma and person-centred approaches, Creating a shared vision across all services that puts the patient at the centre of care supports, patients and families to choose and achieve their care preferences,  overall, these are the factors (Improved communication within and among services, and with patients and their families.</w:t>
            </w:r>
            <w:r w:rsidRPr="00CE1629">
              <w:rPr>
                <w:rFonts w:eastAsia="Times New Roman"/>
                <w:i w:val="0"/>
                <w:color w:val="000000"/>
                <w:kern w:val="0"/>
                <w:sz w:val="16"/>
                <w:szCs w:val="16"/>
                <w:lang w:val="en-GB" w:eastAsia="en-GB"/>
                <w14:ligatures w14:val="none"/>
              </w:rPr>
              <w:br/>
              <w:t>Enhanced patient and family involvement in care planning.</w:t>
            </w:r>
            <w:r w:rsidRPr="00CE1629">
              <w:rPr>
                <w:rFonts w:eastAsia="Times New Roman"/>
                <w:i w:val="0"/>
                <w:color w:val="000000"/>
                <w:kern w:val="0"/>
                <w:sz w:val="16"/>
                <w:szCs w:val="16"/>
                <w:lang w:val="en-GB" w:eastAsia="en-GB"/>
                <w14:ligatures w14:val="none"/>
              </w:rPr>
              <w:br/>
              <w:t>Use of Lean Six Sigma to streamline discharge processes.</w:t>
            </w:r>
            <w:r w:rsidRPr="00CE1629">
              <w:rPr>
                <w:rFonts w:eastAsia="Times New Roman"/>
                <w:i w:val="0"/>
                <w:color w:val="000000"/>
                <w:kern w:val="0"/>
                <w:sz w:val="16"/>
                <w:szCs w:val="16"/>
                <w:lang w:val="en-GB" w:eastAsia="en-GB"/>
                <w14:ligatures w14:val="none"/>
              </w:rPr>
              <w:br/>
              <w:t>Increased clarity of roles among healthcare providers.)</w:t>
            </w:r>
          </w:p>
        </w:tc>
        <w:tc>
          <w:tcPr>
            <w:tcW w:w="1056" w:type="pct"/>
            <w:textDirection w:val="btLr"/>
            <w:vAlign w:val="center"/>
            <w:hideMark/>
          </w:tcPr>
          <w:p w14:paraId="37B7CC9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4506F3E2" w14:textId="77777777" w:rsidTr="0002791C">
        <w:trPr>
          <w:cantSplit/>
          <w:trHeight w:val="1880"/>
        </w:trPr>
        <w:tc>
          <w:tcPr>
            <w:tcW w:w="864" w:type="pct"/>
            <w:textDirection w:val="btLr"/>
            <w:vAlign w:val="center"/>
            <w:hideMark/>
          </w:tcPr>
          <w:p w14:paraId="59863EB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Rural/urban differences in discharge from rehabilitation in older adults with traumatic brain injury.</w:t>
            </w:r>
          </w:p>
        </w:tc>
        <w:tc>
          <w:tcPr>
            <w:tcW w:w="193" w:type="pct"/>
            <w:textDirection w:val="btLr"/>
            <w:vAlign w:val="center"/>
            <w:hideMark/>
          </w:tcPr>
          <w:p w14:paraId="0E219AA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Anderson, Marie C</w:t>
            </w:r>
          </w:p>
        </w:tc>
        <w:tc>
          <w:tcPr>
            <w:tcW w:w="240" w:type="pct"/>
            <w:textDirection w:val="btLr"/>
            <w:vAlign w:val="center"/>
            <w:hideMark/>
          </w:tcPr>
          <w:p w14:paraId="3A37934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011AAA2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2011 to 2015</w:t>
            </w:r>
          </w:p>
        </w:tc>
        <w:tc>
          <w:tcPr>
            <w:tcW w:w="192" w:type="pct"/>
            <w:textDirection w:val="btLr"/>
            <w:vAlign w:val="center"/>
            <w:hideMark/>
          </w:tcPr>
          <w:p w14:paraId="76FE179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0CDD01D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Medicare beneficiaries aged 66 and older discharged to a SNF following hospitalization (n = 61,021)</w:t>
            </w:r>
          </w:p>
        </w:tc>
        <w:tc>
          <w:tcPr>
            <w:tcW w:w="193" w:type="pct"/>
            <w:textDirection w:val="btLr"/>
            <w:vAlign w:val="center"/>
            <w:hideMark/>
          </w:tcPr>
          <w:p w14:paraId="159D24E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89C519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2FF2A16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0A2722A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1A68E43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Rurality</w:t>
            </w:r>
          </w:p>
        </w:tc>
      </w:tr>
      <w:tr w:rsidR="00E407BF" w:rsidRPr="00CE1629" w14:paraId="02F1C885" w14:textId="77777777" w:rsidTr="0002791C">
        <w:trPr>
          <w:cantSplit/>
          <w:trHeight w:val="3770"/>
        </w:trPr>
        <w:tc>
          <w:tcPr>
            <w:tcW w:w="864" w:type="pct"/>
            <w:textDirection w:val="btLr"/>
            <w:vAlign w:val="center"/>
            <w:hideMark/>
          </w:tcPr>
          <w:p w14:paraId="36C6F4E7" w14:textId="0FF05212"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The influence of socio</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demographic factors and close relatives at hospital discharge and post hospital care of older people with complex care needs: nurses’ perceptions on health inequity in three Nordic cities</w:t>
            </w:r>
          </w:p>
        </w:tc>
        <w:tc>
          <w:tcPr>
            <w:tcW w:w="193" w:type="pct"/>
            <w:textDirection w:val="btLr"/>
            <w:vAlign w:val="center"/>
            <w:hideMark/>
          </w:tcPr>
          <w:p w14:paraId="09AE068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E. M. Liljas</w:t>
            </w:r>
          </w:p>
        </w:tc>
        <w:tc>
          <w:tcPr>
            <w:tcW w:w="240" w:type="pct"/>
            <w:textDirection w:val="btLr"/>
            <w:vAlign w:val="center"/>
            <w:hideMark/>
          </w:tcPr>
          <w:p w14:paraId="743E37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11ED832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 to 2019</w:t>
            </w:r>
          </w:p>
        </w:tc>
        <w:tc>
          <w:tcPr>
            <w:tcW w:w="192" w:type="pct"/>
            <w:textDirection w:val="btLr"/>
            <w:vAlign w:val="center"/>
            <w:hideMark/>
          </w:tcPr>
          <w:p w14:paraId="5FCCAD2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Sweden and Denmark</w:t>
            </w:r>
          </w:p>
        </w:tc>
        <w:tc>
          <w:tcPr>
            <w:tcW w:w="481" w:type="pct"/>
            <w:textDirection w:val="btLr"/>
            <w:vAlign w:val="center"/>
            <w:hideMark/>
          </w:tcPr>
          <w:p w14:paraId="4A1BB06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Healthcare professionals (nurses) involved in the hospital discharge process of older adults with complex care needs in Stockholm, Copenhagen, and Tampere.</w:t>
            </w:r>
          </w:p>
        </w:tc>
        <w:tc>
          <w:tcPr>
            <w:tcW w:w="193" w:type="pct"/>
            <w:textDirection w:val="btLr"/>
            <w:vAlign w:val="center"/>
            <w:hideMark/>
          </w:tcPr>
          <w:p w14:paraId="234AFCD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0ED392E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65B6D7D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2826676" w14:textId="3FDE0A49"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Close relatives providing support and information (information about their older relative</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everyday life and home situation)</w:t>
            </w:r>
          </w:p>
        </w:tc>
        <w:tc>
          <w:tcPr>
            <w:tcW w:w="1056" w:type="pct"/>
            <w:textDirection w:val="btLr"/>
            <w:vAlign w:val="center"/>
            <w:hideMark/>
          </w:tcPr>
          <w:p w14:paraId="4FA1882B" w14:textId="1879CE83"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Language barriers (especially for patients from ethnic minorities), Socioeconomic barriers (inability to afford care costs, medications, and home help), unfavourable home situations (sanitation of the patient</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home, changes to home environment), Poor collaboration between healthcare professionals at different sites, patient</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health, functional, and cognitive status, Inequities in local healthcare resources and collaboration (differences in care quality based on geographic location),</w:t>
            </w:r>
          </w:p>
        </w:tc>
      </w:tr>
      <w:tr w:rsidR="00E407BF" w:rsidRPr="00CE1629" w14:paraId="7C7FF4A6" w14:textId="77777777" w:rsidTr="0002791C">
        <w:trPr>
          <w:cantSplit/>
          <w:trHeight w:val="1880"/>
        </w:trPr>
        <w:tc>
          <w:tcPr>
            <w:tcW w:w="864" w:type="pct"/>
            <w:textDirection w:val="btLr"/>
            <w:vAlign w:val="center"/>
            <w:hideMark/>
          </w:tcPr>
          <w:p w14:paraId="10A6433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Factors Influencing Discharge Destination After Total Knee Arthroplasty: A Database Analysis</w:t>
            </w:r>
          </w:p>
        </w:tc>
        <w:tc>
          <w:tcPr>
            <w:tcW w:w="193" w:type="pct"/>
            <w:textDirection w:val="btLr"/>
            <w:vAlign w:val="center"/>
            <w:hideMark/>
          </w:tcPr>
          <w:p w14:paraId="556CCDC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Ran Schwarzkopf</w:t>
            </w:r>
          </w:p>
        </w:tc>
        <w:tc>
          <w:tcPr>
            <w:tcW w:w="240" w:type="pct"/>
            <w:textDirection w:val="btLr"/>
            <w:vAlign w:val="center"/>
            <w:hideMark/>
          </w:tcPr>
          <w:p w14:paraId="4A200CE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3" w:type="pct"/>
            <w:textDirection w:val="btLr"/>
            <w:vAlign w:val="center"/>
            <w:hideMark/>
          </w:tcPr>
          <w:p w14:paraId="4A9B2B0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2010</w:t>
            </w:r>
          </w:p>
        </w:tc>
        <w:tc>
          <w:tcPr>
            <w:tcW w:w="192" w:type="pct"/>
            <w:textDirection w:val="btLr"/>
            <w:vAlign w:val="center"/>
            <w:hideMark/>
          </w:tcPr>
          <w:p w14:paraId="3DCE2E6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29D6886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28 611 patients undergoing TKA hospitalized in the state of California</w:t>
            </w:r>
          </w:p>
        </w:tc>
        <w:tc>
          <w:tcPr>
            <w:tcW w:w="193" w:type="pct"/>
            <w:textDirection w:val="btLr"/>
            <w:vAlign w:val="center"/>
            <w:hideMark/>
          </w:tcPr>
          <w:p w14:paraId="263C65C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618AB1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2B68E64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LTC/CCC</w:t>
            </w:r>
          </w:p>
        </w:tc>
        <w:tc>
          <w:tcPr>
            <w:tcW w:w="1155" w:type="pct"/>
            <w:textDirection w:val="btLr"/>
            <w:vAlign w:val="center"/>
            <w:hideMark/>
          </w:tcPr>
          <w:p w14:paraId="7257FA8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Increased Charlson Index, age, Asian ethnicity, Black ethnicity, Hispanic ethnicity, being a Medicare patient</w:t>
            </w:r>
          </w:p>
        </w:tc>
        <w:tc>
          <w:tcPr>
            <w:tcW w:w="1056" w:type="pct"/>
            <w:textDirection w:val="btLr"/>
            <w:vAlign w:val="center"/>
            <w:hideMark/>
          </w:tcPr>
          <w:p w14:paraId="3431FB3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Male gender</w:t>
            </w:r>
          </w:p>
        </w:tc>
      </w:tr>
      <w:tr w:rsidR="00E407BF" w:rsidRPr="00CE1629" w14:paraId="50F27B90" w14:textId="77777777" w:rsidTr="0002791C">
        <w:trPr>
          <w:cantSplit/>
          <w:trHeight w:val="2480"/>
        </w:trPr>
        <w:tc>
          <w:tcPr>
            <w:tcW w:w="864" w:type="pct"/>
            <w:textDirection w:val="btLr"/>
            <w:vAlign w:val="center"/>
            <w:hideMark/>
          </w:tcPr>
          <w:p w14:paraId="53D98BE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Nonhome Discharge in Patients Undergoing Pelvic Reconstructive Surgery: A National Analysis</w:t>
            </w:r>
          </w:p>
        </w:tc>
        <w:tc>
          <w:tcPr>
            <w:tcW w:w="193" w:type="pct"/>
            <w:textDirection w:val="btLr"/>
            <w:vAlign w:val="center"/>
            <w:hideMark/>
          </w:tcPr>
          <w:p w14:paraId="5BD9D43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James H Ross</w:t>
            </w:r>
          </w:p>
        </w:tc>
        <w:tc>
          <w:tcPr>
            <w:tcW w:w="240" w:type="pct"/>
            <w:textDirection w:val="btLr"/>
            <w:vAlign w:val="center"/>
            <w:hideMark/>
          </w:tcPr>
          <w:p w14:paraId="4EB043D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5B2839F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2010 to 2018</w:t>
            </w:r>
          </w:p>
        </w:tc>
        <w:tc>
          <w:tcPr>
            <w:tcW w:w="192" w:type="pct"/>
            <w:textDirection w:val="btLr"/>
            <w:vAlign w:val="center"/>
            <w:hideMark/>
          </w:tcPr>
          <w:p w14:paraId="3145B4C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5A34A7D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38,012 patients who underwent Sacro colpopexy, vaginal colpopexy, and colocalises</w:t>
            </w:r>
          </w:p>
        </w:tc>
        <w:tc>
          <w:tcPr>
            <w:tcW w:w="193" w:type="pct"/>
            <w:textDirection w:val="btLr"/>
            <w:vAlign w:val="center"/>
            <w:hideMark/>
          </w:tcPr>
          <w:p w14:paraId="31176E0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AE589C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02E3020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59D116D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preoperative weight loss, dependent health care</w:t>
            </w:r>
            <w:r w:rsidRPr="00CE1629">
              <w:rPr>
                <w:rFonts w:eastAsia="Times New Roman"/>
                <w:i w:val="0"/>
                <w:color w:val="000000"/>
                <w:kern w:val="0"/>
                <w:sz w:val="16"/>
                <w:szCs w:val="16"/>
                <w:lang w:val="en-GB" w:eastAsia="en-GB"/>
                <w14:ligatures w14:val="none"/>
              </w:rPr>
              <w:br/>
              <w:t>status, abdominal hysterectomy, American Society of Anaesthesiologists class 3 or greater, age, operative</w:t>
            </w:r>
            <w:r w:rsidRPr="00CE1629">
              <w:rPr>
                <w:rFonts w:eastAsia="Times New Roman"/>
                <w:i w:val="0"/>
                <w:color w:val="000000"/>
                <w:kern w:val="0"/>
                <w:sz w:val="16"/>
                <w:szCs w:val="16"/>
                <w:lang w:val="en-GB" w:eastAsia="en-GB"/>
                <w14:ligatures w14:val="none"/>
              </w:rPr>
              <w:br/>
              <w:t>time, laparoscopic hysterectomy, laparoscopic Sacro colpopexy</w:t>
            </w:r>
          </w:p>
        </w:tc>
        <w:tc>
          <w:tcPr>
            <w:tcW w:w="1056" w:type="pct"/>
            <w:textDirection w:val="btLr"/>
            <w:vAlign w:val="center"/>
            <w:hideMark/>
          </w:tcPr>
          <w:p w14:paraId="45650EB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626507F2" w14:textId="77777777" w:rsidTr="0002791C">
        <w:trPr>
          <w:cantSplit/>
          <w:trHeight w:val="2170"/>
        </w:trPr>
        <w:tc>
          <w:tcPr>
            <w:tcW w:w="864" w:type="pct"/>
            <w:textDirection w:val="btLr"/>
            <w:vAlign w:val="center"/>
            <w:hideMark/>
          </w:tcPr>
          <w:p w14:paraId="017B318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Risk scoring model for prediction of non-home discharge after transcatheter aortic valve replacement</w:t>
            </w:r>
          </w:p>
        </w:tc>
        <w:tc>
          <w:tcPr>
            <w:tcW w:w="193" w:type="pct"/>
            <w:textDirection w:val="btLr"/>
            <w:vAlign w:val="center"/>
            <w:hideMark/>
          </w:tcPr>
          <w:p w14:paraId="6E280FA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Alexis K Okoh</w:t>
            </w:r>
          </w:p>
        </w:tc>
        <w:tc>
          <w:tcPr>
            <w:tcW w:w="240" w:type="pct"/>
            <w:textDirection w:val="btLr"/>
            <w:vAlign w:val="center"/>
            <w:hideMark/>
          </w:tcPr>
          <w:p w14:paraId="11EDBDC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6895882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June 2012 to December 2018</w:t>
            </w:r>
          </w:p>
        </w:tc>
        <w:tc>
          <w:tcPr>
            <w:tcW w:w="192" w:type="pct"/>
            <w:textDirection w:val="btLr"/>
            <w:vAlign w:val="center"/>
            <w:hideMark/>
          </w:tcPr>
          <w:p w14:paraId="4B942CD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0E89C9B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1126 patients discharged alive after transcatheter aortic valve replacement</w:t>
            </w:r>
          </w:p>
        </w:tc>
        <w:tc>
          <w:tcPr>
            <w:tcW w:w="193" w:type="pct"/>
            <w:textDirection w:val="btLr"/>
            <w:vAlign w:val="center"/>
            <w:hideMark/>
          </w:tcPr>
          <w:p w14:paraId="570C4A7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0D92BBE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513EAD75" w14:textId="5F482C4B"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r w:rsidR="00452896"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CCC</w:t>
            </w:r>
          </w:p>
        </w:tc>
        <w:tc>
          <w:tcPr>
            <w:tcW w:w="1155" w:type="pct"/>
            <w:textDirection w:val="btLr"/>
            <w:vAlign w:val="center"/>
            <w:hideMark/>
          </w:tcPr>
          <w:p w14:paraId="6C9151F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extreme age, female sex, elective procedures, history of</w:t>
            </w:r>
            <w:r w:rsidRPr="00CE1629">
              <w:rPr>
                <w:rFonts w:eastAsia="Times New Roman"/>
                <w:i w:val="0"/>
                <w:color w:val="000000"/>
                <w:kern w:val="0"/>
                <w:sz w:val="16"/>
                <w:szCs w:val="16"/>
                <w:lang w:val="en-GB" w:eastAsia="en-GB"/>
                <w14:ligatures w14:val="none"/>
              </w:rPr>
              <w:br/>
              <w:t>CABG, dyslipidaemia, chronic liver disease, history of pacemaker, non-transfemoral approach, postoperative complication</w:t>
            </w:r>
          </w:p>
        </w:tc>
        <w:tc>
          <w:tcPr>
            <w:tcW w:w="1056" w:type="pct"/>
            <w:textDirection w:val="btLr"/>
            <w:vAlign w:val="center"/>
            <w:hideMark/>
          </w:tcPr>
          <w:p w14:paraId="1E02899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6AC9DE91" w14:textId="77777777" w:rsidTr="0002791C">
        <w:trPr>
          <w:cantSplit/>
          <w:trHeight w:val="2170"/>
        </w:trPr>
        <w:tc>
          <w:tcPr>
            <w:tcW w:w="864" w:type="pct"/>
            <w:textDirection w:val="btLr"/>
            <w:vAlign w:val="center"/>
            <w:hideMark/>
          </w:tcPr>
          <w:p w14:paraId="58EEC18E" w14:textId="19449B6D"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Rehabilitation Providers</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 xml:space="preserve"> Prediction of the Likely Success of the SNF-to-Home Transition Differs by Discipline</w:t>
            </w:r>
          </w:p>
        </w:tc>
        <w:tc>
          <w:tcPr>
            <w:tcW w:w="193" w:type="pct"/>
            <w:textDirection w:val="btLr"/>
            <w:vAlign w:val="center"/>
            <w:hideMark/>
          </w:tcPr>
          <w:p w14:paraId="5A843AF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Adam Simning</w:t>
            </w:r>
          </w:p>
        </w:tc>
        <w:tc>
          <w:tcPr>
            <w:tcW w:w="240" w:type="pct"/>
            <w:textDirection w:val="btLr"/>
            <w:vAlign w:val="center"/>
            <w:hideMark/>
          </w:tcPr>
          <w:p w14:paraId="1DD7733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6D6C027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 to 2017</w:t>
            </w:r>
          </w:p>
        </w:tc>
        <w:tc>
          <w:tcPr>
            <w:tcW w:w="192" w:type="pct"/>
            <w:textDirection w:val="btLr"/>
            <w:vAlign w:val="center"/>
            <w:hideMark/>
          </w:tcPr>
          <w:p w14:paraId="63A8326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46A26DD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One hundred-twelve English-speaking adults aged 65 years and older admitted to 2 SNF rehabilitation units</w:t>
            </w:r>
          </w:p>
        </w:tc>
        <w:tc>
          <w:tcPr>
            <w:tcW w:w="193" w:type="pct"/>
            <w:textDirection w:val="btLr"/>
            <w:vAlign w:val="center"/>
            <w:hideMark/>
          </w:tcPr>
          <w:p w14:paraId="605D85F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EE8FD9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4B547D4A" w14:textId="76619D54"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w:t>
            </w:r>
            <w:r w:rsidR="00E407BF" w:rsidRPr="00CE1629">
              <w:rPr>
                <w:rFonts w:eastAsia="Times New Roman"/>
                <w:i w:val="0"/>
                <w:color w:val="000000"/>
                <w:kern w:val="0"/>
                <w:sz w:val="16"/>
                <w:szCs w:val="16"/>
                <w:lang w:val="en-GB" w:eastAsia="en-GB"/>
                <w14:ligatures w14:val="none"/>
              </w:rPr>
              <w:t>ome care</w:t>
            </w:r>
          </w:p>
        </w:tc>
        <w:tc>
          <w:tcPr>
            <w:tcW w:w="1155" w:type="pct"/>
            <w:textDirection w:val="btLr"/>
            <w:vAlign w:val="center"/>
            <w:hideMark/>
          </w:tcPr>
          <w:p w14:paraId="0357630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4A7E4FD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living alone, more medical conditions, lower physical functioning scores, and greater depression scores, occupational and physical therapists’ neutral or negative predictions of post SNF discharge outcomes</w:t>
            </w:r>
          </w:p>
        </w:tc>
      </w:tr>
      <w:tr w:rsidR="00E407BF" w:rsidRPr="00CE1629" w14:paraId="03720BF2" w14:textId="77777777" w:rsidTr="0002791C">
        <w:trPr>
          <w:cantSplit/>
          <w:trHeight w:val="1860"/>
        </w:trPr>
        <w:tc>
          <w:tcPr>
            <w:tcW w:w="864" w:type="pct"/>
            <w:textDirection w:val="btLr"/>
            <w:vAlign w:val="center"/>
            <w:hideMark/>
          </w:tcPr>
          <w:p w14:paraId="5D6C5D5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Using population-based routinely collected data from the Sentinel Stroke National Audit Programme to investigate factors associated with discharge to care home after rehabilitation</w:t>
            </w:r>
          </w:p>
        </w:tc>
        <w:tc>
          <w:tcPr>
            <w:tcW w:w="193" w:type="pct"/>
            <w:textDirection w:val="btLr"/>
            <w:vAlign w:val="center"/>
            <w:hideMark/>
          </w:tcPr>
          <w:p w14:paraId="21464F7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Dipankar Dutta</w:t>
            </w:r>
          </w:p>
        </w:tc>
        <w:tc>
          <w:tcPr>
            <w:tcW w:w="240" w:type="pct"/>
            <w:textDirection w:val="btLr"/>
            <w:vAlign w:val="center"/>
            <w:hideMark/>
          </w:tcPr>
          <w:p w14:paraId="216449A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1F6B2E7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2014 to 2017</w:t>
            </w:r>
          </w:p>
        </w:tc>
        <w:tc>
          <w:tcPr>
            <w:tcW w:w="192" w:type="pct"/>
            <w:textDirection w:val="btLr"/>
            <w:vAlign w:val="center"/>
            <w:hideMark/>
          </w:tcPr>
          <w:p w14:paraId="6DE2630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UK</w:t>
            </w:r>
          </w:p>
        </w:tc>
        <w:tc>
          <w:tcPr>
            <w:tcW w:w="481" w:type="pct"/>
            <w:textDirection w:val="btLr"/>
            <w:vAlign w:val="center"/>
            <w:hideMark/>
          </w:tcPr>
          <w:p w14:paraId="20FE98B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2595 patients admitted to Gloucestershire Royal Hospital, with a diagnosis of stroke confirmed by experienced stroke physicians</w:t>
            </w:r>
          </w:p>
        </w:tc>
        <w:tc>
          <w:tcPr>
            <w:tcW w:w="193" w:type="pct"/>
            <w:textDirection w:val="btLr"/>
            <w:vAlign w:val="center"/>
            <w:hideMark/>
          </w:tcPr>
          <w:p w14:paraId="6235070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275BAF5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0362C35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7EEC006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incontinence, dysphagia, severe weakness, pneumonia, urinary tract infection, depression</w:t>
            </w:r>
          </w:p>
        </w:tc>
        <w:tc>
          <w:tcPr>
            <w:tcW w:w="1056" w:type="pct"/>
            <w:textDirection w:val="btLr"/>
            <w:vAlign w:val="center"/>
            <w:hideMark/>
          </w:tcPr>
          <w:p w14:paraId="3ED81A3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7601A30A" w14:textId="77777777" w:rsidTr="0002791C">
        <w:trPr>
          <w:cantSplit/>
          <w:trHeight w:val="2170"/>
        </w:trPr>
        <w:tc>
          <w:tcPr>
            <w:tcW w:w="864" w:type="pct"/>
            <w:textDirection w:val="btLr"/>
            <w:vAlign w:val="center"/>
            <w:hideMark/>
          </w:tcPr>
          <w:p w14:paraId="4940E83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Volume matters: Returning home after hip fracture</w:t>
            </w:r>
          </w:p>
        </w:tc>
        <w:tc>
          <w:tcPr>
            <w:tcW w:w="193" w:type="pct"/>
            <w:textDirection w:val="btLr"/>
            <w:vAlign w:val="center"/>
            <w:hideMark/>
          </w:tcPr>
          <w:p w14:paraId="5A19E47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Gozalo, P.</w:t>
            </w:r>
          </w:p>
        </w:tc>
        <w:tc>
          <w:tcPr>
            <w:tcW w:w="240" w:type="pct"/>
            <w:textDirection w:val="btLr"/>
            <w:vAlign w:val="center"/>
            <w:hideMark/>
          </w:tcPr>
          <w:p w14:paraId="2E5DA80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w:t>
            </w:r>
          </w:p>
        </w:tc>
        <w:tc>
          <w:tcPr>
            <w:tcW w:w="193" w:type="pct"/>
            <w:textDirection w:val="btLr"/>
            <w:vAlign w:val="center"/>
            <w:hideMark/>
          </w:tcPr>
          <w:p w14:paraId="5A04F53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2000 to 2007</w:t>
            </w:r>
          </w:p>
        </w:tc>
        <w:tc>
          <w:tcPr>
            <w:tcW w:w="192" w:type="pct"/>
            <w:textDirection w:val="btLr"/>
            <w:vAlign w:val="center"/>
            <w:hideMark/>
          </w:tcPr>
          <w:p w14:paraId="0B40B19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4BEA1A4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Community-dwelling fee-for-service Medi-care beneficiaries aged 75 and older admitted to U.S. hospitals for their first hip fracture and discharged to a SNF for postacute care from 2000 to 2007 (N = 512,967)</w:t>
            </w:r>
          </w:p>
        </w:tc>
        <w:tc>
          <w:tcPr>
            <w:tcW w:w="193" w:type="pct"/>
            <w:textDirection w:val="btLr"/>
            <w:vAlign w:val="center"/>
            <w:hideMark/>
          </w:tcPr>
          <w:p w14:paraId="6EFE7AD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33BA952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(CCC)</w:t>
            </w:r>
          </w:p>
        </w:tc>
        <w:tc>
          <w:tcPr>
            <w:tcW w:w="193" w:type="pct"/>
            <w:textDirection w:val="btLr"/>
            <w:vAlign w:val="center"/>
            <w:hideMark/>
          </w:tcPr>
          <w:p w14:paraId="17F8719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12AED86" w14:textId="6AE1CD29"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SNF volume of hip fracture admissions (number of hip fracture admissions during the 12 months before participant</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fracture), Higher RN staffing levels (initial beneficial effects)</w:t>
            </w:r>
          </w:p>
        </w:tc>
        <w:tc>
          <w:tcPr>
            <w:tcW w:w="1056" w:type="pct"/>
            <w:textDirection w:val="btLr"/>
            <w:vAlign w:val="center"/>
            <w:hideMark/>
          </w:tcPr>
          <w:p w14:paraId="56E6F99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w:t>
            </w:r>
          </w:p>
        </w:tc>
      </w:tr>
      <w:tr w:rsidR="00E407BF" w:rsidRPr="00CE1629" w14:paraId="5A180635" w14:textId="77777777" w:rsidTr="0002791C">
        <w:trPr>
          <w:cantSplit/>
          <w:trHeight w:val="2790"/>
        </w:trPr>
        <w:tc>
          <w:tcPr>
            <w:tcW w:w="864" w:type="pct"/>
            <w:textDirection w:val="btLr"/>
            <w:vAlign w:val="center"/>
            <w:hideMark/>
          </w:tcPr>
          <w:p w14:paraId="37D8B5A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What Factors Predict Adverse Discharge Disposition in Patients Older Than 60 Years Undergoing Lower-</w:t>
            </w:r>
            <w:r w:rsidRPr="00CE1629">
              <w:rPr>
                <w:rFonts w:eastAsia="Times New Roman"/>
                <w:i w:val="0"/>
                <w:color w:val="000000"/>
                <w:kern w:val="0"/>
                <w:sz w:val="16"/>
                <w:szCs w:val="16"/>
                <w:lang w:val="en-GB" w:eastAsia="en-GB"/>
                <w14:ligatures w14:val="none"/>
              </w:rPr>
              <w:br/>
              <w:t>extremity Surgery? The Adverse Discharge in Older Patients after</w:t>
            </w:r>
            <w:r w:rsidRPr="00CE1629">
              <w:rPr>
                <w:rFonts w:eastAsia="Times New Roman"/>
                <w:i w:val="0"/>
                <w:color w:val="000000"/>
                <w:kern w:val="0"/>
                <w:sz w:val="16"/>
                <w:szCs w:val="16"/>
                <w:lang w:val="en-GB" w:eastAsia="en-GB"/>
                <w14:ligatures w14:val="none"/>
              </w:rPr>
              <w:br/>
              <w:t>Lower-extremity Surgery (ADELES) Risk Score</w:t>
            </w:r>
          </w:p>
        </w:tc>
        <w:tc>
          <w:tcPr>
            <w:tcW w:w="193" w:type="pct"/>
            <w:textDirection w:val="btLr"/>
            <w:vAlign w:val="center"/>
            <w:hideMark/>
          </w:tcPr>
          <w:p w14:paraId="0FBD039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Maximilian S. Schaefer</w:t>
            </w:r>
          </w:p>
        </w:tc>
        <w:tc>
          <w:tcPr>
            <w:tcW w:w="240" w:type="pct"/>
            <w:textDirection w:val="btLr"/>
            <w:vAlign w:val="center"/>
            <w:hideMark/>
          </w:tcPr>
          <w:p w14:paraId="613E5A8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3023646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2005 to 2017</w:t>
            </w:r>
          </w:p>
        </w:tc>
        <w:tc>
          <w:tcPr>
            <w:tcW w:w="192" w:type="pct"/>
            <w:textDirection w:val="btLr"/>
            <w:vAlign w:val="center"/>
            <w:hideMark/>
          </w:tcPr>
          <w:p w14:paraId="58D087B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52F309F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60 years or older undergoing lower-</w:t>
            </w:r>
            <w:r w:rsidRPr="00CE1629">
              <w:rPr>
                <w:rFonts w:eastAsia="Times New Roman"/>
                <w:i w:val="0"/>
                <w:color w:val="000000"/>
                <w:kern w:val="0"/>
                <w:sz w:val="16"/>
                <w:szCs w:val="16"/>
                <w:lang w:val="en-GB" w:eastAsia="en-GB"/>
                <w14:ligatures w14:val="none"/>
              </w:rPr>
              <w:br/>
              <w:t>extremity orthopaedic surgery</w:t>
            </w:r>
          </w:p>
        </w:tc>
        <w:tc>
          <w:tcPr>
            <w:tcW w:w="193" w:type="pct"/>
            <w:textDirection w:val="btLr"/>
            <w:vAlign w:val="center"/>
            <w:hideMark/>
          </w:tcPr>
          <w:p w14:paraId="50D3039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A3D285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2741A12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 CCC</w:t>
            </w:r>
          </w:p>
        </w:tc>
        <w:tc>
          <w:tcPr>
            <w:tcW w:w="1155" w:type="pct"/>
            <w:textDirection w:val="btLr"/>
            <w:vAlign w:val="center"/>
            <w:hideMark/>
          </w:tcPr>
          <w:p w14:paraId="1BD0C95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older than 90 years (10 points), hip or knee surgery, fracture management,</w:t>
            </w:r>
            <w:r w:rsidRPr="00CE1629">
              <w:rPr>
                <w:rFonts w:eastAsia="Times New Roman"/>
                <w:i w:val="0"/>
                <w:color w:val="000000"/>
                <w:kern w:val="0"/>
                <w:sz w:val="16"/>
                <w:szCs w:val="16"/>
                <w:lang w:val="en-GB" w:eastAsia="en-GB"/>
                <w14:ligatures w14:val="none"/>
              </w:rPr>
              <w:br/>
              <w:t>dementia, unmarried status, federally provided insurance, and low estimated household income based on ZIP code</w:t>
            </w:r>
          </w:p>
        </w:tc>
        <w:tc>
          <w:tcPr>
            <w:tcW w:w="1056" w:type="pct"/>
            <w:textDirection w:val="btLr"/>
            <w:vAlign w:val="center"/>
            <w:hideMark/>
          </w:tcPr>
          <w:p w14:paraId="33C9A6F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1EC11D07" w14:textId="77777777" w:rsidTr="0002791C">
        <w:trPr>
          <w:cantSplit/>
          <w:trHeight w:val="2170"/>
        </w:trPr>
        <w:tc>
          <w:tcPr>
            <w:tcW w:w="864" w:type="pct"/>
            <w:textDirection w:val="btLr"/>
            <w:vAlign w:val="center"/>
            <w:hideMark/>
          </w:tcPr>
          <w:p w14:paraId="66B3185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Factors associated with community versus personal care home discharges after inpatient stroke rehabilitation: the need for a pre-admission predictive model</w:t>
            </w:r>
          </w:p>
        </w:tc>
        <w:tc>
          <w:tcPr>
            <w:tcW w:w="193" w:type="pct"/>
            <w:textDirection w:val="btLr"/>
            <w:vAlign w:val="center"/>
            <w:hideMark/>
          </w:tcPr>
          <w:p w14:paraId="7FB9897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Alexander Wasserman</w:t>
            </w:r>
          </w:p>
        </w:tc>
        <w:tc>
          <w:tcPr>
            <w:tcW w:w="240" w:type="pct"/>
            <w:textDirection w:val="btLr"/>
            <w:vAlign w:val="center"/>
            <w:hideMark/>
          </w:tcPr>
          <w:p w14:paraId="0BDB552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785D7DC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2008 to 2017</w:t>
            </w:r>
          </w:p>
        </w:tc>
        <w:tc>
          <w:tcPr>
            <w:tcW w:w="192" w:type="pct"/>
            <w:textDirection w:val="btLr"/>
            <w:vAlign w:val="center"/>
            <w:hideMark/>
          </w:tcPr>
          <w:p w14:paraId="35AEE3E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116A002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1588 patients discharged from the inpatient</w:t>
            </w:r>
            <w:r w:rsidRPr="00CE1629">
              <w:rPr>
                <w:rFonts w:eastAsia="Times New Roman"/>
                <w:i w:val="0"/>
                <w:color w:val="000000"/>
                <w:kern w:val="0"/>
                <w:sz w:val="16"/>
                <w:szCs w:val="16"/>
                <w:lang w:val="en-GB" w:eastAsia="en-GB"/>
                <w14:ligatures w14:val="none"/>
              </w:rPr>
              <w:br/>
              <w:t>stroke rehabilitation ward at Riverview from</w:t>
            </w:r>
            <w:r w:rsidRPr="00CE1629">
              <w:rPr>
                <w:rFonts w:eastAsia="Times New Roman"/>
                <w:i w:val="0"/>
                <w:color w:val="000000"/>
                <w:kern w:val="0"/>
                <w:sz w:val="16"/>
                <w:szCs w:val="16"/>
                <w:lang w:val="en-GB" w:eastAsia="en-GB"/>
                <w14:ligatures w14:val="none"/>
              </w:rPr>
              <w:br/>
              <w:t>1 April 2008–31 March 2017</w:t>
            </w:r>
          </w:p>
        </w:tc>
        <w:tc>
          <w:tcPr>
            <w:tcW w:w="193" w:type="pct"/>
            <w:textDirection w:val="btLr"/>
            <w:vAlign w:val="center"/>
            <w:hideMark/>
          </w:tcPr>
          <w:p w14:paraId="2A943C2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3D433D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4ED5246E" w14:textId="3F5B61D5"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w:t>
            </w:r>
            <w:r w:rsidR="00E407BF" w:rsidRPr="00CE1629">
              <w:rPr>
                <w:rFonts w:eastAsia="Times New Roman"/>
                <w:i w:val="0"/>
                <w:color w:val="000000"/>
                <w:kern w:val="0"/>
                <w:sz w:val="16"/>
                <w:szCs w:val="16"/>
                <w:lang w:val="en-GB" w:eastAsia="en-GB"/>
                <w14:ligatures w14:val="none"/>
              </w:rPr>
              <w:t>ome care</w:t>
            </w:r>
          </w:p>
        </w:tc>
        <w:tc>
          <w:tcPr>
            <w:tcW w:w="1155" w:type="pct"/>
            <w:textDirection w:val="btLr"/>
            <w:vAlign w:val="center"/>
            <w:hideMark/>
          </w:tcPr>
          <w:p w14:paraId="61E376B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6E4D18E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having a lower functional independence measure score cognitive deficits, lived alone before their stroke, excessive truncal instability limiting Berg balance scale measurability</w:t>
            </w:r>
          </w:p>
        </w:tc>
      </w:tr>
      <w:tr w:rsidR="00E407BF" w:rsidRPr="00CE1629" w14:paraId="14B18FA0" w14:textId="77777777" w:rsidTr="0002791C">
        <w:trPr>
          <w:cantSplit/>
          <w:trHeight w:val="1550"/>
        </w:trPr>
        <w:tc>
          <w:tcPr>
            <w:tcW w:w="864" w:type="pct"/>
            <w:textDirection w:val="btLr"/>
            <w:vAlign w:val="center"/>
            <w:hideMark/>
          </w:tcPr>
          <w:p w14:paraId="7183578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Frailty predicts failure to discharge patients home</w:t>
            </w:r>
            <w:r w:rsidRPr="00CE1629">
              <w:rPr>
                <w:rFonts w:eastAsia="Times New Roman"/>
                <w:i w:val="0"/>
                <w:color w:val="000000"/>
                <w:kern w:val="0"/>
                <w:sz w:val="16"/>
                <w:szCs w:val="16"/>
                <w:lang w:val="en-GB" w:eastAsia="en-GB"/>
                <w14:ligatures w14:val="none"/>
              </w:rPr>
              <w:br/>
              <w:t>from a subacute</w:t>
            </w:r>
            <w:r w:rsidRPr="00CE1629">
              <w:rPr>
                <w:rFonts w:eastAsia="Times New Roman"/>
                <w:i w:val="0"/>
                <w:color w:val="000000"/>
                <w:kern w:val="0"/>
                <w:sz w:val="16"/>
                <w:szCs w:val="16"/>
                <w:lang w:val="en-GB" w:eastAsia="en-GB"/>
                <w14:ligatures w14:val="none"/>
              </w:rPr>
              <w:noBreakHyphen/>
              <w:t>care unit: a 3</w:t>
            </w:r>
            <w:r w:rsidRPr="00CE1629">
              <w:rPr>
                <w:rFonts w:eastAsia="Times New Roman"/>
                <w:i w:val="0"/>
                <w:color w:val="000000"/>
                <w:kern w:val="0"/>
                <w:sz w:val="16"/>
                <w:szCs w:val="16"/>
                <w:lang w:val="en-GB" w:eastAsia="en-GB"/>
                <w14:ligatures w14:val="none"/>
              </w:rPr>
              <w:noBreakHyphen/>
              <w:t>year Italian experience</w:t>
            </w:r>
          </w:p>
        </w:tc>
        <w:tc>
          <w:tcPr>
            <w:tcW w:w="193" w:type="pct"/>
            <w:textDirection w:val="btLr"/>
            <w:vAlign w:val="center"/>
            <w:hideMark/>
          </w:tcPr>
          <w:p w14:paraId="56C2BD6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Paolo Mazzola</w:t>
            </w:r>
          </w:p>
        </w:tc>
        <w:tc>
          <w:tcPr>
            <w:tcW w:w="240" w:type="pct"/>
            <w:textDirection w:val="btLr"/>
            <w:vAlign w:val="center"/>
            <w:hideMark/>
          </w:tcPr>
          <w:p w14:paraId="07E8D19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09BD580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 to 2020</w:t>
            </w:r>
          </w:p>
        </w:tc>
        <w:tc>
          <w:tcPr>
            <w:tcW w:w="192" w:type="pct"/>
            <w:textDirection w:val="btLr"/>
            <w:vAlign w:val="center"/>
            <w:hideMark/>
          </w:tcPr>
          <w:p w14:paraId="3FE7245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Italy</w:t>
            </w:r>
          </w:p>
        </w:tc>
        <w:tc>
          <w:tcPr>
            <w:tcW w:w="481" w:type="pct"/>
            <w:textDirection w:val="btLr"/>
            <w:vAlign w:val="center"/>
            <w:hideMark/>
          </w:tcPr>
          <w:p w14:paraId="216AEE7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patients consecutively admitted to the SCU of Desio Hospital during the temporal period between October 2017 and February 2020.</w:t>
            </w:r>
          </w:p>
        </w:tc>
        <w:tc>
          <w:tcPr>
            <w:tcW w:w="193" w:type="pct"/>
            <w:textDirection w:val="btLr"/>
            <w:vAlign w:val="center"/>
            <w:hideMark/>
          </w:tcPr>
          <w:p w14:paraId="1E4BD7B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E9EC0E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0B5B0D5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F1BE85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2CAD701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Having a urinary bladder catheter at discharge, being overtly frail (CFS &gt; 8), and low Barthel Index score</w:t>
            </w:r>
          </w:p>
        </w:tc>
      </w:tr>
      <w:tr w:rsidR="00E407BF" w:rsidRPr="00CE1629" w14:paraId="10EF3A24" w14:textId="77777777" w:rsidTr="0002791C">
        <w:trPr>
          <w:cantSplit/>
          <w:trHeight w:val="2170"/>
        </w:trPr>
        <w:tc>
          <w:tcPr>
            <w:tcW w:w="864" w:type="pct"/>
            <w:textDirection w:val="btLr"/>
            <w:vAlign w:val="center"/>
            <w:hideMark/>
          </w:tcPr>
          <w:p w14:paraId="7ADFB73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Non-home discharge after cardiac surgery in Australia and New Zealand: a cross-sectional study</w:t>
            </w:r>
          </w:p>
        </w:tc>
        <w:tc>
          <w:tcPr>
            <w:tcW w:w="193" w:type="pct"/>
            <w:textDirection w:val="btLr"/>
            <w:vAlign w:val="center"/>
            <w:hideMark/>
          </w:tcPr>
          <w:p w14:paraId="73851E8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Mahesh Ramanan</w:t>
            </w:r>
          </w:p>
        </w:tc>
        <w:tc>
          <w:tcPr>
            <w:tcW w:w="240" w:type="pct"/>
            <w:textDirection w:val="btLr"/>
            <w:vAlign w:val="center"/>
            <w:hideMark/>
          </w:tcPr>
          <w:p w14:paraId="54F242C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6CF84B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2004 to 2019</w:t>
            </w:r>
          </w:p>
        </w:tc>
        <w:tc>
          <w:tcPr>
            <w:tcW w:w="192" w:type="pct"/>
            <w:textDirection w:val="btLr"/>
            <w:vAlign w:val="center"/>
            <w:hideMark/>
          </w:tcPr>
          <w:p w14:paraId="0C8553B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 and New Zealand</w:t>
            </w:r>
          </w:p>
        </w:tc>
        <w:tc>
          <w:tcPr>
            <w:tcW w:w="481" w:type="pct"/>
            <w:textDirection w:val="btLr"/>
            <w:vAlign w:val="center"/>
            <w:hideMark/>
          </w:tcPr>
          <w:p w14:paraId="71EA135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Adult patients who underwent cardiac surgery from the Australia New Zealand Intensive Care Society Adult Patient Database (APD)</w:t>
            </w:r>
          </w:p>
        </w:tc>
        <w:tc>
          <w:tcPr>
            <w:tcW w:w="193" w:type="pct"/>
            <w:textDirection w:val="btLr"/>
            <w:vAlign w:val="center"/>
            <w:hideMark/>
          </w:tcPr>
          <w:p w14:paraId="3BF595E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7838A1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6C566F4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4AF7AA1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Increasing age, female sex, non-elective surgery, surgery type (CABG+ valve), Acute Physiology, and Chronic Health Evaluation III (APACHE-III) Score, Surgery in a private hospital</w:t>
            </w:r>
          </w:p>
        </w:tc>
        <w:tc>
          <w:tcPr>
            <w:tcW w:w="1056" w:type="pct"/>
            <w:textDirection w:val="btLr"/>
            <w:vAlign w:val="center"/>
            <w:hideMark/>
          </w:tcPr>
          <w:p w14:paraId="1A462B1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311B6AF4" w14:textId="77777777" w:rsidTr="0002791C">
        <w:trPr>
          <w:cantSplit/>
          <w:trHeight w:val="1550"/>
        </w:trPr>
        <w:tc>
          <w:tcPr>
            <w:tcW w:w="864" w:type="pct"/>
            <w:textDirection w:val="btLr"/>
            <w:vAlign w:val="center"/>
            <w:hideMark/>
          </w:tcPr>
          <w:p w14:paraId="4496406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Predictors of inpatient (neuro)rehabilitation after acute care of severe traumatic brain injury: An epidemiological study</w:t>
            </w:r>
          </w:p>
        </w:tc>
        <w:tc>
          <w:tcPr>
            <w:tcW w:w="193" w:type="pct"/>
            <w:textDirection w:val="btLr"/>
            <w:vAlign w:val="center"/>
            <w:hideMark/>
          </w:tcPr>
          <w:p w14:paraId="5332B57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Rahel Schumacher</w:t>
            </w:r>
          </w:p>
        </w:tc>
        <w:tc>
          <w:tcPr>
            <w:tcW w:w="240" w:type="pct"/>
            <w:textDirection w:val="btLr"/>
            <w:vAlign w:val="center"/>
            <w:hideMark/>
          </w:tcPr>
          <w:p w14:paraId="5B69947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2016</w:t>
            </w:r>
          </w:p>
        </w:tc>
        <w:tc>
          <w:tcPr>
            <w:tcW w:w="193" w:type="pct"/>
            <w:textDirection w:val="btLr"/>
            <w:vAlign w:val="center"/>
            <w:hideMark/>
          </w:tcPr>
          <w:p w14:paraId="7C707B9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2007 to 2010</w:t>
            </w:r>
          </w:p>
        </w:tc>
        <w:tc>
          <w:tcPr>
            <w:tcW w:w="192" w:type="pct"/>
            <w:textDirection w:val="btLr"/>
            <w:vAlign w:val="center"/>
            <w:hideMark/>
          </w:tcPr>
          <w:p w14:paraId="0241D66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Switzerland</w:t>
            </w:r>
          </w:p>
        </w:tc>
        <w:tc>
          <w:tcPr>
            <w:tcW w:w="481" w:type="pct"/>
            <w:textDirection w:val="btLr"/>
            <w:vAlign w:val="center"/>
            <w:hideMark/>
          </w:tcPr>
          <w:p w14:paraId="32C9F33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having sustained severe TBI and</w:t>
            </w:r>
            <w:r w:rsidRPr="00CE1629">
              <w:rPr>
                <w:rFonts w:eastAsia="Times New Roman"/>
                <w:i w:val="0"/>
                <w:color w:val="000000"/>
                <w:kern w:val="0"/>
                <w:sz w:val="16"/>
                <w:szCs w:val="16"/>
                <w:lang w:val="en-GB" w:eastAsia="en-GB"/>
                <w14:ligatures w14:val="none"/>
              </w:rPr>
              <w:br/>
              <w:t>having been admitted to one of the Swiss trauma centres,</w:t>
            </w:r>
            <w:r w:rsidRPr="00CE1629">
              <w:rPr>
                <w:rFonts w:eastAsia="Times New Roman"/>
                <w:i w:val="0"/>
                <w:color w:val="000000"/>
                <w:kern w:val="0"/>
                <w:sz w:val="16"/>
                <w:szCs w:val="16"/>
                <w:lang w:val="en-GB" w:eastAsia="en-GB"/>
                <w14:ligatures w14:val="none"/>
              </w:rPr>
              <w:br/>
              <w:t>were included.</w:t>
            </w:r>
          </w:p>
        </w:tc>
        <w:tc>
          <w:tcPr>
            <w:tcW w:w="193" w:type="pct"/>
            <w:textDirection w:val="btLr"/>
            <w:vAlign w:val="center"/>
            <w:hideMark/>
          </w:tcPr>
          <w:p w14:paraId="08849D1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28B3B7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Hospital</w:t>
            </w:r>
          </w:p>
        </w:tc>
        <w:tc>
          <w:tcPr>
            <w:tcW w:w="193" w:type="pct"/>
            <w:textDirection w:val="btLr"/>
            <w:vAlign w:val="center"/>
            <w:hideMark/>
          </w:tcPr>
          <w:p w14:paraId="12763D3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155" w:type="pct"/>
            <w:textDirection w:val="btLr"/>
            <w:vAlign w:val="center"/>
            <w:hideMark/>
          </w:tcPr>
          <w:p w14:paraId="5D167AA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Lower scores on the Glasgow Coma Scale at admission/at 14 days, higher injury severity scores and older age</w:t>
            </w:r>
          </w:p>
        </w:tc>
        <w:tc>
          <w:tcPr>
            <w:tcW w:w="1056" w:type="pct"/>
            <w:textDirection w:val="btLr"/>
            <w:vAlign w:val="center"/>
            <w:hideMark/>
          </w:tcPr>
          <w:p w14:paraId="426B800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77CF7893" w14:textId="77777777" w:rsidTr="0002791C">
        <w:trPr>
          <w:cantSplit/>
          <w:trHeight w:val="4220"/>
        </w:trPr>
        <w:tc>
          <w:tcPr>
            <w:tcW w:w="864" w:type="pct"/>
            <w:textDirection w:val="btLr"/>
            <w:vAlign w:val="center"/>
            <w:hideMark/>
          </w:tcPr>
          <w:p w14:paraId="03E2E76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VA Staff Perceptions of Barriers and Facilitators to</w:t>
            </w:r>
            <w:r w:rsidRPr="00CE1629">
              <w:rPr>
                <w:rFonts w:eastAsia="Times New Roman"/>
                <w:i w:val="0"/>
                <w:color w:val="000000"/>
                <w:kern w:val="0"/>
                <w:sz w:val="16"/>
                <w:szCs w:val="16"/>
                <w:lang w:val="en-GB" w:eastAsia="en-GB"/>
                <w14:ligatures w14:val="none"/>
              </w:rPr>
              <w:br/>
              <w:t>Home-and Community-Based Placement Post–Hospital</w:t>
            </w:r>
            <w:r w:rsidRPr="00CE1629">
              <w:rPr>
                <w:rFonts w:eastAsia="Times New Roman"/>
                <w:i w:val="0"/>
                <w:color w:val="000000"/>
                <w:kern w:val="0"/>
                <w:sz w:val="16"/>
                <w:szCs w:val="16"/>
                <w:lang w:val="en-GB" w:eastAsia="en-GB"/>
                <w14:ligatures w14:val="none"/>
              </w:rPr>
              <w:br/>
              <w:t>Discharge</w:t>
            </w:r>
          </w:p>
        </w:tc>
        <w:tc>
          <w:tcPr>
            <w:tcW w:w="193" w:type="pct"/>
            <w:textDirection w:val="btLr"/>
            <w:vAlign w:val="center"/>
            <w:hideMark/>
          </w:tcPr>
          <w:p w14:paraId="32D3852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Edward Alan Miller</w:t>
            </w:r>
          </w:p>
        </w:tc>
        <w:tc>
          <w:tcPr>
            <w:tcW w:w="240" w:type="pct"/>
            <w:textDirection w:val="btLr"/>
            <w:vAlign w:val="center"/>
            <w:hideMark/>
          </w:tcPr>
          <w:p w14:paraId="77A7E7E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2019</w:t>
            </w:r>
          </w:p>
        </w:tc>
        <w:tc>
          <w:tcPr>
            <w:tcW w:w="193" w:type="pct"/>
            <w:textDirection w:val="btLr"/>
            <w:vAlign w:val="center"/>
            <w:hideMark/>
          </w:tcPr>
          <w:p w14:paraId="7F77A43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May 18, 2012, and December 6, 2012</w:t>
            </w:r>
          </w:p>
        </w:tc>
        <w:tc>
          <w:tcPr>
            <w:tcW w:w="192" w:type="pct"/>
            <w:textDirection w:val="btLr"/>
            <w:vAlign w:val="center"/>
            <w:hideMark/>
          </w:tcPr>
          <w:p w14:paraId="2BE3A70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578B715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35 semi-structured interviews with staff from 12 VA medical centres from around the country</w:t>
            </w:r>
          </w:p>
        </w:tc>
        <w:tc>
          <w:tcPr>
            <w:tcW w:w="193" w:type="pct"/>
            <w:textDirection w:val="btLr"/>
            <w:vAlign w:val="center"/>
            <w:hideMark/>
          </w:tcPr>
          <w:p w14:paraId="1B86E5A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2124039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7DAB8BB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391C5BC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0FF9A8D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 care needs exceeding what can be provided at home, Unpaid, informal care is critical for HCBS to work, Caregiver burden and stress, Homelessness can complicate/preclude HCBS placement, Linking Veterans to non-VA services and supports, Challenges linking Veterans to non-VA services and supports, Insufficient availability of VA providers, Level and type of staffing, Staff unwillingness to enter certain neighbourhoods due to crime and safety concern, Budgetary pressures impact HCBS availability, Variation in decisions affecting the number of service hours and Veterans served, Those living outside the home-based primary care catchment area lack access to these services</w:t>
            </w:r>
          </w:p>
        </w:tc>
      </w:tr>
      <w:tr w:rsidR="00E407BF" w:rsidRPr="00CE1629" w14:paraId="2BAF5452" w14:textId="77777777" w:rsidTr="0002791C">
        <w:trPr>
          <w:cantSplit/>
          <w:trHeight w:val="2240"/>
        </w:trPr>
        <w:tc>
          <w:tcPr>
            <w:tcW w:w="864" w:type="pct"/>
            <w:textDirection w:val="btLr"/>
            <w:vAlign w:val="center"/>
            <w:hideMark/>
          </w:tcPr>
          <w:p w14:paraId="6D51A73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Prediction of post-acute care demand in</w:t>
            </w:r>
            <w:r w:rsidRPr="00CE1629">
              <w:rPr>
                <w:rFonts w:eastAsia="Times New Roman"/>
                <w:i w:val="0"/>
                <w:color w:val="000000"/>
                <w:kern w:val="0"/>
                <w:sz w:val="16"/>
                <w:szCs w:val="16"/>
                <w:lang w:val="en-GB" w:eastAsia="en-GB"/>
                <w14:ligatures w14:val="none"/>
              </w:rPr>
              <w:br/>
              <w:t>medical and neurological inpatients:</w:t>
            </w:r>
            <w:r w:rsidRPr="00CE1629">
              <w:rPr>
                <w:rFonts w:eastAsia="Times New Roman"/>
                <w:i w:val="0"/>
                <w:color w:val="000000"/>
                <w:kern w:val="0"/>
                <w:sz w:val="16"/>
                <w:szCs w:val="16"/>
                <w:lang w:val="en-GB" w:eastAsia="en-GB"/>
                <w14:ligatures w14:val="none"/>
              </w:rPr>
              <w:br/>
              <w:t>diagnostic assessment of the post-acute</w:t>
            </w:r>
            <w:r w:rsidRPr="00CE1629">
              <w:rPr>
                <w:rFonts w:eastAsia="Times New Roman"/>
                <w:i w:val="0"/>
                <w:color w:val="000000"/>
                <w:kern w:val="0"/>
                <w:sz w:val="16"/>
                <w:szCs w:val="16"/>
                <w:lang w:val="en-GB" w:eastAsia="en-GB"/>
                <w14:ligatures w14:val="none"/>
              </w:rPr>
              <w:br/>
              <w:t>discharge score – a prospective cohort study</w:t>
            </w:r>
          </w:p>
        </w:tc>
        <w:tc>
          <w:tcPr>
            <w:tcW w:w="193" w:type="pct"/>
            <w:textDirection w:val="btLr"/>
            <w:vAlign w:val="center"/>
            <w:hideMark/>
          </w:tcPr>
          <w:p w14:paraId="708A01D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Antoinette Conca</w:t>
            </w:r>
          </w:p>
        </w:tc>
        <w:tc>
          <w:tcPr>
            <w:tcW w:w="240" w:type="pct"/>
            <w:textDirection w:val="btLr"/>
            <w:vAlign w:val="center"/>
            <w:hideMark/>
          </w:tcPr>
          <w:p w14:paraId="79765D5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4CE8B02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February to October 2013</w:t>
            </w:r>
          </w:p>
        </w:tc>
        <w:tc>
          <w:tcPr>
            <w:tcW w:w="192" w:type="pct"/>
            <w:textDirection w:val="btLr"/>
            <w:vAlign w:val="center"/>
            <w:hideMark/>
          </w:tcPr>
          <w:p w14:paraId="15BA62E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Switzerland</w:t>
            </w:r>
          </w:p>
        </w:tc>
        <w:tc>
          <w:tcPr>
            <w:tcW w:w="481" w:type="pct"/>
            <w:textDirection w:val="btLr"/>
            <w:vAlign w:val="center"/>
            <w:hideMark/>
          </w:tcPr>
          <w:p w14:paraId="2A71A54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1896 consecutive medical and neurological patients admitted to the KSA</w:t>
            </w:r>
          </w:p>
        </w:tc>
        <w:tc>
          <w:tcPr>
            <w:tcW w:w="193" w:type="pct"/>
            <w:textDirection w:val="btLr"/>
            <w:vAlign w:val="center"/>
            <w:hideMark/>
          </w:tcPr>
          <w:p w14:paraId="64DEF28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80A2AE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191D03A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092159A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Post-acute care discharge tool on day 1 and day 3 of the hospital stay</w:t>
            </w:r>
          </w:p>
        </w:tc>
        <w:tc>
          <w:tcPr>
            <w:tcW w:w="1056" w:type="pct"/>
            <w:textDirection w:val="btLr"/>
            <w:vAlign w:val="center"/>
            <w:hideMark/>
          </w:tcPr>
          <w:p w14:paraId="5F78786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p>
        </w:tc>
      </w:tr>
      <w:tr w:rsidR="00E407BF" w:rsidRPr="00CE1629" w14:paraId="16725E99" w14:textId="77777777" w:rsidTr="0002791C">
        <w:trPr>
          <w:cantSplit/>
          <w:trHeight w:val="2060"/>
        </w:trPr>
        <w:tc>
          <w:tcPr>
            <w:tcW w:w="864" w:type="pct"/>
            <w:textDirection w:val="btLr"/>
            <w:vAlign w:val="center"/>
            <w:hideMark/>
          </w:tcPr>
          <w:p w14:paraId="004285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Return to community living and mortality after moving to a LTC facility: A nationally representative cohort study</w:t>
            </w:r>
          </w:p>
        </w:tc>
        <w:tc>
          <w:tcPr>
            <w:tcW w:w="193" w:type="pct"/>
            <w:textDirection w:val="btLr"/>
            <w:vAlign w:val="center"/>
            <w:hideMark/>
          </w:tcPr>
          <w:p w14:paraId="1318175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Kenneth Lam</w:t>
            </w:r>
          </w:p>
        </w:tc>
        <w:tc>
          <w:tcPr>
            <w:tcW w:w="240" w:type="pct"/>
            <w:textDirection w:val="btLr"/>
            <w:vAlign w:val="center"/>
            <w:hideMark/>
          </w:tcPr>
          <w:p w14:paraId="1E44E47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53FE5CD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2011 to 2018</w:t>
            </w:r>
          </w:p>
        </w:tc>
        <w:tc>
          <w:tcPr>
            <w:tcW w:w="192" w:type="pct"/>
            <w:textDirection w:val="btLr"/>
            <w:vAlign w:val="center"/>
            <w:hideMark/>
          </w:tcPr>
          <w:p w14:paraId="603D8B4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34164DA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739 adults over age 65 who had moved from community living into an LTCF between 2011 and 2018</w:t>
            </w:r>
          </w:p>
        </w:tc>
        <w:tc>
          <w:tcPr>
            <w:tcW w:w="193" w:type="pct"/>
            <w:textDirection w:val="btLr"/>
            <w:vAlign w:val="center"/>
            <w:hideMark/>
          </w:tcPr>
          <w:p w14:paraId="56AE1ED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70E10A4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0453EAD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263D6D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c>
          <w:tcPr>
            <w:tcW w:w="1056" w:type="pct"/>
            <w:textDirection w:val="btLr"/>
            <w:vAlign w:val="center"/>
            <w:hideMark/>
          </w:tcPr>
          <w:p w14:paraId="6B361FE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dementia, and previously living alone</w:t>
            </w:r>
          </w:p>
        </w:tc>
      </w:tr>
      <w:tr w:rsidR="00E407BF" w:rsidRPr="00CE1629" w14:paraId="15B8859A" w14:textId="77777777" w:rsidTr="0002791C">
        <w:trPr>
          <w:cantSplit/>
          <w:trHeight w:val="1860"/>
        </w:trPr>
        <w:tc>
          <w:tcPr>
            <w:tcW w:w="864" w:type="pct"/>
            <w:textDirection w:val="btLr"/>
            <w:vAlign w:val="center"/>
            <w:hideMark/>
          </w:tcPr>
          <w:p w14:paraId="3CA3D54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Predicting Discharge to Institutional LTC AfterStroke: A Systematic Review and Metaanalysis</w:t>
            </w:r>
          </w:p>
        </w:tc>
        <w:tc>
          <w:tcPr>
            <w:tcW w:w="193" w:type="pct"/>
            <w:textDirection w:val="btLr"/>
            <w:vAlign w:val="center"/>
            <w:hideMark/>
          </w:tcPr>
          <w:p w14:paraId="743A838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Jennifer K. Burton</w:t>
            </w:r>
          </w:p>
        </w:tc>
        <w:tc>
          <w:tcPr>
            <w:tcW w:w="240" w:type="pct"/>
            <w:textDirection w:val="btLr"/>
            <w:vAlign w:val="center"/>
            <w:hideMark/>
          </w:tcPr>
          <w:p w14:paraId="03D581E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2018</w:t>
            </w:r>
          </w:p>
        </w:tc>
        <w:tc>
          <w:tcPr>
            <w:tcW w:w="193" w:type="pct"/>
            <w:textDirection w:val="btLr"/>
            <w:vAlign w:val="center"/>
            <w:hideMark/>
          </w:tcPr>
          <w:p w14:paraId="30E45D7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From Inception to 2017</w:t>
            </w:r>
          </w:p>
        </w:tc>
        <w:tc>
          <w:tcPr>
            <w:tcW w:w="192" w:type="pct"/>
            <w:textDirection w:val="btLr"/>
            <w:vAlign w:val="center"/>
          </w:tcPr>
          <w:p w14:paraId="43E392E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Multiple countries</w:t>
            </w:r>
          </w:p>
        </w:tc>
        <w:tc>
          <w:tcPr>
            <w:tcW w:w="481" w:type="pct"/>
            <w:textDirection w:val="btLr"/>
            <w:vAlign w:val="center"/>
            <w:hideMark/>
          </w:tcPr>
          <w:p w14:paraId="0C88540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18 studies (n=32,139 participants) (Adults hospitalized for stroke who were newly admitted directly to long-term institutional care at the time of hospital discharge)</w:t>
            </w:r>
          </w:p>
        </w:tc>
        <w:tc>
          <w:tcPr>
            <w:tcW w:w="193" w:type="pct"/>
            <w:textDirection w:val="btLr"/>
            <w:vAlign w:val="center"/>
            <w:hideMark/>
          </w:tcPr>
          <w:p w14:paraId="650B964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0890516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238F6D5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5062F17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greater stroke severity, comorbidities</w:t>
            </w:r>
          </w:p>
        </w:tc>
        <w:tc>
          <w:tcPr>
            <w:tcW w:w="1056" w:type="pct"/>
            <w:textDirection w:val="btLr"/>
            <w:vAlign w:val="center"/>
            <w:hideMark/>
          </w:tcPr>
          <w:p w14:paraId="7ED6E91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57F1BF16" w14:textId="77777777" w:rsidTr="0002791C">
        <w:trPr>
          <w:cantSplit/>
          <w:trHeight w:val="3230"/>
        </w:trPr>
        <w:tc>
          <w:tcPr>
            <w:tcW w:w="864" w:type="pct"/>
            <w:textDirection w:val="btLr"/>
            <w:vAlign w:val="center"/>
            <w:hideMark/>
          </w:tcPr>
          <w:p w14:paraId="62EA169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How Do Race and Hispanic Ethnicity Affect Nursing</w:t>
            </w:r>
            <w:r w:rsidRPr="00CE1629">
              <w:rPr>
                <w:rFonts w:eastAsia="Times New Roman"/>
                <w:i w:val="0"/>
                <w:color w:val="000000"/>
                <w:kern w:val="0"/>
                <w:sz w:val="16"/>
                <w:szCs w:val="16"/>
                <w:lang w:val="en-GB" w:eastAsia="en-GB"/>
                <w14:ligatures w14:val="none"/>
              </w:rPr>
              <w:br/>
              <w:t>Home Admission? Evidence From the Health and</w:t>
            </w:r>
            <w:r w:rsidRPr="00CE1629">
              <w:rPr>
                <w:rFonts w:eastAsia="Times New Roman"/>
                <w:i w:val="0"/>
                <w:color w:val="000000"/>
                <w:kern w:val="0"/>
                <w:sz w:val="16"/>
                <w:szCs w:val="16"/>
                <w:lang w:val="en-GB" w:eastAsia="en-GB"/>
                <w14:ligatures w14:val="none"/>
              </w:rPr>
              <w:br/>
              <w:t>Retirement Study</w:t>
            </w:r>
          </w:p>
        </w:tc>
        <w:tc>
          <w:tcPr>
            <w:tcW w:w="193" w:type="pct"/>
            <w:textDirection w:val="btLr"/>
            <w:vAlign w:val="center"/>
            <w:hideMark/>
          </w:tcPr>
          <w:p w14:paraId="4972BC0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Mieke Beth Thomeer</w:t>
            </w:r>
          </w:p>
        </w:tc>
        <w:tc>
          <w:tcPr>
            <w:tcW w:w="240" w:type="pct"/>
            <w:textDirection w:val="btLr"/>
            <w:vAlign w:val="center"/>
            <w:hideMark/>
          </w:tcPr>
          <w:p w14:paraId="51A3884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2015</w:t>
            </w:r>
          </w:p>
        </w:tc>
        <w:tc>
          <w:tcPr>
            <w:tcW w:w="193" w:type="pct"/>
            <w:textDirection w:val="btLr"/>
            <w:vAlign w:val="center"/>
            <w:hideMark/>
          </w:tcPr>
          <w:p w14:paraId="09B090D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1998 to 2010</w:t>
            </w:r>
          </w:p>
        </w:tc>
        <w:tc>
          <w:tcPr>
            <w:tcW w:w="192" w:type="pct"/>
            <w:textDirection w:val="btLr"/>
            <w:vAlign w:val="center"/>
            <w:hideMark/>
          </w:tcPr>
          <w:p w14:paraId="55B1820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USA</w:t>
            </w:r>
          </w:p>
        </w:tc>
        <w:tc>
          <w:tcPr>
            <w:tcW w:w="481" w:type="pct"/>
            <w:textDirection w:val="btLr"/>
            <w:vAlign w:val="center"/>
            <w:hideMark/>
          </w:tcPr>
          <w:p w14:paraId="15D59B3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18,952 nursing home admission for non-Hispanic</w:t>
            </w:r>
            <w:r w:rsidRPr="00CE1629">
              <w:rPr>
                <w:rFonts w:eastAsia="Times New Roman"/>
                <w:i w:val="0"/>
                <w:color w:val="000000"/>
                <w:kern w:val="0"/>
                <w:sz w:val="16"/>
                <w:szCs w:val="16"/>
                <w:lang w:val="en-GB" w:eastAsia="en-GB"/>
                <w14:ligatures w14:val="none"/>
              </w:rPr>
              <w:br/>
              <w:t>whites, non-Hispanic Blacks, and Hispanics from 1998 to 2010 in the Health and Retirement Study</w:t>
            </w:r>
          </w:p>
        </w:tc>
        <w:tc>
          <w:tcPr>
            <w:tcW w:w="193" w:type="pct"/>
            <w:textDirection w:val="btLr"/>
            <w:vAlign w:val="center"/>
            <w:hideMark/>
          </w:tcPr>
          <w:p w14:paraId="3EB1271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2D354C1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Different locations, its mostly about the race</w:t>
            </w:r>
          </w:p>
        </w:tc>
        <w:tc>
          <w:tcPr>
            <w:tcW w:w="193" w:type="pct"/>
            <w:textDirection w:val="btLr"/>
            <w:vAlign w:val="center"/>
            <w:hideMark/>
          </w:tcPr>
          <w:p w14:paraId="70B5B532" w14:textId="23D8B7DE" w:rsidR="00E407BF" w:rsidRPr="00CE1629" w:rsidRDefault="006646CC"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05F5360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being on Medicaid, having an informal caregiver, non-Hispanic whites, older age, ADL, I-ADL, mobility difficulties, cognitive impairments, previous hospitalization, never being married (only for non-Hispanic whites and Hispanics, not for non-Hispanic Blacks!), being widowed or divorced, relying on caregiver, being female (non-Hispanic whites and Hispanics)</w:t>
            </w:r>
          </w:p>
        </w:tc>
        <w:tc>
          <w:tcPr>
            <w:tcW w:w="1056" w:type="pct"/>
            <w:textDirection w:val="btLr"/>
            <w:vAlign w:val="center"/>
            <w:hideMark/>
          </w:tcPr>
          <w:p w14:paraId="2B257B2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Hispanics (this is the lowest rate of admission even compared to Blacks), non-Hispanic Blacks, homeownership, higher income, more living children, living with a child, having future help available if needed (only among Hispanics), Less than high school education, being female (non-Hispanic Blacks)</w:t>
            </w:r>
          </w:p>
        </w:tc>
      </w:tr>
      <w:tr w:rsidR="00E407BF" w:rsidRPr="00CE1629" w14:paraId="0BE929A7" w14:textId="77777777" w:rsidTr="0002791C">
        <w:trPr>
          <w:cantSplit/>
          <w:trHeight w:val="2240"/>
        </w:trPr>
        <w:tc>
          <w:tcPr>
            <w:tcW w:w="864" w:type="pct"/>
            <w:textDirection w:val="btLr"/>
            <w:vAlign w:val="center"/>
            <w:hideMark/>
          </w:tcPr>
          <w:p w14:paraId="703C92D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Previous in-home physiotherapy prevents institutionalization after short-term hospitalization in community-dwelling older dependent people</w:t>
            </w:r>
          </w:p>
        </w:tc>
        <w:tc>
          <w:tcPr>
            <w:tcW w:w="193" w:type="pct"/>
            <w:textDirection w:val="btLr"/>
            <w:vAlign w:val="center"/>
            <w:hideMark/>
          </w:tcPr>
          <w:p w14:paraId="5EDB53B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 Sebban</w:t>
            </w:r>
          </w:p>
        </w:tc>
        <w:tc>
          <w:tcPr>
            <w:tcW w:w="240" w:type="pct"/>
            <w:textDirection w:val="btLr"/>
            <w:vAlign w:val="center"/>
            <w:hideMark/>
          </w:tcPr>
          <w:p w14:paraId="1F27AA7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4FC34AE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January to December 2016</w:t>
            </w:r>
          </w:p>
        </w:tc>
        <w:tc>
          <w:tcPr>
            <w:tcW w:w="192" w:type="pct"/>
            <w:textDirection w:val="btLr"/>
            <w:vAlign w:val="center"/>
            <w:hideMark/>
          </w:tcPr>
          <w:p w14:paraId="121E730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France</w:t>
            </w:r>
          </w:p>
        </w:tc>
        <w:tc>
          <w:tcPr>
            <w:tcW w:w="481" w:type="pct"/>
            <w:textDirection w:val="btLr"/>
            <w:vAlign w:val="center"/>
            <w:hideMark/>
          </w:tcPr>
          <w:p w14:paraId="353013A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Community-dwelling older dependent people aged 60 and over, having a natural caregiver, and hospitalized in the acute care unit of the State Geriatric Center.</w:t>
            </w:r>
          </w:p>
        </w:tc>
        <w:tc>
          <w:tcPr>
            <w:tcW w:w="193" w:type="pct"/>
            <w:textDirection w:val="btLr"/>
            <w:vAlign w:val="center"/>
            <w:hideMark/>
          </w:tcPr>
          <w:p w14:paraId="106F09B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0ED5A59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353DD34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1FDFA46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length of stay in the acute care unit, disruptive behavioural and psychological symptoms of dementia, moderately severe-to-severe cognitive impairment, caregiver burden, living alone with a close or a remote caregiver</w:t>
            </w:r>
          </w:p>
        </w:tc>
        <w:tc>
          <w:tcPr>
            <w:tcW w:w="1056" w:type="pct"/>
            <w:textDirection w:val="btLr"/>
            <w:vAlign w:val="center"/>
            <w:hideMark/>
          </w:tcPr>
          <w:p w14:paraId="61B2300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In-home physiotherapy</w:t>
            </w:r>
          </w:p>
        </w:tc>
      </w:tr>
      <w:tr w:rsidR="00E407BF" w:rsidRPr="00CE1629" w14:paraId="5ED9AD87" w14:textId="77777777" w:rsidTr="0002791C">
        <w:trPr>
          <w:cantSplit/>
          <w:trHeight w:val="1970"/>
        </w:trPr>
        <w:tc>
          <w:tcPr>
            <w:tcW w:w="864" w:type="pct"/>
            <w:textDirection w:val="btLr"/>
            <w:vAlign w:val="center"/>
            <w:hideMark/>
          </w:tcPr>
          <w:p w14:paraId="0AEFAC7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Development of a Point System to Predict Discharge to Home for Acute Stroke Patients</w:t>
            </w:r>
          </w:p>
        </w:tc>
        <w:tc>
          <w:tcPr>
            <w:tcW w:w="193" w:type="pct"/>
            <w:textDirection w:val="btLr"/>
            <w:vAlign w:val="center"/>
            <w:hideMark/>
          </w:tcPr>
          <w:p w14:paraId="27B8C91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Kosei Kubo</w:t>
            </w:r>
          </w:p>
        </w:tc>
        <w:tc>
          <w:tcPr>
            <w:tcW w:w="240" w:type="pct"/>
            <w:textDirection w:val="btLr"/>
            <w:vAlign w:val="center"/>
            <w:hideMark/>
          </w:tcPr>
          <w:p w14:paraId="7707727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73BF036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2005 to 2015</w:t>
            </w:r>
          </w:p>
        </w:tc>
        <w:tc>
          <w:tcPr>
            <w:tcW w:w="192" w:type="pct"/>
            <w:textDirection w:val="btLr"/>
            <w:vAlign w:val="center"/>
            <w:hideMark/>
          </w:tcPr>
          <w:p w14:paraId="01F2DEB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Japan</w:t>
            </w:r>
          </w:p>
        </w:tc>
        <w:tc>
          <w:tcPr>
            <w:tcW w:w="481" w:type="pct"/>
            <w:textDirection w:val="btLr"/>
            <w:vAlign w:val="center"/>
            <w:hideMark/>
          </w:tcPr>
          <w:p w14:paraId="5D57BB6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stroke patients were admitted within 3 days of stroke onset and from home, excluding those with incomplete data or who died in the hospital.</w:t>
            </w:r>
          </w:p>
        </w:tc>
        <w:tc>
          <w:tcPr>
            <w:tcW w:w="193" w:type="pct"/>
            <w:textDirection w:val="btLr"/>
            <w:vAlign w:val="center"/>
            <w:hideMark/>
          </w:tcPr>
          <w:p w14:paraId="09BDF20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6FA040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507A51F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FA687F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Barthel Index on admission, lower modified Rankin Scale, Lower National institute of Health Stroke Scale, stroke type (cerebral infarction or subarachnoid haemorrhage)</w:t>
            </w:r>
          </w:p>
        </w:tc>
        <w:tc>
          <w:tcPr>
            <w:tcW w:w="1056" w:type="pct"/>
            <w:textDirection w:val="btLr"/>
            <w:vAlign w:val="center"/>
            <w:hideMark/>
          </w:tcPr>
          <w:p w14:paraId="32BB849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higher stroke severity (NIHSS score), higher disability (mRS score), presence of paralysis</w:t>
            </w:r>
          </w:p>
        </w:tc>
      </w:tr>
      <w:tr w:rsidR="00E407BF" w:rsidRPr="00CE1629" w14:paraId="00307927" w14:textId="77777777" w:rsidTr="0002791C">
        <w:trPr>
          <w:cantSplit/>
          <w:trHeight w:val="2170"/>
        </w:trPr>
        <w:tc>
          <w:tcPr>
            <w:tcW w:w="864" w:type="pct"/>
            <w:textDirection w:val="btLr"/>
            <w:vAlign w:val="center"/>
            <w:hideMark/>
          </w:tcPr>
          <w:p w14:paraId="5FE301B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Socioeconomic Inequality in the Use of LTC among European Older Adults: An Empirical Approach Using the SHARE Survey</w:t>
            </w:r>
          </w:p>
        </w:tc>
        <w:tc>
          <w:tcPr>
            <w:tcW w:w="193" w:type="pct"/>
            <w:textDirection w:val="btLr"/>
            <w:vAlign w:val="center"/>
            <w:hideMark/>
          </w:tcPr>
          <w:p w14:paraId="22C6868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Javier Lera</w:t>
            </w:r>
          </w:p>
        </w:tc>
        <w:tc>
          <w:tcPr>
            <w:tcW w:w="240" w:type="pct"/>
            <w:textDirection w:val="btLr"/>
            <w:vAlign w:val="center"/>
            <w:hideMark/>
          </w:tcPr>
          <w:p w14:paraId="3522CA5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w:t>
            </w:r>
          </w:p>
        </w:tc>
        <w:tc>
          <w:tcPr>
            <w:tcW w:w="193" w:type="pct"/>
            <w:textDirection w:val="btLr"/>
            <w:vAlign w:val="center"/>
            <w:hideMark/>
          </w:tcPr>
          <w:p w14:paraId="12B976C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2" w:type="pct"/>
            <w:textDirection w:val="btLr"/>
            <w:vAlign w:val="center"/>
            <w:hideMark/>
          </w:tcPr>
          <w:p w14:paraId="700D62F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Ten European countries</w:t>
            </w:r>
          </w:p>
        </w:tc>
        <w:tc>
          <w:tcPr>
            <w:tcW w:w="481" w:type="pct"/>
            <w:textDirection w:val="btLr"/>
            <w:vAlign w:val="center"/>
            <w:hideMark/>
          </w:tcPr>
          <w:p w14:paraId="4C9B697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from ten European countries.</w:t>
            </w:r>
          </w:p>
        </w:tc>
        <w:tc>
          <w:tcPr>
            <w:tcW w:w="193" w:type="pct"/>
            <w:textDirection w:val="btLr"/>
            <w:vAlign w:val="center"/>
            <w:hideMark/>
          </w:tcPr>
          <w:p w14:paraId="0128CC5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15334F7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The study focuses on LTC utilization without a specific transition pathway detailed in the context of the settings transitioned from. So its general.</w:t>
            </w:r>
          </w:p>
        </w:tc>
        <w:tc>
          <w:tcPr>
            <w:tcW w:w="193" w:type="pct"/>
            <w:textDirection w:val="btLr"/>
            <w:vAlign w:val="center"/>
            <w:hideMark/>
          </w:tcPr>
          <w:p w14:paraId="6C7B59D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5333B1B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being single, being female, Higher education level, Number of descendants, Living in an urban area, Number of limitations in activities of daily living (ADLs), Number of chronic diseases (NCD).</w:t>
            </w:r>
          </w:p>
        </w:tc>
        <w:tc>
          <w:tcPr>
            <w:tcW w:w="1056" w:type="pct"/>
            <w:textDirection w:val="btLr"/>
            <w:vAlign w:val="center"/>
            <w:hideMark/>
          </w:tcPr>
          <w:p w14:paraId="013598B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At least good self-assessed health status (SAGHS).</w:t>
            </w:r>
            <w:r w:rsidRPr="00CE1629">
              <w:rPr>
                <w:rFonts w:eastAsia="Times New Roman"/>
                <w:i w:val="0"/>
                <w:color w:val="000000"/>
                <w:kern w:val="0"/>
                <w:sz w:val="16"/>
                <w:szCs w:val="16"/>
                <w:lang w:val="en-GB" w:eastAsia="en-GB"/>
                <w14:ligatures w14:val="none"/>
              </w:rPr>
              <w:br/>
              <w:t>greater number of household members,</w:t>
            </w:r>
          </w:p>
        </w:tc>
      </w:tr>
      <w:tr w:rsidR="00E407BF" w:rsidRPr="00CE1629" w14:paraId="1945EE1D" w14:textId="77777777" w:rsidTr="0002791C">
        <w:trPr>
          <w:cantSplit/>
          <w:trHeight w:val="4130"/>
        </w:trPr>
        <w:tc>
          <w:tcPr>
            <w:tcW w:w="864" w:type="pct"/>
            <w:textDirection w:val="btLr"/>
            <w:vAlign w:val="center"/>
            <w:hideMark/>
          </w:tcPr>
          <w:p w14:paraId="5EA48A6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Facilitators and Inhibitors in Hospital-to-Home Transitional Care for Elderly Patients with Chronic Diseases: A Meta-Synthesis of Qualitative Studies</w:t>
            </w:r>
          </w:p>
        </w:tc>
        <w:tc>
          <w:tcPr>
            <w:tcW w:w="193" w:type="pct"/>
            <w:textDirection w:val="btLr"/>
            <w:vAlign w:val="center"/>
            <w:hideMark/>
          </w:tcPr>
          <w:p w14:paraId="695DC64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Mengjie Sun</w:t>
            </w:r>
          </w:p>
        </w:tc>
        <w:tc>
          <w:tcPr>
            <w:tcW w:w="240" w:type="pct"/>
            <w:textDirection w:val="btLr"/>
            <w:vAlign w:val="center"/>
            <w:hideMark/>
          </w:tcPr>
          <w:p w14:paraId="4D8D4D3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40D9122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No date restriction</w:t>
            </w:r>
          </w:p>
        </w:tc>
        <w:tc>
          <w:tcPr>
            <w:tcW w:w="192" w:type="pct"/>
            <w:textDirection w:val="btLr"/>
            <w:vAlign w:val="center"/>
            <w:hideMark/>
          </w:tcPr>
          <w:p w14:paraId="62991DD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Multiple countries</w:t>
            </w:r>
          </w:p>
        </w:tc>
        <w:tc>
          <w:tcPr>
            <w:tcW w:w="481" w:type="pct"/>
            <w:textDirection w:val="btLr"/>
            <w:vAlign w:val="center"/>
            <w:hideMark/>
          </w:tcPr>
          <w:p w14:paraId="271B384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with chronic diseases transitioning from hospital to home, including perspectives from caregivers and healthcare providers.</w:t>
            </w:r>
          </w:p>
        </w:tc>
        <w:tc>
          <w:tcPr>
            <w:tcW w:w="193" w:type="pct"/>
            <w:textDirection w:val="btLr"/>
            <w:vAlign w:val="center"/>
            <w:hideMark/>
          </w:tcPr>
          <w:p w14:paraId="5A4B780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 (Qual)</w:t>
            </w:r>
          </w:p>
        </w:tc>
        <w:tc>
          <w:tcPr>
            <w:tcW w:w="240" w:type="pct"/>
            <w:textDirection w:val="btLr"/>
            <w:vAlign w:val="center"/>
            <w:hideMark/>
          </w:tcPr>
          <w:p w14:paraId="1C47814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7E373C2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280ADF2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Positive personal traits (e.g., motivation, initiative, cooperation), Personal coping strategies (e.g., creating schedules, adapting the home environment, self-care skills), Strong relationships with caregivers, Active support and advocacy from family caregivers, Positive relationships with healthcare providers, Effective care coordination (e.g., transition nurses, multidisciplinary teams), Well-developed electronic systems for information sharing</w:t>
            </w:r>
          </w:p>
        </w:tc>
        <w:tc>
          <w:tcPr>
            <w:tcW w:w="1056" w:type="pct"/>
            <w:textDirection w:val="btLr"/>
            <w:vAlign w:val="center"/>
            <w:hideMark/>
          </w:tcPr>
          <w:p w14:paraId="441FF6A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Negative perceptions of transition, Gaps in knowledge and self-care skills,</w:t>
            </w:r>
            <w:r w:rsidRPr="00CE1629">
              <w:rPr>
                <w:rFonts w:eastAsia="Times New Roman"/>
                <w:i w:val="0"/>
                <w:color w:val="000000"/>
                <w:kern w:val="0"/>
                <w:sz w:val="16"/>
                <w:szCs w:val="16"/>
                <w:lang w:val="en-GB" w:eastAsia="en-GB"/>
                <w14:ligatures w14:val="none"/>
              </w:rPr>
              <w:br/>
              <w:t>Indifferent tone and attitude from healthcare providers, Physical and mental symptoms and financial burden of caregivers (PC), fragmented communication and lack of standardized processes, Human resource limitations (e.g., inadequate staffing, insufficient knowledge, and skills), Organizational barriers (e.g., time and workload constraints), E-health literacy, Patients’ residential distance</w:t>
            </w:r>
          </w:p>
        </w:tc>
      </w:tr>
      <w:tr w:rsidR="00E407BF" w:rsidRPr="00CE1629" w14:paraId="6C6666B9" w14:textId="77777777" w:rsidTr="0002791C">
        <w:trPr>
          <w:cantSplit/>
          <w:trHeight w:val="2690"/>
        </w:trPr>
        <w:tc>
          <w:tcPr>
            <w:tcW w:w="864" w:type="pct"/>
            <w:textDirection w:val="btLr"/>
            <w:vAlign w:val="center"/>
            <w:hideMark/>
          </w:tcPr>
          <w:p w14:paraId="2ACC7DA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Understanding Pathways into Care homes using Data (UnPiCD study): a retrospective cohort study using national linked health and social care data</w:t>
            </w:r>
          </w:p>
        </w:tc>
        <w:tc>
          <w:tcPr>
            <w:tcW w:w="193" w:type="pct"/>
            <w:textDirection w:val="btLr"/>
            <w:vAlign w:val="center"/>
            <w:hideMark/>
          </w:tcPr>
          <w:p w14:paraId="01FDC64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Jennifer Burton</w:t>
            </w:r>
          </w:p>
        </w:tc>
        <w:tc>
          <w:tcPr>
            <w:tcW w:w="240" w:type="pct"/>
            <w:textDirection w:val="btLr"/>
            <w:vAlign w:val="center"/>
            <w:hideMark/>
          </w:tcPr>
          <w:p w14:paraId="7FABDA9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7EECF1E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2013 to 2016</w:t>
            </w:r>
          </w:p>
        </w:tc>
        <w:tc>
          <w:tcPr>
            <w:tcW w:w="192" w:type="pct"/>
            <w:textDirection w:val="btLr"/>
            <w:vAlign w:val="center"/>
            <w:hideMark/>
          </w:tcPr>
          <w:p w14:paraId="6308F3D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UK (Scotland)</w:t>
            </w:r>
          </w:p>
        </w:tc>
        <w:tc>
          <w:tcPr>
            <w:tcW w:w="481" w:type="pct"/>
            <w:textDirection w:val="btLr"/>
            <w:vAlign w:val="center"/>
            <w:hideMark/>
          </w:tcPr>
          <w:p w14:paraId="697EB57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moving into care homes in Scotland, between April 1, 2013, and March 31, 2016.</w:t>
            </w:r>
          </w:p>
        </w:tc>
        <w:tc>
          <w:tcPr>
            <w:tcW w:w="193" w:type="pct"/>
            <w:textDirection w:val="btLr"/>
            <w:vAlign w:val="center"/>
            <w:hideMark/>
          </w:tcPr>
          <w:p w14:paraId="3D03E7C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59DF7F7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6E296DE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46699B1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age, female sex, High frailty, Hospital discharge with a diagnosis of fracture, Hospital discharge with a diagnosis of stroke, Discharge from inpatient psychiatry, a higher number of hospital admissions in the six months before moving into care home, Any diagnosis of dementia, or a hospital discharge with falls, functional dependency</w:t>
            </w:r>
          </w:p>
        </w:tc>
        <w:tc>
          <w:tcPr>
            <w:tcW w:w="1056" w:type="pct"/>
            <w:textDirection w:val="btLr"/>
            <w:vAlign w:val="center"/>
            <w:hideMark/>
          </w:tcPr>
          <w:p w14:paraId="5C70BF4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79EDEF72" w14:textId="77777777" w:rsidTr="0002791C">
        <w:trPr>
          <w:cantSplit/>
          <w:trHeight w:val="2780"/>
        </w:trPr>
        <w:tc>
          <w:tcPr>
            <w:tcW w:w="864" w:type="pct"/>
            <w:textDirection w:val="btLr"/>
            <w:vAlign w:val="center"/>
            <w:hideMark/>
          </w:tcPr>
          <w:p w14:paraId="2F7FAAF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Factors associated with entry to residential care in frail older inpatients</w:t>
            </w:r>
          </w:p>
        </w:tc>
        <w:tc>
          <w:tcPr>
            <w:tcW w:w="193" w:type="pct"/>
            <w:textDirection w:val="btLr"/>
            <w:vAlign w:val="center"/>
            <w:hideMark/>
          </w:tcPr>
          <w:p w14:paraId="4FCD8A0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Karen Misquitta</w:t>
            </w:r>
          </w:p>
        </w:tc>
        <w:tc>
          <w:tcPr>
            <w:tcW w:w="240" w:type="pct"/>
            <w:textDirection w:val="btLr"/>
            <w:vAlign w:val="center"/>
            <w:hideMark/>
          </w:tcPr>
          <w:p w14:paraId="1B3554B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6800857D" w14:textId="30606B65"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2007 to 2018</w:t>
            </w:r>
          </w:p>
        </w:tc>
        <w:tc>
          <w:tcPr>
            <w:tcW w:w="192" w:type="pct"/>
            <w:textDirection w:val="btLr"/>
            <w:vAlign w:val="center"/>
            <w:hideMark/>
          </w:tcPr>
          <w:p w14:paraId="770DFA6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Australia (Queensland)</w:t>
            </w:r>
          </w:p>
        </w:tc>
        <w:tc>
          <w:tcPr>
            <w:tcW w:w="481" w:type="pct"/>
            <w:textDirection w:val="btLr"/>
            <w:vAlign w:val="center"/>
            <w:hideMark/>
          </w:tcPr>
          <w:p w14:paraId="6E4C342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Frail older inpatients aged over 60 years, admitted from independent living and referred for geriatric consultation in 27 hospitals in Queensland.</w:t>
            </w:r>
          </w:p>
        </w:tc>
        <w:tc>
          <w:tcPr>
            <w:tcW w:w="193" w:type="pct"/>
            <w:textDirection w:val="btLr"/>
            <w:vAlign w:val="center"/>
            <w:hideMark/>
          </w:tcPr>
          <w:p w14:paraId="7C78D9C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4347E15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379CA10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155" w:type="pct"/>
            <w:textDirection w:val="btLr"/>
            <w:vAlign w:val="center"/>
            <w:hideMark/>
          </w:tcPr>
          <w:p w14:paraId="0EDB060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frailty index (each 0.1 increment in FI increased the risk by 54%), Presence of behavioural and psychological symptoms of dementia (BPSD), Faecal incontinence</w:t>
            </w:r>
          </w:p>
        </w:tc>
        <w:tc>
          <w:tcPr>
            <w:tcW w:w="1056" w:type="pct"/>
            <w:textDirection w:val="btLr"/>
            <w:vAlign w:val="center"/>
            <w:hideMark/>
          </w:tcPr>
          <w:p w14:paraId="0383FF8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Being married or in a de facto relationship, living with others</w:t>
            </w:r>
          </w:p>
        </w:tc>
      </w:tr>
      <w:tr w:rsidR="00E407BF" w:rsidRPr="00CE1629" w14:paraId="0D0E1D42" w14:textId="77777777" w:rsidTr="0002791C">
        <w:trPr>
          <w:cantSplit/>
          <w:trHeight w:val="2330"/>
        </w:trPr>
        <w:tc>
          <w:tcPr>
            <w:tcW w:w="864" w:type="pct"/>
            <w:textDirection w:val="btLr"/>
            <w:vAlign w:val="center"/>
            <w:hideMark/>
          </w:tcPr>
          <w:p w14:paraId="3807E4B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Key Care Provision Aspects That Affect Care Transition in the LTC Systems: Preliminary Review Findings</w:t>
            </w:r>
          </w:p>
        </w:tc>
        <w:tc>
          <w:tcPr>
            <w:tcW w:w="193" w:type="pct"/>
            <w:textDirection w:val="btLr"/>
            <w:vAlign w:val="center"/>
            <w:hideMark/>
          </w:tcPr>
          <w:p w14:paraId="21DE4DD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Estera Wieczorek</w:t>
            </w:r>
          </w:p>
        </w:tc>
        <w:tc>
          <w:tcPr>
            <w:tcW w:w="240" w:type="pct"/>
            <w:textDirection w:val="btLr"/>
            <w:vAlign w:val="center"/>
            <w:hideMark/>
          </w:tcPr>
          <w:p w14:paraId="685E347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0110560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2005 to 2019</w:t>
            </w:r>
          </w:p>
        </w:tc>
        <w:tc>
          <w:tcPr>
            <w:tcW w:w="192" w:type="pct"/>
            <w:textDirection w:val="btLr"/>
            <w:vAlign w:val="center"/>
            <w:hideMark/>
          </w:tcPr>
          <w:p w14:paraId="6AC15AB4" w14:textId="7C17FF00"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Multiple countries</w:t>
            </w:r>
          </w:p>
        </w:tc>
        <w:tc>
          <w:tcPr>
            <w:tcW w:w="481" w:type="pct"/>
            <w:textDirection w:val="btLr"/>
            <w:vAlign w:val="center"/>
            <w:hideMark/>
          </w:tcPr>
          <w:p w14:paraId="16C1978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Older adults aged 60 and above in LTC systems</w:t>
            </w:r>
          </w:p>
        </w:tc>
        <w:tc>
          <w:tcPr>
            <w:tcW w:w="193" w:type="pct"/>
            <w:textDirection w:val="btLr"/>
            <w:vAlign w:val="center"/>
            <w:hideMark/>
          </w:tcPr>
          <w:p w14:paraId="1BDE660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3DFC70B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Various care settings</w:t>
            </w:r>
          </w:p>
        </w:tc>
        <w:tc>
          <w:tcPr>
            <w:tcW w:w="193" w:type="pct"/>
            <w:textDirection w:val="btLr"/>
            <w:vAlign w:val="center"/>
            <w:hideMark/>
          </w:tcPr>
          <w:p w14:paraId="187DA88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2211" w:type="pct"/>
            <w:gridSpan w:val="2"/>
            <w:textDirection w:val="btLr"/>
            <w:vAlign w:val="center"/>
            <w:hideMark/>
          </w:tcPr>
          <w:p w14:paraId="27B605E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Direction is not the focus. It wants to represent the overall aspects that affect transitions: Coordination of resources (e.g., nurse-led programs, medication reconciliation)</w:t>
            </w:r>
            <w:r w:rsidRPr="00CE1629">
              <w:rPr>
                <w:rFonts w:eastAsia="Times New Roman"/>
                <w:i w:val="0"/>
                <w:color w:val="000000"/>
                <w:kern w:val="0"/>
                <w:sz w:val="16"/>
                <w:szCs w:val="16"/>
                <w:lang w:val="en-GB" w:eastAsia="en-GB"/>
                <w14:ligatures w14:val="none"/>
              </w:rPr>
              <w:br/>
              <w:t xml:space="preserve">Communication among involved professional groups </w:t>
            </w:r>
            <w:r w:rsidRPr="00CE1629">
              <w:rPr>
                <w:rFonts w:eastAsia="Times New Roman"/>
                <w:i w:val="0"/>
                <w:color w:val="000000"/>
                <w:kern w:val="0"/>
                <w:sz w:val="16"/>
                <w:szCs w:val="16"/>
                <w:lang w:val="en-GB" w:eastAsia="en-GB"/>
                <w14:ligatures w14:val="none"/>
              </w:rPr>
              <w:br/>
              <w:t>Transfer of information and care responsibility of the patient</w:t>
            </w:r>
            <w:r w:rsidRPr="00CE1629">
              <w:rPr>
                <w:rFonts w:eastAsia="Times New Roman"/>
                <w:i w:val="0"/>
                <w:color w:val="000000"/>
                <w:kern w:val="0"/>
                <w:sz w:val="16"/>
                <w:szCs w:val="16"/>
                <w:lang w:val="en-GB" w:eastAsia="en-GB"/>
                <w14:ligatures w14:val="none"/>
              </w:rPr>
              <w:br/>
              <w:t>Training and education of staff</w:t>
            </w:r>
            <w:r w:rsidRPr="00CE1629">
              <w:rPr>
                <w:rFonts w:eastAsia="Times New Roman"/>
                <w:i w:val="0"/>
                <w:color w:val="000000"/>
                <w:kern w:val="0"/>
                <w:sz w:val="16"/>
                <w:szCs w:val="16"/>
                <w:lang w:val="en-GB" w:eastAsia="en-GB"/>
                <w14:ligatures w14:val="none"/>
              </w:rPr>
              <w:br/>
              <w:t>Education and involvement of the patient and family</w:t>
            </w:r>
            <w:r w:rsidRPr="00CE1629">
              <w:rPr>
                <w:rFonts w:eastAsia="Times New Roman"/>
                <w:i w:val="0"/>
                <w:color w:val="000000"/>
                <w:kern w:val="0"/>
                <w:sz w:val="16"/>
                <w:szCs w:val="16"/>
                <w:lang w:val="en-GB" w:eastAsia="en-GB"/>
                <w14:ligatures w14:val="none"/>
              </w:rPr>
              <w:br/>
              <w:t>Use of e-health technologies</w:t>
            </w:r>
            <w:r w:rsidRPr="00CE1629">
              <w:rPr>
                <w:rFonts w:eastAsia="Times New Roman"/>
                <w:i w:val="0"/>
                <w:color w:val="000000"/>
                <w:kern w:val="0"/>
                <w:sz w:val="16"/>
                <w:szCs w:val="16"/>
                <w:lang w:val="en-GB" w:eastAsia="en-GB"/>
                <w14:ligatures w14:val="none"/>
              </w:rPr>
              <w:br/>
              <w:t>Social care support                                                                                                    coordination of resources                                                                                            provider payment mechanism (reimbursement)                                                                      Rewards                                                                                                                         Penalties</w:t>
            </w:r>
          </w:p>
        </w:tc>
      </w:tr>
      <w:tr w:rsidR="00E407BF" w:rsidRPr="00CE1629" w14:paraId="04216696" w14:textId="77777777" w:rsidTr="0002791C">
        <w:trPr>
          <w:cantSplit/>
          <w:trHeight w:val="2645"/>
        </w:trPr>
        <w:tc>
          <w:tcPr>
            <w:tcW w:w="864" w:type="pct"/>
            <w:textDirection w:val="btLr"/>
            <w:vAlign w:val="center"/>
            <w:hideMark/>
          </w:tcPr>
          <w:p w14:paraId="71851D6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Predicting the Need for Supportive Services After Discharge from Hospital: A Systematic Review</w:t>
            </w:r>
          </w:p>
        </w:tc>
        <w:tc>
          <w:tcPr>
            <w:tcW w:w="193" w:type="pct"/>
            <w:textDirection w:val="btLr"/>
            <w:vAlign w:val="center"/>
            <w:hideMark/>
          </w:tcPr>
          <w:p w14:paraId="1AC4F91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Daniel M. Kobewka</w:t>
            </w:r>
          </w:p>
        </w:tc>
        <w:tc>
          <w:tcPr>
            <w:tcW w:w="240" w:type="pct"/>
            <w:textDirection w:val="btLr"/>
            <w:vAlign w:val="center"/>
            <w:hideMark/>
          </w:tcPr>
          <w:p w14:paraId="1195B68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2020</w:t>
            </w:r>
          </w:p>
        </w:tc>
        <w:tc>
          <w:tcPr>
            <w:tcW w:w="193" w:type="pct"/>
            <w:textDirection w:val="btLr"/>
            <w:vAlign w:val="center"/>
            <w:hideMark/>
          </w:tcPr>
          <w:p w14:paraId="3787856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2" w:type="pct"/>
            <w:textDirection w:val="btLr"/>
            <w:vAlign w:val="center"/>
            <w:hideMark/>
          </w:tcPr>
          <w:p w14:paraId="6516652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Multiple countries</w:t>
            </w:r>
          </w:p>
        </w:tc>
        <w:tc>
          <w:tcPr>
            <w:tcW w:w="481" w:type="pct"/>
            <w:textDirection w:val="btLr"/>
            <w:vAlign w:val="center"/>
            <w:hideMark/>
          </w:tcPr>
          <w:p w14:paraId="2733C97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Patients admitted non-electively to medical wards and discharged from hospital</w:t>
            </w:r>
          </w:p>
        </w:tc>
        <w:tc>
          <w:tcPr>
            <w:tcW w:w="193" w:type="pct"/>
            <w:textDirection w:val="btLr"/>
            <w:vAlign w:val="center"/>
            <w:hideMark/>
          </w:tcPr>
          <w:p w14:paraId="08C3849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Literature review</w:t>
            </w:r>
          </w:p>
        </w:tc>
        <w:tc>
          <w:tcPr>
            <w:tcW w:w="240" w:type="pct"/>
            <w:textDirection w:val="btLr"/>
            <w:vAlign w:val="center"/>
            <w:hideMark/>
          </w:tcPr>
          <w:p w14:paraId="4FC333FB"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Acute care</w:t>
            </w:r>
          </w:p>
        </w:tc>
        <w:tc>
          <w:tcPr>
            <w:tcW w:w="193" w:type="pct"/>
            <w:textDirection w:val="btLr"/>
            <w:vAlign w:val="center"/>
            <w:hideMark/>
          </w:tcPr>
          <w:p w14:paraId="0EADFFD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443BFABF" w14:textId="461FFDB8"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Age, Impaired physical function,</w:t>
            </w:r>
            <w:r w:rsidRPr="00CE1629">
              <w:rPr>
                <w:rFonts w:eastAsia="Times New Roman"/>
                <w:i w:val="0"/>
                <w:color w:val="000000"/>
                <w:kern w:val="0"/>
                <w:sz w:val="16"/>
                <w:szCs w:val="16"/>
                <w:lang w:val="en-GB" w:eastAsia="en-GB"/>
                <w14:ligatures w14:val="none"/>
              </w:rPr>
              <w:br/>
              <w:t xml:space="preserve">Disabilities in performing activities of daily living (ADLs), Absence of an informal caregiver, Frailty, </w:t>
            </w:r>
            <w:r w:rsidR="00F9509D" w:rsidRPr="00CE1629">
              <w:rPr>
                <w:rFonts w:eastAsia="Times New Roman"/>
                <w:i w:val="0"/>
                <w:color w:val="000000"/>
                <w:kern w:val="0"/>
                <w:sz w:val="16"/>
                <w:szCs w:val="16"/>
                <w:lang w:val="en-GB" w:eastAsia="en-GB"/>
                <w14:ligatures w14:val="none"/>
              </w:rPr>
              <w:t>Stroke, Disabilities</w:t>
            </w:r>
            <w:r w:rsidRPr="00CE1629">
              <w:rPr>
                <w:rFonts w:eastAsia="Times New Roman"/>
                <w:i w:val="0"/>
                <w:color w:val="000000"/>
                <w:kern w:val="0"/>
                <w:sz w:val="16"/>
                <w:szCs w:val="16"/>
                <w:lang w:val="en-GB" w:eastAsia="en-GB"/>
                <w14:ligatures w14:val="none"/>
              </w:rPr>
              <w:t xml:space="preserve"> in instrumental activities of daily living (IADLs), Receiving supportive services prior to hospital admission</w:t>
            </w:r>
          </w:p>
        </w:tc>
        <w:tc>
          <w:tcPr>
            <w:tcW w:w="1056" w:type="pct"/>
            <w:textDirection w:val="btLr"/>
            <w:vAlign w:val="center"/>
            <w:hideMark/>
          </w:tcPr>
          <w:p w14:paraId="4C0F5AF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6B3D47FE" w14:textId="77777777" w:rsidTr="0002791C">
        <w:trPr>
          <w:cantSplit/>
          <w:trHeight w:val="1860"/>
        </w:trPr>
        <w:tc>
          <w:tcPr>
            <w:tcW w:w="864" w:type="pct"/>
            <w:textDirection w:val="btLr"/>
            <w:vAlign w:val="center"/>
            <w:hideMark/>
          </w:tcPr>
          <w:p w14:paraId="10694C7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Extension and Validation of the Self-care Index to Predict Transfer to a Post-acute Care Institution in Internal Medicine Patients</w:t>
            </w:r>
          </w:p>
        </w:tc>
        <w:tc>
          <w:tcPr>
            <w:tcW w:w="193" w:type="pct"/>
            <w:textDirection w:val="btLr"/>
            <w:vAlign w:val="center"/>
            <w:hideMark/>
          </w:tcPr>
          <w:p w14:paraId="32A6CE5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Antoinette Conca</w:t>
            </w:r>
          </w:p>
        </w:tc>
        <w:tc>
          <w:tcPr>
            <w:tcW w:w="240" w:type="pct"/>
            <w:textDirection w:val="btLr"/>
            <w:vAlign w:val="center"/>
            <w:hideMark/>
          </w:tcPr>
          <w:p w14:paraId="4445BA8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2022</w:t>
            </w:r>
          </w:p>
        </w:tc>
        <w:tc>
          <w:tcPr>
            <w:tcW w:w="193" w:type="pct"/>
            <w:textDirection w:val="btLr"/>
            <w:vAlign w:val="center"/>
            <w:hideMark/>
          </w:tcPr>
          <w:p w14:paraId="4212140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2013</w:t>
            </w:r>
          </w:p>
        </w:tc>
        <w:tc>
          <w:tcPr>
            <w:tcW w:w="192" w:type="pct"/>
            <w:textDirection w:val="btLr"/>
            <w:vAlign w:val="center"/>
            <w:hideMark/>
          </w:tcPr>
          <w:p w14:paraId="4A98215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Switzerland</w:t>
            </w:r>
          </w:p>
        </w:tc>
        <w:tc>
          <w:tcPr>
            <w:tcW w:w="481" w:type="pct"/>
            <w:textDirection w:val="btLr"/>
            <w:vAlign w:val="center"/>
            <w:hideMark/>
          </w:tcPr>
          <w:p w14:paraId="4944190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1372 adult internal medicine in-patients admitted from home</w:t>
            </w:r>
          </w:p>
        </w:tc>
        <w:tc>
          <w:tcPr>
            <w:tcW w:w="193" w:type="pct"/>
            <w:textDirection w:val="btLr"/>
            <w:vAlign w:val="center"/>
            <w:hideMark/>
          </w:tcPr>
          <w:p w14:paraId="5480857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18C3BD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 xml:space="preserve">Acute care </w:t>
            </w:r>
          </w:p>
        </w:tc>
        <w:tc>
          <w:tcPr>
            <w:tcW w:w="193" w:type="pct"/>
            <w:textDirection w:val="btLr"/>
            <w:vAlign w:val="center"/>
            <w:hideMark/>
          </w:tcPr>
          <w:p w14:paraId="5BE036E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CCC</w:t>
            </w:r>
          </w:p>
        </w:tc>
        <w:tc>
          <w:tcPr>
            <w:tcW w:w="1155" w:type="pct"/>
            <w:textDirection w:val="btLr"/>
            <w:vAlign w:val="center"/>
            <w:hideMark/>
          </w:tcPr>
          <w:p w14:paraId="43A7955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Higher age, Female gender, Lower overall self-care abilities (lower SPI total score), Lower ability to acquire knowledge, Higher dependency in activities of daily living</w:t>
            </w:r>
          </w:p>
        </w:tc>
        <w:tc>
          <w:tcPr>
            <w:tcW w:w="1056" w:type="pct"/>
            <w:textDirection w:val="btLr"/>
            <w:vAlign w:val="center"/>
            <w:hideMark/>
          </w:tcPr>
          <w:p w14:paraId="0F19C8E9"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E407BF" w:rsidRPr="00CE1629" w14:paraId="310DD972" w14:textId="77777777" w:rsidTr="0002791C">
        <w:trPr>
          <w:cantSplit/>
          <w:trHeight w:val="3860"/>
        </w:trPr>
        <w:tc>
          <w:tcPr>
            <w:tcW w:w="864" w:type="pct"/>
            <w:textDirection w:val="btLr"/>
            <w:vAlign w:val="center"/>
            <w:hideMark/>
          </w:tcPr>
          <w:p w14:paraId="28FFC1B4"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 transitions during a global pandemic: Planning and decision-making of residents, care partners, and health professionals in Ontario, Canada</w:t>
            </w:r>
          </w:p>
        </w:tc>
        <w:tc>
          <w:tcPr>
            <w:tcW w:w="193" w:type="pct"/>
            <w:textDirection w:val="btLr"/>
            <w:vAlign w:val="center"/>
            <w:hideMark/>
          </w:tcPr>
          <w:p w14:paraId="76B6D58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Sarah Carbone</w:t>
            </w:r>
          </w:p>
        </w:tc>
        <w:tc>
          <w:tcPr>
            <w:tcW w:w="240" w:type="pct"/>
            <w:textDirection w:val="btLr"/>
            <w:vAlign w:val="center"/>
            <w:hideMark/>
          </w:tcPr>
          <w:p w14:paraId="5F2B872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2023</w:t>
            </w:r>
          </w:p>
        </w:tc>
        <w:tc>
          <w:tcPr>
            <w:tcW w:w="193" w:type="pct"/>
            <w:textDirection w:val="btLr"/>
            <w:vAlign w:val="center"/>
            <w:hideMark/>
          </w:tcPr>
          <w:p w14:paraId="23EC7946"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2021 to 2022</w:t>
            </w:r>
          </w:p>
        </w:tc>
        <w:tc>
          <w:tcPr>
            <w:tcW w:w="192" w:type="pct"/>
            <w:textDirection w:val="btLr"/>
            <w:vAlign w:val="center"/>
            <w:hideMark/>
          </w:tcPr>
          <w:p w14:paraId="41F53C4F"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Canada</w:t>
            </w:r>
          </w:p>
        </w:tc>
        <w:tc>
          <w:tcPr>
            <w:tcW w:w="481" w:type="pct"/>
            <w:textDirection w:val="btLr"/>
            <w:vAlign w:val="center"/>
            <w:hideMark/>
          </w:tcPr>
          <w:p w14:paraId="7817804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32 participants (3 residents, 18 care partners, 11 health professionals)</w:t>
            </w:r>
          </w:p>
        </w:tc>
        <w:tc>
          <w:tcPr>
            <w:tcW w:w="193" w:type="pct"/>
            <w:textDirection w:val="btLr"/>
            <w:vAlign w:val="center"/>
            <w:hideMark/>
          </w:tcPr>
          <w:p w14:paraId="38A14557"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Qualitative</w:t>
            </w:r>
          </w:p>
        </w:tc>
        <w:tc>
          <w:tcPr>
            <w:tcW w:w="240" w:type="pct"/>
            <w:textDirection w:val="btLr"/>
            <w:vAlign w:val="center"/>
            <w:hideMark/>
          </w:tcPr>
          <w:p w14:paraId="1DEDE5C3"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LTC</w:t>
            </w:r>
          </w:p>
        </w:tc>
        <w:tc>
          <w:tcPr>
            <w:tcW w:w="193" w:type="pct"/>
            <w:textDirection w:val="btLr"/>
            <w:vAlign w:val="center"/>
            <w:hideMark/>
          </w:tcPr>
          <w:p w14:paraId="4A94246F" w14:textId="2A9C8FBD" w:rsidR="00E407BF" w:rsidRPr="00CE1629" w:rsidRDefault="00452896"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w:t>
            </w:r>
            <w:r w:rsidR="00E407BF" w:rsidRPr="00CE1629">
              <w:rPr>
                <w:rFonts w:eastAsia="Times New Roman"/>
                <w:i w:val="0"/>
                <w:color w:val="000000"/>
                <w:kern w:val="0"/>
                <w:sz w:val="16"/>
                <w:szCs w:val="16"/>
                <w:lang w:val="en-GB" w:eastAsia="en-GB"/>
                <w14:ligatures w14:val="none"/>
              </w:rPr>
              <w:t>ome care</w:t>
            </w:r>
          </w:p>
        </w:tc>
        <w:tc>
          <w:tcPr>
            <w:tcW w:w="1155" w:type="pct"/>
            <w:textDirection w:val="btLr"/>
            <w:vAlign w:val="center"/>
            <w:hideMark/>
          </w:tcPr>
          <w:p w14:paraId="304691D0"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Fear of COVID-19 infection in LTC</w:t>
            </w:r>
            <w:r w:rsidRPr="00CE1629">
              <w:rPr>
                <w:rFonts w:eastAsia="Times New Roman"/>
                <w:i w:val="0"/>
                <w:color w:val="000000"/>
                <w:kern w:val="0"/>
                <w:sz w:val="16"/>
                <w:szCs w:val="16"/>
                <w:lang w:val="en-GB" w:eastAsia="en-GB"/>
                <w14:ligatures w14:val="none"/>
              </w:rPr>
              <w:br/>
              <w:t>Desire to avoid isolation policies in LTC</w:t>
            </w:r>
            <w:r w:rsidRPr="00CE1629">
              <w:rPr>
                <w:rFonts w:eastAsia="Times New Roman"/>
                <w:i w:val="0"/>
                <w:color w:val="000000"/>
                <w:kern w:val="0"/>
                <w:sz w:val="16"/>
                <w:szCs w:val="16"/>
                <w:lang w:val="en-GB" w:eastAsia="en-GB"/>
                <w14:ligatures w14:val="none"/>
              </w:rPr>
              <w:br/>
              <w:t>Strong care partner support and resources</w:t>
            </w:r>
            <w:r w:rsidRPr="00CE1629">
              <w:rPr>
                <w:rFonts w:eastAsia="Times New Roman"/>
                <w:i w:val="0"/>
                <w:color w:val="000000"/>
                <w:kern w:val="0"/>
                <w:sz w:val="16"/>
                <w:szCs w:val="16"/>
                <w:lang w:val="en-GB" w:eastAsia="en-GB"/>
                <w14:ligatures w14:val="none"/>
              </w:rPr>
              <w:br/>
              <w:t>Belief in personal responsibility for care</w:t>
            </w:r>
            <w:r w:rsidRPr="00CE1629">
              <w:rPr>
                <w:rFonts w:eastAsia="Times New Roman"/>
                <w:i w:val="0"/>
                <w:color w:val="000000"/>
                <w:kern w:val="0"/>
                <w:sz w:val="16"/>
                <w:szCs w:val="16"/>
                <w:lang w:val="en-GB" w:eastAsia="en-GB"/>
                <w14:ligatures w14:val="none"/>
              </w:rPr>
              <w:br/>
              <w:t>Negative media portrayals of LTC during the pandemic</w:t>
            </w:r>
            <w:r w:rsidRPr="00CE1629">
              <w:rPr>
                <w:rFonts w:eastAsia="Times New Roman"/>
                <w:i w:val="0"/>
                <w:color w:val="000000"/>
                <w:kern w:val="0"/>
                <w:sz w:val="16"/>
                <w:szCs w:val="16"/>
                <w:lang w:val="en-GB" w:eastAsia="en-GB"/>
                <w14:ligatures w14:val="none"/>
              </w:rPr>
              <w:br/>
              <w:t>Perception of better quality of life in community</w:t>
            </w:r>
            <w:r w:rsidRPr="00CE1629">
              <w:rPr>
                <w:rFonts w:eastAsia="Times New Roman"/>
                <w:i w:val="0"/>
                <w:color w:val="000000"/>
                <w:kern w:val="0"/>
                <w:sz w:val="16"/>
                <w:szCs w:val="16"/>
                <w:lang w:val="en-GB" w:eastAsia="en-GB"/>
                <w14:ligatures w14:val="none"/>
              </w:rPr>
              <w:br/>
              <w:t>Availability of appropriate home environment</w:t>
            </w:r>
          </w:p>
        </w:tc>
        <w:tc>
          <w:tcPr>
            <w:tcW w:w="1056" w:type="pct"/>
            <w:textDirection w:val="btLr"/>
            <w:vAlign w:val="center"/>
            <w:hideMark/>
          </w:tcPr>
          <w:p w14:paraId="1E54AA16" w14:textId="58FE0FA8"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Complex health and support needs of residents</w:t>
            </w:r>
            <w:r w:rsidRPr="00CE1629">
              <w:rPr>
                <w:rFonts w:eastAsia="Times New Roman"/>
                <w:i w:val="0"/>
                <w:color w:val="000000"/>
                <w:kern w:val="0"/>
                <w:sz w:val="16"/>
                <w:szCs w:val="16"/>
                <w:lang w:val="en-GB" w:eastAsia="en-GB"/>
                <w14:ligatures w14:val="none"/>
              </w:rPr>
              <w:br/>
              <w:t>Limited availability of home care services</w:t>
            </w:r>
            <w:r w:rsidRPr="00CE1629">
              <w:rPr>
                <w:rFonts w:eastAsia="Times New Roman"/>
                <w:i w:val="0"/>
                <w:color w:val="000000"/>
                <w:kern w:val="0"/>
                <w:sz w:val="16"/>
                <w:szCs w:val="16"/>
                <w:lang w:val="en-GB" w:eastAsia="en-GB"/>
                <w14:ligatures w14:val="none"/>
              </w:rPr>
              <w:br/>
              <w:t>Lack of access to primary care providers in community</w:t>
            </w:r>
            <w:r w:rsidRPr="00CE1629">
              <w:rPr>
                <w:rFonts w:eastAsia="Times New Roman"/>
                <w:i w:val="0"/>
                <w:color w:val="000000"/>
                <w:kern w:val="0"/>
                <w:sz w:val="16"/>
                <w:szCs w:val="16"/>
                <w:lang w:val="en-GB" w:eastAsia="en-GB"/>
                <w14:ligatures w14:val="none"/>
              </w:rPr>
              <w:br/>
              <w:t>Potential for caregiver burnout</w:t>
            </w:r>
            <w:r w:rsidRPr="00CE1629">
              <w:rPr>
                <w:rFonts w:eastAsia="Times New Roman"/>
                <w:i w:val="0"/>
                <w:color w:val="000000"/>
                <w:kern w:val="0"/>
                <w:sz w:val="16"/>
                <w:szCs w:val="16"/>
                <w:lang w:val="en-GB" w:eastAsia="en-GB"/>
                <w14:ligatures w14:val="none"/>
              </w:rPr>
              <w:br/>
              <w:t>Insufficient resources (financial, time, equipment)</w:t>
            </w:r>
            <w:r w:rsidRPr="00CE1629">
              <w:rPr>
                <w:rFonts w:eastAsia="Times New Roman"/>
                <w:i w:val="0"/>
                <w:color w:val="000000"/>
                <w:kern w:val="0"/>
                <w:sz w:val="16"/>
                <w:szCs w:val="16"/>
                <w:lang w:val="en-GB" w:eastAsia="en-GB"/>
                <w14:ligatures w14:val="none"/>
              </w:rPr>
              <w:br/>
              <w:t>Positive perceptions of care quality in LTC</w:t>
            </w:r>
            <w:r w:rsidRPr="00CE1629">
              <w:rPr>
                <w:rFonts w:eastAsia="Times New Roman"/>
                <w:i w:val="0"/>
                <w:color w:val="000000"/>
                <w:kern w:val="0"/>
                <w:sz w:val="16"/>
                <w:szCs w:val="16"/>
                <w:lang w:val="en-GB" w:eastAsia="en-GB"/>
                <w14:ligatures w14:val="none"/>
              </w:rPr>
              <w:br/>
              <w:t>Concerns about disrupting resident</w:t>
            </w:r>
            <w:r w:rsidR="00CB7B5F" w:rsidRPr="00CE1629">
              <w:rPr>
                <w:rFonts w:eastAsia="Times New Roman"/>
                <w:i w:val="0"/>
                <w:color w:val="000000"/>
                <w:kern w:val="0"/>
                <w:sz w:val="16"/>
                <w:szCs w:val="16"/>
                <w:lang w:val="en-GB" w:eastAsia="en-GB"/>
                <w14:ligatures w14:val="none"/>
              </w:rPr>
              <w:t>’</w:t>
            </w:r>
            <w:r w:rsidRPr="00CE1629">
              <w:rPr>
                <w:rFonts w:eastAsia="Times New Roman"/>
                <w:i w:val="0"/>
                <w:color w:val="000000"/>
                <w:kern w:val="0"/>
                <w:sz w:val="16"/>
                <w:szCs w:val="16"/>
                <w:lang w:val="en-GB" w:eastAsia="en-GB"/>
                <w14:ligatures w14:val="none"/>
              </w:rPr>
              <w:t>s routine or environment</w:t>
            </w:r>
          </w:p>
        </w:tc>
      </w:tr>
      <w:tr w:rsidR="00E407BF" w:rsidRPr="00CE1629" w14:paraId="13263506" w14:textId="77777777" w:rsidTr="0002791C">
        <w:trPr>
          <w:cantSplit/>
          <w:trHeight w:val="2510"/>
        </w:trPr>
        <w:tc>
          <w:tcPr>
            <w:tcW w:w="864" w:type="pct"/>
            <w:textDirection w:val="btLr"/>
            <w:vAlign w:val="center"/>
            <w:hideMark/>
          </w:tcPr>
          <w:p w14:paraId="7B5BC0E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lastRenderedPageBreak/>
              <w:t>Predictors for living at home after geriatric inpatient rehabilitation:</w:t>
            </w:r>
            <w:r w:rsidRPr="00CE1629">
              <w:rPr>
                <w:rFonts w:eastAsia="Times New Roman"/>
                <w:i w:val="0"/>
                <w:color w:val="000000"/>
                <w:kern w:val="0"/>
                <w:sz w:val="16"/>
                <w:szCs w:val="16"/>
                <w:lang w:val="en-GB" w:eastAsia="en-GB"/>
                <w14:ligatures w14:val="none"/>
              </w:rPr>
              <w:br/>
              <w:t>a prospective cohort study</w:t>
            </w:r>
          </w:p>
        </w:tc>
        <w:tc>
          <w:tcPr>
            <w:tcW w:w="193" w:type="pct"/>
            <w:textDirection w:val="btLr"/>
            <w:vAlign w:val="center"/>
            <w:hideMark/>
          </w:tcPr>
          <w:p w14:paraId="0A03691C"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Jan Kool</w:t>
            </w:r>
          </w:p>
        </w:tc>
        <w:tc>
          <w:tcPr>
            <w:tcW w:w="240" w:type="pct"/>
            <w:textDirection w:val="btLr"/>
            <w:vAlign w:val="center"/>
            <w:hideMark/>
          </w:tcPr>
          <w:p w14:paraId="3FE403E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2017</w:t>
            </w:r>
          </w:p>
        </w:tc>
        <w:tc>
          <w:tcPr>
            <w:tcW w:w="193" w:type="pct"/>
            <w:textDirection w:val="btLr"/>
            <w:vAlign w:val="center"/>
            <w:hideMark/>
          </w:tcPr>
          <w:p w14:paraId="29769F9E"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2014</w:t>
            </w:r>
          </w:p>
        </w:tc>
        <w:tc>
          <w:tcPr>
            <w:tcW w:w="192" w:type="pct"/>
            <w:textDirection w:val="btLr"/>
            <w:vAlign w:val="center"/>
            <w:hideMark/>
          </w:tcPr>
          <w:p w14:paraId="46D63D0D"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Switzerland</w:t>
            </w:r>
          </w:p>
        </w:tc>
        <w:tc>
          <w:tcPr>
            <w:tcW w:w="481" w:type="pct"/>
            <w:textDirection w:val="btLr"/>
            <w:vAlign w:val="center"/>
            <w:hideMark/>
          </w:tcPr>
          <w:p w14:paraId="23F0EE98"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All patients aged 65 years or more who were referred for geriatric inpatient rehabilitation were eligible to enter the study</w:t>
            </w:r>
          </w:p>
        </w:tc>
        <w:tc>
          <w:tcPr>
            <w:tcW w:w="193" w:type="pct"/>
            <w:textDirection w:val="btLr"/>
            <w:vAlign w:val="center"/>
            <w:hideMark/>
          </w:tcPr>
          <w:p w14:paraId="6CFE1302"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Quantitative</w:t>
            </w:r>
          </w:p>
        </w:tc>
        <w:tc>
          <w:tcPr>
            <w:tcW w:w="240" w:type="pct"/>
            <w:textDirection w:val="btLr"/>
            <w:vAlign w:val="center"/>
            <w:hideMark/>
          </w:tcPr>
          <w:p w14:paraId="6A2C331A"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CCC</w:t>
            </w:r>
          </w:p>
        </w:tc>
        <w:tc>
          <w:tcPr>
            <w:tcW w:w="193" w:type="pct"/>
            <w:textDirection w:val="btLr"/>
            <w:vAlign w:val="center"/>
            <w:hideMark/>
          </w:tcPr>
          <w:p w14:paraId="3CB1648E" w14:textId="1821D52C"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Home care</w:t>
            </w:r>
          </w:p>
        </w:tc>
        <w:tc>
          <w:tcPr>
            <w:tcW w:w="1155" w:type="pct"/>
            <w:textDirection w:val="btLr"/>
            <w:vAlign w:val="center"/>
            <w:hideMark/>
          </w:tcPr>
          <w:p w14:paraId="7C6B7BF1"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Better mobility at discharge, lower multimorbidity, better cognition, and not living alone.</w:t>
            </w:r>
          </w:p>
        </w:tc>
        <w:tc>
          <w:tcPr>
            <w:tcW w:w="1056" w:type="pct"/>
            <w:textDirection w:val="btLr"/>
            <w:vAlign w:val="center"/>
            <w:hideMark/>
          </w:tcPr>
          <w:p w14:paraId="427EBD05" w14:textId="77777777" w:rsidR="00E407BF" w:rsidRPr="00CE1629" w:rsidRDefault="00E407BF" w:rsidP="00E407BF">
            <w:pPr>
              <w:ind w:left="115" w:right="115"/>
              <w:jc w:val="center"/>
              <w:rPr>
                <w:rFonts w:eastAsia="Times New Roman"/>
                <w:i w:val="0"/>
                <w:color w:val="000000"/>
                <w:kern w:val="0"/>
                <w:sz w:val="16"/>
                <w:szCs w:val="16"/>
                <w:lang w:val="en-GB" w:eastAsia="en-GB"/>
                <w14:ligatures w14:val="none"/>
              </w:rPr>
            </w:pPr>
            <w:r w:rsidRPr="00CE1629">
              <w:rPr>
                <w:rFonts w:eastAsia="Times New Roman"/>
                <w:i w:val="0"/>
                <w:color w:val="000000"/>
                <w:kern w:val="0"/>
                <w:sz w:val="16"/>
                <w:szCs w:val="16"/>
                <w:lang w:val="en-GB" w:eastAsia="en-GB"/>
                <w14:ligatures w14:val="none"/>
              </w:rPr>
              <w:t>-</w:t>
            </w:r>
          </w:p>
        </w:tc>
      </w:tr>
      <w:tr w:rsidR="00CE1629" w:rsidRPr="00CE1629" w14:paraId="15CC1771" w14:textId="77777777" w:rsidTr="00CE1629">
        <w:trPr>
          <w:cantSplit/>
          <w:trHeight w:val="2510"/>
        </w:trPr>
        <w:tc>
          <w:tcPr>
            <w:tcW w:w="864" w:type="pct"/>
            <w:textDirection w:val="btLr"/>
            <w:vAlign w:val="center"/>
          </w:tcPr>
          <w:p w14:paraId="62AC130C" w14:textId="66F7E92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Factors influencing home discharge of hospitalized oldest-old patients (≥ 90 years): A retrospective quantitative case-control study</w:t>
            </w:r>
          </w:p>
        </w:tc>
        <w:tc>
          <w:tcPr>
            <w:tcW w:w="193" w:type="pct"/>
            <w:textDirection w:val="btLr"/>
            <w:vAlign w:val="center"/>
          </w:tcPr>
          <w:p w14:paraId="7E638F71" w14:textId="37780D8B"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Toru </w:t>
            </w:r>
            <w:r w:rsidRPr="00CE1629">
              <w:rPr>
                <w:i w:val="0"/>
                <w:iCs/>
                <w:sz w:val="16"/>
                <w:szCs w:val="16"/>
              </w:rPr>
              <w:t>Takekawa</w:t>
            </w:r>
          </w:p>
        </w:tc>
        <w:tc>
          <w:tcPr>
            <w:tcW w:w="240" w:type="pct"/>
            <w:textDirection w:val="btLr"/>
            <w:vAlign w:val="center"/>
          </w:tcPr>
          <w:p w14:paraId="4C82EB52" w14:textId="11E2DB4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558A79A3" w14:textId="4703CD5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Jan 1 to Dec 31 2020</w:t>
            </w:r>
          </w:p>
        </w:tc>
        <w:tc>
          <w:tcPr>
            <w:tcW w:w="192" w:type="pct"/>
            <w:textDirection w:val="btLr"/>
            <w:vAlign w:val="center"/>
          </w:tcPr>
          <w:p w14:paraId="3C693BAE" w14:textId="77E9A7E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Tokyo, Japan</w:t>
            </w:r>
          </w:p>
        </w:tc>
        <w:tc>
          <w:tcPr>
            <w:tcW w:w="481" w:type="pct"/>
            <w:textDirection w:val="btLr"/>
            <w:vAlign w:val="center"/>
          </w:tcPr>
          <w:p w14:paraId="2C235768" w14:textId="59DAF0DA"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90 patients aged ≥90 (mean ≈91 yrs)</w:t>
            </w:r>
          </w:p>
        </w:tc>
        <w:tc>
          <w:tcPr>
            <w:tcW w:w="193" w:type="pct"/>
            <w:textDirection w:val="btLr"/>
            <w:vAlign w:val="center"/>
          </w:tcPr>
          <w:p w14:paraId="62DCF869" w14:textId="3F56D45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5232C6DC" w14:textId="011D75E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0103C349" w14:textId="62403C3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 care</w:t>
            </w:r>
          </w:p>
        </w:tc>
        <w:tc>
          <w:tcPr>
            <w:tcW w:w="1155" w:type="pct"/>
            <w:textDirection w:val="btLr"/>
            <w:vAlign w:val="center"/>
          </w:tcPr>
          <w:p w14:paraId="08678770" w14:textId="5553C18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Living with someone, partial or no assistance with eating, higher lymphocyte count, better mobility scores</w:t>
            </w:r>
          </w:p>
        </w:tc>
        <w:tc>
          <w:tcPr>
            <w:tcW w:w="1056" w:type="pct"/>
            <w:textDirection w:val="btLr"/>
            <w:vAlign w:val="center"/>
          </w:tcPr>
          <w:p w14:paraId="06C384D8" w14:textId="09346DC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Living alone, full assistance for eating, low lymphocyte count, low mobility scores</w:t>
            </w:r>
          </w:p>
        </w:tc>
      </w:tr>
      <w:tr w:rsidR="00CE1629" w:rsidRPr="00CE1629" w14:paraId="4A936E1F" w14:textId="77777777" w:rsidTr="00CE1629">
        <w:trPr>
          <w:cantSplit/>
          <w:trHeight w:val="2510"/>
        </w:trPr>
        <w:tc>
          <w:tcPr>
            <w:tcW w:w="864" w:type="pct"/>
            <w:textDirection w:val="btLr"/>
            <w:vAlign w:val="center"/>
          </w:tcPr>
          <w:p w14:paraId="408E2B72" w14:textId="3B63357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Skilled Nursing Facility Rehabilitation Intensity and Successful Discharge in Persons with Dementia</w:t>
            </w:r>
          </w:p>
        </w:tc>
        <w:tc>
          <w:tcPr>
            <w:tcW w:w="193" w:type="pct"/>
            <w:textDirection w:val="btLr"/>
            <w:vAlign w:val="center"/>
          </w:tcPr>
          <w:p w14:paraId="29259BBE" w14:textId="5F5E21D6"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Thomas </w:t>
            </w:r>
            <w:r w:rsidRPr="00CE1629">
              <w:rPr>
                <w:i w:val="0"/>
                <w:iCs/>
                <w:sz w:val="16"/>
                <w:szCs w:val="16"/>
              </w:rPr>
              <w:t>Bayer</w:t>
            </w:r>
          </w:p>
        </w:tc>
        <w:tc>
          <w:tcPr>
            <w:tcW w:w="240" w:type="pct"/>
            <w:textDirection w:val="btLr"/>
            <w:vAlign w:val="center"/>
          </w:tcPr>
          <w:p w14:paraId="22D48E02" w14:textId="4B9F170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4F58AF3A" w14:textId="3143260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Jan 2011 to Jun 2019</w:t>
            </w:r>
          </w:p>
        </w:tc>
        <w:tc>
          <w:tcPr>
            <w:tcW w:w="192" w:type="pct"/>
            <w:textDirection w:val="btLr"/>
            <w:vAlign w:val="center"/>
          </w:tcPr>
          <w:p w14:paraId="18472F5F" w14:textId="7816ED7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7DF1072E" w14:textId="22A142B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8 255 veterans ≥ 65 y with dementia</w:t>
            </w:r>
          </w:p>
        </w:tc>
        <w:tc>
          <w:tcPr>
            <w:tcW w:w="193" w:type="pct"/>
            <w:textDirection w:val="btLr"/>
            <w:vAlign w:val="center"/>
          </w:tcPr>
          <w:p w14:paraId="22AD6E58" w14:textId="1F89B88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726ED88B" w14:textId="01780C07"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SNF (CCC)</w:t>
            </w:r>
          </w:p>
        </w:tc>
        <w:tc>
          <w:tcPr>
            <w:tcW w:w="193" w:type="pct"/>
            <w:textDirection w:val="btLr"/>
            <w:vAlign w:val="center"/>
          </w:tcPr>
          <w:p w14:paraId="21763DA4" w14:textId="75720FE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 care</w:t>
            </w:r>
          </w:p>
        </w:tc>
        <w:tc>
          <w:tcPr>
            <w:tcW w:w="1155" w:type="pct"/>
            <w:textDirection w:val="btLr"/>
            <w:vAlign w:val="center"/>
          </w:tcPr>
          <w:p w14:paraId="50277AD8" w14:textId="33D8127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Receiving ≥5.3 h/week of skilled therapy; each additional hour of therapy increases likelihood of home discharge</w:t>
            </w:r>
          </w:p>
        </w:tc>
        <w:tc>
          <w:tcPr>
            <w:tcW w:w="1056" w:type="pct"/>
            <w:textDirection w:val="btLr"/>
            <w:vAlign w:val="center"/>
          </w:tcPr>
          <w:p w14:paraId="15A08823" w14:textId="0348470E"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Higher comorbidity counts, greater ADL dependency, cognitive impairment</w:t>
            </w:r>
          </w:p>
        </w:tc>
      </w:tr>
      <w:tr w:rsidR="00CE1629" w:rsidRPr="00CE1629" w14:paraId="028B3494" w14:textId="77777777" w:rsidTr="00CE1629">
        <w:trPr>
          <w:cantSplit/>
          <w:trHeight w:val="2510"/>
        </w:trPr>
        <w:tc>
          <w:tcPr>
            <w:tcW w:w="864" w:type="pct"/>
            <w:textDirection w:val="btLr"/>
            <w:vAlign w:val="center"/>
          </w:tcPr>
          <w:p w14:paraId="3E6A6F88" w14:textId="06DA9AF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Low phase angle: A predictor of functional status and discharge disposition in acute stroke older patients</w:t>
            </w:r>
          </w:p>
        </w:tc>
        <w:tc>
          <w:tcPr>
            <w:tcW w:w="193" w:type="pct"/>
            <w:textDirection w:val="btLr"/>
            <w:vAlign w:val="center"/>
          </w:tcPr>
          <w:p w14:paraId="14458807" w14:textId="3BBBDE42"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Kota </w:t>
            </w:r>
            <w:r w:rsidRPr="00CE1629">
              <w:rPr>
                <w:i w:val="0"/>
                <w:iCs/>
                <w:sz w:val="16"/>
                <w:szCs w:val="16"/>
              </w:rPr>
              <w:t>Amakasu</w:t>
            </w:r>
          </w:p>
        </w:tc>
        <w:tc>
          <w:tcPr>
            <w:tcW w:w="240" w:type="pct"/>
            <w:textDirection w:val="btLr"/>
            <w:vAlign w:val="center"/>
          </w:tcPr>
          <w:p w14:paraId="4A80434B" w14:textId="602B910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35A26A6A" w14:textId="0266E6D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Oct 2021 to Dec 2022</w:t>
            </w:r>
          </w:p>
        </w:tc>
        <w:tc>
          <w:tcPr>
            <w:tcW w:w="192" w:type="pct"/>
            <w:textDirection w:val="btLr"/>
            <w:vAlign w:val="center"/>
          </w:tcPr>
          <w:p w14:paraId="32D93A01" w14:textId="40B3061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Japan</w:t>
            </w:r>
          </w:p>
        </w:tc>
        <w:tc>
          <w:tcPr>
            <w:tcW w:w="481" w:type="pct"/>
            <w:textDirection w:val="btLr"/>
            <w:vAlign w:val="center"/>
          </w:tcPr>
          <w:p w14:paraId="5292F581" w14:textId="2EFCC85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205 acute stroke patients aged ≥ 65 starting rehab within 1 week</w:t>
            </w:r>
          </w:p>
        </w:tc>
        <w:tc>
          <w:tcPr>
            <w:tcW w:w="193" w:type="pct"/>
            <w:textDirection w:val="btLr"/>
            <w:vAlign w:val="center"/>
          </w:tcPr>
          <w:p w14:paraId="6AE13818" w14:textId="329DABD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5D31CF94" w14:textId="65D6E7FE"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5AF5391B" w14:textId="008EE9A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 care</w:t>
            </w:r>
          </w:p>
        </w:tc>
        <w:tc>
          <w:tcPr>
            <w:tcW w:w="1155" w:type="pct"/>
            <w:textDirection w:val="btLr"/>
            <w:vAlign w:val="center"/>
          </w:tcPr>
          <w:p w14:paraId="0C9CA092" w14:textId="05A627C7"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Good trunk control (Trunk Control Test ≥40), mild stroke severity (NIHSS 0-5), normal phase angle</w:t>
            </w:r>
          </w:p>
        </w:tc>
        <w:tc>
          <w:tcPr>
            <w:tcW w:w="1056" w:type="pct"/>
            <w:textDirection w:val="btLr"/>
            <w:vAlign w:val="center"/>
          </w:tcPr>
          <w:p w14:paraId="6FC8B9C2" w14:textId="5BCC912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Low phase angle,, poor trunk control</w:t>
            </w:r>
          </w:p>
        </w:tc>
      </w:tr>
      <w:tr w:rsidR="00CE1629" w:rsidRPr="00CE1629" w14:paraId="17A7C8DB" w14:textId="77777777" w:rsidTr="00CE1629">
        <w:trPr>
          <w:cantSplit/>
          <w:trHeight w:val="2510"/>
        </w:trPr>
        <w:tc>
          <w:tcPr>
            <w:tcW w:w="864" w:type="pct"/>
            <w:textDirection w:val="btLr"/>
            <w:vAlign w:val="center"/>
          </w:tcPr>
          <w:p w14:paraId="79475C56" w14:textId="7A0AF03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lastRenderedPageBreak/>
              <w:t>Factors Affecting Home Discharge of Older Adults with Cervical Spinal Cord Injury in Japan Regional Population</w:t>
            </w:r>
          </w:p>
        </w:tc>
        <w:tc>
          <w:tcPr>
            <w:tcW w:w="193" w:type="pct"/>
            <w:textDirection w:val="btLr"/>
            <w:vAlign w:val="center"/>
          </w:tcPr>
          <w:p w14:paraId="41AE38E4" w14:textId="3A2D633A"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Sota </w:t>
            </w:r>
            <w:r w:rsidRPr="00CE1629">
              <w:rPr>
                <w:i w:val="0"/>
                <w:iCs/>
                <w:sz w:val="16"/>
                <w:szCs w:val="16"/>
              </w:rPr>
              <w:t>Sasaki</w:t>
            </w:r>
          </w:p>
        </w:tc>
        <w:tc>
          <w:tcPr>
            <w:tcW w:w="240" w:type="pct"/>
            <w:textDirection w:val="btLr"/>
            <w:vAlign w:val="center"/>
          </w:tcPr>
          <w:p w14:paraId="53C96129" w14:textId="129726DA"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2023</w:t>
            </w:r>
          </w:p>
        </w:tc>
        <w:tc>
          <w:tcPr>
            <w:tcW w:w="193" w:type="pct"/>
            <w:textDirection w:val="btLr"/>
            <w:vAlign w:val="center"/>
          </w:tcPr>
          <w:p w14:paraId="6FA15608" w14:textId="4BBA457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2005 to 2020</w:t>
            </w:r>
          </w:p>
        </w:tc>
        <w:tc>
          <w:tcPr>
            <w:tcW w:w="192" w:type="pct"/>
            <w:textDirection w:val="btLr"/>
            <w:vAlign w:val="center"/>
          </w:tcPr>
          <w:p w14:paraId="1B6E5F94" w14:textId="4408095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Japan</w:t>
            </w:r>
          </w:p>
        </w:tc>
        <w:tc>
          <w:tcPr>
            <w:tcW w:w="481" w:type="pct"/>
            <w:textDirection w:val="btLr"/>
            <w:vAlign w:val="center"/>
          </w:tcPr>
          <w:p w14:paraId="74556F2E" w14:textId="035B85B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219 patients (mean age ≈74 yrs)</w:t>
            </w:r>
          </w:p>
        </w:tc>
        <w:tc>
          <w:tcPr>
            <w:tcW w:w="193" w:type="pct"/>
            <w:textDirection w:val="btLr"/>
            <w:vAlign w:val="center"/>
          </w:tcPr>
          <w:p w14:paraId="0C971D51" w14:textId="69262E1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1C4C6B98" w14:textId="78C2724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3AC85E6A" w14:textId="56A6224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 care</w:t>
            </w:r>
          </w:p>
        </w:tc>
        <w:tc>
          <w:tcPr>
            <w:tcW w:w="1155" w:type="pct"/>
            <w:textDirection w:val="btLr"/>
            <w:vAlign w:val="center"/>
          </w:tcPr>
          <w:p w14:paraId="33DAEB30" w14:textId="3E7D983E"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Age &lt; 75 y,  Living with someone, Lower neurological level (C5-8), Incomplete injury (AIS B-D), Higher functional independence at admission</w:t>
            </w:r>
          </w:p>
        </w:tc>
        <w:tc>
          <w:tcPr>
            <w:tcW w:w="1056" w:type="pct"/>
            <w:textDirection w:val="btLr"/>
            <w:vAlign w:val="center"/>
          </w:tcPr>
          <w:p w14:paraId="707D72BE" w14:textId="734660EE"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Age ≥ 75 y, Living alone, High neurological level (C1-4), Complete injury AIS A</w:t>
            </w:r>
          </w:p>
        </w:tc>
      </w:tr>
      <w:tr w:rsidR="00CE1629" w:rsidRPr="00CE1629" w14:paraId="0E0047A0" w14:textId="77777777" w:rsidTr="00CE1629">
        <w:trPr>
          <w:cantSplit/>
          <w:trHeight w:val="2510"/>
        </w:trPr>
        <w:tc>
          <w:tcPr>
            <w:tcW w:w="864" w:type="pct"/>
            <w:textDirection w:val="btLr"/>
            <w:vAlign w:val="center"/>
          </w:tcPr>
          <w:p w14:paraId="6439D921" w14:textId="6E01859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Preoperative Risk Factors for Discharge to Facility After Surgery in Geriatric Patients</w:t>
            </w:r>
          </w:p>
        </w:tc>
        <w:tc>
          <w:tcPr>
            <w:tcW w:w="193" w:type="pct"/>
            <w:textDirection w:val="btLr"/>
            <w:vAlign w:val="center"/>
          </w:tcPr>
          <w:p w14:paraId="1A4BA061" w14:textId="4EDA580B"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Danielle </w:t>
            </w:r>
            <w:r w:rsidRPr="00CE1629">
              <w:rPr>
                <w:i w:val="0"/>
                <w:iCs/>
                <w:sz w:val="16"/>
                <w:szCs w:val="16"/>
              </w:rPr>
              <w:t>Abbitt</w:t>
            </w:r>
          </w:p>
        </w:tc>
        <w:tc>
          <w:tcPr>
            <w:tcW w:w="240" w:type="pct"/>
            <w:textDirection w:val="btLr"/>
            <w:vAlign w:val="center"/>
          </w:tcPr>
          <w:p w14:paraId="62547776" w14:textId="548EADB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5D77DBFB" w14:textId="00ABBCE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Jan 2018 to Dec 2022</w:t>
            </w:r>
          </w:p>
        </w:tc>
        <w:tc>
          <w:tcPr>
            <w:tcW w:w="192" w:type="pct"/>
            <w:textDirection w:val="btLr"/>
            <w:vAlign w:val="center"/>
          </w:tcPr>
          <w:p w14:paraId="5A3F1E86" w14:textId="577A6E7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4282DB90" w14:textId="0EED8E5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432 patients aged ≥75 (mean ≈79 yrs)</w:t>
            </w:r>
          </w:p>
        </w:tc>
        <w:tc>
          <w:tcPr>
            <w:tcW w:w="193" w:type="pct"/>
            <w:textDirection w:val="btLr"/>
            <w:vAlign w:val="center"/>
          </w:tcPr>
          <w:p w14:paraId="312DF7D5" w14:textId="4A79CE1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4B897C06" w14:textId="3DE3E3D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7467BD41" w14:textId="6AA9156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 care</w:t>
            </w:r>
          </w:p>
        </w:tc>
        <w:tc>
          <w:tcPr>
            <w:tcW w:w="1155" w:type="pct"/>
            <w:textDirection w:val="btLr"/>
            <w:vAlign w:val="center"/>
          </w:tcPr>
          <w:p w14:paraId="4AD466F7" w14:textId="73A82B1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No falls in prior 6 mo, No mobility-aid use, Pre-illness independent functional status,  Living with others</w:t>
            </w:r>
          </w:p>
        </w:tc>
        <w:tc>
          <w:tcPr>
            <w:tcW w:w="1056" w:type="pct"/>
            <w:textDirection w:val="btLr"/>
            <w:vAlign w:val="center"/>
          </w:tcPr>
          <w:p w14:paraId="517EF16A" w14:textId="158A4DE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 1 fall in 6 mo, Use of cane/walker/wheelchair, pre</w:t>
            </w:r>
            <w:r w:rsidRPr="00CE1629">
              <w:rPr>
                <w:rFonts w:ascii="Cambria Math" w:hAnsi="Cambria Math" w:cs="Cambria Math"/>
                <w:i w:val="0"/>
                <w:iCs/>
                <w:sz w:val="16"/>
                <w:szCs w:val="16"/>
              </w:rPr>
              <w:t>‑</w:t>
            </w:r>
            <w:r w:rsidRPr="00CE1629">
              <w:rPr>
                <w:i w:val="0"/>
                <w:iCs/>
                <w:sz w:val="16"/>
                <w:szCs w:val="16"/>
              </w:rPr>
              <w:t>illness functional dependence, Living alone, orthopedic surgery</w:t>
            </w:r>
          </w:p>
        </w:tc>
      </w:tr>
      <w:tr w:rsidR="00CE1629" w:rsidRPr="00CE1629" w14:paraId="768F8395" w14:textId="77777777" w:rsidTr="00CE1629">
        <w:trPr>
          <w:cantSplit/>
          <w:trHeight w:val="2510"/>
        </w:trPr>
        <w:tc>
          <w:tcPr>
            <w:tcW w:w="864" w:type="pct"/>
            <w:textDirection w:val="btLr"/>
            <w:vAlign w:val="center"/>
          </w:tcPr>
          <w:p w14:paraId="526C19B2" w14:textId="75DA648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Predictors of 15-year transitions across living and care settings in a population of Swedish older adults</w:t>
            </w:r>
          </w:p>
        </w:tc>
        <w:tc>
          <w:tcPr>
            <w:tcW w:w="193" w:type="pct"/>
            <w:textDirection w:val="btLr"/>
            <w:vAlign w:val="center"/>
          </w:tcPr>
          <w:p w14:paraId="182291D7" w14:textId="060C3F68"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Susanna </w:t>
            </w:r>
            <w:r w:rsidRPr="00CE1629">
              <w:rPr>
                <w:i w:val="0"/>
                <w:iCs/>
                <w:sz w:val="16"/>
                <w:szCs w:val="16"/>
              </w:rPr>
              <w:t>Gentili</w:t>
            </w:r>
          </w:p>
        </w:tc>
        <w:tc>
          <w:tcPr>
            <w:tcW w:w="240" w:type="pct"/>
            <w:textDirection w:val="btLr"/>
            <w:vAlign w:val="center"/>
          </w:tcPr>
          <w:p w14:paraId="0141A639" w14:textId="2B6C7EC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2025</w:t>
            </w:r>
          </w:p>
        </w:tc>
        <w:tc>
          <w:tcPr>
            <w:tcW w:w="193" w:type="pct"/>
            <w:textDirection w:val="btLr"/>
            <w:vAlign w:val="center"/>
          </w:tcPr>
          <w:p w14:paraId="4E928643" w14:textId="7C48293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2001 to Jan 2017</w:t>
            </w:r>
          </w:p>
        </w:tc>
        <w:tc>
          <w:tcPr>
            <w:tcW w:w="192" w:type="pct"/>
            <w:textDirection w:val="btLr"/>
            <w:vAlign w:val="center"/>
          </w:tcPr>
          <w:p w14:paraId="6635A2F6" w14:textId="776271D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Sweden</w:t>
            </w:r>
          </w:p>
        </w:tc>
        <w:tc>
          <w:tcPr>
            <w:tcW w:w="481" w:type="pct"/>
            <w:textDirection w:val="btLr"/>
            <w:vAlign w:val="center"/>
          </w:tcPr>
          <w:p w14:paraId="32B9AEE1" w14:textId="16B6CC0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3,021 adults aged ≥60 (mean ≈74.7 yrs)</w:t>
            </w:r>
          </w:p>
        </w:tc>
        <w:tc>
          <w:tcPr>
            <w:tcW w:w="193" w:type="pct"/>
            <w:textDirection w:val="btLr"/>
            <w:vAlign w:val="center"/>
          </w:tcPr>
          <w:p w14:paraId="1876BCB7" w14:textId="7DBE10EA"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1E327D31" w14:textId="7F9BE22E"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11F989EF" w14:textId="1A41049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 care</w:t>
            </w:r>
          </w:p>
        </w:tc>
        <w:tc>
          <w:tcPr>
            <w:tcW w:w="1155" w:type="pct"/>
            <w:textDirection w:val="btLr"/>
            <w:vAlign w:val="center"/>
          </w:tcPr>
          <w:p w14:paraId="2D2D5417" w14:textId="4B5A9EE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Older age and female sex increased likelihood of home care after hospital/post</w:t>
            </w:r>
            <w:r w:rsidRPr="00CE1629">
              <w:rPr>
                <w:rFonts w:ascii="Cambria Math" w:hAnsi="Cambria Math" w:cs="Cambria Math"/>
                <w:i w:val="0"/>
                <w:iCs/>
                <w:sz w:val="16"/>
                <w:szCs w:val="16"/>
              </w:rPr>
              <w:t>‑</w:t>
            </w:r>
            <w:r w:rsidRPr="00CE1629">
              <w:rPr>
                <w:i w:val="0"/>
                <w:iCs/>
                <w:sz w:val="16"/>
                <w:szCs w:val="16"/>
              </w:rPr>
              <w:t>acute, higher education and being unpartnered increased odds of hospitalisation and hospital</w:t>
            </w:r>
            <w:r w:rsidRPr="00CE1629">
              <w:rPr>
                <w:rFonts w:ascii="Cambria Math" w:hAnsi="Cambria Math" w:cs="Cambria Math"/>
                <w:i w:val="0"/>
                <w:iCs/>
                <w:sz w:val="16"/>
                <w:szCs w:val="16"/>
              </w:rPr>
              <w:t>‑</w:t>
            </w:r>
            <w:r w:rsidRPr="00CE1629">
              <w:rPr>
                <w:i w:val="0"/>
                <w:iCs/>
                <w:sz w:val="16"/>
                <w:szCs w:val="16"/>
              </w:rPr>
              <w:t>to</w:t>
            </w:r>
            <w:r w:rsidRPr="00CE1629">
              <w:rPr>
                <w:rFonts w:ascii="Cambria Math" w:hAnsi="Cambria Math" w:cs="Cambria Math"/>
                <w:i w:val="0"/>
                <w:iCs/>
                <w:sz w:val="16"/>
                <w:szCs w:val="16"/>
              </w:rPr>
              <w:t>‑</w:t>
            </w:r>
            <w:r w:rsidRPr="00CE1629">
              <w:rPr>
                <w:i w:val="0"/>
                <w:iCs/>
                <w:sz w:val="16"/>
                <w:szCs w:val="16"/>
              </w:rPr>
              <w:t>home with social services</w:t>
            </w:r>
          </w:p>
        </w:tc>
        <w:tc>
          <w:tcPr>
            <w:tcW w:w="1056" w:type="pct"/>
            <w:textDirection w:val="btLr"/>
            <w:vAlign w:val="center"/>
          </w:tcPr>
          <w:p w14:paraId="3EFFCE06" w14:textId="6E8FC42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Cognitive impairment and ADL/IADL disability reduced chance of returning home and increased hazard of nursing home placement, slower gait speed raised risk of hospitalisation and nursing</w:t>
            </w:r>
            <w:r w:rsidRPr="00CE1629">
              <w:rPr>
                <w:rFonts w:ascii="Cambria Math" w:hAnsi="Cambria Math" w:cs="Cambria Math"/>
                <w:i w:val="0"/>
                <w:iCs/>
                <w:sz w:val="16"/>
                <w:szCs w:val="16"/>
              </w:rPr>
              <w:t>‑</w:t>
            </w:r>
            <w:r w:rsidRPr="00CE1629">
              <w:rPr>
                <w:i w:val="0"/>
                <w:iCs/>
                <w:sz w:val="16"/>
                <w:szCs w:val="16"/>
              </w:rPr>
              <w:t>home discharge</w:t>
            </w:r>
          </w:p>
        </w:tc>
      </w:tr>
      <w:tr w:rsidR="00CE1629" w:rsidRPr="00CE1629" w14:paraId="0DB26D4C" w14:textId="77777777" w:rsidTr="00CE1629">
        <w:trPr>
          <w:cantSplit/>
          <w:trHeight w:val="2510"/>
        </w:trPr>
        <w:tc>
          <w:tcPr>
            <w:tcW w:w="864" w:type="pct"/>
            <w:textDirection w:val="btLr"/>
            <w:vAlign w:val="center"/>
          </w:tcPr>
          <w:p w14:paraId="0620D0CA" w14:textId="1C653F7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Multistate Competing Risk Analysis of Transition Back to the Community Among LTC-Destined Patients: A Brief Report</w:t>
            </w:r>
          </w:p>
        </w:tc>
        <w:tc>
          <w:tcPr>
            <w:tcW w:w="193" w:type="pct"/>
            <w:textDirection w:val="btLr"/>
            <w:vAlign w:val="center"/>
          </w:tcPr>
          <w:p w14:paraId="33F689C2" w14:textId="1A3B4129"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Bonaventure </w:t>
            </w:r>
            <w:r w:rsidRPr="00CE1629">
              <w:rPr>
                <w:i w:val="0"/>
                <w:iCs/>
                <w:sz w:val="16"/>
                <w:szCs w:val="16"/>
              </w:rPr>
              <w:t>Egbujie</w:t>
            </w:r>
          </w:p>
        </w:tc>
        <w:tc>
          <w:tcPr>
            <w:tcW w:w="240" w:type="pct"/>
            <w:textDirection w:val="btLr"/>
            <w:vAlign w:val="center"/>
          </w:tcPr>
          <w:p w14:paraId="140FB00B" w14:textId="18C75FC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2023</w:t>
            </w:r>
          </w:p>
        </w:tc>
        <w:tc>
          <w:tcPr>
            <w:tcW w:w="193" w:type="pct"/>
            <w:textDirection w:val="btLr"/>
            <w:vAlign w:val="center"/>
          </w:tcPr>
          <w:p w14:paraId="38E1644C" w14:textId="33B1C5A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Jan 2020 to Jun 2023</w:t>
            </w:r>
          </w:p>
        </w:tc>
        <w:tc>
          <w:tcPr>
            <w:tcW w:w="192" w:type="pct"/>
            <w:textDirection w:val="btLr"/>
            <w:vAlign w:val="center"/>
          </w:tcPr>
          <w:p w14:paraId="39D18A55" w14:textId="45F7B31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Canada</w:t>
            </w:r>
          </w:p>
        </w:tc>
        <w:tc>
          <w:tcPr>
            <w:tcW w:w="481" w:type="pct"/>
            <w:textDirection w:val="btLr"/>
            <w:vAlign w:val="center"/>
          </w:tcPr>
          <w:p w14:paraId="36B4A6BC" w14:textId="4A9F428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111 patients enrolled in Harbour Light transitional unit aged &gt; 65</w:t>
            </w:r>
          </w:p>
        </w:tc>
        <w:tc>
          <w:tcPr>
            <w:tcW w:w="193" w:type="pct"/>
            <w:textDirection w:val="btLr"/>
            <w:vAlign w:val="center"/>
          </w:tcPr>
          <w:p w14:paraId="4B6D5B8E" w14:textId="5AC799C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3D5E2795" w14:textId="3662EFE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60216687" w14:textId="0C9A9337"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 care</w:t>
            </w:r>
          </w:p>
        </w:tc>
        <w:tc>
          <w:tcPr>
            <w:tcW w:w="1155" w:type="pct"/>
            <w:textDirection w:val="btLr"/>
            <w:vAlign w:val="center"/>
          </w:tcPr>
          <w:p w14:paraId="7C673C5B" w14:textId="210E691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Female sex, Usual home available</w:t>
            </w:r>
          </w:p>
        </w:tc>
        <w:tc>
          <w:tcPr>
            <w:tcW w:w="1056" w:type="pct"/>
            <w:textDirection w:val="btLr"/>
            <w:vAlign w:val="center"/>
          </w:tcPr>
          <w:p w14:paraId="1F835DCE" w14:textId="40E27577"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Higher cognitive impairment (CPS), Post</w:t>
            </w:r>
            <w:r w:rsidRPr="00CE1629">
              <w:rPr>
                <w:rFonts w:ascii="Cambria Math" w:hAnsi="Cambria Math" w:cs="Cambria Math"/>
                <w:i w:val="0"/>
                <w:iCs/>
                <w:sz w:val="16"/>
                <w:szCs w:val="16"/>
              </w:rPr>
              <w:t>‑</w:t>
            </w:r>
            <w:r w:rsidRPr="00CE1629">
              <w:rPr>
                <w:i w:val="0"/>
                <w:iCs/>
                <w:sz w:val="16"/>
                <w:szCs w:val="16"/>
              </w:rPr>
              <w:t xml:space="preserve">Acute Delayed Discharge Risk score </w:t>
            </w:r>
            <w:r w:rsidRPr="00CE1629">
              <w:rPr>
                <w:rFonts w:ascii="Aptos" w:hAnsi="Aptos" w:cs="Aptos"/>
                <w:i w:val="0"/>
                <w:iCs/>
                <w:sz w:val="16"/>
                <w:szCs w:val="16"/>
              </w:rPr>
              <w:t>≥</w:t>
            </w:r>
            <w:r w:rsidRPr="00CE1629">
              <w:rPr>
                <w:i w:val="0"/>
                <w:iCs/>
                <w:sz w:val="16"/>
                <w:szCs w:val="16"/>
              </w:rPr>
              <w:t>1, greater ADL hierarchy, heart failure, falls</w:t>
            </w:r>
          </w:p>
        </w:tc>
      </w:tr>
      <w:tr w:rsidR="00CE1629" w:rsidRPr="00CE1629" w14:paraId="4717B2A6" w14:textId="77777777" w:rsidTr="00CE1629">
        <w:trPr>
          <w:cantSplit/>
          <w:trHeight w:val="2510"/>
        </w:trPr>
        <w:tc>
          <w:tcPr>
            <w:tcW w:w="864" w:type="pct"/>
            <w:textDirection w:val="btLr"/>
            <w:vAlign w:val="center"/>
          </w:tcPr>
          <w:p w14:paraId="692F28F5" w14:textId="4AC13577"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lastRenderedPageBreak/>
              <w:t>COVID-19 Pandemic and Racial and Ethnic Disparities in Long-Term NH Stay or Death Following Hospital Discharge</w:t>
            </w:r>
          </w:p>
        </w:tc>
        <w:tc>
          <w:tcPr>
            <w:tcW w:w="193" w:type="pct"/>
            <w:textDirection w:val="btLr"/>
            <w:vAlign w:val="center"/>
          </w:tcPr>
          <w:p w14:paraId="5143401B" w14:textId="7DB1C022" w:rsidR="00CE1629" w:rsidRPr="00CE1629" w:rsidRDefault="00CE1629" w:rsidP="00CE1629">
            <w:pPr>
              <w:ind w:left="115" w:right="115"/>
              <w:jc w:val="center"/>
              <w:rPr>
                <w:rFonts w:eastAsia="Times New Roman"/>
                <w:i w:val="0"/>
                <w:iCs/>
                <w:color w:val="000000"/>
                <w:sz w:val="16"/>
                <w:szCs w:val="16"/>
                <w:lang w:val="en-GB" w:eastAsia="en-GB"/>
              </w:rPr>
            </w:pPr>
            <w:r>
              <w:rPr>
                <w:i w:val="0"/>
                <w:iCs/>
                <w:sz w:val="16"/>
                <w:szCs w:val="16"/>
              </w:rPr>
              <w:t xml:space="preserve">Laurent G. </w:t>
            </w:r>
            <w:r w:rsidRPr="00CE1629">
              <w:rPr>
                <w:i w:val="0"/>
                <w:iCs/>
                <w:sz w:val="16"/>
                <w:szCs w:val="16"/>
              </w:rPr>
              <w:t>Glance</w:t>
            </w:r>
          </w:p>
        </w:tc>
        <w:tc>
          <w:tcPr>
            <w:tcW w:w="240" w:type="pct"/>
            <w:textDirection w:val="btLr"/>
            <w:vAlign w:val="center"/>
          </w:tcPr>
          <w:p w14:paraId="1BFF2460" w14:textId="633C5D2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2025</w:t>
            </w:r>
          </w:p>
        </w:tc>
        <w:tc>
          <w:tcPr>
            <w:tcW w:w="193" w:type="pct"/>
            <w:textDirection w:val="btLr"/>
            <w:vAlign w:val="center"/>
          </w:tcPr>
          <w:p w14:paraId="2623452D" w14:textId="1DCDCAA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Jan 2016 to Jun 2021</w:t>
            </w:r>
          </w:p>
        </w:tc>
        <w:tc>
          <w:tcPr>
            <w:tcW w:w="192" w:type="pct"/>
            <w:textDirection w:val="btLr"/>
            <w:vAlign w:val="center"/>
          </w:tcPr>
          <w:p w14:paraId="3221A212" w14:textId="7AE33DD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4F535465" w14:textId="7AC7E8D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2,964,517 community-dwelling adults ≥ 65 y hospitalized with sepsis</w:t>
            </w:r>
          </w:p>
        </w:tc>
        <w:tc>
          <w:tcPr>
            <w:tcW w:w="193" w:type="pct"/>
            <w:textDirection w:val="btLr"/>
            <w:vAlign w:val="center"/>
          </w:tcPr>
          <w:p w14:paraId="4AD987F3" w14:textId="623BB56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16414647" w14:textId="27AB06AA"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6131D2D4" w14:textId="672B5DD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LTC</w:t>
            </w:r>
          </w:p>
        </w:tc>
        <w:tc>
          <w:tcPr>
            <w:tcW w:w="1155" w:type="pct"/>
            <w:textDirection w:val="btLr"/>
            <w:vAlign w:val="center"/>
          </w:tcPr>
          <w:p w14:paraId="4F720254" w14:textId="05BC79F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Frailty-related factors (malnutrition, fecal incontinence, housing instability, neurologic disorders, psychoses, severe kidney failure, congestive heart failure, stroke, acute respiratory failure), being Black, pandemic period increased risk</w:t>
            </w:r>
          </w:p>
        </w:tc>
        <w:tc>
          <w:tcPr>
            <w:tcW w:w="1056" w:type="pct"/>
            <w:textDirection w:val="btLr"/>
            <w:vAlign w:val="center"/>
          </w:tcPr>
          <w:p w14:paraId="63D03F42" w14:textId="2A9EF52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Being Asian/Pacific Islander, Hispanic or American Indian/Alaska Native, pre-pandemic trend of declining LTC stay or death</w:t>
            </w:r>
          </w:p>
        </w:tc>
      </w:tr>
      <w:tr w:rsidR="00CE1629" w:rsidRPr="00CE1629" w14:paraId="4013B4CF" w14:textId="77777777" w:rsidTr="00CE1629">
        <w:trPr>
          <w:cantSplit/>
          <w:trHeight w:val="2510"/>
        </w:trPr>
        <w:tc>
          <w:tcPr>
            <w:tcW w:w="864" w:type="pct"/>
            <w:textDirection w:val="btLr"/>
            <w:vAlign w:val="center"/>
          </w:tcPr>
          <w:p w14:paraId="62D285BE" w14:textId="2F2FDAD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Post-Acute Care Transitions and Outcomes Among Medicare Beneficiaries with Dementia: Associations with Race/Ethnicity and Dual Status</w:t>
            </w:r>
          </w:p>
        </w:tc>
        <w:tc>
          <w:tcPr>
            <w:tcW w:w="193" w:type="pct"/>
            <w:textDirection w:val="btLr"/>
            <w:vAlign w:val="center"/>
          </w:tcPr>
          <w:p w14:paraId="4161A7D5" w14:textId="709F7D9B" w:rsidR="00CE1629" w:rsidRPr="00CE1629" w:rsidRDefault="001802D8" w:rsidP="00CE1629">
            <w:pPr>
              <w:ind w:left="115" w:right="115"/>
              <w:jc w:val="center"/>
              <w:rPr>
                <w:rFonts w:eastAsia="Times New Roman"/>
                <w:i w:val="0"/>
                <w:iCs/>
                <w:color w:val="000000"/>
                <w:sz w:val="16"/>
                <w:szCs w:val="16"/>
                <w:lang w:val="en-GB" w:eastAsia="en-GB"/>
              </w:rPr>
            </w:pPr>
            <w:r>
              <w:rPr>
                <w:i w:val="0"/>
                <w:iCs/>
                <w:sz w:val="16"/>
                <w:szCs w:val="16"/>
              </w:rPr>
              <w:t xml:space="preserve">Helena </w:t>
            </w:r>
            <w:r w:rsidR="00CE1629" w:rsidRPr="00CE1629">
              <w:rPr>
                <w:i w:val="0"/>
                <w:iCs/>
                <w:sz w:val="16"/>
                <w:szCs w:val="16"/>
              </w:rPr>
              <w:t>Temkin-Greener</w:t>
            </w:r>
          </w:p>
        </w:tc>
        <w:tc>
          <w:tcPr>
            <w:tcW w:w="240" w:type="pct"/>
            <w:textDirection w:val="btLr"/>
            <w:vAlign w:val="center"/>
          </w:tcPr>
          <w:p w14:paraId="5A70801A" w14:textId="5C42A147"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2023</w:t>
            </w:r>
          </w:p>
        </w:tc>
        <w:tc>
          <w:tcPr>
            <w:tcW w:w="193" w:type="pct"/>
            <w:textDirection w:val="btLr"/>
            <w:vAlign w:val="center"/>
          </w:tcPr>
          <w:p w14:paraId="28EF4A9A" w14:textId="0331F68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2017</w:t>
            </w:r>
          </w:p>
        </w:tc>
        <w:tc>
          <w:tcPr>
            <w:tcW w:w="192" w:type="pct"/>
            <w:textDirection w:val="btLr"/>
            <w:vAlign w:val="center"/>
          </w:tcPr>
          <w:p w14:paraId="7F0DB1A9" w14:textId="2ECAD1A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4B6597AE" w14:textId="35D9301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619,262 Medicare FFS beneficiaries with dementia aged &gt; 65</w:t>
            </w:r>
          </w:p>
        </w:tc>
        <w:tc>
          <w:tcPr>
            <w:tcW w:w="193" w:type="pct"/>
            <w:textDirection w:val="btLr"/>
            <w:vAlign w:val="center"/>
          </w:tcPr>
          <w:p w14:paraId="1378CEA6" w14:textId="68168C9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1C9C6104" w14:textId="441D4DF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36429E76" w14:textId="3344919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CCC</w:t>
            </w:r>
          </w:p>
        </w:tc>
        <w:tc>
          <w:tcPr>
            <w:tcW w:w="1155" w:type="pct"/>
            <w:textDirection w:val="btLr"/>
            <w:vAlign w:val="center"/>
          </w:tcPr>
          <w:p w14:paraId="34C5DDB3" w14:textId="689107D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Older age, surgical admission, prior nursing home use</w:t>
            </w:r>
          </w:p>
        </w:tc>
        <w:tc>
          <w:tcPr>
            <w:tcW w:w="1056" w:type="pct"/>
            <w:textDirection w:val="btLr"/>
            <w:vAlign w:val="center"/>
          </w:tcPr>
          <w:p w14:paraId="25D6E4C9" w14:textId="1EE5DA3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Dual Medicare-Medicaid eligibility and longer time since dementia diagnosis reduced likelihood of institutional discharge</w:t>
            </w:r>
          </w:p>
        </w:tc>
      </w:tr>
      <w:tr w:rsidR="00CE1629" w:rsidRPr="00CE1629" w14:paraId="5EDF9907" w14:textId="77777777" w:rsidTr="00CE1629">
        <w:trPr>
          <w:cantSplit/>
          <w:trHeight w:val="2510"/>
        </w:trPr>
        <w:tc>
          <w:tcPr>
            <w:tcW w:w="864" w:type="pct"/>
            <w:textDirection w:val="btLr"/>
            <w:vAlign w:val="center"/>
          </w:tcPr>
          <w:p w14:paraId="36F6B7FA" w14:textId="72F0F1B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Caregiver preparedness is associated with desire to seek long-term care admission of hospitalized persons with dementia</w:t>
            </w:r>
          </w:p>
        </w:tc>
        <w:tc>
          <w:tcPr>
            <w:tcW w:w="193" w:type="pct"/>
            <w:textDirection w:val="btLr"/>
            <w:vAlign w:val="center"/>
          </w:tcPr>
          <w:p w14:paraId="31FCB974" w14:textId="42EDEB9C" w:rsidR="00CE1629" w:rsidRPr="00CE1629" w:rsidRDefault="001802D8" w:rsidP="00CE1629">
            <w:pPr>
              <w:ind w:left="115" w:right="115"/>
              <w:jc w:val="center"/>
              <w:rPr>
                <w:rFonts w:eastAsia="Times New Roman"/>
                <w:i w:val="0"/>
                <w:iCs/>
                <w:color w:val="000000"/>
                <w:sz w:val="16"/>
                <w:szCs w:val="16"/>
                <w:lang w:val="en-GB" w:eastAsia="en-GB"/>
              </w:rPr>
            </w:pPr>
            <w:r>
              <w:rPr>
                <w:i w:val="0"/>
                <w:iCs/>
                <w:sz w:val="16"/>
                <w:szCs w:val="16"/>
              </w:rPr>
              <w:t xml:space="preserve">Ashley </w:t>
            </w:r>
            <w:r w:rsidR="00CE1629" w:rsidRPr="00CE1629">
              <w:rPr>
                <w:i w:val="0"/>
                <w:iCs/>
                <w:sz w:val="16"/>
                <w:szCs w:val="16"/>
              </w:rPr>
              <w:t>Kuzmik</w:t>
            </w:r>
          </w:p>
        </w:tc>
        <w:tc>
          <w:tcPr>
            <w:tcW w:w="240" w:type="pct"/>
            <w:textDirection w:val="btLr"/>
            <w:vAlign w:val="center"/>
          </w:tcPr>
          <w:p w14:paraId="4763637E" w14:textId="52FF1D7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2023</w:t>
            </w:r>
          </w:p>
        </w:tc>
        <w:tc>
          <w:tcPr>
            <w:tcW w:w="193" w:type="pct"/>
            <w:textDirection w:val="btLr"/>
            <w:vAlign w:val="center"/>
          </w:tcPr>
          <w:p w14:paraId="4AECB622" w14:textId="1FE8348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2018 to 2021</w:t>
            </w:r>
          </w:p>
        </w:tc>
        <w:tc>
          <w:tcPr>
            <w:tcW w:w="192" w:type="pct"/>
            <w:textDirection w:val="btLr"/>
            <w:vAlign w:val="center"/>
          </w:tcPr>
          <w:p w14:paraId="76141CA0" w14:textId="48F48AF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7C9B2400" w14:textId="6884CAD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424 patient-caregiver dyads, patients aged &gt; 65</w:t>
            </w:r>
          </w:p>
        </w:tc>
        <w:tc>
          <w:tcPr>
            <w:tcW w:w="193" w:type="pct"/>
            <w:textDirection w:val="btLr"/>
            <w:vAlign w:val="center"/>
          </w:tcPr>
          <w:p w14:paraId="66C11A32" w14:textId="4966D6D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1916D64B" w14:textId="094D31E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1C27C4D4" w14:textId="717F3F8E"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LTC</w:t>
            </w:r>
          </w:p>
        </w:tc>
        <w:tc>
          <w:tcPr>
            <w:tcW w:w="1155" w:type="pct"/>
            <w:textDirection w:val="btLr"/>
            <w:vAlign w:val="center"/>
          </w:tcPr>
          <w:p w14:paraId="3CB6BABA" w14:textId="39B61AF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Lower caregiver preparedness, caregiver cohabitation, greater patient delirium severity increased desire for LTC</w:t>
            </w:r>
          </w:p>
        </w:tc>
        <w:tc>
          <w:tcPr>
            <w:tcW w:w="1056" w:type="pct"/>
            <w:textDirection w:val="btLr"/>
            <w:vAlign w:val="center"/>
          </w:tcPr>
          <w:p w14:paraId="492656E0" w14:textId="1A35D45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White caregiver ethnicity reduced desire for LTC, higher caregiver preparedness mitigated desire to institutionalize</w:t>
            </w:r>
          </w:p>
        </w:tc>
      </w:tr>
      <w:tr w:rsidR="00CE1629" w:rsidRPr="00CE1629" w14:paraId="7E8F1617" w14:textId="77777777" w:rsidTr="00CE1629">
        <w:trPr>
          <w:cantSplit/>
          <w:trHeight w:val="2510"/>
        </w:trPr>
        <w:tc>
          <w:tcPr>
            <w:tcW w:w="864" w:type="pct"/>
            <w:textDirection w:val="btLr"/>
            <w:vAlign w:val="center"/>
          </w:tcPr>
          <w:p w14:paraId="5A17FED8" w14:textId="1E20008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Impact of vision impairment on discharge destination for patients with hip fracture</w:t>
            </w:r>
          </w:p>
        </w:tc>
        <w:tc>
          <w:tcPr>
            <w:tcW w:w="193" w:type="pct"/>
            <w:textDirection w:val="btLr"/>
            <w:vAlign w:val="center"/>
          </w:tcPr>
          <w:p w14:paraId="659894EF" w14:textId="076587F0" w:rsidR="00CE1629" w:rsidRPr="00CE1629" w:rsidRDefault="001802D8" w:rsidP="00CE1629">
            <w:pPr>
              <w:ind w:left="115" w:right="115"/>
              <w:jc w:val="center"/>
              <w:rPr>
                <w:rFonts w:eastAsia="Times New Roman"/>
                <w:i w:val="0"/>
                <w:iCs/>
                <w:color w:val="000000"/>
                <w:sz w:val="16"/>
                <w:szCs w:val="16"/>
                <w:lang w:val="en-GB" w:eastAsia="en-GB"/>
              </w:rPr>
            </w:pPr>
            <w:r>
              <w:rPr>
                <w:i w:val="0"/>
                <w:iCs/>
                <w:sz w:val="16"/>
                <w:szCs w:val="16"/>
              </w:rPr>
              <w:t xml:space="preserve">Jacarri </w:t>
            </w:r>
            <w:r w:rsidR="00CE1629" w:rsidRPr="00CE1629">
              <w:rPr>
                <w:i w:val="0"/>
                <w:iCs/>
                <w:sz w:val="16"/>
                <w:szCs w:val="16"/>
              </w:rPr>
              <w:t>Tollette</w:t>
            </w:r>
          </w:p>
        </w:tc>
        <w:tc>
          <w:tcPr>
            <w:tcW w:w="240" w:type="pct"/>
            <w:textDirection w:val="btLr"/>
            <w:vAlign w:val="center"/>
          </w:tcPr>
          <w:p w14:paraId="29968751" w14:textId="40F300C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0ED1F6E3" w14:textId="4570C4C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2015</w:t>
            </w:r>
          </w:p>
        </w:tc>
        <w:tc>
          <w:tcPr>
            <w:tcW w:w="192" w:type="pct"/>
            <w:textDirection w:val="btLr"/>
            <w:vAlign w:val="center"/>
          </w:tcPr>
          <w:p w14:paraId="27F90861" w14:textId="1238F56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17C347A2" w14:textId="2E2A7F3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10,336 Medicare inpatients ≥ 65 with hip fracture</w:t>
            </w:r>
          </w:p>
        </w:tc>
        <w:tc>
          <w:tcPr>
            <w:tcW w:w="193" w:type="pct"/>
            <w:textDirection w:val="btLr"/>
            <w:vAlign w:val="center"/>
          </w:tcPr>
          <w:p w14:paraId="399FD5E3" w14:textId="2F5EB61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43DD3C9B" w14:textId="5F7DA0F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196AE9AB" w14:textId="7196396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LTC, CCC</w:t>
            </w:r>
          </w:p>
        </w:tc>
        <w:tc>
          <w:tcPr>
            <w:tcW w:w="1155" w:type="pct"/>
            <w:textDirection w:val="btLr"/>
            <w:vAlign w:val="center"/>
          </w:tcPr>
          <w:p w14:paraId="3592F30E" w14:textId="2B249A9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Male sex, Black race, systemic complications and late postoperative discharge increased likelihood of LTCF discharge versus home</w:t>
            </w:r>
          </w:p>
        </w:tc>
        <w:tc>
          <w:tcPr>
            <w:tcW w:w="1056" w:type="pct"/>
            <w:textDirection w:val="btLr"/>
            <w:vAlign w:val="center"/>
          </w:tcPr>
          <w:p w14:paraId="618320D2" w14:textId="364BE7BA"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Vision impairment was not a significant predictor; protective factors for home discharge not strongly identified</w:t>
            </w:r>
          </w:p>
        </w:tc>
      </w:tr>
      <w:tr w:rsidR="00CE1629" w:rsidRPr="00CE1629" w14:paraId="71158B5F" w14:textId="77777777" w:rsidTr="00CE1629">
        <w:trPr>
          <w:cantSplit/>
          <w:trHeight w:val="2510"/>
        </w:trPr>
        <w:tc>
          <w:tcPr>
            <w:tcW w:w="864" w:type="pct"/>
            <w:textDirection w:val="btLr"/>
            <w:vAlign w:val="center"/>
          </w:tcPr>
          <w:p w14:paraId="79C31CF5" w14:textId="1905A5F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lastRenderedPageBreak/>
              <w:t>Post-acute care transitions during COVID-19: racial, ethnic, and socioeconomic differences in older adults with ADRD</w:t>
            </w:r>
          </w:p>
        </w:tc>
        <w:tc>
          <w:tcPr>
            <w:tcW w:w="193" w:type="pct"/>
            <w:textDirection w:val="btLr"/>
            <w:vAlign w:val="center"/>
          </w:tcPr>
          <w:p w14:paraId="4D3AE708" w14:textId="4A4D389C" w:rsidR="00CE1629" w:rsidRPr="00CE1629" w:rsidRDefault="001802D8" w:rsidP="00CE1629">
            <w:pPr>
              <w:ind w:left="115" w:right="115"/>
              <w:jc w:val="center"/>
              <w:rPr>
                <w:rFonts w:eastAsia="Times New Roman"/>
                <w:i w:val="0"/>
                <w:iCs/>
                <w:color w:val="000000"/>
                <w:sz w:val="16"/>
                <w:szCs w:val="16"/>
                <w:lang w:val="en-GB" w:eastAsia="en-GB"/>
              </w:rPr>
            </w:pPr>
            <w:r>
              <w:rPr>
                <w:i w:val="0"/>
                <w:iCs/>
                <w:sz w:val="16"/>
                <w:szCs w:val="16"/>
              </w:rPr>
              <w:t xml:space="preserve">Ming-Ting </w:t>
            </w:r>
            <w:r w:rsidR="00CE1629" w:rsidRPr="00CE1629">
              <w:rPr>
                <w:i w:val="0"/>
                <w:iCs/>
                <w:sz w:val="16"/>
                <w:szCs w:val="16"/>
              </w:rPr>
              <w:t>Yang</w:t>
            </w:r>
          </w:p>
        </w:tc>
        <w:tc>
          <w:tcPr>
            <w:tcW w:w="240" w:type="pct"/>
            <w:textDirection w:val="btLr"/>
            <w:vAlign w:val="center"/>
          </w:tcPr>
          <w:p w14:paraId="67BDEA68" w14:textId="68C1D80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7BD68313" w14:textId="6F890DE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2019 to 2021</w:t>
            </w:r>
          </w:p>
        </w:tc>
        <w:tc>
          <w:tcPr>
            <w:tcW w:w="192" w:type="pct"/>
            <w:textDirection w:val="btLr"/>
            <w:vAlign w:val="center"/>
          </w:tcPr>
          <w:p w14:paraId="6F6F744C" w14:textId="77E7722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21CD8651" w14:textId="0513C34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830,656 Medicare FFS ≥ 65 with ADRD hospitalized</w:t>
            </w:r>
          </w:p>
        </w:tc>
        <w:tc>
          <w:tcPr>
            <w:tcW w:w="193" w:type="pct"/>
            <w:textDirection w:val="btLr"/>
            <w:vAlign w:val="center"/>
          </w:tcPr>
          <w:p w14:paraId="64A68AE5" w14:textId="623629D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642B593E" w14:textId="52EF204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6E0B887F" w14:textId="3AB6061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SNF (CCC)</w:t>
            </w:r>
          </w:p>
        </w:tc>
        <w:tc>
          <w:tcPr>
            <w:tcW w:w="1155" w:type="pct"/>
            <w:textDirection w:val="btLr"/>
            <w:vAlign w:val="center"/>
          </w:tcPr>
          <w:p w14:paraId="4B805C55" w14:textId="74150A2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Dual Medicare-Medicaid eligibility increased likelihood of SNF discharge and modestly increased HHA discharge pre-pandemic</w:t>
            </w:r>
          </w:p>
        </w:tc>
        <w:tc>
          <w:tcPr>
            <w:tcW w:w="1056" w:type="pct"/>
            <w:textDirection w:val="btLr"/>
            <w:vAlign w:val="center"/>
          </w:tcPr>
          <w:p w14:paraId="16630DCF" w14:textId="6632896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Non-Latinx Black or Latinx ethnicity reduced likelihood of SNF discharge, dual eligibility reduced HHA discharge during the pandemic</w:t>
            </w:r>
          </w:p>
        </w:tc>
      </w:tr>
      <w:tr w:rsidR="00CE1629" w:rsidRPr="00CE1629" w14:paraId="20F39AA9" w14:textId="77777777" w:rsidTr="00CE1629">
        <w:trPr>
          <w:cantSplit/>
          <w:trHeight w:val="2510"/>
        </w:trPr>
        <w:tc>
          <w:tcPr>
            <w:tcW w:w="864" w:type="pct"/>
            <w:textDirection w:val="btLr"/>
            <w:vAlign w:val="center"/>
          </w:tcPr>
          <w:p w14:paraId="67CCCCE3" w14:textId="3BCE002C"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 comparison of acute ischemic stroke patients discharged to inpatient rehabilitation vs skilled nursing facility</w:t>
            </w:r>
          </w:p>
        </w:tc>
        <w:tc>
          <w:tcPr>
            <w:tcW w:w="193" w:type="pct"/>
            <w:textDirection w:val="btLr"/>
            <w:vAlign w:val="center"/>
          </w:tcPr>
          <w:p w14:paraId="36DD10A2" w14:textId="38F02D1D" w:rsidR="00CE1629" w:rsidRPr="00CE1629" w:rsidRDefault="001802D8" w:rsidP="00CE1629">
            <w:pPr>
              <w:ind w:left="115" w:right="115"/>
              <w:jc w:val="center"/>
              <w:rPr>
                <w:rFonts w:eastAsia="Times New Roman"/>
                <w:i w:val="0"/>
                <w:iCs/>
                <w:color w:val="000000"/>
                <w:sz w:val="16"/>
                <w:szCs w:val="16"/>
                <w:lang w:val="en-GB" w:eastAsia="en-GB"/>
              </w:rPr>
            </w:pPr>
            <w:r>
              <w:rPr>
                <w:i w:val="0"/>
                <w:iCs/>
                <w:sz w:val="16"/>
                <w:szCs w:val="16"/>
              </w:rPr>
              <w:t xml:space="preserve">Priyadarshini </w:t>
            </w:r>
            <w:r w:rsidR="00CE1629" w:rsidRPr="00CE1629">
              <w:rPr>
                <w:i w:val="0"/>
                <w:iCs/>
                <w:sz w:val="16"/>
                <w:szCs w:val="16"/>
              </w:rPr>
              <w:t>Pattath</w:t>
            </w:r>
          </w:p>
        </w:tc>
        <w:tc>
          <w:tcPr>
            <w:tcW w:w="240" w:type="pct"/>
            <w:textDirection w:val="btLr"/>
            <w:vAlign w:val="center"/>
          </w:tcPr>
          <w:p w14:paraId="59D3ED78" w14:textId="5CACB53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2023</w:t>
            </w:r>
          </w:p>
        </w:tc>
        <w:tc>
          <w:tcPr>
            <w:tcW w:w="193" w:type="pct"/>
            <w:textDirection w:val="btLr"/>
            <w:vAlign w:val="center"/>
          </w:tcPr>
          <w:p w14:paraId="3249ED89" w14:textId="68B22CC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2016 to 2019</w:t>
            </w:r>
          </w:p>
        </w:tc>
        <w:tc>
          <w:tcPr>
            <w:tcW w:w="192" w:type="pct"/>
            <w:textDirection w:val="btLr"/>
            <w:vAlign w:val="center"/>
          </w:tcPr>
          <w:p w14:paraId="592A6B8C" w14:textId="166C573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4B6CBE56" w14:textId="555A7DB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130,988 acute ischemic stroke survivors (mean age ≈74 yrs)</w:t>
            </w:r>
          </w:p>
        </w:tc>
        <w:tc>
          <w:tcPr>
            <w:tcW w:w="193" w:type="pct"/>
            <w:textDirection w:val="btLr"/>
            <w:vAlign w:val="center"/>
          </w:tcPr>
          <w:p w14:paraId="25CED956" w14:textId="0B94EFA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0B7487E5" w14:textId="6BBAB94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108E12E4" w14:textId="7562A9F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SNF (CCC)</w:t>
            </w:r>
          </w:p>
        </w:tc>
        <w:tc>
          <w:tcPr>
            <w:tcW w:w="1155" w:type="pct"/>
            <w:textDirection w:val="btLr"/>
            <w:vAlign w:val="center"/>
          </w:tcPr>
          <w:p w14:paraId="35777F3C" w14:textId="651E5199"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Older age (≥85), non-Hispanic Black or Hispanic ethnicity, Medicaid/Medicare insurance (vs private), lower ambulation ability, prior stroke, diabetes, myocardial infarction/coronary artery disease increased likelihood of SNF discharge</w:t>
            </w:r>
          </w:p>
        </w:tc>
        <w:tc>
          <w:tcPr>
            <w:tcW w:w="1056" w:type="pct"/>
            <w:textDirection w:val="btLr"/>
            <w:vAlign w:val="center"/>
          </w:tcPr>
          <w:p w14:paraId="4458E26F" w14:textId="572D4CB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Male sex, slight disability (modified Rankin Score 2), admission to large hospitals and hospitals with stroke units decrease likelihood of SNF discharge</w:t>
            </w:r>
          </w:p>
        </w:tc>
      </w:tr>
      <w:tr w:rsidR="00CE1629" w:rsidRPr="00CE1629" w14:paraId="53C329C6" w14:textId="77777777" w:rsidTr="00CE1629">
        <w:trPr>
          <w:cantSplit/>
          <w:trHeight w:val="2510"/>
        </w:trPr>
        <w:tc>
          <w:tcPr>
            <w:tcW w:w="864" w:type="pct"/>
            <w:textDirection w:val="btLr"/>
            <w:vAlign w:val="center"/>
          </w:tcPr>
          <w:p w14:paraId="6819F354" w14:textId="7FE43B0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Referral to geriatric rehabilitation in the Netherlands, an exploratory study of patient characteristics</w:t>
            </w:r>
          </w:p>
        </w:tc>
        <w:tc>
          <w:tcPr>
            <w:tcW w:w="193" w:type="pct"/>
            <w:textDirection w:val="btLr"/>
            <w:vAlign w:val="center"/>
          </w:tcPr>
          <w:p w14:paraId="4698C118" w14:textId="5AC49FB1" w:rsidR="00CE1629" w:rsidRPr="00CE1629" w:rsidRDefault="001802D8" w:rsidP="00CE1629">
            <w:pPr>
              <w:ind w:left="115" w:right="115"/>
              <w:jc w:val="center"/>
              <w:rPr>
                <w:rFonts w:eastAsia="Times New Roman"/>
                <w:i w:val="0"/>
                <w:iCs/>
                <w:color w:val="000000"/>
                <w:sz w:val="16"/>
                <w:szCs w:val="16"/>
                <w:lang w:val="en-GB" w:eastAsia="en-GB"/>
              </w:rPr>
            </w:pPr>
            <w:r>
              <w:rPr>
                <w:i w:val="0"/>
                <w:iCs/>
                <w:sz w:val="16"/>
                <w:szCs w:val="16"/>
              </w:rPr>
              <w:t xml:space="preserve">Aafke J. </w:t>
            </w:r>
            <w:r w:rsidR="00CE1629" w:rsidRPr="00CE1629">
              <w:rPr>
                <w:i w:val="0"/>
                <w:iCs/>
                <w:sz w:val="16"/>
                <w:szCs w:val="16"/>
              </w:rPr>
              <w:t>de Groot</w:t>
            </w:r>
          </w:p>
        </w:tc>
        <w:tc>
          <w:tcPr>
            <w:tcW w:w="240" w:type="pct"/>
            <w:textDirection w:val="btLr"/>
            <w:vAlign w:val="center"/>
          </w:tcPr>
          <w:p w14:paraId="6D349EEA" w14:textId="4C9D237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2025</w:t>
            </w:r>
          </w:p>
        </w:tc>
        <w:tc>
          <w:tcPr>
            <w:tcW w:w="193" w:type="pct"/>
            <w:textDirection w:val="btLr"/>
            <w:vAlign w:val="center"/>
          </w:tcPr>
          <w:p w14:paraId="16C1781D" w14:textId="4367025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Jan 15 to May 15 2019</w:t>
            </w:r>
          </w:p>
        </w:tc>
        <w:tc>
          <w:tcPr>
            <w:tcW w:w="192" w:type="pct"/>
            <w:textDirection w:val="btLr"/>
            <w:vAlign w:val="center"/>
          </w:tcPr>
          <w:p w14:paraId="1729A2D1" w14:textId="61D2C46F"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The Netherlands</w:t>
            </w:r>
          </w:p>
        </w:tc>
        <w:tc>
          <w:tcPr>
            <w:tcW w:w="481" w:type="pct"/>
            <w:textDirection w:val="btLr"/>
            <w:vAlign w:val="center"/>
          </w:tcPr>
          <w:p w14:paraId="3357DAD5" w14:textId="6DC6D2E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87 patients (mean age ≈76.3 yrs)</w:t>
            </w:r>
          </w:p>
        </w:tc>
        <w:tc>
          <w:tcPr>
            <w:tcW w:w="193" w:type="pct"/>
            <w:textDirection w:val="btLr"/>
            <w:vAlign w:val="center"/>
          </w:tcPr>
          <w:p w14:paraId="4C72EBFA" w14:textId="7F96D0E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6FD3C469" w14:textId="57D9CD4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2A22F43F" w14:textId="59A49A5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CCC</w:t>
            </w:r>
          </w:p>
        </w:tc>
        <w:tc>
          <w:tcPr>
            <w:tcW w:w="1155" w:type="pct"/>
            <w:textDirection w:val="btLr"/>
            <w:vAlign w:val="center"/>
          </w:tcPr>
          <w:p w14:paraId="1A00D15B" w14:textId="1AC115D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Complications, cognitive symptoms, high multi-domain vulnerability</w:t>
            </w:r>
          </w:p>
        </w:tc>
        <w:tc>
          <w:tcPr>
            <w:tcW w:w="1056" w:type="pct"/>
            <w:textDirection w:val="btLr"/>
            <w:vAlign w:val="center"/>
          </w:tcPr>
          <w:p w14:paraId="2C6C59F0" w14:textId="7C7032C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Independent baseline mobility, absence of complications, fewer cognitive symptoms, less multi-domain vulnerability</w:t>
            </w:r>
          </w:p>
        </w:tc>
      </w:tr>
      <w:tr w:rsidR="00CE1629" w:rsidRPr="00CE1629" w14:paraId="6D62D70F" w14:textId="77777777" w:rsidTr="00CE1629">
        <w:trPr>
          <w:cantSplit/>
          <w:trHeight w:val="2510"/>
        </w:trPr>
        <w:tc>
          <w:tcPr>
            <w:tcW w:w="864" w:type="pct"/>
            <w:textDirection w:val="btLr"/>
            <w:vAlign w:val="center"/>
          </w:tcPr>
          <w:p w14:paraId="54CA2372" w14:textId="7758A2F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In the footstep of the old patient from hospital to home: A qualitative field observation study</w:t>
            </w:r>
          </w:p>
        </w:tc>
        <w:tc>
          <w:tcPr>
            <w:tcW w:w="193" w:type="pct"/>
            <w:textDirection w:val="btLr"/>
            <w:vAlign w:val="center"/>
          </w:tcPr>
          <w:p w14:paraId="69BEB95C" w14:textId="199A7179" w:rsidR="00CE1629" w:rsidRPr="00CE1629" w:rsidRDefault="00914BA5" w:rsidP="00CE1629">
            <w:pPr>
              <w:ind w:left="115" w:right="115"/>
              <w:jc w:val="center"/>
              <w:rPr>
                <w:rFonts w:eastAsia="Times New Roman"/>
                <w:i w:val="0"/>
                <w:iCs/>
                <w:color w:val="000000"/>
                <w:sz w:val="16"/>
                <w:szCs w:val="16"/>
                <w:lang w:val="en-GB" w:eastAsia="en-GB"/>
              </w:rPr>
            </w:pPr>
            <w:r>
              <w:rPr>
                <w:i w:val="0"/>
                <w:iCs/>
                <w:sz w:val="16"/>
                <w:szCs w:val="16"/>
              </w:rPr>
              <w:t xml:space="preserve">Sanne Have </w:t>
            </w:r>
            <w:r w:rsidR="00CE1629" w:rsidRPr="00CE1629">
              <w:rPr>
                <w:i w:val="0"/>
                <w:iCs/>
                <w:sz w:val="16"/>
                <w:szCs w:val="16"/>
              </w:rPr>
              <w:t>Beck et al.</w:t>
            </w:r>
          </w:p>
        </w:tc>
        <w:tc>
          <w:tcPr>
            <w:tcW w:w="240" w:type="pct"/>
            <w:textDirection w:val="btLr"/>
            <w:vAlign w:val="center"/>
          </w:tcPr>
          <w:p w14:paraId="54D9DC4E" w14:textId="582D445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44E58D07" w14:textId="2A3384E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Not Specified</w:t>
            </w:r>
          </w:p>
        </w:tc>
        <w:tc>
          <w:tcPr>
            <w:tcW w:w="192" w:type="pct"/>
            <w:textDirection w:val="btLr"/>
            <w:vAlign w:val="center"/>
          </w:tcPr>
          <w:p w14:paraId="35602693" w14:textId="126A9F5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Denmark</w:t>
            </w:r>
          </w:p>
        </w:tc>
        <w:tc>
          <w:tcPr>
            <w:tcW w:w="481" w:type="pct"/>
            <w:textDirection w:val="btLr"/>
            <w:vAlign w:val="center"/>
          </w:tcPr>
          <w:p w14:paraId="44B4B7DC" w14:textId="1F6EF99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10 older hospitalized patients (geriatric department)</w:t>
            </w:r>
          </w:p>
        </w:tc>
        <w:tc>
          <w:tcPr>
            <w:tcW w:w="193" w:type="pct"/>
            <w:textDirection w:val="btLr"/>
            <w:vAlign w:val="center"/>
          </w:tcPr>
          <w:p w14:paraId="63FE4052" w14:textId="7F69BF7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Qualitative</w:t>
            </w:r>
          </w:p>
        </w:tc>
        <w:tc>
          <w:tcPr>
            <w:tcW w:w="240" w:type="pct"/>
            <w:textDirection w:val="btLr"/>
            <w:vAlign w:val="center"/>
          </w:tcPr>
          <w:p w14:paraId="2BF67BFB" w14:textId="16E224A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29FF1F22" w14:textId="7CA3C83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w:t>
            </w:r>
          </w:p>
        </w:tc>
        <w:tc>
          <w:tcPr>
            <w:tcW w:w="1155" w:type="pct"/>
            <w:textDirection w:val="btLr"/>
            <w:vAlign w:val="center"/>
          </w:tcPr>
          <w:p w14:paraId="3B5A11C0" w14:textId="3243F73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Presence and active involvement of relatives in discharge interactions,  Adaptation of home environment into a “workplace” supporting daily activities</w:t>
            </w:r>
          </w:p>
        </w:tc>
        <w:tc>
          <w:tcPr>
            <w:tcW w:w="1056" w:type="pct"/>
            <w:textDirection w:val="btLr"/>
            <w:vAlign w:val="center"/>
          </w:tcPr>
          <w:p w14:paraId="0967C7A6" w14:textId="7470A75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Limited involvement in discharge planning leading to loss of autonomy, Fragmented communication across sectors causing helplessness and fear of burdening family</w:t>
            </w:r>
          </w:p>
        </w:tc>
      </w:tr>
      <w:tr w:rsidR="00CE1629" w:rsidRPr="00CE1629" w14:paraId="0FEABB23" w14:textId="77777777" w:rsidTr="00CE1629">
        <w:trPr>
          <w:cantSplit/>
          <w:trHeight w:val="2510"/>
        </w:trPr>
        <w:tc>
          <w:tcPr>
            <w:tcW w:w="864" w:type="pct"/>
            <w:textDirection w:val="btLr"/>
            <w:vAlign w:val="center"/>
          </w:tcPr>
          <w:p w14:paraId="28AB1AC6" w14:textId="20CFA53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lastRenderedPageBreak/>
              <w:t>Facilitating the transition from hospital to home after hip fracture surgery: a qualitative study from the HIP HELPER trial</w:t>
            </w:r>
          </w:p>
        </w:tc>
        <w:tc>
          <w:tcPr>
            <w:tcW w:w="193" w:type="pct"/>
            <w:textDirection w:val="btLr"/>
            <w:vAlign w:val="center"/>
          </w:tcPr>
          <w:p w14:paraId="472EE569" w14:textId="34591018" w:rsidR="00CE1629" w:rsidRPr="00CE1629" w:rsidRDefault="00914BA5" w:rsidP="00CE1629">
            <w:pPr>
              <w:ind w:left="115" w:right="115"/>
              <w:jc w:val="center"/>
              <w:rPr>
                <w:rFonts w:eastAsia="Times New Roman"/>
                <w:i w:val="0"/>
                <w:iCs/>
                <w:color w:val="000000"/>
                <w:sz w:val="16"/>
                <w:szCs w:val="16"/>
                <w:lang w:val="en-GB" w:eastAsia="en-GB"/>
              </w:rPr>
            </w:pPr>
            <w:r>
              <w:rPr>
                <w:i w:val="0"/>
                <w:iCs/>
                <w:sz w:val="16"/>
                <w:szCs w:val="16"/>
              </w:rPr>
              <w:t xml:space="preserve">A </w:t>
            </w:r>
            <w:r w:rsidR="00CE1629" w:rsidRPr="00CE1629">
              <w:rPr>
                <w:i w:val="0"/>
                <w:iCs/>
                <w:sz w:val="16"/>
                <w:szCs w:val="16"/>
              </w:rPr>
              <w:t>Welsh</w:t>
            </w:r>
          </w:p>
        </w:tc>
        <w:tc>
          <w:tcPr>
            <w:tcW w:w="240" w:type="pct"/>
            <w:textDirection w:val="btLr"/>
            <w:vAlign w:val="center"/>
          </w:tcPr>
          <w:p w14:paraId="6D23D1EC" w14:textId="1D94A87E"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2024</w:t>
            </w:r>
          </w:p>
        </w:tc>
        <w:tc>
          <w:tcPr>
            <w:tcW w:w="193" w:type="pct"/>
            <w:textDirection w:val="btLr"/>
            <w:vAlign w:val="center"/>
          </w:tcPr>
          <w:p w14:paraId="12393057" w14:textId="6B10A06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Nov 2021 to Mar 2022</w:t>
            </w:r>
          </w:p>
        </w:tc>
        <w:tc>
          <w:tcPr>
            <w:tcW w:w="192" w:type="pct"/>
            <w:textDirection w:val="btLr"/>
            <w:vAlign w:val="center"/>
          </w:tcPr>
          <w:p w14:paraId="370038C5" w14:textId="77E62C7D"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UK</w:t>
            </w:r>
          </w:p>
        </w:tc>
        <w:tc>
          <w:tcPr>
            <w:tcW w:w="481" w:type="pct"/>
            <w:textDirection w:val="btLr"/>
            <w:vAlign w:val="center"/>
          </w:tcPr>
          <w:p w14:paraId="1E8EBC21" w14:textId="5445A38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10 patient-carer dyads (age &gt; 60) + 8 health professionals</w:t>
            </w:r>
          </w:p>
        </w:tc>
        <w:tc>
          <w:tcPr>
            <w:tcW w:w="193" w:type="pct"/>
            <w:textDirection w:val="btLr"/>
            <w:vAlign w:val="center"/>
          </w:tcPr>
          <w:p w14:paraId="64D3FA4E" w14:textId="0E9F767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Qualitative</w:t>
            </w:r>
          </w:p>
        </w:tc>
        <w:tc>
          <w:tcPr>
            <w:tcW w:w="240" w:type="pct"/>
            <w:textDirection w:val="btLr"/>
            <w:vAlign w:val="center"/>
          </w:tcPr>
          <w:p w14:paraId="333664A5" w14:textId="168FA552"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48BFCD68" w14:textId="1FC5ED38"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Home</w:t>
            </w:r>
          </w:p>
        </w:tc>
        <w:tc>
          <w:tcPr>
            <w:tcW w:w="1155" w:type="pct"/>
            <w:textDirection w:val="btLr"/>
            <w:vAlign w:val="center"/>
          </w:tcPr>
          <w:p w14:paraId="0137E2DB" w14:textId="2B2B73F3"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 xml:space="preserve">Reassurance, collaborative planning, </w:t>
            </w:r>
            <w:r w:rsidR="006543E7" w:rsidRPr="00CE1629">
              <w:rPr>
                <w:i w:val="0"/>
                <w:iCs/>
                <w:sz w:val="16"/>
                <w:szCs w:val="16"/>
              </w:rPr>
              <w:t>individualized</w:t>
            </w:r>
            <w:r w:rsidRPr="00CE1629">
              <w:rPr>
                <w:i w:val="0"/>
                <w:iCs/>
                <w:sz w:val="16"/>
                <w:szCs w:val="16"/>
              </w:rPr>
              <w:t xml:space="preserve"> support and coordinated discharge planning</w:t>
            </w:r>
          </w:p>
        </w:tc>
        <w:tc>
          <w:tcPr>
            <w:tcW w:w="1056" w:type="pct"/>
            <w:textDirection w:val="btLr"/>
            <w:vAlign w:val="center"/>
          </w:tcPr>
          <w:p w14:paraId="58069764" w14:textId="7A0709C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Ineffective communication among providers/patients, Disjointed care systems delaying services, neglect of holistic needs,</w:t>
            </w:r>
          </w:p>
        </w:tc>
      </w:tr>
      <w:tr w:rsidR="00CE1629" w:rsidRPr="00CE1629" w14:paraId="43BD457E" w14:textId="77777777" w:rsidTr="00CE1629">
        <w:trPr>
          <w:cantSplit/>
          <w:trHeight w:val="2510"/>
        </w:trPr>
        <w:tc>
          <w:tcPr>
            <w:tcW w:w="864" w:type="pct"/>
            <w:textDirection w:val="btLr"/>
            <w:vAlign w:val="center"/>
          </w:tcPr>
          <w:p w14:paraId="5DEBADD3" w14:textId="7B0FA01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The DEPARTS Score: A Novel Tool for Predicting Discharge Disposition in Geriatric Trauma Patients</w:t>
            </w:r>
          </w:p>
        </w:tc>
        <w:tc>
          <w:tcPr>
            <w:tcW w:w="193" w:type="pct"/>
            <w:textDirection w:val="btLr"/>
            <w:vAlign w:val="center"/>
          </w:tcPr>
          <w:p w14:paraId="3578699F" w14:textId="0F045223" w:rsidR="00CE1629" w:rsidRPr="00CE1629" w:rsidRDefault="00914BA5" w:rsidP="00CE1629">
            <w:pPr>
              <w:ind w:left="115" w:right="115"/>
              <w:jc w:val="center"/>
              <w:rPr>
                <w:rFonts w:eastAsia="Times New Roman"/>
                <w:i w:val="0"/>
                <w:iCs/>
                <w:color w:val="000000"/>
                <w:sz w:val="16"/>
                <w:szCs w:val="16"/>
                <w:lang w:val="en-GB" w:eastAsia="en-GB"/>
              </w:rPr>
            </w:pPr>
            <w:r>
              <w:rPr>
                <w:i w:val="0"/>
                <w:iCs/>
                <w:sz w:val="16"/>
                <w:szCs w:val="16"/>
              </w:rPr>
              <w:t xml:space="preserve">Eric O. </w:t>
            </w:r>
            <w:r w:rsidR="00CE1629" w:rsidRPr="00CE1629">
              <w:rPr>
                <w:i w:val="0"/>
                <w:iCs/>
                <w:sz w:val="16"/>
                <w:szCs w:val="16"/>
              </w:rPr>
              <w:t>Yeates</w:t>
            </w:r>
          </w:p>
        </w:tc>
        <w:tc>
          <w:tcPr>
            <w:tcW w:w="240" w:type="pct"/>
            <w:textDirection w:val="btLr"/>
            <w:vAlign w:val="center"/>
          </w:tcPr>
          <w:p w14:paraId="6778B6CD" w14:textId="63399115"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2023</w:t>
            </w:r>
          </w:p>
        </w:tc>
        <w:tc>
          <w:tcPr>
            <w:tcW w:w="193" w:type="pct"/>
            <w:textDirection w:val="btLr"/>
            <w:vAlign w:val="center"/>
          </w:tcPr>
          <w:p w14:paraId="1D09BF99" w14:textId="327FBE60"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2017</w:t>
            </w:r>
          </w:p>
        </w:tc>
        <w:tc>
          <w:tcPr>
            <w:tcW w:w="192" w:type="pct"/>
            <w:textDirection w:val="btLr"/>
            <w:vAlign w:val="center"/>
          </w:tcPr>
          <w:p w14:paraId="1A08245B" w14:textId="69B74A5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USA</w:t>
            </w:r>
          </w:p>
        </w:tc>
        <w:tc>
          <w:tcPr>
            <w:tcW w:w="481" w:type="pct"/>
            <w:textDirection w:val="btLr"/>
            <w:vAlign w:val="center"/>
          </w:tcPr>
          <w:p w14:paraId="45676D62" w14:textId="37AC6AF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132,956 geriatric trauma patients (&gt; 65 y) from the 2017 TQIP cohort (split equally into derivation &amp; validation)</w:t>
            </w:r>
          </w:p>
        </w:tc>
        <w:tc>
          <w:tcPr>
            <w:tcW w:w="193" w:type="pct"/>
            <w:textDirection w:val="btLr"/>
            <w:vAlign w:val="center"/>
          </w:tcPr>
          <w:p w14:paraId="2BDC1687" w14:textId="6C903A67"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Quantitative</w:t>
            </w:r>
          </w:p>
        </w:tc>
        <w:tc>
          <w:tcPr>
            <w:tcW w:w="240" w:type="pct"/>
            <w:textDirection w:val="btLr"/>
            <w:vAlign w:val="center"/>
          </w:tcPr>
          <w:p w14:paraId="35590F49" w14:textId="741D75DB"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Acute care</w:t>
            </w:r>
          </w:p>
        </w:tc>
        <w:tc>
          <w:tcPr>
            <w:tcW w:w="193" w:type="pct"/>
            <w:textDirection w:val="btLr"/>
            <w:vAlign w:val="center"/>
          </w:tcPr>
          <w:p w14:paraId="34AC3FFB" w14:textId="293F36E4"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LTC/CCC</w:t>
            </w:r>
          </w:p>
        </w:tc>
        <w:tc>
          <w:tcPr>
            <w:tcW w:w="1155" w:type="pct"/>
            <w:textDirection w:val="btLr"/>
            <w:vAlign w:val="center"/>
          </w:tcPr>
          <w:p w14:paraId="4F1F5F91" w14:textId="792984B1"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Higher number of comorbidities, fall mechanism, spinal cord injury, long bone fracture, major surgery</w:t>
            </w:r>
          </w:p>
        </w:tc>
        <w:tc>
          <w:tcPr>
            <w:tcW w:w="1056" w:type="pct"/>
            <w:textDirection w:val="btLr"/>
            <w:vAlign w:val="center"/>
          </w:tcPr>
          <w:p w14:paraId="01A22049" w14:textId="48D47F86" w:rsidR="00CE1629" w:rsidRPr="00CE1629" w:rsidRDefault="00CE1629" w:rsidP="00CE1629">
            <w:pPr>
              <w:ind w:left="115" w:right="115"/>
              <w:jc w:val="center"/>
              <w:rPr>
                <w:rFonts w:eastAsia="Times New Roman"/>
                <w:i w:val="0"/>
                <w:iCs/>
                <w:color w:val="000000"/>
                <w:sz w:val="16"/>
                <w:szCs w:val="16"/>
                <w:lang w:val="en-GB" w:eastAsia="en-GB"/>
              </w:rPr>
            </w:pPr>
            <w:r w:rsidRPr="00CE1629">
              <w:rPr>
                <w:i w:val="0"/>
                <w:iCs/>
                <w:sz w:val="16"/>
                <w:szCs w:val="16"/>
              </w:rPr>
              <w:t>Fewer comorbidities and absence of the injuries</w:t>
            </w:r>
          </w:p>
        </w:tc>
      </w:tr>
    </w:tbl>
    <w:p w14:paraId="4C71C106" w14:textId="77777777" w:rsidR="00EE7399" w:rsidRDefault="00EE7399">
      <w:pPr>
        <w:rPr>
          <w:rFonts w:ascii="Times New Roman" w:hAnsi="Times New Roman" w:cs="Times New Roman"/>
          <w:b/>
          <w:bCs/>
          <w:color w:val="000000" w:themeColor="text1"/>
          <w:sz w:val="24"/>
          <w:szCs w:val="24"/>
        </w:rPr>
      </w:pPr>
    </w:p>
    <w:p w14:paraId="6B265515" w14:textId="77777777" w:rsidR="00EE7399" w:rsidRDefault="00EE7399">
      <w:pPr>
        <w:rPr>
          <w:rFonts w:ascii="Times New Roman" w:hAnsi="Times New Roman" w:cs="Times New Roman"/>
          <w:b/>
          <w:bCs/>
          <w:color w:val="000000" w:themeColor="text1"/>
          <w:sz w:val="24"/>
          <w:szCs w:val="24"/>
        </w:rPr>
      </w:pPr>
    </w:p>
    <w:p w14:paraId="043C7E8C" w14:textId="77777777" w:rsidR="00EE7399" w:rsidRDefault="00EE7399">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78827EF4" w14:textId="274C8B7C" w:rsidR="00EE7399" w:rsidRPr="004579D2" w:rsidRDefault="00EE7399" w:rsidP="00F31BFC">
      <w:pPr>
        <w:pStyle w:val="Heading2"/>
        <w:numPr>
          <w:ilvl w:val="0"/>
          <w:numId w:val="0"/>
        </w:numPr>
        <w:spacing w:before="0" w:line="480" w:lineRule="auto"/>
        <w:ind w:left="576" w:hanging="576"/>
        <w:rPr>
          <w:rFonts w:ascii="Times New Roman" w:hAnsi="Times New Roman" w:cs="Times New Roman"/>
          <w:b/>
          <w:bCs/>
          <w:color w:val="000000" w:themeColor="text1"/>
          <w:sz w:val="22"/>
          <w:szCs w:val="22"/>
        </w:rPr>
      </w:pPr>
      <w:bookmarkStart w:id="2" w:name="_Hlk205439237"/>
      <w:r w:rsidRPr="004579D2">
        <w:rPr>
          <w:rFonts w:ascii="Times New Roman" w:hAnsi="Times New Roman" w:cs="Times New Roman"/>
          <w:b/>
          <w:bCs/>
          <w:color w:val="000000" w:themeColor="text1"/>
          <w:sz w:val="22"/>
          <w:szCs w:val="22"/>
        </w:rPr>
        <w:lastRenderedPageBreak/>
        <w:t>S3</w:t>
      </w:r>
      <w:r w:rsidR="004579D2">
        <w:rPr>
          <w:rFonts w:ascii="Times New Roman" w:hAnsi="Times New Roman" w:cs="Times New Roman"/>
          <w:b/>
          <w:bCs/>
          <w:color w:val="000000" w:themeColor="text1"/>
          <w:sz w:val="22"/>
          <w:szCs w:val="22"/>
        </w:rPr>
        <w:t>.</w:t>
      </w:r>
      <w:r w:rsidRPr="004579D2">
        <w:rPr>
          <w:rFonts w:ascii="Times New Roman" w:hAnsi="Times New Roman" w:cs="Times New Roman"/>
          <w:b/>
          <w:bCs/>
          <w:color w:val="000000" w:themeColor="text1"/>
          <w:sz w:val="22"/>
          <w:szCs w:val="22"/>
        </w:rPr>
        <w:t xml:space="preserve"> </w:t>
      </w:r>
      <w:r w:rsidR="004579D2" w:rsidRPr="004579D2">
        <w:rPr>
          <w:rFonts w:ascii="Times New Roman" w:hAnsi="Times New Roman" w:cs="Times New Roman"/>
          <w:b/>
          <w:bCs/>
          <w:color w:val="000000" w:themeColor="text1"/>
          <w:sz w:val="22"/>
          <w:szCs w:val="22"/>
        </w:rPr>
        <w:t xml:space="preserve">Detailed </w:t>
      </w:r>
      <w:r w:rsidR="00C661AC">
        <w:rPr>
          <w:rFonts w:ascii="Times New Roman" w:hAnsi="Times New Roman" w:cs="Times New Roman"/>
          <w:b/>
          <w:bCs/>
          <w:color w:val="000000" w:themeColor="text1"/>
          <w:sz w:val="22"/>
          <w:szCs w:val="22"/>
        </w:rPr>
        <w:t>f</w:t>
      </w:r>
      <w:r w:rsidR="004579D2" w:rsidRPr="004579D2">
        <w:rPr>
          <w:rFonts w:ascii="Times New Roman" w:hAnsi="Times New Roman" w:cs="Times New Roman"/>
          <w:b/>
          <w:bCs/>
          <w:color w:val="000000" w:themeColor="text1"/>
          <w:sz w:val="22"/>
          <w:szCs w:val="22"/>
        </w:rPr>
        <w:t xml:space="preserve">actors </w:t>
      </w:r>
      <w:r w:rsidR="00C661AC">
        <w:rPr>
          <w:rFonts w:ascii="Times New Roman" w:hAnsi="Times New Roman" w:cs="Times New Roman"/>
          <w:b/>
          <w:bCs/>
          <w:color w:val="000000" w:themeColor="text1"/>
          <w:sz w:val="22"/>
          <w:szCs w:val="22"/>
        </w:rPr>
        <w:t>i</w:t>
      </w:r>
      <w:r w:rsidR="004579D2" w:rsidRPr="004579D2">
        <w:rPr>
          <w:rFonts w:ascii="Times New Roman" w:hAnsi="Times New Roman" w:cs="Times New Roman"/>
          <w:b/>
          <w:bCs/>
          <w:color w:val="000000" w:themeColor="text1"/>
          <w:sz w:val="22"/>
          <w:szCs w:val="22"/>
        </w:rPr>
        <w:t xml:space="preserve">nfluencing </w:t>
      </w:r>
      <w:r w:rsidR="00C661AC">
        <w:rPr>
          <w:rFonts w:ascii="Times New Roman" w:hAnsi="Times New Roman" w:cs="Times New Roman"/>
          <w:b/>
          <w:bCs/>
          <w:color w:val="000000" w:themeColor="text1"/>
          <w:sz w:val="22"/>
          <w:szCs w:val="22"/>
        </w:rPr>
        <w:t>p</w:t>
      </w:r>
      <w:r w:rsidR="004579D2">
        <w:rPr>
          <w:rFonts w:ascii="Times New Roman" w:hAnsi="Times New Roman" w:cs="Times New Roman"/>
          <w:b/>
          <w:bCs/>
          <w:color w:val="000000" w:themeColor="text1"/>
          <w:sz w:val="22"/>
          <w:szCs w:val="22"/>
        </w:rPr>
        <w:t>ost-</w:t>
      </w:r>
      <w:r w:rsidR="00C661AC">
        <w:rPr>
          <w:rFonts w:ascii="Times New Roman" w:hAnsi="Times New Roman" w:cs="Times New Roman"/>
          <w:b/>
          <w:bCs/>
          <w:color w:val="000000" w:themeColor="text1"/>
          <w:sz w:val="22"/>
          <w:szCs w:val="22"/>
        </w:rPr>
        <w:t>a</w:t>
      </w:r>
      <w:r w:rsidR="004579D2">
        <w:rPr>
          <w:rFonts w:ascii="Times New Roman" w:hAnsi="Times New Roman" w:cs="Times New Roman"/>
          <w:b/>
          <w:bCs/>
          <w:color w:val="000000" w:themeColor="text1"/>
          <w:sz w:val="22"/>
          <w:szCs w:val="22"/>
        </w:rPr>
        <w:t xml:space="preserve">cute </w:t>
      </w:r>
      <w:r w:rsidR="00C661AC">
        <w:rPr>
          <w:rFonts w:ascii="Times New Roman" w:hAnsi="Times New Roman" w:cs="Times New Roman"/>
          <w:b/>
          <w:bCs/>
          <w:color w:val="000000" w:themeColor="text1"/>
          <w:sz w:val="22"/>
          <w:szCs w:val="22"/>
        </w:rPr>
        <w:t>c</w:t>
      </w:r>
      <w:r w:rsidR="004579D2">
        <w:rPr>
          <w:rFonts w:ascii="Times New Roman" w:hAnsi="Times New Roman" w:cs="Times New Roman"/>
          <w:b/>
          <w:bCs/>
          <w:color w:val="000000" w:themeColor="text1"/>
          <w:sz w:val="22"/>
          <w:szCs w:val="22"/>
        </w:rPr>
        <w:t>are (PAC)</w:t>
      </w:r>
      <w:r w:rsidR="004579D2" w:rsidRPr="004579D2">
        <w:rPr>
          <w:rFonts w:ascii="Times New Roman" w:hAnsi="Times New Roman" w:cs="Times New Roman"/>
          <w:b/>
          <w:bCs/>
          <w:color w:val="000000" w:themeColor="text1"/>
          <w:sz w:val="22"/>
          <w:szCs w:val="22"/>
        </w:rPr>
        <w:t xml:space="preserve"> </w:t>
      </w:r>
      <w:r w:rsidR="00C661AC">
        <w:rPr>
          <w:rFonts w:ascii="Times New Roman" w:hAnsi="Times New Roman" w:cs="Times New Roman"/>
          <w:b/>
          <w:bCs/>
          <w:color w:val="000000" w:themeColor="text1"/>
          <w:sz w:val="22"/>
          <w:szCs w:val="22"/>
        </w:rPr>
        <w:t>t</w:t>
      </w:r>
      <w:r w:rsidR="004579D2" w:rsidRPr="004579D2">
        <w:rPr>
          <w:rFonts w:ascii="Times New Roman" w:hAnsi="Times New Roman" w:cs="Times New Roman"/>
          <w:b/>
          <w:bCs/>
          <w:color w:val="000000" w:themeColor="text1"/>
          <w:sz w:val="22"/>
          <w:szCs w:val="22"/>
        </w:rPr>
        <w:t>ransitions</w:t>
      </w:r>
    </w:p>
    <w:p w14:paraId="7825997B" w14:textId="245809AF" w:rsidR="00EE7399" w:rsidRPr="004579D2" w:rsidRDefault="004579D2" w:rsidP="004579D2">
      <w:pPr>
        <w:pStyle w:val="Heading3"/>
        <w:numPr>
          <w:ilvl w:val="0"/>
          <w:numId w:val="0"/>
        </w:numPr>
        <w:spacing w:before="0" w:line="480" w:lineRule="auto"/>
        <w:ind w:left="720" w:hanging="720"/>
        <w:rPr>
          <w:rFonts w:ascii="Times New Roman" w:hAnsi="Times New Roman" w:cs="Times New Roman"/>
          <w:b/>
          <w:bCs/>
          <w:color w:val="000000" w:themeColor="text1"/>
          <w:sz w:val="22"/>
          <w:szCs w:val="22"/>
        </w:rPr>
      </w:pPr>
      <w:r w:rsidRPr="004579D2">
        <w:rPr>
          <w:rFonts w:ascii="Times New Roman" w:hAnsi="Times New Roman" w:cs="Times New Roman"/>
          <w:b/>
          <w:bCs/>
          <w:color w:val="000000" w:themeColor="text1"/>
          <w:sz w:val="22"/>
          <w:szCs w:val="22"/>
        </w:rPr>
        <w:t xml:space="preserve">S3.1. </w:t>
      </w:r>
      <w:r w:rsidRPr="004579D2">
        <w:rPr>
          <w:rFonts w:ascii="Times New Roman" w:hAnsi="Times New Roman" w:cs="Times New Roman"/>
          <w:b/>
          <w:bCs/>
          <w:color w:val="000000" w:themeColor="text1"/>
          <w:sz w:val="22"/>
          <w:szCs w:val="22"/>
        </w:rPr>
        <w:t xml:space="preserve">Factors </w:t>
      </w:r>
      <w:r w:rsidR="00C661AC">
        <w:rPr>
          <w:rFonts w:ascii="Times New Roman" w:hAnsi="Times New Roman" w:cs="Times New Roman"/>
          <w:b/>
          <w:bCs/>
          <w:color w:val="000000" w:themeColor="text1"/>
          <w:sz w:val="22"/>
          <w:szCs w:val="22"/>
        </w:rPr>
        <w:t>i</w:t>
      </w:r>
      <w:r w:rsidRPr="004579D2">
        <w:rPr>
          <w:rFonts w:ascii="Times New Roman" w:hAnsi="Times New Roman" w:cs="Times New Roman"/>
          <w:b/>
          <w:bCs/>
          <w:color w:val="000000" w:themeColor="text1"/>
          <w:sz w:val="22"/>
          <w:szCs w:val="22"/>
        </w:rPr>
        <w:t>nfluencing</w:t>
      </w:r>
      <w:r w:rsidRPr="004579D2">
        <w:rPr>
          <w:rFonts w:ascii="Times New Roman" w:hAnsi="Times New Roman" w:cs="Times New Roman"/>
          <w:b/>
          <w:bCs/>
          <w:color w:val="000000" w:themeColor="text1"/>
          <w:sz w:val="22"/>
          <w:szCs w:val="22"/>
        </w:rPr>
        <w:t xml:space="preserve"> </w:t>
      </w:r>
      <w:r w:rsidR="00C661AC">
        <w:rPr>
          <w:rFonts w:ascii="Times New Roman" w:hAnsi="Times New Roman" w:cs="Times New Roman"/>
          <w:b/>
          <w:bCs/>
          <w:color w:val="000000" w:themeColor="text1"/>
          <w:sz w:val="22"/>
          <w:szCs w:val="22"/>
        </w:rPr>
        <w:t>t</w:t>
      </w:r>
      <w:r w:rsidR="00EE7399" w:rsidRPr="004579D2">
        <w:rPr>
          <w:rFonts w:ascii="Times New Roman" w:hAnsi="Times New Roman" w:cs="Times New Roman"/>
          <w:b/>
          <w:bCs/>
          <w:color w:val="000000" w:themeColor="text1"/>
          <w:sz w:val="22"/>
          <w:szCs w:val="22"/>
        </w:rPr>
        <w:t>ransitions from acute care to LTC</w:t>
      </w:r>
    </w:p>
    <w:p w14:paraId="382800E6" w14:textId="22457F88" w:rsidR="004579D2" w:rsidRPr="00ED5246" w:rsidRDefault="004579D2" w:rsidP="00A04BF9">
      <w:pPr>
        <w:spacing w:after="0" w:line="480" w:lineRule="auto"/>
        <w:jc w:val="both"/>
        <w:rPr>
          <w:rFonts w:ascii="Times New Roman" w:hAnsi="Times New Roman" w:cs="Times New Roman"/>
        </w:rPr>
      </w:pPr>
      <w:bookmarkStart w:id="3" w:name="_Hlk184141955"/>
      <w:r w:rsidRPr="00ED5246">
        <w:rPr>
          <w:rFonts w:ascii="Times New Roman" w:hAnsi="Times New Roman" w:cs="Times New Roman"/>
          <w:b/>
          <w:bCs/>
        </w:rPr>
        <w:t xml:space="preserve">Socio-demographic characteristics. </w:t>
      </w:r>
      <w:r w:rsidRPr="00ED5246">
        <w:rPr>
          <w:rFonts w:ascii="Times New Roman" w:hAnsi="Times New Roman" w:cs="Times New Roman"/>
        </w:rPr>
        <w:t xml:space="preserve">Age was the most frequently cited demographic factor linked to LTC placement in quantitative studies (n=21)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{"citationID":"jxUs31An","properties":{"formattedCitation":"[1\\uc0\\u8211{}21]","plainCitation":"[1–21]","noteIndex":0},"citationItems":[{"id":67839,"uris":["http://zotero.org/groups/5108666/items/UNDAPQBL"],"itemData":{"id":67839,"type":"article-journal","abstract":"We examine the relationship between long-term care supply (care home beds and prices) and (i) the probability of being discharged to a care home and (ii) length of stay in hospital for patients admitted to hospital for hip fracture or stroke. Using patient level data from all English hospitals and allowing for a rich set of demographic and clinical factors, we find no association between discharge destination and long-term care beds supply or prices. We do, however, find evidence of bed blocking: hospital length of stay for hip fracture patients discharged to a care home is shorter in areas with more long-term care beds and lower prices. Length of stay is over 30% shorter in areas in the highest quintile of care home beds supply compared to those in the lowest quintile.","container-title":"International Journal of Health Economics and Management","DOI":"10.1007/s10754-017-9214-z","ISSN":"2199-9031","issue":"3","journalAbbreviation":"Int J Health Econ Manag","language":"eng","note":"PMID: 28247174\nPMCID: PMC5703024","page":"311-331","source":"PubMed","title":"Long-term care provision, hospital bed blocking, and discharge destination for hip fracture and stroke patients","volume":"17","author":[{"family":"Gaughan","given":"James"},{"family":"Gravelle","given":"Hugh"},{"family":"Santos","given":"Rita"},{"family":"Siciliani","given":"Luigi"}],"issued":{"date-parts":[["2017",2,28]]}}},{"id":67898,"uris":["http://zotero.org/groups/5108666/items/QYS9TC57"],"itemData":{"id":67898,"type":"article-journal","abstract":"Objective\nOne-fifth of patient discharges from the acute hospital are delayed due to non-medical reasons. Prior research on small specific samples shows that patient mobility is important for predicting post-acute care (PAC) need. Our purpose was to create a disposition prediction model for PAC need in a large, clinically diverse.\nMethods\nA random forest (RF) was constructed to analyze patient admissions at 2 hospitals. The primary outcome was discharge disposition (home or PAC). Predictors included the lowest AM-PAC ‘6-clicks’ mobility score within 48-hours of admission (primary predictor) and demographic and clinical characteristics. A global summary tree was constructed to summarize the RF.\nResults\nAmong 34,432 patient admissions, the most important variables for predicting PAC placement were AM-PAC, BMI, and age. The AUC was 0.80 (95% confidence interval: 0.79, 0.81). Using a predicted probability for PAC of 0.25 or higher, the sensitivity, specificity and overall accuracy was 76%, 70% and 72%, respectively. Patients 66 years or older with AM-PAC of &lt;31 had the highest probability (0.76) for discharge to PAC. Patients with AM-PAC of &gt;43 had the highest probability for discharge to home.\nConclusions\nSystematic assessment of inpatients admission mobility should be implemented and used for discharge planning. Electronic medical record systems should be designed to collect and facilitate availability of mobility data on all patients to providers who play key roles in discharge planning.\nPublic Interest Summary\nPatient's mobility status during hospitalization has been used to predict their next level of care at discharge, but this work has been done with more limited methods and focused on select patient groups. Using a machine learning technique on thousands of patients with very different medical problems, this study shows that mobility status very early in hospitalization predicts post-acute care (PAC) needs. Based on this study we recommend that early assessment of patient mobility in the hospital should occur for all patients as it can facilitate more effective discharge planning.","container-title":"Health Policy and Technology","DOI":"10.1016/j.hlpt.2023.100754","ISSN":"2211-8837","issue":"2","journalAbbreviation":"Health Policy and Technology","language":"en","page":"100754","source":"ScienceDirect","title":"Machine learning prediction of hospital patient need for post-acute care using an admission mobility measure is robust across patient diagnoses","volume":"12","author":[{"family":"Young","given":"Daniel L."},{"family":"Engels","given":"Rebecca"},{"family":"Colantuoni","given":"Elizabeth"},{"family":"Friedman","given":"Lisa Aronson"},{"family":"Hoyer","given":"Erik H."}],"issued":{"date-parts":[["2023",6,1]]}}},{"id":67933,"uris":["http://zotero.org/groups/5108666/items/G4RZ8PSG"],"itemData":{"id":67933,"type":"article-journal","abstract":"INTRODUCTION: The Quality and Outcomes Framework, or QOF, rewards primary care doctors (GPs) in the UK for providing certain types of care. Since 2006, GPs have been paid to identify patients with dementia and to conduct an annual review of their mental and physical health. During the review, the GP also assesses the carer's support needs, including impact of caring, and ensures that services are co-ordinated across care settings. In principle, this type of care should reduce the risk of admission to long-term residential care directly from an acute hospital ward, a phenomenon considered to be indicative of poor quality care. However, this potential effect has not previously been tested.\nMETHODS: Using English data from 2006/07 to 2010/11, we ran multilevel logit models to assess the impact of the QOF review on the risk of care home placement following emergency admission to acute hospital. Emergency admissions were defined for (a) people with a primary diagnosis of dementia and (b) people with dementia admitted for treatment of an ambulatory care sensitive condition. We adjusted for a wide range of potential confounding factors.\nRESULTS: Over the study period, 19% of individuals admitted to hospital with a primary diagnosis of dementia (N = 31,120) were discharged to a care home; of those admitted for an ambulatory care sensitive condition (N = 139,267), the corresponding figure was 14%. Risk factors for subsequent care home placement included older age, female gender, vascular dementia, incontinence, fall, hip fracture, and number of comorbidities. Better performance on the QOF review was associated with a lower risk of care home placement but only when the admission was for an ambulatory care sensitive condition.\nCONCLUSIONS: The QOF dementia review may help to reduce the risk of long-term care home placement following acute hospital admission.","container-title":"PloS One","DOI":"10.1371/journal.pone.0155850","ISSN":"1932-6203","issue":"5","journalAbbreviation":"PLoS One","language":"eng","note":"PMID: 27227403\nPMCID: PMC4882036","page":"e0155850","source":"PubMed","title":"Risk of Care Home Placement following Acute Hospital Admission: Effects of a Pay-for-Performance Scheme for Dementia","title-short":"Risk of Care Home Placement following Acute Hospital Admission","volume":"11","author":[{"family":"Kasteridis","given":"Panagiotis"},{"family":"Mason","given":"Anne"},{"family":"Goddard","given":"Maria"},{"family":"Jacobs","given":"Rowena"},{"family":"Santos","given":"Rita"},{"family":"Rodriguez-Sanchez","given":"Beatriz"},{"family":"McGonigal","given":"Gerard"}],"issued":{"date-parts":[["2016"]]}}},{"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id":50443,"uris":["http://zotero.org/groups/5108666/items/492BMIAT"],"itemData":{"id":50443,"type":"article-journal","archive":"Scopus","container-title":"Journal of Arthroplasty","DOI":"10.1016/j.arth.2016.05.027","issue":"12","page":"2700-2704","title":"Disparities in Discharge Destination After Lower Extremity Joint Arthroplasty: Analysis of 7924 Patients in an Urban Setting","volume":"31","author":[{"family":"Inneh","given":"I.A."},{"family":"Clair","given":"A.J."},{"family":"Slover","given":"J.D."},{"family":"Iorio","given":"R."}],"issued":{"date-parts":[["2016"]]}}},{"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Group"}],"issued":{"date-parts":[["2021"]]}},"label":"page"},{"id":41364,"uris":["http://zotero.org/groups/5108666/items/8WYH84Q8","http://zotero.org/groups/5108666/items/ID488ST8"],"itemData":{"id":41364,"type":"article-journal","abstract":"OBJECTIVES: To evaluate the incidence and characteristics of nursing home (NH) use after implantable cardioverter-defibrillator (ICD) implantation., DESIGN: Cohort study., SETTING: Medicare beneficiaries in the National Cardiovascular Data Registry-ICD Registry., PARTICIPANTS: Individuals aged 65 and older receiving ICDs between January 1, 2006, and March 31, 2010 (N = 192,483)., MEASUREMENTS: Proportion of ICD recipients discharged to NHs directly after device placement, cumulative incidence of long-term NH admission, and factors associated with immediate discharge to a NH and time to long-term NH admission., RESULTS: Over 4 years, 40.6% of the cohort died, and 35,939 (18.7%) experienced at least one NH admission, including 4.0% directly discharged to a NH after ICD implantation and 2.8% admitted to long-term NH care during follow-up. The cumulative incidence of long-term NH admission, accounting for the competing risk of death, was 1.7% at 1 year, 3.8% at 3 years, and 4.6% at 4 years; 20.1% of individuals admitted to a NH died there. Factors most strongly associated with direct NH discharge and time to long-term NH care were older age (adjusted odds ratio (AOR) = 2.09, 95% confidence interval (CI) = 2.01-2.17 per 10-year increment; adjusted hazard ratio (AHR) = 1.88, 95% CI = 1.80-1.97, respectively), dementia (AOR = 2.60, 95% CI = 2.25-3.01; AHR = 2.50, 95% CI = 2.14-2.93, respectively), and Medicare Part A claim for NH stay in prior 6 months (AOR = 3.96, 95% CI = 3.70-4.25; AHR = 2.88, 95% CI = 2.65-3.14, respectively)., CONCLUSION: Nearly one in five individuals are admitted to NHs over a median of 1.6 years of follow-up after ICD implantation. Understanding these outcomes may help inform the clinical care of these individuals. © 2016, Copyright the Authors Journal compilation © 2016, The American Geriatrics Society.","archive":"Ovid MEDLINE(R) &lt;2017&gt;","container-title":"Journal of the American Geriatrics Society","DOI":"10.1111/jgs.14520","ISSN":"1532-5415","issue":"2","journalAbbreviation":"J Am Geriatr Soc","page":"340-347","title":"Nursing Home Use After Implantable Cardioverter-Defibrillator Implantation in Older Adults: Results from the National Cardiovascular Data Registry.","volume":"65","author":[{"family":"Kramer","given":"Daniel B"},{"family":"Reynolds","given":"Matthew R"},{"family":"Normand","given":"Sharon-Lise"},{"family":"Parzynski","given":"Craig S"},{"family":"Spertus","given":"John A"},{"family":"Mor","given":"Vincent"},{"family":"Mitchell","given":"Susan L"}],"issued":{"date-parts":[["2017"]]}}},{"id":38712,"uris":["http://zotero.org/groups/5108666/items/7R6D6SB7","http://zotero.org/groups/5108666/items/3PLZ8G9F"],"itemData":{"id":38712,"type":"article-journal","abstract":"Introduction: The demand for total knee arthroplasty (TKA) continues to challenge hospital financial resources. Hospitals have countered this economic demand by reducing patient length of stay (LoS), thus requiring a higher utilization of extended care facilities (ECF) and home with home health care (HHC). With an increase in the number of insured low-income families following the Affordable Care Act (ACA), TKA patients' demographics are anticipated to change. Both trends have significant economic implications, and predicting the discharge destinations of TKA patients would help plan for future health expenditures. The purpose of this study was to determine which variables are significant in predicting discharge destinations of patients treated with TKA. Method(s): We utilized the California Hospital Discharge data set of the year 2010. For each hospitalization, the data set includes information about patient demographics (age, gender, race, and ethnicity), insurance type, diagnoses and procedures, and patient disposition. Discharge to home was the reference category. Discharges to a skilled nursing home and discharge to home with home care were the 2 additional alternatives. Independent variables included the Charlson comorbidity index, payer category (private, Medicare, Medical, and other), race, ethnicity, age, and gender. Result(s): Over 28 611 TKAs were reviewed with 45.9% discharged to HHC, 29.9% going to ECF, and 24.2% going home without home health care. Race, age, insurance, and morbidity proved to be highly significant factors influencing patient discharge destination (P &lt;.001). Medicare coverage relative to private payers was a strong predictor for discharge destination (relative risk ratio (RRR) 1.69, P &lt;.001). The strongest predictors were black and Asian races relative to whites (RRR 1.54, P &lt;.01). Male gender was the only factor that lowered the risk of discharge to a nursing home (RRR 0.43, P &lt;.001). Conclusion(s): This study provides insight on which patient characteristics influence discharge destination after TKA. Race, age, insurance, and morbidity were highly significant (P &lt;.001) factors on patient discharge destination.Copyright © 2016, © The Author(s) 2016.","archive":"Embase","container-title":"Geriatric Orthopaedic Surgery and Rehabilitation","DOI":"10.1177/2151458516645635","ISSN":"2151-4585","issue":"2","journalAbbreviation":"Geriatr. Orthop. Surg. Rehabit.","language":"English","page":"95-99","title":"Factors Influencing Discharge Destination After Total Knee Arthroplasty: A Database Analysis","volume":"7","author":[{"literal":"Schwarzkopf R."},{"literal":"Ho J."},{"literal":"Quinn J.R."},{"literal":"Snir N."},{"literal":"Mukamel D."}],"issued":{"date-parts":[["2016"]]}}},{"id":68054,"uris":["http://zotero.org/groups/5108666/items/X4U2WQZC"],"itemData":{"id":68054,"type":"article-journal","abstract":"IMPORTANCE: Discharge to home after surgery has been recognized as a determinant of long-term survival and is a common concern in the elderly population.\nOBJECTIVE: The aim of the study was to determine the incidence and risk factors for nonhome discharge in patients undergoing major surgery for pelvic organ prolapse.\nSTUDY DESIGN: We performed a retrospective cohort study using the American College of Surgeons National Surgical Quality Improvement Program Database from 2010 to 2018. We included patients who underwent sacrocolpopexy, vaginal colpopexy, and colpocleisis. We compared perioperative characteristics in patients who were discharged home versus those who were discharged to a nonhome location. Stepwise backward multivariate logistic regression was then used to control for confounding variables and identify independent predictors of nonhome discharge.\nRESULTS: A total of 38,012 patients were included in this study, 209 of whom experienced nonhome discharge (0.5%). Independent predictors of nonhome discharge included preoperative weight loss (adjusted odds ratio [aOR], 5.9; 95% confidence interval [CI], 1.3-27.5), dependent health care status (aOR, 5.0; 95% CI, 2.6-9.5), abdominal hysterectomy (aOR, 2.3; 95% CI, 1.4-3.7), American Society of Anesthesiologists class 3 or greater (aOR, 2.0; 95% CI, 1.5-2.7), age (aOR, 1.1; 95% CI, 1.05-1.09), operative time (aOR, 1.005; 95% CI, 1.003-1.006), laparoscopic hysterectomy (aOR, 0.6; 95% CI, 0.4-1.0), and laparoscopic sacrocolpopexy (aOR, 0.5; 95% CI, 0.3-0.8).\nCONCLUSIONS: In patients undergoing surgery for pelvic organ prolapse, nonhome discharge is associated with various indicators of frailty, including age, health care dependence, and certain comorbidities. An open surgical approach increases the risk of nonhome discharge, while a laparoscopic approach is associated with lower risk.","container-title":"Urogynecology (Philadelphia, Pa.)","DOI":"10.1097/SPV.0000000000001347","ISSN":"2771-1897","journalAbbreviation":"Urogynecology (Phila)","language":"eng","note":"PMID: 36946906","source":"PubMed","title":"Nonhome Discharge in Patients Undergoing Pelvic Reconstructive Surgery: A National Analysis","title-short":"Nonhome Discharge in Patients Undergoing Pelvic Reconstructive Surgery","author":[{"family":"Ross","given":"James H."},{"family":"Wood","given":"Nicole"},{"family":"Simmons","given":"Adrienne"},{"family":"Lua-Mailland","given":"Lannah L."},{"family":"Wallace","given":"Shannon L."},{"family":"Chapman","given":"Graham C."}],"issued":{"date-parts":[["2023",3,9]]}}},{"id":37590,"uris":["http://zotero.org/groups/5108666/items/RNYD7TU4"],"itemData":{"id":37590,"type":"article-journal","abstract":"Background Patients undergoing transcatheter aortic valve replacement (TAVR) are likely to be discharged to a location other than home. We aimed to determine the association between preoperative risk factors and non-home discharge after TAVR. Methods Patients discharged alive after TAVR at three centers were identified from a prospectively maintained database randomly divided into 80% derivation and 20% validation cohorts. Logistic regression models were fit to identify preoperative factors associated with non-home discharge in the derivation cohort. Multivariable models were developed and a nomogram based risk-scoring system was developed for use in preoperative counseling. Results Between June 2012 and December 2018, a total of 1,163 patients had TAVR at three centers. Thirty-seven patients who died before discharge were excluded. Of the remaining 1,126 patients (97%) who were discharged alive, the incidence of non-home discharge was 25.6% (n = 289). The patient population was randomly divided into the 80% (n = 900) derivation cohort and 20% (n = 226) validation cohort. Mean +/- SD age of the study population was 83 +/- 8 years. In multivariable analysis, factors that were significantly associated with non-home discharge were extreme age, female sex, higher STS scores, use of general anesthesia, elective procedures, chronic liver disease, non-transfemoral approach and postoperative complications. The unbiased estimate of the C-index was 0.81 and the model had excellent calibration. Conclusions One out of every four patients undergoing TAVR is discharged to a location other than home. Identification of preoperative factors associated with non-home discharge can assist patient counseling and postoperative disposition planning.Copyright © 2020 JGC All rights reserved; www.jgc301.com","archive":"Embase","container-title":"Journal of Geriatric Cardiology","DOI":"10.11909/j.issn.1671-5411.2020.10.002","ISSN":"1671-5411","issue":"10","journalAbbreviation":"J. Geriatr. Cardiol.","language":"English","page":"621-627","title":"Risk scoring model for prediction of non-home discharge after transcatheter aortic valve replacement","volume":"17","author":[{"literal":"Okoh A.K."},{"literal":"Ozturk E."},{"literal":"Gold J."},{"literal":"Siddiqui E."},{"literal":"Dhaduk N."},{"literal":"Haik B."},{"literal":"Chen C.-G."},{"literal":"Cohen M."},{"literal":"Russo M.J."}],"issued":{"date-parts":[["2020"]]}}},{"id":48995,"uris":["http://zotero.org/groups/5108666/items/TQTV8ZCH","http://zotero.org/groups/5108666/items/NXEYSJEF"],"itemData":{"id":48995,"type":"article-journal","archive":"Scopus","container-title":"Clinical Rehabilitation","DOI":"10.1177/0269215517748715","issue":"8","page":"1108-1118","title":"Using population-based routinely collected data from the Sentinel Stroke National Audit Programme to investigate factors associated with discharge to care home after rehabilitation","volume":"32","author":[{"family":"Dutta","given":"D."},{"family":"Thornton","given":"D."},{"family":"Bowen","given":"E."}],"issued":{"date-parts":[["2018"]]}}},{"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K"},{"family":"Eikermann","given":"Matthias"}],"issued":{"date-parts":[["2021"]]}}},{"id":42053,"uris":["http://zotero.org/groups/5108666/items/ZSL94DSH"],"itemData":{"id":42053,"type":"article-journal","abstract":"OBJECTIVE: To determine the proportion of patients surviving their cardiac surgery who experienced non-home discharge (NHD) over a 16-year period in  Australia and New Zealand (ANZ). DESIGN: Retrospective, multicentre,  cross-sectional study over the time period 01 January 2004 to 31 December 2019.  SETTING: Adult patients who underwent cardiac surgery from the Australia New  Zealand Intensive Care Society Adult Patient Database (APD). PARTICIPANTS: Adult  patients (age 18 and above) who underwent index coronary artery bypass grafting,  cardiac valve surgery or combined valve/coronary surgery. EXPOSURE: The primary  exposure variable was the calendar year during the which the index surgery was  performed. OUTCOME: The primary outcome was NHD after the index surgery. NHD  included discharge to locations such as nursing home, chronic care facility,  rehabilitation and palliative care. RESULTS: We analysed 252 924 index cardiac  surgical admissions from 101 discrete sites with a median age of 68 years (IQR  60-76), of which 74.2% (187 662 out of 252 920) were males. Of these, 4302 (1.7%)  patients died in hospital and 213 011 (84.2%) were discharged home, 18 010 (7.1%)  were transferred to another hospital and 17 601 (7%) experienced NHD. In  Australia, 14 457 (6.4%) of patients progressed to NHD, compared with 3144  (11.7%) in New Zealand. The rate of NHD increased significantly over time  (adjusted OR per year=1.06, 95% CI, 1.06 to 1.07, p&lt;0.001). Increasing age,  female sex, non-elective surgery, surgery type and Acute Physiology and Chronic  Health Evaluation III Score were all associated with significant increase in NHD.  CONCLUSIONS: There was significant increase in NHD after cardiac surgery over  time in ANZ. This has significant clinical relevance for informed consent  discussions between healthcare providers and patients, and for healthcare  services planning.","container-title":"BMJ open","DOI":"10.1136/bmjopen-2021-049187","ISSN":"2044-6055","issue":"12","journalAbbreviation":"BMJ Open","language":"eng","page":"e049187","title":"Non-home discharge after cardiac surgery in Australia and New Zealand: a cross-sectional study.","volume":"11","author":[{"family":"Ramanan","given":"Mahesh"},{"family":"Kumar","given":"Aashish"},{"family":"Anstey","given":"Chris"},{"family":"Shekar","given":"Kiran"}],"issued":{"date-parts":[["2021",12,23]]}}},{"id":42078,"uris":["http://zotero.org/groups/5108666/items/BE564LFZ"],"itemData":{"id":42078,"type":"article-journal","abstract":"OBJECTIVE: To describe the discharge destination of patients with severe traumatic brain injury (sTBI) after acute care. To identify predictors associated  with inpatient rehabilitation (vs discharge home) and to identify predictors  associated with neurorehabilitation (vs general rehabilitation). METHODS: A  national, multi-centre, prospective study with adult survivors after sTBI  (abbreviated injury scale head score &gt; 3). Univariate and multivariate logistic  regression models included patient characteristics, pre-injury conditions,  initial neuro-physiological assessment, trauma mechanisms, severity of TBI and  pre-hospital conditions to find predictors of discharge destination. RESULTS: Out  of the 566 included patients, 341 (60%) were referred to inpatient  rehabilitation, thereof 249 (73%) to neurorehabilitation; 225 (40%) were  discharged home or to a nursing home. Lower scores on the Glasgow Coma Scale at  admission/at 14 days, higher injury severity scores and older age were predictors  for inpatient rehabilitation. Younger age and male gender were predictors for  neurorehabilitation. CONCLUSIONS: Patients' pathways after acute care are not  only determined by the severity of their brain injury, but also by their overall  injury severity and socio-biological factors. More than half of the patients  after sTBI are not discharged to specialized inpatient neurorehabilitation and,  therefore, efforts should be taken to optimize post-acute care.","container-title":"Brain injury","DOI":"10.1080/02699052.2016.1183821","ISSN":"1362-301X 0269-9052","issue":"10","journalAbbreviation":"Brain Inj","language":"eng","page":"1186-1193","title":"Predictors of inpatient (neuro)rehabilitation after acute care of severe traumatic brain injury: An epidemiological study.","volume":"30","author":[{"family":"Schumacher","given":"Rahel"},{"family":"Walder","given":"Bernhard"},{"family":"Delhumeau","given":"Cécile"},{"family":"Müri","given":"René M."}],"issued":{"date-parts":[["2016"]]}}},{"id":41107,"uris":["http://zotero.org/groups/5108666/items/275NKLY8"],"itemData":{"id":41107,"type":"article-journal","abstract":"BACKGROUND/OBJECTIVES: Stroke is a leading cause of disability worldwide, and a significant proportion of stroke survivors require long-term institutional care. Understanding who cannot be discharged home is important for health and social care planning. Our aim was to establish predictive factors for discharge to institutional care after hospitalization for stroke., DESIGN: We registered and conducted a systematic review and meta-analysis (PROSPERO: CRD42015023497) of observational studies. We searched MEDLINE, EMBASE, and CINAHL Plus to February 2017. Quantitative synthesis was performed where data allowed., SETTING: Acute and rehabilitation hospitals., PARTICIPANTS: Adults hospitalized for stroke who were newly admitted directly to long-term institutional care at the time of hospital discharge., MEASUREMENTS: Factors associated with new institutionalization., RESULTS: From 10,420 records, we included 18 studies (n = 32,139 participants). The studies were heterogeneous and conducted in Europe, North America, and East Asia. Eight studies were at high risk of selection bias. The proportion of those surviving to discharge who were newly discharged to long-term care varied from 7% to 39% (median 17%, interquartile range 12%), and the model of care received in the long-term care setting was not defined. Older age and greater stroke severity had a consistently positive association with the need for long-term care admission. Individuals who had a severe stroke were 26 times as likely to be admitted to long-term care than those who had a minor stroke. Individuals aged 65 and older had a risk of stroke that was three times as great as that of younger individuals. Potentially modifiable factors were rarely examined., CONCLUSION: Age and stroke severity are important predictors of institutional long-term care admission directly from the hospital after an acute stroke. Potentially modifiable factors should be the target of future research. Stroke outcome studies should report discharge destination, defining the model of care provided in the long-term care setting. Copyright © 2017 The Authors. Journal of the American Geriatrics Society published by Wiley Periodicals, Inc. on behalf of The American Geriatrics Society.","archive":"Ovid MEDLINE(R) &lt;2018&gt;","container-title":"Journal of the American Geriatrics Society","DOI":"10.1111/jgs.15101","ISSN":"1532-5415","issue":"1","journalAbbreviation":"J Am Geriatr Soc","page":"161-169","title":"Predicting Discharge to Institutional Long-Term Care After Stroke: A Systematic Review and Metaanalysis.","volume":"66","author":[{"family":"Burton","given":"Jennifer K"},{"family":"Ferguson","given":"Eilidh E C"},{"family":"Barugh","given":"Amanda J"},{"family":"Walesby","given":"Katherine E"},{"family":"MacLullich","given":"Alasdair M J"},{"family":"Shenkin","given":"Susan D"},{"family":"Quinn","given":"Terry J"}],"issued":{"date-parts":[["2018"]]}}},{"id":41933,"uris":["http://zotero.org/groups/5108666/items/PI2ZRFRF"],"itemData":{"id":41933,"type":"article-journal","abstract":"OBJECTIVES: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L"}],"issued":{"date-parts":[["2015"]]}}},{"id":67837,"uris":["http://zotero.org/groups/5108666/items/772946KW"],"itemData":{"id":67837,"type":"article-journal","abstract":"INTRODUCTION: Sustaining a hip fracture is a life changing event for many elderlies. While doctors and researchers tend to be preoccupied with mortality and complication rates, patients are more concerned by other aspects e.g. loss of independence and ability to remain in their own home. This study aimed to i) determine age-stratified one-year event rates of admission to nursing home after discharge, and ii) identify risk factors associated with nursing home admission.\nMETHODS: Community dwelling patients aged 60-100 years undergoing their first hip fracture surgery in 2005 - 2015 were identified in nationwide administrative registries. Outcome was admission to nursing home within one year of discharge. To assess risk factors, we performed age-stratified cumulative incidence curves and multivariate cause specific cox regression models adjusted for age, sex, social factors, and comorbidities.\nRESULTS: A total of 53,157 patients were included. One-year risk increased with advancing age from 3.2% of patients aged 60 to 69, up to 22.4% in the eldest group aged 90-100 years. Living alone and dementia were strong risk factors HR 9.22 [95% CI 5.60-15.18, p = &lt;0.0001] and HR 6.73 [95% CI 4.80- 9.44, p = 0.0001] respectively for patients aged 60 to 69 years, the effect decreased with higher age down to HR 2.75 [95% CI 2.12- 3.57, p = &lt;0.0001] and HR 2.15 [95% CI 1.88- 2.46, p = &lt;0.0001] for patients ≥ 90 years. Other important risk factors were pre-injury home care, Parkinson's disease and depression. Surprisingly, physical comorbidities i.e. kidney disease, chronic obstructive pulmonary disease, diabetes and cancer did not increase the risk of nursing home admission.\nCONCLUSION: Future initiatives aimed to reduce loss of independence and nursing home admission, among patients with first time hip fracture, should devote attention to living settings and cognitive impairment rather than physical comorbidity.","container-title":"Injury","DOI":"10.1016/j.injury.2020.06.041","ISSN":"1879-0267","issue":"10","journalAbbreviation":"Injury","language":"eng","note":"PMID: 32622625","page":"2289-2294","source":"PubMed","title":"Living settings and cognitive impairment are stronger predictors of nursing home admission after hip fracture surgery than physical comorbidities A nationwide Danish cohort study","volume":"51","author":[{"family":"Wahlsten","given":"Liv Riisager"},{"family":"Smedegaard","given":"Lærke"},{"family":"Brorson","given":"Stig"},{"family":"Gislason","given":"Gunnar"},{"family":"Palm","given":"Henrik"}],"issued":{"date-parts":[["2020",10]]}}},{"id":67866,"uris":["http://zotero.org/groups/5108666/items/QLKDZV2V"],"itemData":{"id":67866,"type":"article-journal","abstract":"OBJECTIVE: To evaluate the impact of frailty, measured using the Canadian Study of Health and Aging Clinical Frailty Scale, on outcomes of older people hospitalized with acute illness.\nMETHOD: Consecutive patients were randomly allocated to a model development sample or a model validation sample. Multivariate analyses were used to model in-hospital mortality, new nursing home placement, and length of stay. Variables selected in the development samples were tested in the validation samples.\nRESULTS: The mean age of all 2,125 patients was 82.9 years. Most (93.6%) were admitted through the emergency department. Frailty predicted in-hospital mortality (odds ratio [OR] = 2.97 [2.11, 4.17]), new nursing home placement (OR = 1.60 [1.14, 2.24]), and length of hospital stay (hazard ratio = 0.87 [0.81, 0.93]).\nDISCUSSION: Frailty is a strong predictor of adverse outcomes in older people hospitalized with acute illness. An increased awareness of its impact may alert clinicians to screen for frailty.","container-title":"Journal of Aging and Health","DOI":"10.1177/0898264314558202","ISSN":"1552-6887","issue":"4","journalAbbreviation":"J Aging Health","language":"eng","note":"PMID: 25414168","page":"670-685","source":"PubMed","title":"Frailty in an older inpatient population: using the clinical frailty scale to predict patient outcomes","title-short":"Frailty in an older inpatient population","volume":"27","author":[{"family":"Basic","given":"David"},{"family":"Shanley","given":"Chris"}],"issued":{"date-parts":[["2015",6]]}}},{"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id":69676,"uris":["http://zotero.org/users/7655466/items/E4GGHKZW"],"itemData":{"id":69676,"type":"article-journal","abstract":"The increase in the proportion of elderly people in developed societies has several consequences, such as the rise in demand for long-term care (LTC). Due to cost, inequalities may arise and punish low-income households. Our objective is to examine socioeconomic inequalities in LTC utilization in Europe. We use the last wave from the Survey of Health, Aging, and Retirement in Europe SHARE (Munich Center for the Economics of Ageing, Munich, Germany), dated 2017, to analyze the impact of socioeconomic status (SES) on LTC. For this purpose, we construct logistic models and control for socioeconomic/household characteristics, health status, and region. Then, concentration indices are calculated to assess the distribution of LTC. Moreover, we also analyze horizontal inequity by using the indirect need-standardization process. We use two measures of SES (household net total income and household net wealth) to obtain robust results. Our findings demonstrate that informal care is concentrated among low-SES households, whereas formal care is concentrated in high-SES households. The results for horizontal concentration indices show a pro-rich distribution in both formal and informal LTC. We add new empirical evidence by showing the dawning of deep social inequalities in LTC utilization. Policymakers should implement policies focused on people who need care to tackle socioeconomic inequalities in LTC.","container-title":"International Journal of Environmental Research and Public Health","DOI":"10.3390/ijerph18010020","ISSN":"1660-4601","issue":"1","journalAbbreviation":"Int J Environ Res Public Health","language":"eng","note":"PMID: 33375147\nPMCID: PMC7792951","page":"20","source":"PubMed","title":"Socioeconomic Inequality in the Use of Long-Term Care among European Older Adults: An Empirical Approach Using the SHARE Survey","title-short":"Socioeconomic Inequality in the Use of Long-Term Care among European Older Adults","volume":"18","author":[{"family":"Lera","given":"Javier"},{"family":"Pascual-Sáez","given":"Marta"},{"family":"Cantarero-Prieto","given":"David"}],"issued":{"date-parts":[["2020",12,22]]}}}],"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[1–21]</w:t>
      </w:r>
      <w:r w:rsidRPr="00ED5246">
        <w:rPr>
          <w:rFonts w:ascii="Times New Roman" w:hAnsi="Times New Roman" w:cs="Times New Roman"/>
        </w:rPr>
        <w:fldChar w:fldCharType="end"/>
      </w:r>
      <w:r w:rsidRPr="00ED5246">
        <w:rPr>
          <w:rFonts w:ascii="Times New Roman" w:hAnsi="Times New Roman" w:cs="Times New Roman"/>
        </w:rPr>
        <w:t xml:space="preserve">, with further support from qualitative studies and reviews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{"citationID":"i5X6CdGG","properties":{"formattedCitation":"[22,23]","plainCitation":"[22,23]","noteIndex":0},"citationItems":[{"id":39806,"uris":["http://zotero.org/groups/5108666/items/2MF7J4KI"],"itemData":{"id":39806,"type":"article-journal","abstract":"Multiple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id":67863,"uris":["http://zotero.org/groups/5108666/items/26JYGLQS"],"itemData":{"id":67863,"type":"post-weblog","abstract":"Canada’s population is aging and thus health care needs will rise. This report examines the need for long-term care beds over the next two decades (to 2035):   Canada will require an additional 199,000 long-term care beds.   Capital spending on these new beds will be $64 billion with operating expenses (to 2035) totalling $130 billion.   However, these expenditures will have a positive effect on the economy, contributing a total of $235 billion to real GDP and accounting for 123,000 jobs each year.   In the cost-benefit analysis, the benefits of the new beds are greater than the costs, even without considering the improved health outcomes.","container-title":"The Conference Board of Canada","language":"en-CA","title":"Sizing Up the Challenge: Meeting the Demand for Long-Term Care in Canada","title-short":"Sizing Up the Challenge","URL":"https://www.conferenceboard.ca/product/sizing-up-the-challenge-meeting-the-demand-for-long-term-care-in-canada/","accessed":{"date-parts":[["2023",7,30]]},"issued":{"date-parts":[["2017",11,27]]}}}],"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[22,23]</w:t>
      </w:r>
      <w:r w:rsidRPr="00ED5246">
        <w:rPr>
          <w:rFonts w:ascii="Times New Roman" w:hAnsi="Times New Roman" w:cs="Times New Roman"/>
        </w:rPr>
        <w:fldChar w:fldCharType="end"/>
      </w:r>
      <w:r w:rsidRPr="00ED5246">
        <w:rPr>
          <w:rFonts w:ascii="Times New Roman" w:hAnsi="Times New Roman" w:cs="Times New Roman"/>
        </w:rPr>
        <w:t>. Gender also emerged as a significant determinant</w:t>
      </w:r>
      <w:r>
        <w:rPr>
          <w:rFonts w:ascii="Times New Roman" w:hAnsi="Times New Roman" w:cs="Times New Roman"/>
        </w:rPr>
        <w:t>.</w:t>
      </w:r>
      <w:r w:rsidRPr="00ED5246">
        <w:rPr>
          <w:rFonts w:ascii="Times New Roman" w:hAnsi="Times New Roman" w:cs="Times New Roman"/>
        </w:rPr>
        <w:t xml:space="preserve"> </w:t>
      </w:r>
      <w:r>
        <w:rPr>
          <w:rFonts w:ascii="Times New Roman" w:hAnsi="Times New Roman" w:cs="Times New Roman"/>
        </w:rPr>
        <w:t>F</w:t>
      </w:r>
      <w:r w:rsidRPr="00ED5246">
        <w:rPr>
          <w:rFonts w:ascii="Times New Roman" w:hAnsi="Times New Roman" w:cs="Times New Roman"/>
        </w:rPr>
        <w:t xml:space="preserve">emale gender was associated with a </w:t>
      </w:r>
      <w:r w:rsidRPr="00ED5246">
        <w:rPr>
          <w:rFonts w:ascii="Times New Roman" w:eastAsia="Aptos" w:hAnsi="Times New Roman" w:cs="Times New Roman"/>
        </w:rPr>
        <w:t>greater</w:t>
      </w:r>
      <w:r w:rsidRPr="00ED5246">
        <w:rPr>
          <w:rFonts w:ascii="Times New Roman" w:hAnsi="Times New Roman" w:cs="Times New Roman"/>
        </w:rPr>
        <w:t xml:space="preserve"> likelihood of LTC transitions in </w:t>
      </w:r>
      <w:r>
        <w:rPr>
          <w:rFonts w:ascii="Times New Roman" w:hAnsi="Times New Roman" w:cs="Times New Roman"/>
        </w:rPr>
        <w:t xml:space="preserve">eight </w:t>
      </w:r>
      <w:r w:rsidRPr="00ED5246">
        <w:rPr>
          <w:rFonts w:ascii="Times New Roman" w:hAnsi="Times New Roman" w:cs="Times New Roman"/>
        </w:rPr>
        <w:t>quantitative studies (n=</w:t>
      </w:r>
      <w:r>
        <w:rPr>
          <w:rFonts w:ascii="Times New Roman" w:hAnsi="Times New Roman" w:cs="Times New Roman"/>
        </w:rPr>
        <w:t>8</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i6zxaSJk","properties":{"formattedCitation":"[1,3,8,10,13,21,24,25]","plainCitation":"[1,3,8,10,13,21,24,25]","noteIndex":0},"citationItems":[{"id":67839,"uris":["http://zotero.org/groups/5108666/items/UNDAPQBL"],"itemData":{"id":67839,"type":"article-journal","abstract":"We examine the relationship between long-term care supply (care home beds and prices) and (i) the probability of being discharged to a care home and (ii) length of stay in hospital for patients admitted to hospital for hip fracture or stroke. Using patient level data from all English hospitals and allowing for a rich set of demographic and clinical factors, we find no association between discharge destination and long-term care beds supply or prices. We do, however, find evidence of bed blocking: hospital length of stay for hip fracture patients discharged to a care home is shorter in areas with more long-term care beds and lower prices. Length of stay is over 30% shorter in areas in the highest quintile of care home beds supply compared to those in the lowest quintile.","container-title":"International Journal of Health Economics and Management","DOI":"10.1007/s10754-017-9214-z","ISSN":"2199-9031","issue":"3","journalAbbreviation":"Int J Health Econ Manag","language":"eng","note":"PMID: 28247174\nPMCID: PMC5703024","page":"311-331","source":"PubMed","title":"Long-term care provision, hospital bed blocking, and discharge destination for hip fracture and stroke patients","volume":"17","author":[{"family":"Gaughan","given":"James"},{"family":"Gravelle","given":"Hugh"},{"family":"Santos","given":"Rita"},{"family":"Siciliani","given":"Luigi"}],"issued":{"date-parts":[["2017",2,28]]}}},{"id":67933,"uris":["http://zotero.org/groups/5108666/items/G4RZ8PSG"],"itemData":{"id":67933,"type":"article-journal","abstract":"INTRODUCTION: The Quality and Outcomes Framework, or QOF, rewards primary care doctors (GPs) in the UK for providing certain types of care. Since 2006, GPs have been paid to identify patients with dementia and to conduct an annual review of their mental and physical health. During the review, the GP also assesses the carer's support needs, including impact of caring, and ensures that services are co-ordinated across care settings. In principle, this type of care should reduce the risk of admission to long-term residential care directly from an acute hospital ward, a phenomenon considered to be indicative of poor quality care. However, this potential effect has not previously been tested.\nMETHODS: Using English data from 2006/07 to 2010/11, we ran multilevel logit models to assess the impact of the QOF review on the risk of care home placement following emergency admission to acute hospital. Emergency admissions were defined for (a) people with a primary diagnosis of dementia and (b) people with dementia admitted for treatment of an ambulatory care sensitive condition. We adjusted for a wide range of potential confounding factors.\nRESULTS: Over the study period, 19% of individuals admitted to hospital with a primary diagnosis of dementia (N = 31,120) were discharged to a care home; of those admitted for an ambulatory care sensitive condition (N = 139,267), the corresponding figure was 14%. Risk factors for subsequent care home placement included older age, female gender, vascular dementia, incontinence, fall, hip fracture, and number of comorbidities. Better performance on the QOF review was associated with a lower risk of care home placement but only when the admission was for an ambulatory care sensitive condition.\nCONCLUSIONS: The QOF dementia review may help to reduce the risk of long-term care home placement following acute hospital admission.","container-title":"PloS One","DOI":"10.1371/journal.pone.0155850","ISSN":"1932-6203","issue":"5","journalAbbreviation":"PLoS One","language":"eng","note":"PMID: 27227403\nPMCID: PMC4882036","page":"e0155850","source":"PubMed","title":"Risk of Care Home Placement following Acute Hospital Admission: Effects of a Pay-for-Performance Scheme for Dementia","title-short":"Risk of Care Home Placement following Acute Hospital Admission","volume":"11","author":[{"family":"Kasteridis","given":"Panagiotis"},{"family":"Mason","given":"Anne"},{"family":"Goddard","given":"Maria"},{"family":"Jacobs","given":"Rowena"},{"family":"Santos","given":"Rita"},{"family":"Rodriguez-Sanchez","given":"Beatriz"},{"family":"McGonigal","given":"Gerard"}],"issued":{"date-parts":[["2016"]]}}},{"id":38712,"uris":["http://zotero.org/groups/5108666/items/7R6D6SB7","http://zotero.org/groups/5108666/items/3PLZ8G9F"],"itemData":{"id":38712,"type":"article-journal","abstract":"Introduction: The demand for total knee arthroplasty (TKA) continues to challenge hospital financial resources. Hospitals have countered this economic demand by reducing patient length of stay (LoS), thus requiring a higher utilization of extended care facilities (ECF) and home with home health care (HHC). With an increase in the number of insured low-income families following the Affordable Care Act (ACA), TKA patients' demographics are anticipated to change. Both trends have significant economic implications, and predicting the discharge destinations of TKA patients would help plan for future health expenditures. The purpose of this study was to determine which variables are significant in predicting discharge destinations of patients treated with TKA. Method(s): We utilized the California Hospital Discharge data set of the year 2010. For each hospitalization, the data set includes information about patient demographics (age, gender, race, and ethnicity), insurance type, diagnoses and procedures, and patient disposition. Discharge to home was the reference category. Discharges to a skilled nursing home and discharge to home with home care were the 2 additional alternatives. Independent variables included the Charlson comorbidity index, payer category (private, Medicare, Medical, and other), race, ethnicity, age, and gender. Result(s): Over 28 611 TKAs were reviewed with 45.9% discharged to HHC, 29.9% going to ECF, and 24.2% going home without home health care. Race, age, insurance, and morbidity proved to be highly significant factors influencing patient discharge destination (P &lt;.001). Medicare coverage relative to private payers was a strong predictor for discharge destination (relative risk ratio (RRR) 1.69, P &lt;.001). The strongest predictors were black and Asian races relative to whites (RRR 1.54, P &lt;.01). Male gender was the only factor that lowered the risk of discharge to a nursing home (RRR 0.43, P &lt;.001). Conclusion(s): This study provides insight on which patient characteristics influence discharge destination after TKA. Race, age, insurance, and morbidity were highly significant (P &lt;.001) factors on patient discharge destination.Copyright © 2016, © The Author(s) 2016.","archive":"Embase","container-title":"Geriatric Orthopaedic Surgery and Rehabilitation","DOI":"10.1177/2151458516645635","ISSN":"2151-4585","issue":"2","journalAbbreviation":"Geriatr. Orthop. Surg. Rehabit.","language":"English","page":"95-99","title":"Factors Influencing Discharge Destination After Total Knee Arthroplasty: A Database Analysis","volume":"7","author":[{"literal":"Schwarzkopf R."},{"literal":"Ho J."},{"literal":"Quinn J.R."},{"literal":"Snir N."},{"literal":"Mukamel D."}],"issued":{"date-parts":[["2016"]]}}},{"id":37590,"uris":["http://zotero.org/groups/5108666/items/RNYD7TU4"],"itemData":{"id":37590,"type":"article-journal","abstract":"Background Patients undergoing transcatheter aortic valve replacement (TAVR) are likely to be discharged to a location other than home. We aimed to determine the association between preoperative risk factors and non-home discharge after TAVR. Methods Patients discharged alive after TAVR at three centers were identified from a prospectively maintained database randomly divided into 80% derivation and 20% validation cohorts. Logistic regression models were fit to identify preoperative factors associated with non-home discharge in the derivation cohort. Multivariable models were developed and a nomogram based risk-scoring system was developed for use in preoperative counseling. Results Between June 2012 and December 2018, a total of 1,163 patients had TAVR at three centers. Thirty-seven patients who died before discharge were excluded. Of the remaining 1,126 patients (97%) who were discharged alive, the incidence of non-home discharge was 25.6% (n = 289). The patient population was randomly divided into the 80% (n = 900) derivation cohort and 20% (n = 226) validation cohort. Mean +/- SD age of the study population was 83 +/- 8 years. In multivariable analysis, factors that were significantly associated with non-home discharge were extreme age, female sex, higher STS scores, use of general anesthesia, elective procedures, chronic liver disease, non-transfemoral approach and postoperative complications. The unbiased estimate of the C-index was 0.81 and the model had excellent calibration. Conclusions One out of every four patients undergoing TAVR is discharged to a location other than home. Identification of preoperative factors associated with non-home discharge can assist patient counseling and postoperative disposition planning.Copyright © 2020 JGC All rights reserved; www.jgc301.com","archive":"Embase","container-title":"Journal of Geriatric Cardiology","DOI":"10.11909/j.issn.1671-5411.2020.10.002","ISSN":"1671-5411","issue":"10","journalAbbreviation":"J. Geriatr. Cardiol.","language":"English","page":"621-627","title":"Risk scoring model for prediction of non-home discharge after transcatheter aortic valve replacement","volume":"17","author":[{"literal":"Okoh A.K."},{"literal":"Ozturk E."},{"literal":"Gold J."},{"literal":"Siddiqui E."},{"literal":"Dhaduk N."},{"literal":"Haik B."},{"literal":"Chen C.-G."},{"literal":"Cohen M."},{"literal":"Russo M.J."}],"issued":{"date-parts":[["2020"]]}}},{"id":42053,"uris":["http://zotero.org/groups/5108666/items/ZSL94DSH"],"itemData":{"id":42053,"type":"article-journal","abstract":"OBJECTIVE: To determine the proportion of patients surviving their cardiac surgery who experienced non-home discharge (NHD) over a 16-year period in  Australia and New Zealand (ANZ). DESIGN: Retrospective, multicentre,  cross-sectional study over the time period 01 January 2004 to 31 December 2019.  SETTING: Adult patients who underwent cardiac surgery from the Australia New  Zealand Intensive Care Society Adult Patient Database (APD). PARTICIPANTS: Adult  patients (age 18 and above) who underwent index coronary artery bypass grafting,  cardiac valve surgery or combined valve/coronary surgery. EXPOSURE: The primary  exposure variable was the calendar year during the which the index surgery was  performed. OUTCOME: The primary outcome was NHD after the index surgery. NHD  included discharge to locations such as nursing home, chronic care facility,  rehabilitation and palliative care. RESULTS: We analysed 252 924 index cardiac  surgical admissions from 101 discrete sites with a median age of 68 years (IQR  60-76), of which 74.2% (187 662 out of 252 920) were males. Of these, 4302 (1.7%)  patients died in hospital and 213 011 (84.2%) were discharged home, 18 010 (7.1%)  were transferred to another hospital and 17 601 (7%) experienced NHD. In  Australia, 14 457 (6.4%) of patients progressed to NHD, compared with 3144  (11.7%) in New Zealand. The rate of NHD increased significantly over time  (adjusted OR per year=1.06, 95% CI, 1.06 to 1.07, p&lt;0.001). Increasing age,  female sex, non-elective surgery, surgery type and Acute Physiology and Chronic  Health Evaluation III Score were all associated with significant increase in NHD.  CONCLUSIONS: There was significant increase in NHD after cardiac surgery over  time in ANZ. This has significant clinical relevance for informed consent  discussions between healthcare providers and patients, and for healthcare  services planning.","container-title":"BMJ open","DOI":"10.1136/bmjopen-2021-049187","ISSN":"2044-6055","issue":"12","journalAbbreviation":"BMJ Open","language":"eng","page":"e049187","title":"Non-home discharge after cardiac surgery in Australia and New Zealand: a cross-sectional study.","volume":"11","author":[{"family":"Ramanan","given":"Mahesh"},{"family":"Kumar","given":"Aashish"},{"family":"Anstey","given":"Chris"},{"family":"Shekar","given":"Kiran"}],"issued":{"date-parts":[["2021",12,23]]}}},{"id":69676,"uris":["http://zotero.org/users/7655466/items/E4GGHKZW"],"itemData":{"id":69676,"type":"article-journal","abstract":"The increase in the proportion of elderly people in developed societies has several consequences, such as the rise in demand for long-term care (LTC). Due to cost, inequalities may arise and punish low-income households. Our objective is to examine socioeconomic inequalities in LTC utilization in Europe. We use the last wave from the Survey of Health, Aging, and Retirement in Europe SHARE (Munich Center for the Economics of Ageing, Munich, Germany), dated 2017, to analyze the impact of socioeconomic status (SES) on LTC. For this purpose, we construct logistic models and control for socioeconomic/household characteristics, health status, and region. Then, concentration indices are calculated to assess the distribution of LTC. Moreover, we also analyze horizontal inequity by using the indirect need-standardization process. We use two measures of SES (household net total income and household net wealth) to obtain robust results. Our findings demonstrate that informal care is concentrated among low-SES households, whereas formal care is concentrated in high-SES households. The results for horizontal concentration indices show a pro-rich distribution in both formal and informal LTC. We add new empirical evidence by showing the dawning of deep social inequalities in LTC utilization. Policymakers should implement policies focused on people who need care to tackle socioeconomic inequalities in LTC.","container-title":"International Journal of Environmental Research and Public Health","DOI":"10.3390/ijerph18010020","ISSN":"1660-4601","issue":"1","journalAbbreviation":"Int J Environ Res Public Health","language":"eng","note":"PMID: 33375147\nPMCID: PMC7792951","page":"20","source":"PubMed","title":"Socioeconomic Inequality in the Use of Long-Term Care among European Older Adults: An Empirical Approach Using the SHARE Survey","title-short":"Socioeconomic Inequality in the Use of Long-Term Care among European Older Adults","volume":"18","author":[{"family":"Lera","given":"Javier"},{"family":"Pascual-Sáez","given":"Marta"},{"family":"Cantarero-Prieto","given":"David"}],"issued":{"date-parts":[["2020",12,22]]}}},{"id":8035,"uris":["http://zotero.org/users/7655466/items/CPY7XGIE"],"itemData":{"id":8035,"type":"article-journal","archive":"Scopus","container-title":"Archives of Gerontology and Geriatrics","DOI":"10.1016/j.archger.2017.05.012","ISSN":"01674943 (ISSN)","note":"publisher: Elsevier Ireland Ltd","page":"59-66","title":"Risk factors associated with residential aged care, respite and transitional aged care admission for older people following an injury-related hospitalisation","volume":"72","author":[{"family":"Mitchell","given":"R."},{"family":"Harvey","given":"L."},{"family":"Draper","given":"B."},{"family":"Brodaty","given":"H."},{"family":"Close","given":"J."}],"issued":{"date-parts":[["2017"]]}}},{"id":69671,"uris":["http://zotero.org/users/7655466/items/9UXVR3EU"],"itemData":{"id":69671,"type":"article-journal","abstract":"A systematic screening of patients with a need for post-acute care is a helpful support for interprofessional discharge planning teams. We aimed to...","container-title":"International Journal of Health Professions","DOI":"10.2478/ijhp-2022-0005","issue":"1","language":"en","page":"59-66","source":"sciendo.com","title":"Sciendo","volume":"9","author":[{"family":"Conca","given":"Antoinette"},{"family":"Koch","given":"Daniel"},{"family":"Regez","given":"Katharina"},{"family":"Kutz","given":"Alexander"},{"family":"Haubitz","given":"Sebastian"},{"family":"Schuetz","given":"Philipp"},{"family":"Mueller","given":"Beat"},{"family":"Schindler","given":"Christian"},{"family":"Spirig","given":"Rebecca"},{"family":"Petry","given":"Heidi"}],"issued":{"date-parts":[["2022",7,12]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[1,3,8,10,13,21,24,25]</w:t>
      </w:r>
      <w:r w:rsidRPr="00ED5246">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and </w:t>
      </w:r>
      <w:r>
        <w:rPr>
          <w:rFonts w:ascii="Times New Roman" w:hAnsi="Times New Roman" w:cs="Times New Roman"/>
        </w:rPr>
        <w:t xml:space="preserve">three </w:t>
      </w:r>
      <w:r w:rsidRPr="00ED5246">
        <w:rPr>
          <w:rFonts w:ascii="Times New Roman" w:hAnsi="Times New Roman" w:cs="Times New Roman"/>
        </w:rPr>
        <w:t xml:space="preserve">systematic reviews (n=3)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1fnkuyKZ","properties":{"formattedCitation":"[20,22,26]","plainCitation":"[20,22,26]","noteIndex":0},"citationItems":[{"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id":41315,"uris":["http://zotero.org/groups/5108666/items/Y8SIINXU"],"itemData":{"id":41315,"type":"article-journal","abstract":"Background: moving into long-term institutional care is a significant life event for any individual. Predictors of institutional care admission from community-dwellers and people with dementia have been described, but those from the acute hospital setting have not been systematically reviewed. Our aim was to establish predictive factors for discharge to institutional care following acute hospitalisation., Methods: we registered and conducted a systematic review (PROSPERO: CRD42015023497). We searched MEDLINE; EMBASE and CINAHL Plus in September 2015. We included observational studies of patients admitted directly to long-term institutional care following acute hospitalisation where factors associated with institutionalisation were reported., Results: from 9,176 records, we included 23 studies (n = 354,985 participants). Studies were heterogeneous, with the proportions discharged to a care home 3-77% (median 15%). Eleven studies (n = 12,642), of moderate to low quality, were included in the quantitative synthesis. The need for institutional long-term care was associated with age (pooled odds ratio (OR) 1.02, 95% confidence intervals (CI): 1.00-1.04), female sex (pooled OR 1.41, 95% CI: 1.03-1.92), dementia (pooled OR 2.14, 95% CI: 1.24-3.70) and functional dependency (pooled OR 2.06, 95% CI: 1.58-2.69)., Conclusions: discharge to long-term institutional care following acute hospitalisation is common, but current data do not allow prediction of who will make this transition. Potentially important predictors evaluated in community cohorts have not been examined in hospitalised cohorts. Understanding these predictors could help identify individuals at risk early in their admission, and support them in this transition or potentially intervene to reduce their risk. Copyright © The Author 2017. Published by Oxford University Press on behalf of the British Geriatrics Society.","archive":"Ovid MEDLINE(R) &lt;2017&gt;","container-title":"Age and ageing","DOI":"10.1093/ageing/afx047","ISSN":"1468-2834","issue":"4","journalAbbreviation":"Age Ageing","page":"547-558","title":"Predicting discharge to institutional long-term care following acute hospitalisation: a systematic review and meta-analysis.","volume":"46","author":[{"family":"Harrison","given":"Jennifer Kirsty"},{"family":"Walesby","given":"Katherine E"},{"family":"Hamilton","given":"Lorna"},{"family":"Armstrong","given":"Carolyn"},{"family":"Starr","given":"John M"},{"family":"Reynish","given":"Emma L"},{"family":"MacLullich","given":"Alasdair M J"},{"family":"Quinn","given":"Terry J"},{"family":"Shenkin","given":"Susan D"}],"issued":{"date-parts":[["2017"]]}}}],"schema":"https://github.com/citation-style-language/schema/raw/master/csl-citation.json"}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[20,22,26]</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 xml:space="preserve">However, one quantitative study reported that males are more likely to transition to LTC (n=1) </w:t>
      </w:r>
      <w:r>
        <w:rPr>
          <w:rFonts w:ascii="Times New Roman" w:hAnsi="Times New Roman" w:cs="Times New Roman"/>
        </w:rPr>
        <w:fldChar w:fldCharType="begin"/>
      </w:r>
      <w:r>
        <w:rPr>
          <w:rFonts w:ascii="Times New Roman" w:hAnsi="Times New Roman" w:cs="Times New Roman"/>
        </w:rPr>
        <w:instrText xml:space="preserve"> ADDIN ZOTERO_ITEM CSL_CITATION {"citationID":"W7wRJ0Vg","properties":{"formattedCitation":"[27]","plainCitation":"[27]","noteIndex":0},"citationItems":[{"id":81818,"uris":["http://zotero.org/users/7655466/items/PR7FQ73U"],"itemData":{"id":81818,"type":"article-journal","abstract":"INTRODUCTION: Vision impairment (VI) due to low vision or blindness is a major sensory health problem affecting quality of life and contributing to increased risk of falls and hip fractures (HF). Up to 60% of patients with hip fracture have VI, and VI increases further susceptibility to falls due to mobility challenges after HF. We sought to determine if VI affects discharge destination for patients with HF.\nMATERIALS AND METHODS: Cross-sectional analysis of 2015 Inpatient Medicare claims was performed and VI, blindness/low vision), HF and HF surgery were identified using ICD-9, and ICD-10 codes. Patients who sustained a HF with a diagnosis of VI were categorized as HF + VI. The outcome measure was discharge destination of home, skilled nursing facility (SNF), long-term care facility (LTCF) or other.\nRESULTS: During the one-year ascertainment of inpatient claims, there were 10,336 total HF patients, 66.82% female, 91.21% non-Hispanic white with mean (standard deviation) age 82.3 (8.2) years. There was an age-related increase in diagnosis of VI with 1.49% (29/1941) of patients aged 65-74, 1.76% (63/3574) of patients aged 75-84, and 2.07% (100/4821) of patients aged 85 and older. The prevalence of VI increased with age, representing 1.5% (29/1941) of adults aged 65-74, 1.8% (63/3574) of adults aged 75-84, and 2.1% (100/4821) of adults aged 85 and older. The age-related increase in VI was not significant (P = 0.235). Patients with HF were most commonly discharged to a SNF (64.46%), followed by 'Other' (25.70%), home (7.15%), and LTCF (2.67%). VI was not associated with discharge destination. Male gender, Black race, systemic complications, and late postoperative discharge significantly predicted discharge to LTCF with odds ratios (95%CI) 1.42 (1.07-1.89), 1.90 (1.13-3.18), 2.27 (1.66-3.10), and 1.73 (1.25-2.39) respectively.\nCONCLUSIONS: The co-morbid presence of VI was not associated with altered discharge destinations to home, skilled nursing facility, LTCF or other setting.","container-title":"Journal of Clinical Orthopaedics and Trauma","DOI":"10.1016/j.jcot.2024.102377","ISSN":"0976-5662","journalAbbreviation":"J Clin Orthop Trauma","language":"eng","note":"PMID: 38495681\nPMCID: PMC10937224","page":"102377","source":"PubMed","title":"Impact of vision impairment on discharge destination for patients with hip fracture","volume":"50","author":[{"family":"Tollette","given":"Jacarri"},{"family":"Heh","given":"Victor"},{"family":"Wiseman","given":"Jessica M."},{"family":"Quatman-Yates","given":"Catherine C."},{"family":"Moroi","given":"Sayoko"},{"family":"Quatman","given":"Carmen E."}],"issued":{"date-parts":[["2024",3]]}}}],"schema":"https://github.com/citation-style-language/schema/raw/master/csl-citation.json"} </w:instrText>
      </w:r>
      <w:r>
        <w:rPr>
          <w:rFonts w:ascii="Times New Roman" w:hAnsi="Times New Roman" w:cs="Times New Roman"/>
        </w:rPr>
        <w:fldChar w:fldCharType="separate"/>
      </w:r>
      <w:r w:rsidRPr="00620C46">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Living arrangements were also critical; </w:t>
      </w:r>
      <w:r w:rsidRPr="00ED5246">
        <w:rPr>
          <w:rFonts w:ascii="Times New Roman" w:eastAsia="Aptos" w:hAnsi="Times New Roman" w:cs="Times New Roman"/>
        </w:rPr>
        <w:t>individuals</w:t>
      </w:r>
      <w:r w:rsidRPr="00ED5246">
        <w:rPr>
          <w:rFonts w:ascii="Times New Roman" w:hAnsi="Times New Roman" w:cs="Times New Roman"/>
        </w:rPr>
        <w:t xml:space="preserve"> living alone (n=7)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RxuGnC3x","properties":{"formattedCitation":"[16,17,19,28\\uc0\\u8211{}31]","plainCitation":"[16,17,19,28–31]","noteIndex":0},"citationItems":[{"id":1415,"uris":["http://zotero.org/users/local/LM1vrYZg/items/XCTDBSK7","http://zotero.org/users/7655466/items/XCTDBSK7"],"itemData":{"id":1415,"type":"report","title":"Seniors in Transition - Exploring Pathways Across the Care Continuum","URL":"https://www.cihi.ca/sites/default/files/document/seniors-in-transition-report-2017-en.pdf","author":[{"literal":"Canadian Institute for Health Information,"}],"accessed":{"date-parts":[["2022",12,9]]},"issued":{"date-parts":[["2017"]]}}},{"id":41933,"uris":["http://zotero.org/groups/5108666/items/PI2ZRFRF"],"itemData":{"id":41933,"type":"article-journal","abstract":"OBJECTIVES: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L"}],"issued":{"date-parts":[["2015"]]}}},{"id":67837,"uris":["http://zotero.org/groups/5108666/items/772946KW"],"itemData":{"id":67837,"type":"article-journal","abstract":"INTRODUCTION: Sustaining a hip fracture is a life changing event for many elderlies. While doctors and researchers tend to be preoccupied with mortality and complication rates, patients are more concerned by other aspects e.g. loss of independence and ability to remain in their own home. This study aimed to i) determine age-stratified one-year event rates of admission to nursing home after discharge, and ii) identify risk factors associated with nursing home admission.\nMETHODS: Community dwelling patients aged 60-100 years undergoing their first hip fracture surgery in 2005 - 2015 were identified in nationwide administrative registries. Outcome was admission to nursing home within one year of discharge. To assess risk factors, we performed age-stratified cumulative incidence curves and multivariate cause specific cox regression models adjusted for age, sex, social factors, and comorbidities.\nRESULTS: A total of 53,157 patients were included. One-year risk increased with advancing age from 3.2% of patients aged 60 to 69, up to 22.4% in the eldest group aged 90-100 years. Living alone and dementia were strong risk factors HR 9.22 [95% CI 5.60-15.18, p = &lt;0.0001] and HR 6.73 [95% CI 4.80- 9.44, p = 0.0001] respectively for patients aged 60 to 69 years, the effect decreased with higher age down to HR 2.75 [95% CI 2.12- 3.57, p = &lt;0.0001] and HR 2.15 [95% CI 1.88- 2.46, p = &lt;0.0001] for patients ≥ 90 years. Other important risk factors were pre-injury home care, Parkinson's disease and depression. Surprisingly, physical comorbidities i.e. kidney disease, chronic obstructive pulmonary disease, diabetes and cancer did not increase the risk of nursing home admission.\nCONCLUSION: Future initiatives aimed to reduce loss of independence and nursing home admission, among patients with first time hip fracture, should devote attention to living settings and cognitive impairment rather than physical comorbidity.","container-title":"Injury","DOI":"10.1016/j.injury.2020.06.041","ISSN":"1879-0267","issue":"10","journalAbbreviation":"Injury","language":"eng","note":"PMID: 32622625","page":"2289-2294","source":"PubMed","title":"Living settings and cognitive impairment are stronger predictors of nursing home admission after hip fracture surgery than physical comorbidities A nationwide Danish cohort study","volume":"51","author":[{"family":"Wahlsten","given":"Liv Riisager"},{"family":"Smedegaard","given":"Lærke"},{"family":"Brorson","given":"Stig"},{"family":"Gislason","given":"Gunnar"},{"family":"Palm","given":"Henrik"}],"issued":{"date-parts":[["2020",10]]}}},{"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H."}],"issued":{"date-parts":[["2023",12]]}}},{"id":36534,"uris":["http://zotero.org/groups/5108666/items/GK9WYFZW"],"itemData":{"id":36534,"type":"article-journal","abstract":"Objective: To identify older adults who could benefit from integrated care, we examined (a) health, social, and functional characteristics of older, hospitalized adults who required continuing care on discharge and (b) associations between these characteristics and potentially unnecessary health care use. Method: Personal characteristics were extracted from patient charts (N = 214) and examined in relation to three outcomes: discharge to institutional care, unnecessary hospital stay (alternative level of care), and long hospital stay. Results: Twenty-nine percent of the sample was discharged to an institution, 32.7% was coded as alternate level of care, and 27.6% had a long length of stay. Independent predictors of potentially avoidable health care use were mental and behavioral issues, living alone, functional status, and preadmission concerns about the patient managing in the community. Discussion: High users of health care services were identifiable prior to hospital admission, supporting the use of community-based integrated care approaches.","archive":"cin20","container-title":"Journal of Aging &amp; Health","DOI":"10.1177/0898264318759856","ISSN":"0898-2643","issue":"7","journalAbbreviation":"Journal of Aging &amp; Health","page":"1085-1105","source":"EBSCOhost","title":"Health, Social, and Functional Characteristics of Older Adults With Continuing Care Needs: Implications for Integrated Care.","volume":"31","author":[{"family":"Brown","given":"Cara L."},{"family":"Menec","given":"Verena"}],"issued":{"date-parts":[["2019",8]]}}},{"id":4913,"uris":["http://zotero.org/users/7655466/items/NKEDP6UA"],"itemData":{"id":4913,"type":"article-journal","archive":"Scopus","container-title":"Aging Clinical and Experimental Research","DOI":"10.1007/s40520-019-01310-7","ISSN":"15940667 (ISSN)","issue":"7","note":"publisher: Springer","page":"1271-1277","title":"Previous in-home physiotherapy prevents institutionalization after short-term hospitalization in community-dwelling older dependent people","volume":"32","author":[{"family":"Sebban","given":"A."},{"family":"Lesclide","given":"E."},{"family":"Bonin-Guillaume","given":"S."},{"family":"Campana","given":"M."},{"family":"Grino","given":"M."},{"family":"Franqui","given":"C."}],"issued":{"date-parts":[["2020"]]}}},{"id":50901,"uris":["http://zotero.org/groups/5108666/items/DUTVJJMA"],"itemData":{"id":50901,"type":"article-journal","archive":"Scopus","container-title":"Psychogeriatrics","DOI":"10.1111/psyg.12114","issue":"4","page":"248-254","title":"Predictors of home discharge among patients hospitalized for behavioural and psychological symptoms of dementia","volume":"15","author":[{"family":"Tochimoto","given":"S."},{"family":"Kitamura","given":"M."},{"family":"Hino","given":"S."},{"family":"Kitamura","given":"T."}],"issued":{"date-parts":[["2015"]]}}}],"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[16,17,19,28–31]</w:t>
      </w:r>
      <w:r w:rsidRPr="00ED5246">
        <w:rPr>
          <w:rFonts w:ascii="Times New Roman" w:hAnsi="Times New Roman" w:cs="Times New Roman"/>
        </w:rPr>
        <w:fldChar w:fldCharType="end"/>
      </w:r>
      <w:r w:rsidRPr="00ED5246">
        <w:rPr>
          <w:rFonts w:ascii="Times New Roman" w:hAnsi="Times New Roman" w:cs="Times New Roman"/>
        </w:rPr>
        <w:t xml:space="preserve"> were more likely to transition to LTC, with mixed methods research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{"citationID":"M3qm1pYQ","properties":{"formattedCitation":"[32]","plainCitation":"[32]","noteIndex":0},"citationItems":[{"id":40812,"uris":["http://zotero.org/groups/5108666/items/9ZLN6XB2"],"itemData":{"id":40812,"type":"article-journal","abstract":"ABSTRACTWe aimed to understand clinical decision-making processes that influence the orientation of older patients after hospital discharge. We compared discharge decisions (i.e., discharge home, or nursing home stay) of the hospital team with those of an expert panel. Both panel and hospital team made their decisions independently. The blind study included 102 patients (mean age: 83.13 +/- 6.74). There is a statistically significant difference between expert and hospital team decisions (p &lt; .001; kappa coefficient: 0.468). Panel decisions were more closely associated with isolation (p = .018), reliable caregivers (p = .004), social problems (p = .001), and behavioural symptoms perceived as aggressive (p = .001). Both decision processes considered refusal of care (p = 0,025 and 0.016 respectively) and social problems (p = .001 and &lt; 0.001 respectively). Discharge planning models differ depending on the country, team and patient's condition. Our study suggests more precise evaluation of patients' needs.","archive":"Ovid MEDLINE(R) &lt;2019&gt;","container-title":"Canadian journal on aging = La revue canadienne du vieillissement","DOI":"10.1017/S0714980818000442","ISSN":"1710-1107","issue":"1","journalAbbreviation":"Can J Aging","page":"90-99","title":"Hospital Discharge Decisions Concerning Older Patients: Understanding the Underlying Process.","volume":"38","author":[{"family":"Koskas","given":"Pierre"},{"family":"Pons-Peyneau","given":"Cecile"},{"family":"Romdhani","given":"Mouna"},{"family":"Houenou-Quenum","given":"Nadege"},{"family":"Galleron","given":"Sandrine"},{"family":"Drunat","given":"Olivier"}],"issued":{"date-parts":[["2019"]]}}}],"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[32]</w:t>
      </w:r>
      <w:r w:rsidRPr="00ED5246">
        <w:rPr>
          <w:rFonts w:ascii="Times New Roman" w:hAnsi="Times New Roman" w:cs="Times New Roman"/>
        </w:rPr>
        <w:fldChar w:fldCharType="end"/>
      </w:r>
      <w:r w:rsidRPr="00ED5246">
        <w:rPr>
          <w:rFonts w:ascii="Times New Roman" w:hAnsi="Times New Roman" w:cs="Times New Roman"/>
        </w:rPr>
        <w:t xml:space="preserve"> emphasizing social isolation as a contributing factor. Similarly, marital status played a role, with studies (n=6)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3BRIMz2n","properties":{"formattedCitation":"[12,16,19,21,22,24]","plainCitation":"[12,16,19,21,22,24]","noteIndex":0},"citationItems":[{"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id":8035,"uris":["http://zotero.org/users/7655466/items/CPY7XGIE"],"itemData":{"id":8035,"type":"article-journal","archive":"Scopus","container-title":"Archives of Gerontology and Geriatrics","DOI":"10.1016/j.archger.2017.05.012","ISSN":"01674943 (ISSN)","note":"publisher: Elsevier Ireland Ltd","page":"59-66","title":"Risk factors associated with residential aged care, respite and transitional aged care admission for older people following an injury-related hospitalisation","volume":"72","author":[{"family":"Mitchell","given":"R."},{"family":"Harvey","given":"L."},{"family":"Draper","given":"B."},{"family":"Brodaty","given":"H."},{"family":"Close","given":"J."}],"issued":{"date-parts":[["2017"]]}}},{"id":69676,"uris":["http://zotero.org/users/7655466/items/E4GGHKZW"],"itemData":{"id":69676,"type":"article-journal","abstract":"The increase in the proportion of elderly people in developed societies has several consequences, such as the rise in demand for long-term care (LTC). Due to cost, inequalities may arise and punish low-income households. Our objective is to examine socioeconomic inequalities in LTC utilization in Europe. We use the last wave from the Survey of Health, Aging, and Retirement in Europe SHARE (Munich Center for the Economics of Ageing, Munich, Germany), dated 2017, to analyze the impact of socioeconomic status (SES) on LTC. For this purpose, we construct logistic models and control for socioeconomic/household characteristics, health status, and region. Then, concentration indices are calculated to assess the distribution of LTC. Moreover, we also analyze horizontal inequity by using the indirect need-standardization process. We use two measures of SES (household net total income and household net wealth) to obtain robust results. Our findings demonstrate that informal care is concentrated among low-SES households, whereas formal care is concentrated in high-SES households. The results for horizontal concentration indices show a pro-rich distribution in both formal and informal LTC. We add new empirical evidence by showing the dawning of deep social inequalities in LTC utilization. Policymakers should implement policies focused on people who need care to tackle socioeconomic inequalities in LTC.","container-title":"International Journal of Environmental Research and Public Health","DOI":"10.3390/ijerph18010020","ISSN":"1660-4601","issue":"1","journalAbbreviation":"Int J Environ Res Public Health","language":"eng","note":"PMID: 33375147\nPMCID: PMC7792951","page":"20","source":"PubMed","title":"Socioeconomic Inequality in the Use of Long-Term Care among European Older Adults: An Empirical Approach Using the SHARE Survey","title-short":"Socioeconomic Inequality in the Use of Long-Term Care among European Older Adults","volume":"18","author":[{"family":"Lera","given":"Javier"},{"family":"Pascual-Sáez","given":"Marta"},{"family":"Cantarero-Prieto","given":"David"}],"issued":{"date-parts":[["2020",12,22]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[12,16,19,21,22,24]</w:t>
      </w:r>
      <w:r w:rsidRPr="00ED5246">
        <w:rPr>
          <w:rFonts w:ascii="Times New Roman" w:hAnsi="Times New Roman" w:cs="Times New Roman"/>
        </w:rPr>
        <w:fldChar w:fldCharType="end"/>
      </w:r>
      <w:r w:rsidRPr="00ED5246">
        <w:rPr>
          <w:rFonts w:ascii="Times New Roman" w:hAnsi="Times New Roman" w:cs="Times New Roman"/>
        </w:rPr>
        <w:t xml:space="preserve"> linking unmarried, widowed, or divorced individuals to a higher likelihood of LTC transitions. In contrast, marriage or de facto relationships were identified as protective factors. This association was also confirmed in a systematic review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{"citationID":"mzHoLyWB","properties":{"formattedCitation":"[26]","plainCitation":"[26]","noteIndex":0},"citationItems":[{"id":41315,"uris":["http://zotero.org/groups/5108666/items/Y8SIINXU"],"itemData":{"id":41315,"type":"article-journal","abstract":"Background: moving into long-term institutional care is a significant life event for any individual. Predictors of institutional care admission from community-dwellers and people with dementia have been described, but those from the acute hospital setting have not been systematically reviewed. Our aim was to establish predictive factors for discharge to institutional care following acute hospitalisation., Methods: we registered and conducted a systematic review (PROSPERO: CRD42015023497). We searched MEDLINE; EMBASE and CINAHL Plus in September 2015. We included observational studies of patients admitted directly to long-term institutional care following acute hospitalisation where factors associated with institutionalisation were reported., Results: from 9,176 records, we included 23 studies (n = 354,985 participants). Studies were heterogeneous, with the proportions discharged to a care home 3-77% (median 15%). Eleven studies (n = 12,642), of moderate to low quality, were included in the quantitative synthesis. The need for institutional long-term care was associated with age (pooled odds ratio (OR) 1.02, 95% confidence intervals (CI): 1.00-1.04), female sex (pooled OR 1.41, 95% CI: 1.03-1.92), dementia (pooled OR 2.14, 95% CI: 1.24-3.70) and functional dependency (pooled OR 2.06, 95% CI: 1.58-2.69)., Conclusions: discharge to long-term institutional care following acute hospitalisation is common, but current data do not allow prediction of who will make this transition. Potentially important predictors evaluated in community cohorts have not been examined in hospitalised cohorts. Understanding these predictors could help identify individuals at risk early in their admission, and support them in this transition or potentially intervene to reduce their risk. Copyright © The Author 2017. Published by Oxford University Press on behalf of the British Geriatrics Society.","archive":"Ovid MEDLINE(R) &lt;2017&gt;","container-title":"Age and ageing","DOI":"10.1093/ageing/afx047","ISSN":"1468-2834","issue":"4","journalAbbreviation":"Age Ageing","page":"547-558","title":"Predicting discharge to institutional long-term care following acute hospitalisation: a systematic review and meta-analysis.","volume":"46","author":[{"family":"Harrison","given":"Jennifer Kirsty"},{"family":"Walesby","given":"Katherine E"},{"family":"Hamilton","given":"Lorna"},{"family":"Armstrong","given":"Carolyn"},{"family":"Starr","given":"John M"},{"family":"Reynish","given":"Emma L"},{"family":"MacLullich","given":"Alasdair M J"},{"family":"Quinn","given":"Terry J"},{"family":"Shenkin","given":"Susan D"}],"issued":{"date-parts":[["2017"]]}}}],"schema":"https://github.com/citation-style-language/schema/raw/master/csl-citation.json"}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[26]</w:t>
      </w:r>
      <w:r w:rsidRPr="00ED5246">
        <w:rPr>
          <w:rFonts w:ascii="Times New Roman" w:hAnsi="Times New Roman" w:cs="Times New Roman"/>
        </w:rPr>
        <w:fldChar w:fldCharType="end"/>
      </w:r>
      <w:r w:rsidRPr="00ED5246">
        <w:rPr>
          <w:rFonts w:ascii="Times New Roman" w:hAnsi="Times New Roman" w:cs="Times New Roman"/>
        </w:rPr>
        <w:t>.</w:t>
      </w:r>
    </w:p>
    <w:p w14:paraId="71B737FE" w14:textId="650190F7" w:rsidR="004579D2" w:rsidRPr="00ED5246" w:rsidRDefault="004579D2" w:rsidP="00A04BF9">
      <w:pPr>
        <w:spacing w:after="0" w:line="480" w:lineRule="auto"/>
        <w:jc w:val="both"/>
        <w:rPr>
          <w:rFonts w:ascii="Times New Roman" w:hAnsi="Times New Roman" w:cs="Times New Roman"/>
        </w:rPr>
      </w:pPr>
      <w:bookmarkStart w:id="4" w:name="_Hlk183730860"/>
      <w:r w:rsidRPr="00ED5246">
        <w:rPr>
          <w:rFonts w:ascii="Times New Roman" w:hAnsi="Times New Roman" w:cs="Times New Roman"/>
        </w:rPr>
        <w:t xml:space="preserve">Race and ethnicity showed varied impacts. Black ethnicities were associated with an increased </w:t>
      </w:r>
      <w:r w:rsidRPr="00ED5246">
        <w:rPr>
          <w:rFonts w:ascii="Times New Roman" w:eastAsia="Aptos" w:hAnsi="Times New Roman" w:cs="Times New Roman"/>
        </w:rPr>
        <w:t xml:space="preserve">likelihood of </w:t>
      </w:r>
      <w:r w:rsidRPr="00ED5246">
        <w:rPr>
          <w:rFonts w:ascii="Times New Roman" w:hAnsi="Times New Roman" w:cs="Times New Roman"/>
        </w:rPr>
        <w:t>LTC placement (n=</w:t>
      </w:r>
      <w:r>
        <w:rPr>
          <w:rFonts w:ascii="Times New Roman" w:hAnsi="Times New Roman" w:cs="Times New Roman"/>
        </w:rPr>
        <w:t>3</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YHh1Rv84","properties":{"formattedCitation":"[8,27,33]","plainCitation":"[8,27,33]","noteIndex":0},"citationItems":[{"id":38712,"uris":["http://zotero.org/groups/5108666/items/7R6D6SB7","http://zotero.org/groups/5108666/items/3PLZ8G9F"],"itemData":{"id":38712,"type":"article-journal","abstract":"Introduction: The demand for total knee arthroplasty (TKA) continues to challenge hospital financial resources. Hospitals have countered this economic demand by reducing patient length of stay (LoS), thus requiring a higher utilization of extended care facilities (ECF) and home with home health care (HHC). With an increase in the number of insured low-income families following the Affordable Care Act (ACA), TKA patients' demographics are anticipated to change. Both trends have significant economic implications, and predicting the discharge destinations of TKA patients would help plan for future health expenditures. The purpose of this study was to determine which variables are significant in predicting discharge destinations of patients treated with TKA. Method(s): We utilized the California Hospital Discharge data set of the year 2010. For each hospitalization, the data set includes information about patient demographics (age, gender, race, and ethnicity), insurance type, diagnoses and procedures, and patient disposition. Discharge to home was the reference category. Discharges to a skilled nursing home and discharge to home with home care were the 2 additional alternatives. Independent variables included the Charlson comorbidity index, payer category (private, Medicare, Medical, and other), race, ethnicity, age, and gender. Result(s): Over 28 611 TKAs were reviewed with 45.9% discharged to HHC, 29.9% going to ECF, and 24.2% going home without home health care. Race, age, insurance, and morbidity proved to be highly significant factors influencing patient discharge destination (P &lt;.001). Medicare coverage relative to private payers was a strong predictor for discharge destination (relative risk ratio (RRR) 1.69, P &lt;.001). The strongest predictors were black and Asian races relative to whites (RRR 1.54, P &lt;.01). Male gender was the only factor that lowered the risk of discharge to a nursing home (RRR 0.43, P &lt;.001). Conclusion(s): This study provides insight on which patient characteristics influence discharge destination after TKA. Race, age, insurance, and morbidity were highly significant (P &lt;.001) factors on patient discharge destination.Copyright © 2016, © The Author(s) 2016.","archive":"Embase","container-title":"Geriatric Orthopaedic Surgery and Rehabilitation","DOI":"10.1177/2151458516645635","ISSN":"2151-4585","issue":"2","journalAbbreviation":"Geriatr. Orthop. Surg. Rehabit.","language":"English","page":"95-99","title":"Factors Influencing Discharge Destination After Total Knee Arthroplasty: A Database Analysis","volume":"7","author":[{"literal":"Schwarzkopf R."},{"literal":"Ho J."},{"literal":"Quinn J.R."},{"literal":"Snir N."},{"literal":"Mukamel D."}],"issued":{"date-parts":[["2016"]]}}},{"id":81818,"uris":["http://zotero.org/users/7655466/items/PR7FQ73U"],"itemData":{"id":81818,"type":"article-journal","abstract":"INTRODUCTION: Vision impairment (VI) due to low vision or blindness is a major sensory health problem affecting quality of life and contributing to increased risk of falls and hip fractures (HF). Up to 60% of patients with hip fracture have VI, and VI increases further susceptibility to falls due to mobility challenges after HF. We sought to determine if VI affects discharge destination for patients with HF.\nMATERIALS AND METHODS: Cross-sectional analysis of 2015 Inpatient Medicare claims was performed and VI, blindness/low vision), HF and HF surgery were identified using ICD-9, and ICD-10 codes. Patients who sustained a HF with a diagnosis of VI were categorized as HF + VI. The outcome measure was discharge destination of home, skilled nursing facility (SNF), long-term care facility (LTCF) or other.\nRESULTS: During the one-year ascertainment of inpatient claims, there were 10,336 total HF patients, 66.82% female, 91.21% non-Hispanic white with mean (standard deviation) age 82.3 (8.2) years. There was an age-related increase in diagnosis of VI with 1.49% (29/1941) of patients aged 65-74, 1.76% (63/3574) of patients aged 75-84, and 2.07% (100/4821) of patients aged 85 and older. The prevalence of VI increased with age, representing 1.5% (29/1941) of adults aged 65-74, 1.8% (63/3574) of adults aged 75-84, and 2.1% (100/4821) of adults aged 85 and older. The age-related increase in VI was not significant (P = 0.235). Patients with HF were most commonly discharged to a SNF (64.46%), followed by 'Other' (25.70%), home (7.15%), and LTCF (2.67%). VI was not associated with discharge destination. Male gender, Black race, systemic complications, and late postoperative discharge significantly predicted discharge to LTCF with odds ratios (95%CI) 1.42 (1.07-1.89), 1.90 (1.13-3.18), 2.27 (1.66-3.10), and 1.73 (1.25-2.39) respectively.\nCONCLUSIONS: The co-morbid presence of VI was not associated with altered discharge destinations to home, skilled nursing facility, LTCF or other setting.","container-title":"Journal of Clinical Orthopaedics and Trauma","DOI":"10.1016/j.jcot.2024.102377","ISSN":"0976-5662","journalAbbreviation":"J Clin Orthop Trauma","language":"eng","note":"PMID: 38495681\nPMCID: PMC10937224","page":"102377","source":"PubMed","title":"Impact of vision impairment on discharge destination for patients with hip fracture","volume":"50","author":[{"family":"Tollette","given":"Jacarri"},{"family":"Heh","given":"Victor"},{"family":"Wiseman","given":"Jessica M."},{"family":"Quatman-Yates","given":"Catherine C."},{"family":"Moroi","given":"Sayoko"},{"family":"Quatman","given":"Carmen E."}],"issued":{"date-parts":[["2024",3]]}}},{"id":81820,"uris":["http://zotero.org/users/7655466/items/C9KXWNBV"],"itemData":{"id":81820,"type":"article-journal","abstract":"IMPORTANCE: Long-term nursing home stay or death (long-term NH stay or death), defined as new long-term residence in a nursing home or death following hospital discharge, is an important patient-centered outcome.\nOBJECTIVE: To examine whether the COVID-19 pandemic was associated with changes in long-term NH stay or death among older adults with sepsis, and whether these changes were greater in individuals from racial and ethnic minoritized groups.\nDESIGN, SETTING, AND PARTICIPANTS: This cross-sectional study used patient-level data from the Medicare Provider Analysis and Review File, the Master Beneficiary Summary File, and the Minimum Data Set. Community-dwelling individuals aged at least 65 years hospitalized with sepsis between January 2016 and June 2021 were included. Data were analyzed from May to November 2024.\nEXPOSURE: Race and ethnicity and the COVID-19 pandemic.\nMAIN OUTCOMES AND MEASURES: Patients discharged alive experienced long-term NH stay or death if they resided in a nursing home more than 100 days after hospital discharge and had no period at home greater than 30 days, or died more than 30 days following hospital discharge. Interrupted time series analysis was used to evaluate the association between long-term NH stay or death and the pandemic and race and ethnicity.\nRESULTS: A total of 2 964 517 hospitalizations for sepsis of community-dwelling patients discharged alive (1 468 754 [49.5%] female; 19 549 [0.7%] American Indian or Alaska Native, 95 308 [3.2%] Asian or Pacific Islander, 282 646 [9.5%] Black, 279 011 [9.4%] Hispanic, 2 288 003 [71.2%] White individuals; mean [SD] age, 76 [8.3] years) were included. Compared with non-Hispanic White individuals, Black individuals were more likely to experience long-term NH stay or death (adjusted odds ratio [aOR], 1.33; 95% CI, 1.30-1.37; P &lt; .001), while Asian or Pacific Islander (aOR, 0.79; 95% CI, 0.75-0.83; P &lt; .001), Hispanic (aOR, 0.72; 95% CI, 0.70-0.74; P &lt; .001), and American Indian or Alaska Native (aOR, 0.79; 95% CI, 0.72-0.87; P &lt; .001) individuals were less likely to experience long-term NH stay or death. Long-term NH stay or death declined from 13.5% in the first quarter of 2016 to 6.9% in the first quarter of 2020. After adjustment, long-term NH stay or death decreased each quarter (aOR, 0.958; 95% CI, 0.957-0.959; P &lt; .001) before the pandemic. The pandemic was associated with increased risk of long-term NH stay or death over time (aOR, 1.03; 95% CI, 1.02-1.04; P &lt; .001 [each quarter]) compared with before the pandemic for non-Hispanic White individuals. The pandemic was not associated with differential changes in long-term NH stay or death for minoritized individuals compared with non-Hispanic White individuals.\nCONCLUSIONS AND RELEVANCE: In this cross-sectional study, older adults hospitalized with sepsis experienced an approximately 50% reduction in long-term NH stay or death over a 5-year period before the pandemic. These results suggest that during the pandemic, all individuals, regardless of race and ethnicity, experienced increased long-term NH stay or death compared with before the pandemic.","container-title":"JAMA network open","DOI":"10.1001/jamanetworkopen.2024.56816","ISSN":"2574-3805","issue":"1","journalAbbreviation":"JAMA Netw Open","language":"eng","note":"PMID: 39853973\nPMCID: PMC11762228","page":"e2456816","source":"PubMed","title":"COVID-19 Pandemic and Racial and Ethnic Disparities in Long-Term Nursing Home Stay or Death Following Hospital Discharge","volume":"8","author":[{"family":"Glance","given":"Laurent G."},{"family":"Joynt Maddox","given":"Karen E."},{"family":"Stone","given":"Patricia W."},{"family":"Shang","given":"Jingjing"},{"family":"Furuya","given":"E. Yoko"},{"family":"Chastain","given":"Ashley M."},{"family":"Lee","given":"Ji Won"},{"family":"Morse-Karzen","given":"Bridget"},{"family":"Dick","given":"Andrew W."}],"issued":{"date-parts":[["2025",1,2]]}}}],"schema":"https://github.com/citation-style-language/schema/raw/master/csl-citation.json"}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[8,27,33]</w:t>
      </w:r>
      <w:r w:rsidRPr="00ED5246">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whereas Hispanic ethnicity (n=</w:t>
      </w:r>
      <w:r>
        <w:rPr>
          <w:rFonts w:ascii="Times New Roman" w:hAnsi="Times New Roman" w:cs="Times New Roman"/>
        </w:rPr>
        <w:t>2</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{"citationID":"Xuu4iGO2","properties":{"formattedCitation":"[16,33]","plainCitation":"[16,33]","noteIndex":0},"citationItems":[{"id":41933,"uris":["http://zotero.org/groups/5108666/items/PI2ZRFRF"],"itemData":{"id":41933,"type":"article-journal","abstract":"OBJECTIVES: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L"}],"issued":{"date-parts":[["2015"]]}}},{"id":81820,"uris":["http://zotero.org/users/7655466/items/C9KXWNBV"],"itemData":{"id":81820,"type":"article-journal","abstract":"IMPORTANCE: Long-term nursing home stay or death (long-term NH stay or death), defined as new long-term residence in a nursing home or death following hospital discharge, is an important patient-centered outcome.\nOBJECTIVE: To examine whether the COVID-19 pandemic was associated with changes in long-term NH stay or death among older adults with sepsis, and whether these changes were greater in individuals from racial and ethnic minoritized groups.\nDESIGN, SETTING, AND PARTICIPANTS: This cross-sectional study used patient-level data from the Medicare Provider Analysis and Review File, the Master Beneficiary Summary File, and the Minimum Data Set. Community-dwelling individuals aged at least 65 years hospitalized with sepsis between January 2016 and June 2021 were included. Data were analyzed from May to November 2024.\nEXPOSURE: Race and ethnicity and the COVID-19 pandemic.\nMAIN OUTCOMES AND MEASURES: Patients discharged alive experienced long-term NH stay or death if they resided in a nursing home more than 100 days after hospital discharge and had no period at home greater than 30 days, or died more than 30 days following hospital discharge. Interrupted time series analysis was used to evaluate the association between long-term NH stay or death and the pandemic and race and ethnicity.\nRESULTS: A total of 2 964 517 hospitalizations for sepsis of community-dwelling patients discharged alive (1 468 754 [49.5%] female; 19 549 [0.7%] American Indian or Alaska Native, 95 308 [3.2%] Asian or Pacific Islander, 282 646 [9.5%] Black, 279 011 [9.4%] Hispanic, 2 288 003 [71.2%] White individuals; mean [SD] age, 76 [8.3] years) were included. Compared with non-Hispanic White individuals, Black individuals were more likely to experience long-term NH stay or death (adjusted odds ratio [aOR], 1.33; 95% CI, 1.30-1.37; P &lt; .001), while Asian or Pacific Islander (aOR, 0.79; 95% CI, 0.75-0.83; P &lt; .001), Hispanic (aOR, 0.72; 95% CI, 0.70-0.74; P &lt; .001), and American Indian or Alaska Native (aOR, 0.79; 95% CI, 0.72-0.87; P &lt; .001) individuals were less likely to experience long-term NH stay or death. Long-term NH stay or death declined from 13.5% in the first quarter of 2016 to 6.9% in the first quarter of 2020. After adjustment, long-term NH stay or death decreased each quarter (aOR, 0.958; 95% CI, 0.957-0.959; P &lt; .001) before the pandemic. The pandemic was associated with increased risk of long-term NH stay or death over time (aOR, 1.03; 95% CI, 1.02-1.04; P &lt; .001 [each quarter]) compared with before the pandemic for non-Hispanic White individuals. The pandemic was not associated with differential changes in long-term NH stay or death for minoritized individuals compared with non-Hispanic White individuals.\nCONCLUSIONS AND RELEVANCE: In this cross-sectional study, older adults hospitalized with sepsis experienced an approximately 50% reduction in long-term NH stay or death over a 5-year period before the pandemic. These results suggest that during the pandemic, all individuals, regardless of race and ethnicity, experienced increased long-term NH stay or death compared with before the pandemic.","container-title":"JAMA network open","DOI":"10.1001/jamanetworkopen.2024.56816","ISSN":"2574-3805","issue":"1","journalAbbreviation":"JAMA Netw Open","language":"eng","note":"PMID: 39853973\nPMCID: PMC11762228","page":"e2456816","source":"PubMed","title":"COVID-19 Pandemic and Racial and Ethnic Disparities in Long-Term Nursing Home Stay or Death Following Hospital Discharge","volume":"8","author":[{"family":"Glance","given":"Laurent G."},{"family":"Joynt Maddox","given":"Karen E."},{"family":"Stone","given":"Patricia W."},{"family":"Shang","given":"Jingjing"},{"family":"Furuya","given":"E. Yoko"},{"family":"Chastain","given":"Ashley M."},{"family":"Lee","given":"Ji Won"},{"family":"Morse-Karzen","given":"Bridget"},{"family":"Dick","given":"Andrew W."}],"issued":{"date-parts":[["2025",1,2]]}}}],"schema":"https://github.com/citation-style-language/schema/raw/master/csl-citation.json"}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[16,33]</w:t>
      </w:r>
      <w:r w:rsidRPr="00ED5246">
        <w:rPr>
          <w:rFonts w:ascii="Times New Roman" w:hAnsi="Times New Roman" w:cs="Times New Roman"/>
        </w:rPr>
        <w:fldChar w:fldCharType="end"/>
      </w:r>
      <w:r>
        <w:rPr>
          <w:rFonts w:ascii="Times New Roman" w:hAnsi="Times New Roman" w:cs="Times New Roman"/>
        </w:rPr>
        <w:t xml:space="preserve"> and Asian/Pacific Islander or American-Indian/Alaska-Native backgrounds (n=1) </w:t>
      </w:r>
      <w:r>
        <w:rPr>
          <w:rFonts w:ascii="Times New Roman" w:hAnsi="Times New Roman" w:cs="Times New Roman"/>
        </w:rPr>
        <w:fldChar w:fldCharType="begin"/>
      </w:r>
      <w:r>
        <w:rPr>
          <w:rFonts w:ascii="Times New Roman" w:hAnsi="Times New Roman" w:cs="Times New Roman"/>
        </w:rPr>
        <w:instrText xml:space="preserve"> ADDIN ZOTERO_ITEM CSL_CITATION {"citationID":"lxlWii6i","properties":{"formattedCitation":"[33]","plainCitation":"[33]","noteIndex":0},"citationItems":[{"id":81820,"uris":["http://zotero.org/users/7655466/items/C9KXWNBV"],"itemData":{"id":81820,"type":"article-journal","abstract":"IMPORTANCE: Long-term nursing home stay or death (long-term NH stay or death), defined as new long-term residence in a nursing home or death following hospital discharge, is an important patient-centered outcome.\nOBJECTIVE: To examine whether the COVID-19 pandemic was associated with changes in long-term NH stay or death among older adults with sepsis, and whether these changes were greater in individuals from racial and ethnic minoritized groups.\nDESIGN, SETTING, AND PARTICIPANTS: This cross-sectional study used patient-level data from the Medicare Provider Analysis and Review File, the Master Beneficiary Summary File, and the Minimum Data Set. Community-dwelling individuals aged at least 65 years hospitalized with sepsis between January 2016 and June 2021 were included. Data were analyzed from May to November 2024.\nEXPOSURE: Race and ethnicity and the COVID-19 pandemic.\nMAIN OUTCOMES AND MEASURES: Patients discharged alive experienced long-term NH stay or death if they resided in a nursing home more than 100 days after hospital discharge and had no period at home greater than 30 days, or died more than 30 days following hospital discharge. Interrupted time series analysis was used to evaluate the association between long-term NH stay or death and the pandemic and race and ethnicity.\nRESULTS: A total of 2 964 517 hospitalizations for sepsis of community-dwelling patients discharged alive (1 468 754 [49.5%] female; 19 549 [0.7%] American Indian or Alaska Native, 95 308 [3.2%] Asian or Pacific Islander, 282 646 [9.5%] Black, 279 011 [9.4%] Hispanic, 2 288 003 [71.2%] White individuals; mean [SD] age, 76 [8.3] years) were included. Compared with non-Hispanic White individuals, Black individuals were more likely to experience long-term NH stay or death (adjusted odds ratio [aOR], 1.33; 95% CI, 1.30-1.37; P &lt; .001), while Asian or Pacific Islander (aOR, 0.79; 95% CI, 0.75-0.83; P &lt; .001), Hispanic (aOR, 0.72; 95% CI, 0.70-0.74; P &lt; .001), and American Indian or Alaska Native (aOR, 0.79; 95% CI, 0.72-0.87; P &lt; .001) individuals were less likely to experience long-term NH stay or death. Long-term NH stay or death declined from 13.5% in the first quarter of 2016 to 6.9% in the first quarter of 2020. After adjustment, long-term NH stay or death decreased each quarter (aOR, 0.958; 95% CI, 0.957-0.959; P &lt; .001) before the pandemic. The pandemic was associated with increased risk of long-term NH stay or death over time (aOR, 1.03; 95% CI, 1.02-1.04; P &lt; .001 [each quarter]) compared with before the pandemic for non-Hispanic White individuals. The pandemic was not associated with differential changes in long-term NH stay or death for minoritized individuals compared with non-Hispanic White individuals.\nCONCLUSIONS AND RELEVANCE: In this cross-sectional study, older adults hospitalized with sepsis experienced an approximately 50% reduction in long-term NH stay or death over a 5-year period before the pandemic. These results suggest that during the pandemic, all individuals, regardless of race and ethnicity, experienced increased long-term NH stay or death compared with before the pandemic.","container-title":"JAMA network open","DOI":"10.1001/jamanetworkopen.2024.56816","ISSN":"2574-3805","issue":"1","journalAbbreviation":"JAMA Netw Open","language":"eng","note":"PMID: 39853973\nPMCID: PMC11762228","page":"e2456816","source":"PubMed","title":"COVID-19 Pandemic and Racial and Ethnic Disparities in Long-Term Nursing Home Stay or Death Following Hospital Discharge","volume":"8","author":[{"family":"Glance","given":"Laurent G."},{"family":"Joynt Maddox","given":"Karen E."},{"family":"Stone","given":"Patricia W."},{"family":"Shang","given":"Jingjing"},{"family":"Furuya","given":"E. Yoko"},{"family":"Chastain","given":"Ashley M."},{"family":"Lee","given":"Ji Won"},{"family":"Morse-Karzen","given":"Bridget"},{"family":"Dick","given":"Andrew W."}],"issued":{"date-parts":[["2025",1,2]]}}}],"schema":"https://github.com/citation-style-language/schema/raw/master/csl-citation.json"} </w:instrText>
      </w:r>
      <w:r>
        <w:rPr>
          <w:rFonts w:ascii="Times New Roman" w:hAnsi="Times New Roman" w:cs="Times New Roman"/>
        </w:rPr>
        <w:fldChar w:fldCharType="separate"/>
      </w:r>
      <w:r w:rsidRPr="00620C46">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was linked to a reduced likelihood. </w:t>
      </w:r>
      <w:r w:rsidRPr="00ED5246">
        <w:rPr>
          <w:rFonts w:ascii="Times New Roman" w:eastAsia="Aptos" w:hAnsi="Times New Roman" w:cs="Times New Roman"/>
        </w:rPr>
        <w:t>Finally</w:t>
      </w:r>
      <w:r w:rsidRPr="00ED5246">
        <w:rPr>
          <w:rFonts w:ascii="Times New Roman" w:hAnsi="Times New Roman" w:cs="Times New Roman"/>
        </w:rPr>
        <w:t>, lower socioeconomic status and household income (n=</w:t>
      </w:r>
      <w:r>
        <w:rPr>
          <w:rFonts w:ascii="Times New Roman" w:hAnsi="Times New Roman" w:cs="Times New Roman"/>
        </w:rPr>
        <w:t>3</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IF2iw3p1","properties":{"formattedCitation":"[5,12,33]","plainCitation":"[5,12,33]","noteIndex":0},"citationItems":[{"id":50443,"uris":["http://zotero.org/groups/5108666/items/492BMIAT"],"itemData":{"id":50443,"type":"article-journal","archive":"Scopus","container-title":"Journal of Arthroplasty","DOI":"10.1016/j.arth.2016.05.027","issue":"12","page":"2700-2704","title":"Disparities in Discharge Destination After Lower Extremity Joint Arthroplasty: Analysis of 7924 Patients in an Urban Setting","volume":"31","author":[{"family":"Inneh","given":"I.A."},{"family":"Clair","given":"A.J."},{"family":"Slover","given":"J.D."},{"family":"Iorio","given":"R."}],"issued":{"date-parts":[["2016"]]}}},{"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K"},{"family":"Eikermann","given":"Matthias"}],"issued":{"date-parts":[["2021"]]}}},{"id":81820,"uris":["http://zotero.org/users/7655466/items/C9KXWNBV"],"itemData":{"id":81820,"type":"article-journal","abstract":"IMPORTANCE: Long-term nursing home stay or death (long-term NH stay or death), defined as new long-term residence in a nursing home or death following hospital discharge, is an important patient-centered outcome.\nOBJECTIVE: To examine whether the COVID-19 pandemic was associated with changes in long-term NH stay or death among older adults with sepsis, and whether these changes were greater in individuals from racial and ethnic minoritized groups.\nDESIGN, SETTING, AND PARTICIPANTS: This cross-sectional study used patient-level data from the Medicare Provider Analysis and Review File, the Master Beneficiary Summary File, and the Minimum Data Set. Community-dwelling individuals aged at least 65 years hospitalized with sepsis between January 2016 and June 2021 were included. Data were analyzed from May to November 2024.\nEXPOSURE: Race and ethnicity and the COVID-19 pandemic.\nMAIN OUTCOMES AND MEASURES: Patients discharged alive experienced long-term NH stay or death if they resided in a nursing home more than 100 days after hospital discharge and had no period at home greater than 30 days, or died more than 30 days following hospital discharge. Interrupted time series analysis was used to evaluate the association between long-term NH stay or death and the pandemic and race and ethnicity.\nRESULTS: A total of 2 964 517 hospitalizations for sepsis of community-dwelling patients discharged alive (1 468 754 [49.5%] female; 19 549 [0.7%] American Indian or Alaska Native, 95 308 [3.2%] Asian or Pacific Islander, 282 646 [9.5%] Black, 279 011 [9.4%] Hispanic, 2 288 003 [71.2%] White individuals; mean [SD] age, 76 [8.3] years) were included. Compared with non-Hispanic White individuals, Black individuals were more likely to experience long-term NH stay or death (adjusted odds ratio [aOR], 1.33; 95% CI, 1.30-1.37; P &lt; .001), while Asian or Pacific Islander (aOR, 0.79; 95% CI, 0.75-0.83; P &lt; .001), Hispanic (aOR, 0.72; 95% CI, 0.70-0.74; P &lt; .001), and American Indian or Alaska Native (aOR, 0.79; 95% CI, 0.72-0.87; P &lt; .001) individuals were less likely to experience long-term NH stay or death. Long-term NH stay or death declined from 13.5% in the first quarter of 2016 to 6.9% in the first quarter of 2020. After adjustment, long-term NH stay or death decreased each quarter (aOR, 0.958; 95% CI, 0.957-0.959; P &lt; .001) before the pandemic. The pandemic was associated with increased risk of long-term NH stay or death over time (aOR, 1.03; 95% CI, 1.02-1.04; P &lt; .001 [each quarter]) compared with before the pandemic for non-Hispanic White individuals. The pandemic was not associated with differential changes in long-term NH stay or death for minoritized individuals compared with non-Hispanic White individuals.\nCONCLUSIONS AND RELEVANCE: In this cross-sectional study, older adults hospitalized with sepsis experienced an approximately 50% reduction in long-term NH stay or death over a 5-year period before the pandemic. These results suggest that during the pandemic, all individuals, regardless of race and ethnicity, experienced increased long-term NH stay or death compared with before the pandemic.","container-title":"JAMA network open","DOI":"10.1001/jamanetworkopen.2024.56816","ISSN":"2574-3805","issue":"1","journalAbbreviation":"JAMA Netw Open","language":"eng","note":"PMID: 39853973\nPMCID: PMC11762228","page":"e2456816","source":"PubMed","title":"COVID-19 Pandemic and Racial and Ethnic Disparities in Long-Term Nursing Home Stay or Death Following Hospital Discharge","volume":"8","author":[{"family":"Glance","given":"Laurent G."},{"family":"Joynt Maddox","given":"Karen E."},{"family":"Stone","given":"Patricia W."},{"family":"Shang","given":"Jingjing"},{"family":"Furuya","given":"E. Yoko"},{"family":"Chastain","given":"Ashley M."},{"family":"Lee","given":"Ji Won"},{"family":"Morse-Karzen","given":"Bridget"},{"family":"Dick","given":"Andrew W."}],"issued":{"date-parts":[["2025",1,2]]}}}],"schema":"https://github.com/citation-style-language/schema/raw/master/csl-citation.json"}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[5,12,33]</w:t>
      </w:r>
      <w:r w:rsidRPr="00ED5246">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were associated with increased LTC transitions, while higher income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{"citationID":"xihIMy71","properties":{"formattedCitation":"[16]","plainCitation":"[16]","noteIndex":0},"citationItems":[{"id":41933,"uris":["http://zotero.org/groups/5108666/items/PI2ZRFRF"],"itemData":{"id":41933,"type":"article-journal","abstract":"OBJECTIVES: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[16]</w:t>
      </w:r>
      <w:r w:rsidRPr="00ED5246">
        <w:rPr>
          <w:rFonts w:ascii="Times New Roman" w:hAnsi="Times New Roman" w:cs="Times New Roman"/>
        </w:rPr>
        <w:fldChar w:fldCharType="end"/>
      </w:r>
      <w:r w:rsidRPr="00ED5246">
        <w:rPr>
          <w:rFonts w:ascii="Times New Roman" w:hAnsi="Times New Roman" w:cs="Times New Roman"/>
        </w:rPr>
        <w:t xml:space="preserve"> was a protective factor.</w:t>
      </w:r>
      <w:bookmarkEnd w:id="4"/>
    </w:p>
    <w:p w14:paraId="1CEBED35" w14:textId="59FA632A" w:rsidR="004579D2" w:rsidRPr="00ED5246" w:rsidRDefault="004579D2" w:rsidP="00A04BF9">
      <w:pPr>
        <w:spacing w:after="0" w:line="480" w:lineRule="auto"/>
        <w:jc w:val="both"/>
        <w:rPr>
          <w:rFonts w:ascii="Times New Roman" w:hAnsi="Times New Roman" w:cs="Times New Roman"/>
          <w:b/>
          <w:bCs/>
        </w:rPr>
      </w:pPr>
      <w:bookmarkStart w:id="5" w:name="_Hlk182828925"/>
      <w:r w:rsidRPr="00ED5246">
        <w:rPr>
          <w:rFonts w:ascii="Times New Roman" w:hAnsi="Times New Roman" w:cs="Times New Roman"/>
          <w:b/>
          <w:bCs/>
        </w:rPr>
        <w:t>Caregiver support</w:t>
      </w:r>
      <w:bookmarkStart w:id="6" w:name="_Hlk184047091"/>
      <w:r w:rsidRPr="00ED5246">
        <w:rPr>
          <w:rFonts w:ascii="Times New Roman" w:hAnsi="Times New Roman" w:cs="Times New Roman"/>
          <w:b/>
          <w:bCs/>
        </w:rPr>
        <w:t xml:space="preserve">. </w:t>
      </w:r>
      <w:r w:rsidRPr="00ED5246">
        <w:rPr>
          <w:rFonts w:ascii="Times New Roman" w:hAnsi="Times New Roman" w:cs="Times New Roman"/>
        </w:rPr>
        <w:t xml:space="preserve">In quantitative research, caregiver distress and </w:t>
      </w:r>
      <w:r w:rsidRPr="00ED5246">
        <w:rPr>
          <w:rFonts w:ascii="Times New Roman" w:eastAsia="Aptos" w:hAnsi="Times New Roman" w:cs="Times New Roman"/>
        </w:rPr>
        <w:t xml:space="preserve">an </w:t>
      </w:r>
      <w:r w:rsidRPr="00ED5246">
        <w:rPr>
          <w:rFonts w:ascii="Times New Roman" w:hAnsi="Times New Roman" w:cs="Times New Roman"/>
        </w:rPr>
        <w:t>inability to provide informal care were associated with an increased likelihood of LTC placement (n=</w:t>
      </w:r>
      <w:r>
        <w:rPr>
          <w:rFonts w:ascii="Times New Roman" w:hAnsi="Times New Roman" w:cs="Times New Roman"/>
        </w:rPr>
        <w:t>3</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kadK5cOq","properties":{"formattedCitation":"[28,34,35]","plainCitation":"[28,34,35]","noteIndex":0},"citationItems":[{"id":1415,"uris":["http://zotero.org/users/local/LM1vrYZg/items/XCTDBSK7","http://zotero.org/users/7655466/items/XCTDBSK7"],"itemData":{"id":1415,"type":"report","title":"Seniors in Transition - Exploring Pathways Across the Care Continuum","URL":"https://www.cihi.ca/sites/default/files/document/seniors-in-transition-report-2017-en.pdf","author":[{"literal":"Canadian Institute for Health Information,"}],"accessed":{"date-parts":[["2022",12,9]]},"issued":{"date-parts":[["2017"]]}}},{"id":1532,"uris":["http://zotero.org/users/7655466/items/NYWMK3NE"],"itemData":{"id":1532,"type":"article-journal","abstract":"Some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I."}],"issued":{"date-parts":[["2020",3,4]]}}},{"id":81823,"uris":["http://zotero.org/users/7655466/items/TQG5ZNLC"],"itemData":{"id":81823,"type":"article-journal","abstract":"INTRODUCTION: Hospitalized patients with dementia are more likely to be discharged to long-term care compared to persons without dementia. Little research has been conducted to examine the associations of caregiver preparedness and strain with desire to seek long-term care in hospitalized persons with dementia at discharge. The purpose of this study was to examine caregiver preparedness and strain as factors associated with desire to seek long-term care admission in caregivers of persons with dementia at hospital discharge.\nMETHODS: Patient baseline and discharge data, and caregiver discharge data of 424 patient and caregiver dyads from a cluster randomized trial was used. Stepwise multiple linear regression was conducted to examine factors associated with caregiver desire to seek long-term care.\nRESULTS: After controlling for caregiver and patient characteristics, lower caregiver preparedness (β = -0.069; p &lt; 0.016) was significantly associated with increased desire to seek long-term care.\nDISCUSSION: Findings underscore the need for clinicians and service providers to provide further attention to caregiver preparedness throughout the course of hospitalization.","container-title":"International Journal of Geriatric Psychiatry","DOI":"10.1002/gps.6006","ISSN":"1099-1166","issue":"9","journalAbbreviation":"Int J Geriatr Psychiatry","language":"eng","note":"PMID: 37715936","page":"e6006","source":"PubMed","title":"Caregiver preparedness is associated with desire to seek long-term care admission of hospitalized persons with dementia","volume":"38","author":[{"family":"Kuzmik","given":"Ashley"},{"family":"BeLue","given":"Rhonda"},{"family":"Resnick","given":"Barbara"},{"family":"Rodriguez","given":"Marleny"},{"family":"Berish","given":"Diane"},{"family":"Galvin","given":"James E."},{"family":"Boltz","given":"Marie"}],"issued":{"date-parts":[["2023",9]]}}}],"schema":"https://github.com/citation-style-language/schema/raw/master/csl-citation.json"}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[28,34,35]</w:t>
      </w:r>
      <w:r w:rsidRPr="00ED5246">
        <w:rPr>
          <w:rFonts w:ascii="Times New Roman" w:hAnsi="Times New Roman" w:cs="Times New Roman"/>
        </w:rPr>
        <w:fldChar w:fldCharType="end"/>
      </w:r>
      <w:r w:rsidRPr="00ED5246">
        <w:rPr>
          <w:rFonts w:ascii="Times New Roman" w:hAnsi="Times New Roman" w:cs="Times New Roman"/>
        </w:rPr>
        <w:t xml:space="preserve">. Conversely, protective factors against LTC transitions included strong family caregiving networks in quantitative research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{"citationID":"2KZU1DP5","properties":{"formattedCitation":"[16]","plainCitation":"[16]","noteIndex":0},"citationItems":[{"id":41933,"uris":["http://zotero.org/groups/5108666/items/PI2ZRFRF"],"itemData":{"id":41933,"type":"article-journal","abstract":"OBJECTIVES: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[16]</w:t>
      </w:r>
      <w:r w:rsidRPr="00ED5246">
        <w:rPr>
          <w:rFonts w:ascii="Times New Roman" w:hAnsi="Times New Roman" w:cs="Times New Roman"/>
        </w:rPr>
        <w:fldChar w:fldCharType="end"/>
      </w:r>
      <w:r w:rsidRPr="00ED5246">
        <w:rPr>
          <w:rFonts w:ascii="Times New Roman" w:hAnsi="Times New Roman" w:cs="Times New Roman"/>
        </w:rPr>
        <w:t xml:space="preserve"> and reliable family caregivers in qualitative studies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{"citationID":"tGkJTbNX","properties":{"formattedCitation":"[32]","plainCitation":"[32]","noteIndex":0},"citationItems":[{"id":40812,"uris":["http://zotero.org/groups/5108666/items/9ZLN6XB2"],"itemData":{"id":40812,"type":"article-journal","abstract":"ABSTRACTWe aimed to understand clinical decision-making processes that influence the orientation of older patients after hospital discharge. We compared discharge decisions (i.e., discharge home, or nursing home stay) of the hospital team with those of an expert panel. Both panel and hospital team made their decisions independently. The blind study included 102 patients (mean age: 83.13 +/- 6.74). There is a statistically significant difference between expert and hospital team decisions (p &lt; .001; kappa coefficient: 0.468). Panel decisions were more closely associated with isolation (p = .018), reliable caregivers (p = .004), social problems (p = .001), and behavioural symptoms perceived as aggressive (p = .001). Both decision processes considered refusal of care (p = 0,025 and 0.016 respectively) and social problems (p = .001 and &lt; 0.001 respectively). Discharge planning models differ depending on the country, team and patient's condition. Our study suggests more precise evaluation of patients' needs.","archive":"Ovid MEDLINE(R) &lt;2019&gt;","container-title":"Canadian journal on aging = La revue canadienne du vieillissement","DOI":"10.1017/S0714980818000442","ISSN":"1710-1107","issue":"1","journalAbbreviation":"Can J Aging","page":"90-99","title":"Hospital Discharge Decisions Concerning Older Patients: Understanding the Underlying Process.","volume":"38","author":[{"family":"Koskas","given":"Pierre"},{"family":"Pons-Peyneau","given":"Cecile"},{"family":"Romdhani","given":"Mouna"},{"family":"Houenou-Quenum","given":"Nadege"},{"family":"Galleron","given":"Sandrine"},{"family":"Drunat","given":"Olivier"}],"issued":{"date-parts":[["2019"]]}}}],"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[32]</w:t>
      </w:r>
      <w:r w:rsidRPr="00ED5246">
        <w:rPr>
          <w:rFonts w:ascii="Times New Roman" w:hAnsi="Times New Roman" w:cs="Times New Roman"/>
        </w:rPr>
        <w:fldChar w:fldCharType="end"/>
      </w:r>
      <w:r w:rsidRPr="00ED5246">
        <w:rPr>
          <w:rFonts w:ascii="Times New Roman" w:hAnsi="Times New Roman" w:cs="Times New Roman"/>
        </w:rPr>
        <w:t>.</w:t>
      </w:r>
    </w:p>
    <w:bookmarkEnd w:id="5"/>
    <w:bookmarkEnd w:id="6"/>
    <w:p w14:paraId="21F7CD51" w14:textId="17050234"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b/>
          <w:bCs/>
        </w:rPr>
        <w:t>Health conditions.</w:t>
      </w:r>
      <w:r w:rsidRPr="00ED5246">
        <w:rPr>
          <w:rFonts w:ascii="Times New Roman" w:hAnsi="Times New Roman" w:cs="Times New Roman"/>
        </w:rPr>
        <w:t xml:space="preserve"> Comorbidities were consistently identified as increasing </w:t>
      </w:r>
      <w:r w:rsidRPr="00ED5246">
        <w:rPr>
          <w:rFonts w:ascii="Times New Roman" w:eastAsia="Aptos" w:hAnsi="Times New Roman" w:cs="Times New Roman"/>
        </w:rPr>
        <w:t xml:space="preserve">the likelihood of </w:t>
      </w:r>
      <w:r w:rsidRPr="00ED5246">
        <w:rPr>
          <w:rFonts w:ascii="Times New Roman" w:hAnsi="Times New Roman" w:cs="Times New Roman"/>
        </w:rPr>
        <w:t>LTC admission in quantitative studies (n=</w:t>
      </w:r>
      <w:r>
        <w:rPr>
          <w:rFonts w:ascii="Times New Roman" w:hAnsi="Times New Roman" w:cs="Times New Roman"/>
        </w:rPr>
        <w:t>5</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{"citationID":"f47C8Dei","properties":{"formattedCitation":"[1,8,18,24,33]","plainCitation":"[1,8,18,24,33]","noteIndex":0},"citationItems":[{"id":67839,"uris":["http://zotero.org/groups/5108666/items/UNDAPQBL"],"itemData":{"id":67839,"type":"article-journal","abstract":"We examine the relationship between long-term care supply (care home beds and prices) and (i) the probability of being discharged to a care home and (ii) length of stay in hospital for patients admitted to hospital for hip fracture or stroke. Using patient level data from all English hospitals and allowing for a rich set of demographic and clinical factors, we find no association between discharge destination and long-term care beds supply or prices. We do, however, find evidence of bed blocking: hospital length of stay for hip fracture patients discharged to a care home is shorter in areas with more long-term care beds and lower prices. Length of stay is over 30% shorter in areas in the highest quintile of care home beds supply compared to those in the lowest quintile.","container-title":"International Journal of Health Economics and Management","DOI":"10.1007/s10754-017-9214-z","ISSN":"2199-9031","issue":"3","journalAbbreviation":"Int J Health Econ Manag","language":"eng","note":"PMID: 28247174\nPMCID: PMC5703024","page":"311-331","source":"PubMed","title":"Long-term care provision, hospital bed blocking, and discharge destination for hip fracture and stroke patients","volume":"17","author":[{"family":"Gaughan","given":"James"},{"family":"Gravelle","given":"Hugh"},{"family":"Santos","given":"Rita"},{"family":"Siciliani","given":"Luigi"}],"issued":{"date-parts":[["2017",2,28]]}}},{"id":38712,"uris":["http://zotero.org/groups/5108666/items/7R6D6SB7","http://zotero.org/groups/5108666/items/3PLZ8G9F"],"itemData":{"id":38712,"type":"article-journal","abstract":"Introduction: The demand for total knee arthroplasty (TKA) continues to challenge hospital financial resources. Hospitals have countered this economic demand by reducing patient length of stay (LoS), thus requiring a higher utilization of extended care facilities (ECF) and home with home health care (HHC). With an increase in the number of insured low-income families following the Affordable Care Act (ACA), TKA patients' demographics are anticipated to change. Both trends have significant economic implications, and predicting the discharge destinations of TKA patients would help plan for future health expenditures. The purpose of this study was to determine which variables are significant in predicting discharge destinations of patients treated with TKA. Method(s): We utilized the California Hospital Discharge data set of the year 2010. For each hospitalization, the data set includes information about patient demographics (age, gender, race, and ethnicity), insurance type, diagnoses and procedures, and patient disposition. Discharge to home was the reference category. Discharges to a skilled nursing home and discharge to home with home care were the 2 additional alternatives. Independent variables included the Charlson comorbidity index, payer category (private, Medicare, Medical, and other), race, ethnicity, age, and gender. Result(s): Over 28 611 TKAs were reviewed with 45.9% discharged to HHC, 29.9% going to ECF, and 24.2% going home without home health care. Race, age, insurance, and morbidity proved to be highly significant factors influencing patient discharge destination (P &lt;.001). Medicare coverage relative to private payers was a strong predictor for discharge destination (relative risk ratio (RRR) 1.69, P &lt;.001). The strongest predictors were black and Asian races relative to whites (RRR 1.54, P &lt;.01). Male gender was the only factor that lowered the risk of discharge to a nursing home (RRR 0.43, P &lt;.001). Conclusion(s): This study provides insight on which patient characteristics influence discharge destination after TKA. Race, age, insurance, and morbidity were highly significant (P &lt;.001) factors on patient discharge destination.Copyright © 2016, © The Author(s) 2016.","archive":"Embase","container-title":"Geriatric Orthopaedic Surgery and Rehabilitation","DOI":"10.1177/2151458516645635","ISSN":"2151-4585","issue":"2","journalAbbreviation":"Geriatr. Orthop. Surg. Rehabit.","language":"English","page":"95-99","title":"Factors Influencing Discharge Destination After Total Knee Arthroplasty: A Database Analysis","volume":"7","author":[{"literal":"Schwarzkopf R."},{"literal":"Ho J."},{"literal":"Quinn J.R."},{"literal":"Snir N."},{"literal":"Mukamel D."}],"issued":{"date-parts":[["2016"]]}}},{"id":67866,"uris":["http://zotero.org/groups/5108666/items/QLKDZV2V"],"itemData":{"id":67866,"type":"article-journal","abstract":"OBJECTIVE: To evaluate the impact of frailty, measured using the Canadian Study of Health and Aging Clinical Frailty Scale, on outcomes of older people hospitalized with acute illness.\nMETHOD: Consecutive patients were randomly allocated to a model development sample or a model validation sample. Multivariate analyses were used to model in-hospital mortality, new nursing home placement, and length of stay. Variables selected in the development samples were tested in the validation samples.\nRESULTS: The mean age of all 2,125 patients was 82.9 years. Most (93.6%) were admitted through the emergency department. Frailty predicted in-hospital mortality (odds ratio [OR] = 2.97 [2.11, 4.17]), new nursing home placement (OR = 1.60 [1.14, 2.24]), and length of hospital stay (hazard ratio = 0.87 [0.81, 0.93]).\nDISCUSSION: Frailty is a strong predictor of adverse outcomes in older people hospitalized with acute illness. An increased awareness of its impact may alert clinicians to screen for frailty.","container-title":"Journal of Aging and Health","DOI":"10.1177/0898264314558202","ISSN":"1552-6887","issue":"4","journalAbbreviation":"J Aging Health","language":"eng","note":"PMID: 25414168","page":"670-685","source":"PubMed","title":"Frailty in an older inpatient population: using the clinical frailty scale to predict patient outcomes","title-short":"Frailty in an older inpatient population","volume":"27","author":[{"family":"Basic","given":"David"},{"family":"Shanley","given":"Chris"}],"issued":{"date-parts":[["2015",6]]}}},{"id":8035,"uris":["http://zotero.org/users/7655466/items/CPY7XGIE"],"itemData":{"id":8035,"type":"article-journal","archive":"Scopus","container-title":"Archives of Gerontology and Geriatrics","DOI":"10.1016/j.archger.2017.05.012","ISSN":"01674943 (ISSN)","note":"publisher: Elsevier Ireland Ltd","page":"59-66","title":"Risk factors associated with residential aged care, respite and transitional aged care admission for older people following an injury-related hospitalisation","volume":"72","author":[{"family":"Mitchell","given":"R."},{"family":"Harvey","given":"L."},{"family":"Draper","given":"B."},{"family":"Brodaty","given":"H."},{"family":"Close","given":"J."}],"issued":{"date-parts":[["2017"]]}}},{"id":81820,"uris":["http://zotero.org/users/7655466/items/C9KXWNBV"],"itemData":{"id":81820,"type":"article-journal","abstract":"IMPORTANCE: Long-term nursing home stay or death (long-term NH stay or death), defined as new long-term residence in a nursing home or death following hospital discharge, is an important patient-centered outcome.\nOBJECTIVE: To examine whether the COVID-19 pandemic was associated with changes in long-term NH stay or death among older adults with sepsis, and whether these changes were greater in individuals from racial and ethnic minoritized groups.\nDESIGN, SETTING, AND PARTICIPANTS: This cross-sectional study used patient-level data from the Medicare Provider Analysis and Review File, the Master Beneficiary Summary File, and the Minimum Data Set. Community-dwelling individuals aged at least 65 years hospitalized with sepsis between January 2016 and June 2021 were included. Data were analyzed from May to November 2024.\nEXPOSURE: Race and ethnicity and the COVID-19 pandemic.\nMAIN OUTCOMES AND MEASURES: Patients discharged alive experienced long-term NH stay or death if they resided in a nursing home more than 100 days after hospital discharge and had no period at home greater than 30 days, or died more than 30 days following hospital discharge. Interrupted time series analysis was used to evaluate the association between long-term NH stay or death and the pandemic and race and ethnicity.\nRESULTS: A total of 2 964 517 hospitalizations for sepsis of community-dwelling patients discharged alive (1 468 754 [49.5%] female; 19 549 [0.7%] American Indian or Alaska Native, 95 308 [3.2%] Asian or Pacific Islander, 282 646 [9.5%] Black, 279 011 [9.4%] Hispanic, 2 288 003 [71.2%] White individuals; mean [SD] age, 76 [8.3] years) were included. Compared with non-Hispanic White individuals, Black individuals were more likely to experience long-term NH stay or death (adjusted odds ratio [aOR], 1.33; 95% CI, 1.30-1.37; P &lt; .001), while Asian or Pacific Islander (aOR, 0.79; 95% CI, 0.75-0.83; P &lt; .001), Hispanic (aOR, 0.72; 95% CI, 0.70-0.74; P &lt; .001), and American Indian or Alaska Native (aOR, 0.79; 95% CI, 0.72-0.87; P &lt; .001) individuals were less likely to experience long-term NH stay or death. Long-term NH stay or death declined from 13.5% in the first quarter of 2016 to 6.9% in the first quarter of 2020. After adjustment, long-term NH stay or death decreased each quarter (aOR, 0.958; 95% CI, 0.957-0.959; P &lt; .001) before the pandemic. The pandemic was associated with increased risk of long-term NH stay or death over time (aOR, 1.03; 95% CI, 1.02-1.04; P &lt; .001 [each quarter]) compared with before the pandemic for non-Hispanic White individuals. The pandemic was not associated with differential changes in long-term NH stay or death for minoritized individuals compared with non-Hispanic White individuals.\nCONCLUSIONS AND RELEVANCE: In this cross-sectional study, older adults hospitalized with sepsis experienced an approximately 50% reduction in long-term NH stay or death over a 5-year period before the pandemic. These results suggest that during the pandemic, all individuals, regardless of race and ethnicity, experienced increased long-term NH stay or death compared with before the pandemic.","container-title":"JAMA network open","DOI":"10.1001/jamanetworkopen.2024.56816","ISSN":"2574-3805","issue":"1","journalAbbreviation":"JAMA Netw Open","language":"eng","note":"PMID: 39853973\nPMCID: PMC11762228","page":"e2456816","source":"PubMed","title":"COVID-19 Pandemic and Racial and Ethnic Disparities in Long-Term Nursing Home Stay or Death Following Hospital Discharge","volume":"8","author":[{"family":"Glance","given":"Laurent G."},{"family":"Joynt Maddox","given":"Karen E."},{"family":"Stone","given":"Patricia W."},{"family":"Shang","given":"Jingjing"},{"family":"Furuya","given":"E. Yoko"},{"family":"Chastain","given":"Ashley M."},{"family":"Lee","given":"Ji Won"},{"family":"Morse-Karzen","given":"Bridget"},{"family":"Dick","given":"Andrew W."}],"issued":{"date-parts":[["2025",1,2]]}}}],"schema":"https://github.com/citation-style-language/schema/raw/master/csl-citation.json"}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[1,8,18,24,33]</w:t>
      </w:r>
      <w:r w:rsidRPr="00ED5246">
        <w:rPr>
          <w:rFonts w:ascii="Times New Roman" w:hAnsi="Times New Roman" w:cs="Times New Roman"/>
        </w:rPr>
        <w:fldChar w:fldCharType="end"/>
      </w:r>
      <w:r>
        <w:rPr>
          <w:rFonts w:ascii="Times New Roman" w:hAnsi="Times New Roman" w:cs="Times New Roman"/>
        </w:rPr>
        <w:t xml:space="preserve"> a</w:t>
      </w:r>
      <w:r w:rsidRPr="00ED5246">
        <w:rPr>
          <w:rFonts w:ascii="Times New Roman" w:hAnsi="Times New Roman" w:cs="Times New Roman"/>
        </w:rPr>
        <w:t xml:space="preserve">nd one systematic review </w:t>
      </w:r>
      <w:bookmarkStart w:id="7" w:name="_Hlk184124712"/>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{"citationID":"xYlMev2G","properties":{"formattedCitation":"[15]","plainCitation":"[15]","noteIndex":0},"citationItems":[{"id":41107,"uris":["http://zotero.org/groups/5108666/items/275NKLY8"],"itemData":{"id":41107,"type":"article-journal","abstract":"BACKGROUND/OBJECTIVES: Stroke is a leading cause of disability worldwide, and a significant proportion of stroke survivors require long-term institutional care. Understanding who cannot be discharged home is important for health and social care planning. Our aim was to establish predictive factors for discharge to institutional care after hospitalization for stroke., DESIGN: We registered and conducted a systematic review and meta-analysis (PROSPERO: CRD42015023497) of observational studies. We searched MEDLINE, EMBASE, and CINAHL Plus to February 2017. Quantitative synthesis was performed where data allowed., SETTING: Acute and rehabilitation hospitals., PARTICIPANTS: Adults hospitalized for stroke who were newly admitted directly to long-term institutional care at the time of hospital discharge., MEASUREMENTS: Factors associated with new institutionalization., RESULTS: From 10,420 records, we included 18 studies (n = 32,139 participants). The studies were heterogeneous and conducted in Europe, North America, and East Asia. Eight studies were at high risk of selection bias. The proportion of those surviving to discharge who were newly discharged to long-term care varied from 7% to 39% (median 17%, interquartile range 12%), and the model of care received in the long-term care setting was not defined. Older age and greater stroke severity had a consistently positive association with the need for long-term care admission. Individuals who had a severe stroke were 26 times as likely to be admitted to long-term care than those who had a minor stroke. Individuals aged 65 and older had a risk of stroke that was three times as great as that of younger individuals. Potentially modifiable factors were rarely examined., CONCLUSION: Age and stroke severity are important predictors of institutional long-term care admission directly from the hospital after an acute stroke. Potentially modifiable factors should be the target of future research. Stroke outcome studies should report discharge destination, defining the model of care provided in the long-term care setting. Copyright © 2017 The Authors. Journal of the American Geriatrics Society published by Wiley Periodicals, Inc. on behalf of The American Geriatrics Society.","archive":"Ovid MEDLINE(R) &lt;2018&gt;","container-title":"Journal of the American Geriatrics Society","DOI":"10.1111/jgs.15101","ISSN":"1532-5415","issue":"1","journalAbbreviation":"J Am Geriatr Soc","page":"161-169","title":"Predicting Discharge to Institutional Long-Term Care After Stroke: A Systematic Review and Metaanalysis.","volume":"66","author":[{"family":"Burton","given":"Jennifer K"},{"family":"Ferguson","given":"Eilidh E C"},{"family":"Barugh","given":"Amanda J"},{"family":"Walesby","given":"Katherine E"},{"family":"MacLullich","given":"Alasdair M J"},{"family":"Shenkin","given":"Susan D"},{"family":"Quinn","given":"Terry J"}],"issued":{"date-parts":[["2018"]]}},"locator":"2"}],"schema":"https://github.com/citation-style-language/schema/raw/master/csl-citation.json"}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[15]</w:t>
      </w:r>
      <w:r w:rsidRPr="00ED5246">
        <w:rPr>
          <w:rFonts w:ascii="Times New Roman" w:hAnsi="Times New Roman" w:cs="Times New Roman"/>
        </w:rPr>
        <w:fldChar w:fldCharType="end"/>
      </w:r>
      <w:r w:rsidRPr="00ED5246">
        <w:rPr>
          <w:rFonts w:ascii="Times New Roman" w:hAnsi="Times New Roman" w:cs="Times New Roman"/>
        </w:rPr>
        <w:t>. In terms of cognitive health, dementia (n=1</w:t>
      </w:r>
      <w:r>
        <w:rPr>
          <w:rFonts w:ascii="Times New Roman" w:hAnsi="Times New Roman" w:cs="Times New Roman"/>
        </w:rPr>
        <w:t>1</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KDyMtftg","properties":{"formattedCitation":"[6,7,12,17,18,20,24,26,36\\uc0\\u8211{}38]","plainCitation":"[6,7,12,17,18,20,24,26,36–38]","noteIndex":0},"citationItems":[{"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Group"}],"issued":{"date-parts":[["2021"]]}}},{"id":41364,"uris":["http://zotero.org/groups/5108666/items/8WYH84Q8","http://zotero.org/groups/5108666/items/ID488ST8"],"itemData":{"id":41364,"type":"article-journal","abstract":"OBJECTIVES: To evaluate the incidence and characteristics of nursing home (NH) use after implantable cardioverter-defibrillator (ICD) implantation., DESIGN: Cohort study., SETTING: Medicare beneficiaries in the National Cardiovascular Data Registry-ICD Registry., PARTICIPANTS: Individuals aged 65 and older receiving ICDs between January 1, 2006, and March 31, 2010 (N = 192,483)., MEASUREMENTS: Proportion of ICD recipients discharged to NHs directly after device placement, cumulative incidence of long-term NH admission, and factors associated with immediate discharge to a NH and time to long-term NH admission., RESULTS: Over 4 years, 40.6% of the cohort died, and 35,939 (18.7%) experienced at least one NH admission, including 4.0% directly discharged to a NH after ICD implantation and 2.8% admitted to long-term NH care during follow-up. The cumulative incidence of long-term NH admission, accounting for the competing risk of death, was 1.7% at 1 year, 3.8% at 3 years, and 4.6% at 4 years; 20.1% of individuals admitted to a NH died there. Factors most strongly associated with direct NH discharge and time to long-term NH care were older age (adjusted odds ratio (AOR) = 2.09, 95% confidence interval (CI) = 2.01-2.17 per 10-year increment; adjusted hazard ratio (AHR) = 1.88, 95% CI = 1.80-1.97, respectively), dementia (AOR = 2.60, 95% CI = 2.25-3.01; AHR = 2.50, 95% CI = 2.14-2.93, respectively), and Medicare Part A claim for NH stay in prior 6 months (AOR = 3.96, 95% CI = 3.70-4.25; AHR = 2.88, 95% CI = 2.65-3.14, respectively)., CONCLUSION: Nearly one in five individuals are admitted to NHs over a median of 1.6 years of follow-up after ICD implantation. Understanding these outcomes may help inform the clinical care of these individuals. © 2016, Copyright the Authors Journal compilation © 2016, The American Geriatrics Society.","archive":"Ovid MEDLINE(R) &lt;2017&gt;","container-title":"Journal of the American Geriatrics Society","DOI":"10.1111/jgs.14520","ISSN":"1532-5415","issue":"2","journalAbbreviation":"J Am Geriatr Soc","page":"340-347","title":"Nursing Home Use After Implantable Cardioverter-Defibrillator Implantation in Older Adults: Results from the National Cardiovascular Data Registry.","volume":"65","author":[{"family":"Kramer","given":"Daniel B"},{"family":"Reynolds","given":"Matthew R"},{"family":"Normand","given":"Sharon-Lise"},{"family":"Parzynski","given":"Craig S"},{"family":"Spertus","given":"John A"},{"family":"Mor","given":"Vincent"},{"family":"Mitchell","given":"Susan L"}],"issued":{"date-parts":[["2017"]]}}},{"id":40098,"uris":["http://zotero.org/groups/5108666/items/W3VDQB48"],"itemData":{"id":40098,"type":"article-journal","abstract":"BACKGROUND: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K"},{"family":"Eikermann","given":"Matthias"}],"issued":{"date-parts":[["2021"]]}}},{"id":67837,"uris":["http://zotero.org/groups/5108666/items/772946KW"],"itemData":{"id":67837,"type":"article-journal","abstract":"INTRODUCTION: Sustaining a hip fracture is a life changing event for many elderlies. While doctors and researchers tend to be preoccupied with mortality and complication rates, patients are more concerned by other aspects e.g. loss of independence and ability to remain in their own home. This study aimed to i) determine age-stratified one-year event rates of admission to nursing home after discharge, and ii) identify risk factors associated with nursing home admission.\nMETHODS: Community dwelling patients aged 60-100 years undergoing their first hip fracture surgery in 2005 - 2015 were identified in nationwide administrative registries. Outcome was admission to nursing home within one year of discharge. To assess risk factors, we performed age-stratified cumulative incidence curves and multivariate cause specific cox regression models adjusted for age, sex, social factors, and comorbidities.\nRESULTS: A total of 53,157 patients were included. One-year risk increased with advancing age from 3.2% of patients aged 60 to 69, up to 22.4% in the eldest group aged 90-100 years. Living alone and dementia were strong risk factors HR 9.22 [95% CI 5.60-15.18, p = &lt;0.0001] and HR 6.73 [95% CI 4.80- 9.44, p = 0.0001] respectively for patients aged 60 to 69 years, the effect decreased with higher age down to HR 2.75 [95% CI 2.12- 3.57, p = &lt;0.0001] and HR 2.15 [95% CI 1.88- 2.46, p = &lt;0.0001] for patients ≥ 90 years. Other important risk factors were pre-injury home care, Parkinson's disease and depression. Surprisingly, physical comorbidities i.e. kidney disease, chronic obstructive pulmonary disease, diabetes and cancer did not increase the risk of nursing home admission.\nCONCLUSION: Future initiatives aimed to reduce loss of independence and nursing home admission, among patients with first time hip fracture, should devote attention to living settings and cognitive impairment rather than physical comorbidity.","container-title":"Injury","DOI":"10.1016/j.injury.2020.06.041","ISSN":"1879-0267","issue":"10","journalAbbreviation":"Injury","language":"eng","note":"PMID: 32622625","page":"2289-2294","source":"PubMed","title":"Living settings and cognitive impairment are stronger predictors of nursing home admission after hip fracture surgery than physical comorbidities A nationwide Danish cohort study","volume":"51","author":[{"family":"Wahlsten","given":"Liv Riisager"},{"family":"Smedegaard","given":"Lærke"},{"family":"Brorson","given":"Stig"},{"family":"Gislason","given":"Gunnar"},{"family":"Palm","given":"Henrik"}],"issued":{"date-parts":[["2020",10]]}}},{"id":67866,"uris":["http://zotero.org/groups/5108666/items/QLKDZV2V"],"itemData":{"id":67866,"type":"article-journal","abstract":"OBJECTIVE: To evaluate the impact of frailty, measured using the Canadian Study of Health and Aging Clinical Frailty Scale, on outcomes of older people hospitalized with acute illness.\nMETHOD: Consecutive patients were randomly allocated to a model development sample or a model validation sample. Multivariate analyses were used to model in-hospital mortality, new nursing home placement, and length of stay. Variables selected in the development samples were tested in the validation samples.\nRESULTS: The mean age of all 2,125 patients was 82.9 years. Most (93.6%) were admitted through the emergency department. Frailty predicted in-hospital mortality (odds ratio [OR] = 2.97 [2.11, 4.17]), new nursing home placement (OR = 1.60 [1.14, 2.24]), and length of hospital stay (hazard ratio = 0.87 [0.81, 0.93]).\nDISCUSSION: Frailty is a strong predictor of adverse outcomes in older people hospitalized with acute illness. An increased awareness of its impact may alert clinicians to screen for frailty.","container-title":"Journal of Aging and Health","DOI":"10.1177/0898264314558202","ISSN":"1552-6887","issue":"4","journalAbbreviation":"J Aging Health","language":"eng","note":"PMID: 25414168","page":"670-685","source":"PubMed","title":"Frailty in an older inpatient population: using the clinical frailty scale to predict patient outcomes","title-short":"Frailty in an older inpatient population","volume":"27","author":[{"family":"Basic","given":"David"},{"family":"Shanley","given":"Chris"}],"issued":{"date-parts":[["2015",6]]}}},{"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id":8035,"uris":["http://zotero.org/users/7655466/items/CPY7XGIE"],"itemData":{"id":8035,"type":"article-journal","archive":"Scopus","container-title":"Archives of Gerontology and Geriatrics","DOI":"10.1016/j.archger.2017.05.012","ISSN":"01674943 (ISSN)","note":"publisher: Elsevier Ireland Ltd","page":"59-66","title":"Risk factors associated with residential aged care, respite and transitional aged care admission for older people following an injury-related hospitalisation","volume":"72","author":[{"family":"Mitchell","given":"R."},{"family":"Harvey","given":"L."},{"family":"Draper","given":"B."},{"family":"Brodaty","given":"H."},{"family":"Close","given":"J."}],"issued":{"date-parts":[["2017"]]}}},{"id":41315,"uris":["http://zotero.org/groups/5108666/items/Y8SIINXU"],"itemData":{"id":41315,"type":"article-journal","abstract":"Background: moving into long-term institutional care is a significant life event for any individual. Predictors of institutional care admission from community-dwellers and people with dementia have been described, but those from the acute hospital setting have not been systematically reviewed. Our aim was to establish predictive factors for discharge to institutional care following acute hospitalisation., Methods: we registered and conducted a systematic review (PROSPERO: CRD42015023497). We searched MEDLINE; EMBASE and CINAHL Plus in September 2015. We included observational studies of patients admitted directly to long-term institutional care following acute hospitalisation where factors associated with institutionalisation were reported., Results: from 9,176 records, we included 23 studies (n = 354,985 participants). Studies were heterogeneous, with the proportions discharged to a care home 3-77% (median 15%). Eleven studies (n = 12,642), of moderate to low quality, were included in the quantitative synthesis. The need for institutional long-term care was associated with age (pooled odds ratio (OR) 1.02, 95% confidence intervals (CI): 1.00-1.04), female sex (pooled OR 1.41, 95% CI: 1.03-1.92), dementia (pooled OR 2.14, 95% CI: 1.24-3.70) and functional dependency (pooled OR 2.06, 95% CI: 1.58-2.69)., Conclusions: discharge to long-term institutional care following acute hospitalisation is common, but current data do not allow prediction of who will make this transition. Potentially important predictors evaluated in community cohorts have not been examined in hospitalised cohorts. Understanding these predictors could help identify individuals at risk early in their admission, and support them in this transition or potentially intervene to reduce their risk. Copyright © The Author 2017. Published by Oxford University Press on behalf of the British Geriatrics Society.","archive":"Ovid MEDLINE(R) &lt;2017&gt;","container-title":"Age and ageing","DOI":"10.1093/ageing/afx047","ISSN":"1468-2834","issue":"4","journalAbbreviation":"Age Ageing","page":"547-558","title":"Predicting discharge to institutional long-term care following acute hospitalisation: a systematic review and meta-analysis.","volume":"46","author":[{"family":"Harrison","given":"Jennifer Kirsty"},{"family":"Walesby","given":"Katherine E"},{"family":"Hamilton","given":"Lorna"},{"family":"Armstrong","given":"Carolyn"},{"family":"Starr","given":"John M"},{"family":"Reynish","given":"Emma L"},{"family":"MacLullich","given":"Alasdair M J"},{"family":"Quinn","given":"Terry J"},{"family":"Shenkin","given":"Susan D"}],"issued":{"date-parts":[["2017"]]}}},{"id":67906,"uris":["http://zotero.org/groups/5108666/items/QQ3PGMMC"],"itemData":{"id":67906,"type":"article-journal","abstract":"OBJECTIVES: To describe transitions in care for older adults with dementia identified from a nationally representative cohort and to describe transition rates in those with more-severe levels of cognitive and functional impairment.\nDESIGN: Longitudinal cohort study.\nSETTING: Health and Retirement Study (HRS).\nPARTICIPANTS: HRS respondents aged 65 and older whose survey data were linked with Medicare claims from 1999 to 2008 (N = 16,186).\nMEASUREMENTS: Transitions in care between home, home with formal services, hospital, and nursing facility care; cognitive function; activities of daily living; and mortality.\nRESULTS: The 3,447 (21.3%) HRS subjects who were ever diagnosed with dementia experienced frequent transitions. Of subjects transitioning from a hospital stay, 52.2% returned home without home care services, and 33.8% transitioned to a nursing facility. Of subjects transitioning from a nursing facility, 59.2% transitioned to the hospital, and 25.3% returned home without services. There were 2,139 transitions to death, and 58.7% of HRS subjects with dementia died at home. Even in persons with moderate to severe dementia, multiple transitions in care were documented, including transitions from the hospital to home and back to the hospital.\nCONCLUSION: In this nationally representative sample of older adults, subjects diagnosed with dementia experience frequent transitions. Persons with dementia who are cared for at home and who transition back to home often have moderate to severe impairments in function and cognition.","container-title":"Journal of the American Geriatrics Society","DOI":"10.1111/jgs.13540","ISSN":"1532-5415","issue":"8","journalAbbreviation":"J Am Geriatr Soc","language":"eng","note":"PMID: 26200764\nPMCID: PMC4834213","page":"1495-1502","source":"PubMed","title":"Transitions in Care in a Nationally Representative Sample of Older Americans with Dementia","volume":"63","author":[{"family":"Callahan","given":"Christopher M."},{"family":"Tu","given":"Wanzhu"},{"family":"Unroe","given":"Kathleen T."},{"family":"LaMantia","given":"Michael A."},{"family":"Stump","given":"Timothy E."},{"family":"Clark","given":"Daniel O."}],"issued":{"date-parts":[["2015",8]]}}},{"id":1717,"uris":["http://zotero.org/users/7655466/items/JXK2VUYX"],"itemData":{"id":1717,"type":"article-journal","archive":"Scopus","container-title":"Archives of Gerontology and Geriatrics","DOI":"10.1016/j.archger.2022.104876","ISSN":"01674943 (ISSN)","note":"publisher: Elsevier Ireland Ltd","title":"The effects of dental visits on the occurrence of acute hospitalization for systemic diseases among patients aged 75 years or older: A propensity score-matched study","URL":"https://www.scopus.com/inward/record.uri?eid=2-s2.0-85143869945&amp;doi=10.1016%2fj.archger.2022.104876&amp;partnerID=40&amp;md5=f95bfc991b35665d2cc507dd671c36b0","volume":"107","author":[{"family":"Mitsutake","given":"S."},{"family":"Ishizaki","given":"T."},{"family":"Edahiro","given":"A."},{"family":"Kitamura","given":"A."},{"family":"Hirata","given":"T."},{"family":"Saito","given":"A."}],"issued":{"date-parts":[["2023"]]}}},{"id":67849,"uris":["http://zotero.org/groups/5108666/items/J9ZNK6VX"],"itemData":{"id":67849,"type":"webpage","abstract":"The decision to transition yourself or a loved one to a long-term care facility is not an easy one. Luckily, research exists to help you learn about your long-term care options and support you through the decision-making process.","container-title":"Default","language":"en","title":"Evidence-based considerations around long-term care","URL":"https://www.mcmasteroptimalaging.org/blog/detail/blog/2022/08/31/evidence-based-considerations-around-long-term-care","author":[{"family":"University","given":"McMaster"}],"accessed":{"date-parts":[["2023",7,30]]}}}],"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[6,7,12,17,18,20,24,26,36–38]</w:t>
      </w:r>
      <w:r w:rsidRPr="00ED5246">
        <w:rPr>
          <w:rFonts w:ascii="Times New Roman" w:hAnsi="Times New Roman" w:cs="Times New Roman"/>
        </w:rPr>
        <w:fldChar w:fldCharType="end"/>
      </w:r>
      <w:r w:rsidRPr="00ED5246">
        <w:rPr>
          <w:rFonts w:ascii="Times New Roman" w:hAnsi="Times New Roman" w:cs="Times New Roman"/>
        </w:rPr>
        <w:t xml:space="preserve"> stands out as a major factor, increasing the probability of LTC transitions. Similarly, general cognitive impairment was found to increase LTC </w:t>
      </w:r>
      <w:r w:rsidRPr="00ED5246">
        <w:rPr>
          <w:rFonts w:ascii="Times New Roman" w:hAnsi="Times New Roman" w:cs="Times New Roman"/>
        </w:rPr>
        <w:lastRenderedPageBreak/>
        <w:t xml:space="preserve">admissions (n=3)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M5TYlpsV","properties":{"formattedCitation":"[16,28,30]","plainCitation":"[16,28,30]","noteIndex":0},"citationItems":[{"id":1415,"uris":["http://zotero.org/users/local/LM1vrYZg/items/XCTDBSK7","http://zotero.org/users/7655466/items/XCTDBSK7"],"itemData":{"id":1415,"type":"report","title":"Seniors in Transition - Exploring Pathways Across the Care Continuum","URL":"https://www.cihi.ca/sites/default/files/document/seniors-in-transition-report-2017-en.pdf","author":[{"literal":"Canadian Institute for Health Information,"}],"accessed":{"date-parts":[["2022",12,9]]},"issued":{"date-parts":[["2017"]]}}},{"id":4913,"uris":["http://zotero.org/users/7655466/items/NKEDP6UA"],"itemData":{"id":4913,"type":"article-journal","archive":"Scopus","container-title":"Aging Clinical and Experimental Research","DOI":"10.1007/s40520-019-01310-7","ISSN":"15940667 (ISSN)","issue":"7","note":"publisher: Springer","page":"1271-1277","title":"Previous in-home physiotherapy prevents institutionalization after short-term hospitalization in community-dwelling older dependent people","volume":"32","author":[{"family":"Sebban","given":"A."},{"family":"Lesclide","given":"E."},{"family":"Bonin-Guillaume","given":"S."},{"family":"Campana","given":"M."},{"family":"Grino","given":"M."},{"family":"Franqui","given":"C."}],"issued":{"date-parts":[["2020"]]}}},{"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[16,28,30]</w:t>
      </w:r>
      <w:r w:rsidRPr="00ED5246">
        <w:rPr>
          <w:rFonts w:ascii="Times New Roman" w:hAnsi="Times New Roman" w:cs="Times New Roman"/>
        </w:rPr>
        <w:fldChar w:fldCharType="end"/>
      </w:r>
      <w:r w:rsidRPr="00ED5246">
        <w:rPr>
          <w:rFonts w:ascii="Times New Roman" w:hAnsi="Times New Roman" w:cs="Times New Roman"/>
        </w:rPr>
        <w:t xml:space="preserve">, as </w:t>
      </w:r>
      <w:r w:rsidRPr="00ED5246">
        <w:rPr>
          <w:rFonts w:ascii="Times New Roman" w:eastAsia="Aptos" w:hAnsi="Times New Roman" w:cs="Times New Roman"/>
        </w:rPr>
        <w:t>were</w:t>
      </w:r>
      <w:r w:rsidRPr="00ED5246">
        <w:rPr>
          <w:rFonts w:ascii="Times New Roman" w:hAnsi="Times New Roman" w:cs="Times New Roman"/>
        </w:rPr>
        <w:t xml:space="preserve"> certain dementia subtypes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{"citationID":"4NAG66L1","properties":{"formattedCitation":"[3,19]","plainCitation":"[3,19]","noteIndex":0},"citationItems":[{"id":67933,"uris":["http://zotero.org/groups/5108666/items/G4RZ8PSG"],"itemData":{"id":67933,"type":"article-journal","abstract":"INTRODUCTION: The Quality and Outcomes Framework, or QOF, rewards primary care doctors (GPs) in the UK for providing certain types of care. Since 2006, GPs have been paid to identify patients with dementia and to conduct an annual review of their mental and physical health. During the review, the GP also assesses the carer's support needs, including impact of caring, and ensures that services are co-ordinated across care settings. In principle, this type of care should reduce the risk of admission to long-term residential care directly from an acute hospital ward, a phenomenon considered to be indicative of poor quality care. However, this potential effect has not previously been tested.\nMETHODS: Using English data from 2006/07 to 2010/11, we ran multilevel logit models to assess the impact of the QOF review on the risk of care home placement following emergency admission to acute hospital. Emergency admissions were defined for (a) people with a primary diagnosis of dementia and (b) people with dementia admitted for treatment of an ambulatory care sensitive condition. We adjusted for a wide range of potential confounding factors.\nRESULTS: Over the study period, 19% of individuals admitted to hospital with a primary diagnosis of dementia (N = 31,120) were discharged to a care home; of those admitted for an ambulatory care sensitive condition (N = 139,267), the corresponding figure was 14%. Risk factors for subsequent care home placement included older age, female gender, vascular dementia, incontinence, fall, hip fracture, and number of comorbidities. Better performance on the QOF review was associated with a lower risk of care home placement but only when the admission was for an ambulatory care sensitive condition.\nCONCLUSIONS: The QOF dementia review may help to reduce the risk of long-term care home placement following acute hospital admission.","container-title":"PloS One","DOI":"10.1371/journal.pone.0155850","ISSN":"1932-6203","issue":"5","journalAbbreviation":"PLoS One","language":"eng","note":"PMID: 27227403\nPMCID: PMC4882036","page":"e0155850","source":"PubMed","title":"Risk of Care Home Placement following Acute Hospital Admission: Effects of a Pay-for-Performance Scheme for Dementia","title-short":"Risk of Care Home Placement following Acute Hospital Admission","volume":"11","author":[{"family":"Kasteridis","given":"Panagiotis"},{"family":"Mason","given":"Anne"},{"family":"Goddard","given":"Maria"},{"family":"Jacobs","given":"Rowena"},{"family":"Santos","given":"Rita"},{"family":"Rodriguez-Sanchez","given":"Beatriz"},{"family":"McGonigal","given":"Gerard"}],"issued":{"date-parts":[["2016"]]}}},{"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[3,19]</w:t>
      </w:r>
      <w:r w:rsidRPr="00ED5246">
        <w:rPr>
          <w:rFonts w:ascii="Times New Roman" w:hAnsi="Times New Roman" w:cs="Times New Roman"/>
        </w:rPr>
        <w:fldChar w:fldCharType="end"/>
      </w:r>
      <w:r w:rsidRPr="00ED5246">
        <w:rPr>
          <w:rFonts w:ascii="Times New Roman" w:hAnsi="Times New Roman" w:cs="Times New Roman"/>
        </w:rPr>
        <w:t xml:space="preserve">. </w:t>
      </w:r>
      <w:bookmarkStart w:id="8" w:name="_Hlk184121443"/>
      <w:bookmarkEnd w:id="7"/>
      <w:r w:rsidRPr="00ED5246">
        <w:rPr>
          <w:rFonts w:ascii="Times New Roman" w:hAnsi="Times New Roman" w:cs="Times New Roman"/>
        </w:rPr>
        <w:t>Mental health conditions, including behavioral challenges (n=</w:t>
      </w:r>
      <w:r>
        <w:rPr>
          <w:rFonts w:ascii="Times New Roman" w:hAnsi="Times New Roman" w:cs="Times New Roman"/>
        </w:rPr>
        <w:t>5</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YKTPZgnf","properties":{"formattedCitation":"[19,22,29,30,32]","plainCitation":"[19,22,29,30,32]","noteIndex":0},"citationItems":[{"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id":36534,"uris":["http://zotero.org/groups/5108666/items/GK9WYFZW"],"itemData":{"id":36534,"type":"article-journal","abstract":"Objective: To identify older adults who could benefit from integrated care, we examined (a) health, social, and functional characteristics of older, hospitalized adults who required continuing care on discharge and (b) associations between these characteristics and potentially unnecessary health care use. Method: Personal characteristics were extracted from patient charts (N = 214) and examined in relation to three outcomes: discharge to institutional care, unnecessary hospital stay (alternative level of care), and long hospital stay. Results: Twenty-nine percent of the sample was discharged to an institution, 32.7% was coded as alternate level of care, and 27.6% had a long length of stay. Independent predictors of potentially avoidable health care use were mental and behavioral issues, living alone, functional status, and preadmission concerns about the patient managing in the community. Discussion: High users of health care services were identifiable prior to hospital admission, supporting the use of community-based integrated care approaches.","archive":"cin20","container-title":"Journal of Aging &amp; Health","DOI":"10.1177/0898264318759856","ISSN":"0898-2643","issue":"7","journalAbbreviation":"Journal of Aging &amp; Health","page":"1085-1105","source":"EBSCOhost","title":"Health, Social, and Functional Characteristics of Older Adults With Continuing Care Needs: Implications for Integrated Care.","volume":"31","author":[{"family":"Brown","given":"Cara L."},{"family":"Menec","given":"Verena"}],"issued":{"date-parts":[["2019",8]]}}},{"id":4913,"uris":["http://zotero.org/users/7655466/items/NKEDP6UA"],"itemData":{"id":4913,"type":"article-journal","archive":"Scopus","container-title":"Aging Clinical and Experimental Research","DOI":"10.1007/s40520-019-01310-7","ISSN":"15940667 (ISSN)","issue":"7","note":"publisher: Springer","page":"1271-1277","title":"Previous in-home physiotherapy prevents institutionalization after short-term hospitalization in community-dwelling older dependent people","volume":"32","author":[{"family":"Sebban","given":"A."},{"family":"Lesclide","given":"E."},{"family":"Bonin-Guillaume","given":"S."},{"family":"Campana","given":"M."},{"family":"Grino","given":"M."},{"family":"Franqui","given":"C."}],"issued":{"date-parts":[["2020"]]}}},{"id":40812,"uris":["http://zotero.org/groups/5108666/items/9ZLN6XB2"],"itemData":{"id":40812,"type":"article-journal","abstract":"ABSTRACTWe aimed to understand clinical decision-making processes that influence the orientation of older patients after hospital discharge. We compared discharge decisions (i.e., discharge home, or nursing home stay) of the hospital team with those of an expert panel. Both panel and hospital team made their decisions independently. The blind study included 102 patients (mean age: 83.13 +/- 6.74). There is a statistically significant difference between expert and hospital team decisions (p &lt; .001; kappa coefficient: 0.468). Panel decisions were more closely associated with isolation (p = .018), reliable caregivers (p = .004), social problems (p = .001), and behavioural symptoms perceived as aggressive (p = .001). Both decision processes considered refusal of care (p = 0,025 and 0.016 respectively) and social problems (p = .001 and &lt; 0.001 respectively). Discharge planning models differ depending on the country, team and patient's condition. Our study suggests more precise evaluation of patients' needs.","archive":"Ovid MEDLINE(R) &lt;2019&gt;","container-title":"Canadian journal on aging = La revue canadienne du vieillissement","DOI":"10.1017/S0714980818000442","ISSN":"1710-1107","issue":"1","journalAbbreviation":"Can J Aging","page":"90-99","title":"Hospital Discharge Decisions Concerning Older Patients: Understanding the Underlying Process.","volume":"38","author":[{"family":"Koskas","given":"Pierre"},{"family":"Pons-Peyneau","given":"Cecile"},{"family":"Romdhani","given":"Mouna"},{"family":"Houenou-Quenum","given":"Nadege"},{"family":"Galleron","given":"Sandrine"},{"family":"Drunat","given":"Olivier"}],"issued":{"date-parts":[["2019"]]}}}],"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[19,22,29,30,32]</w:t>
      </w:r>
      <w:r w:rsidRPr="00ED5246">
        <w:rPr>
          <w:rFonts w:ascii="Times New Roman" w:hAnsi="Times New Roman" w:cs="Times New Roman"/>
        </w:rPr>
        <w:fldChar w:fldCharType="end"/>
      </w:r>
      <w:r w:rsidRPr="00ED5246">
        <w:rPr>
          <w:rFonts w:ascii="Times New Roman" w:hAnsi="Times New Roman" w:cs="Times New Roman"/>
        </w:rPr>
        <w:t xml:space="preserve">, depression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lYmMPiWy","properties":{"formattedCitation":"[11,17]","plainCitation":"[11,17]","noteIndex":0},"citationItems":[{"id":48995,"uris":["http://zotero.org/groups/5108666/items/TQTV8ZCH","http://zotero.org/groups/5108666/items/NXEYSJEF"],"itemData":{"id":48995,"type":"article-journal","archive":"Scopus","container-title":"Clinical Rehabilitation","DOI":"10.1177/0269215517748715","issue":"8","page":"1108-1118","title":"Using population-based routinely collected data from the Sentinel Stroke National Audit Programme to investigate factors associated with discharge to care home after rehabilitation","volume":"32","author":[{"family":"Dutta","given":"D."},{"family":"Thornton","given":"D."},{"family":"Bowen","given":"E."}],"issued":{"date-parts":[["2018"]]}}},{"id":67837,"uris":["http://zotero.org/groups/5108666/items/772946KW"],"itemData":{"id":67837,"type":"article-journal","abstract":"INTRODUCTION: Sustaining a hip fracture is a life changing event for many elderlies. While doctors and researchers tend to be preoccupied with mortality and complication rates, patients are more concerned by other aspects e.g. loss of independence and ability to remain in their own home. This study aimed to i) determine age-stratified one-year event rates of admission to nursing home after discharge, and ii) identify risk factors associated with nursing home admission.\nMETHODS: Community dwelling patients aged 60-100 years undergoing their first hip fracture surgery in 2005 - 2015 were identified in nationwide administrative registries. Outcome was admission to nursing home within one year of discharge. To assess risk factors, we performed age-stratified cumulative incidence curves and multivariate cause specific cox regression models adjusted for age, sex, social factors, and comorbidities.\nRESULTS: A total of 53,157 patients were included. One-year risk increased with advancing age from 3.2% of patients aged 60 to 69, up to 22.4% in the eldest group aged 90-100 years. Living alone and dementia were strong risk factors HR 9.22 [95% CI 5.60-15.18, p = &lt;0.0001] and HR 6.73 [95% CI 4.80- 9.44, p = 0.0001] respectively for patients aged 60 to 69 years, the effect decreased with higher age down to HR 2.75 [95% CI 2.12- 3.57, p = &lt;0.0001] and HR 2.15 [95% CI 1.88- 2.46, p = &lt;0.0001] for patients ≥ 90 years. Other important risk factors were pre-injury home care, Parkinson's disease and depression. Surprisingly, physical comorbidities i.e. kidney disease, chronic obstructive pulmonary disease, diabetes and cancer did not increase the risk of nursing home admission.\nCONCLUSION: Future initiatives aimed to reduce loss of independence and nursing home admission, among patients with first time hip fracture, should devote attention to living settings and cognitive impairment rather than physical comorbidity.","container-title":"Injury","DOI":"10.1016/j.injury.2020.06.041","ISSN":"1879-0267","issue":"10","journalAbbreviation":"Injury","language":"eng","note":"PMID: 32622625","page":"2289-2294","source":"PubMed","title":"Living settings and cognitive impairment are stronger predictors of nursing home admission after hip fracture surgery than physical comorbidities A nationwide Danish cohort study","volume":"51","author":[{"family":"Wahlsten","given":"Liv Riisager"},{"family":"Smedegaard","given":"Lærke"},{"family":"Brorson","given":"Stig"},{"family":"Gislason","given":"Gunnar"},{"family":"Palm","given":"Henrik"}],"issued":{"date-parts":[["2020",10]]}}}],"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[11,17]</w:t>
      </w:r>
      <w:r w:rsidRPr="00ED5246">
        <w:rPr>
          <w:rFonts w:ascii="Times New Roman" w:hAnsi="Times New Roman" w:cs="Times New Roman"/>
        </w:rPr>
        <w:fldChar w:fldCharType="end"/>
      </w:r>
      <w:r w:rsidRPr="00ED5246">
        <w:rPr>
          <w:rFonts w:ascii="Times New Roman" w:hAnsi="Times New Roman" w:cs="Times New Roman"/>
        </w:rPr>
        <w:t xml:space="preserve">, various psychiatric conditions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{"citationID":"HOfvidYV","properties":{"formattedCitation":"[20]","plainCitation":"[20]","noteIndex":0},"citationItems":[{"id":1801,"uris":["http://zotero.org/users/7655466/items/XHVYVFFL"],"itemData":{"id":1801,"type":"article-journal","archive":"Scopus","container-title":"Age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[20]</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 xml:space="preserve">and </w:t>
      </w:r>
      <w:r w:rsidRPr="00ED5246">
        <w:rPr>
          <w:rFonts w:ascii="Times New Roman" w:hAnsi="Times New Roman" w:cs="Times New Roman"/>
        </w:rPr>
        <w:t xml:space="preserve">refusal of care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{"citationID":"Elki70BW","properties":{"formattedCitation":"[32]","plainCitation":"[32]","noteIndex":0},"citationItems":[{"id":40812,"uris":["http://zotero.org/groups/5108666/items/9ZLN6XB2"],"itemData":{"id":40812,"type":"article-journal","abstract":"ABSTRACTWe aimed to understand clinical decision-making processes that influence the orientation of older patients after hospital discharge. We compared discharge decisions (i.e., discharge home, or nursing home stay) of the hospital team with those of an expert panel. Both panel and hospital team made their decisions independently. The blind study included 102 patients (mean age: 83.13 +/- 6.74). There is a statistically significant difference between expert and hospital team decisions (p &lt; .001; kappa coefficient: 0.468). Panel decisions were more closely associated with isolation (p = .018), reliable caregivers (p = .004), social problems (p = .001), and behavioural symptoms perceived as aggressive (p = .001). Both decision processes considered refusal of care (p = 0,025 and 0.016 respectively) and social problems (p = .001 and &lt; 0.001 respectively). Discharge planning models differ depending on the country, team and patient's condition. Our study suggests more precise evaluation of patients' needs.","archive":"Ovid MEDLINE(R) &lt;2019&gt;","container-title":"Canadian journal on aging = La revue canadienne du vieillissement","DOI":"10.1017/S0714980818000442","ISSN":"1710-1107","issue":"1","journalAbbreviation":"Can J Aging","page":"90-99","title":"Hospital Discharge Decisions Concerning Older Patients: Understanding the Underlying Process.","volume":"38","author":[{"family":"Koskas","given":"Pierre"},{"family":"Pons-Peyneau","given":"Cecile"},{"family":"Romdhani","given":"Mouna"},{"family":"Houenou-Quenum","given":"Nadege"},{"family":"Galleron","given":"Sandrine"},{"family":"Drunat","given":"Olivier"}],"issued":{"date-parts":[["2019"]]}}}],"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[32]</w:t>
      </w:r>
      <w:r w:rsidRPr="00ED5246">
        <w:rPr>
          <w:rFonts w:ascii="Times New Roman" w:hAnsi="Times New Roman" w:cs="Times New Roman"/>
        </w:rPr>
        <w:fldChar w:fldCharType="end"/>
      </w:r>
      <w:r w:rsidRPr="000B2D1D">
        <w:rPr>
          <w:rFonts w:ascii="Times New Roman" w:hAnsi="Times New Roman" w:cs="Times New Roman"/>
          <w:color w:val="EE0000"/>
        </w:rPr>
        <w:t xml:space="preserve"> </w:t>
      </w:r>
      <w:r w:rsidRPr="00ED5246">
        <w:rPr>
          <w:rFonts w:ascii="Times New Roman" w:hAnsi="Times New Roman" w:cs="Times New Roman"/>
        </w:rPr>
        <w:t>also elevate the likelihood of LTC transitions.</w:t>
      </w:r>
      <w:bookmarkEnd w:id="8"/>
    </w:p>
    <w:p w14:paraId="3A8C65B5" w14:textId="49B0BC7C" w:rsidR="004579D2" w:rsidRPr="00ED5246" w:rsidRDefault="004579D2" w:rsidP="00A04BF9">
      <w:pPr>
        <w:spacing w:after="0" w:line="480" w:lineRule="auto"/>
        <w:jc w:val="both"/>
        <w:rPr>
          <w:rFonts w:ascii="Times New Roman" w:hAnsi="Times New Roman" w:cs="Times New Roman"/>
        </w:rPr>
      </w:pPr>
      <w:r>
        <w:rPr>
          <w:rFonts w:ascii="Times New Roman" w:eastAsia="Aptos" w:hAnsi="Times New Roman" w:cs="Times New Roman"/>
        </w:rPr>
        <w:t>F</w:t>
      </w:r>
      <w:r w:rsidRPr="00ED5246">
        <w:rPr>
          <w:rFonts w:ascii="Times New Roman" w:eastAsia="Aptos" w:hAnsi="Times New Roman" w:cs="Times New Roman"/>
        </w:rPr>
        <w:t>unctional</w:t>
      </w:r>
      <w:r w:rsidRPr="00ED5246">
        <w:rPr>
          <w:rFonts w:ascii="Times New Roman" w:hAnsi="Times New Roman" w:cs="Times New Roman"/>
        </w:rPr>
        <w:t xml:space="preserve"> and physical health factors </w:t>
      </w:r>
      <w:r>
        <w:rPr>
          <w:rFonts w:ascii="Times New Roman" w:hAnsi="Times New Roman" w:cs="Times New Roman"/>
        </w:rPr>
        <w:t xml:space="preserve">considerably </w:t>
      </w:r>
      <w:r w:rsidRPr="00ED5246">
        <w:rPr>
          <w:rFonts w:ascii="Times New Roman" w:hAnsi="Times New Roman" w:cs="Times New Roman"/>
        </w:rPr>
        <w:t xml:space="preserve">shape these transitions. Functional impairments were demonstrated </w:t>
      </w:r>
      <w:r w:rsidRPr="00ED5246">
        <w:rPr>
          <w:rFonts w:ascii="Times New Roman" w:eastAsia="Aptos" w:hAnsi="Times New Roman" w:cs="Times New Roman"/>
        </w:rPr>
        <w:t>to necessitate</w:t>
      </w:r>
      <w:r w:rsidRPr="00ED5246">
        <w:rPr>
          <w:rFonts w:ascii="Times New Roman" w:hAnsi="Times New Roman" w:cs="Times New Roman"/>
        </w:rPr>
        <w:t xml:space="preserve"> LTC in quantitative studies (n=6)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jBIiV9dz","properties":{"formattedCitation":"[18\\uc0\\u8211{}20,24,29,37]","plainCitation":"[18–20,24,29,37]","noteIndex":0},"citationItems":[{"id":67866,"uris":["http://zotero.org/groups/5108666/items/QLKDZV2V"],"itemData":{"id":67866,"type":"article-journal","abstract":"OBJECTIVE: To evaluate the impact of frailty, measured using the Canadian Study of Health and Aging Clinical Frailty Scale, on outcomes of older people hospitalized with acute illness.\nMETHOD: Consecutive patients were randomly allocated to a model development sample or a model validation sample. Multivariate analyses were used to model in-hospital mortality, new nursing home placement, and length of stay. Variables selected in the development samples were tested in the validation samples.\nRESULTS: The mean age of all 2,125 patients was 82.9 years. Most (93.6%) were admitted through the emergency department. Frailty predicted in-hospital mortality (odds ratio [OR] = 2.97 [2.11, 4.17]), new nursing home placement (OR = 1.60 [1.14, 2.24]), and length of hospital stay (hazard ratio = 0.87 [0.81, 0.93]).\nDISCUSSION: Frailty is a strong predictor of adverse outcomes in older people hospitalized with acute illness. An increased awareness of its impact may alert clinicians to screen for frailty.","container-title":"Journal of Aging and Health","DOI":"10.1177/0898264314558202","ISSN":"1552-6887","issue":"4","journalAbbreviation":"J Aging Health","language":"eng","note":"PMID: 25414168","page":"670-685","source":"PubMed","title":"Frailty in an older inpatient population: using the clinical frailty scale to predict patient outcomes","title-short":"Frailty in an older inpatient population","volume":"27","author":[{"family":"Basic","given":"David"},{"family":"Shanley","given":"Chris"}],"issued":{"date-parts":[["2015",6]]}}},{"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H."}],"issued":{"date-parts":[["2023",12]]}}},{"id":8035,"uris":["http://zotero.org/users/7655466/items/CPY7XGIE"],"itemData":{"id":8035,"type":"article-journal","archive":"Scopus","container-title":"Archives of Gerontology and Geriatrics","DOI":"10.1016/j.archger.2017.05.012","ISSN":"01674943 (ISSN)","note":"publisher: Elsevier Ireland Ltd","page":"59-66","title":"Risk factors associated with residential aged care, respite and transitional aged care admission for older people following an injury-related hospitalisation","volume":"72","author":[{"family":"Mitchell","given":"R."},{"family":"Harvey","given":"L."},{"family":"Draper","given":"B."},{"family":"Brodaty","given":"H."},{"family":"Close","given":"J."}],"issued":{"date-parts":[["2017"]]}}},{"id":36534,"uris":["http://zotero.org/groups/5108666/items/GK9WYFZW"],"itemData":{"id":36534,"type":"article-journal","abstract":"Objective: To identify older adults who could benefit from integrated care, we examined (a) health, social, and functional characteristics of older, hospitalized adults who required continuing care on discharge and (b) associations between these characteristics and potentially unnecessary health care use. Method: Personal characteristics were extracted from patient charts (N = 214) and examined in relation to three outcomes: discharge to institutional care, unnecessary hospital stay (alternative level of care), and long hospital stay. Results: Twenty-nine percent of the sample was discharged to an institution, 32.7% was coded as alternate level of care, and 27.6% had a long length of stay. Independent predictors of potentially avoidable health care use were mental and behavioral issues, living alone, functional status, and preadmission concerns about the patient managing in the community. Discussion: High users of health care services were identifiable prior to hospital admission, supporting the use of community-based integrated care approaches.","archive":"cin20","container-title":"Journal of Aging &amp; Health","DOI":"10.1177/0898264318759856","ISSN":"0898-2643","issue":"7","journalAbbreviation":"Journal of Aging &amp; Health","page":"1085-1105","source":"EBSCOhost","title":"Health, Social, and Functional Characteristics of Older Adults With Continuing Care Needs: Implications for Integrated Care.","volume":"31","author":[{"family":"Brown","given":"Cara L."},{"family":"Menec","given":"Verena"}],"issued":{"date-parts":[["2019",8]]}}},{"id":1801,"uris":["http://zotero.org/users/7655466/items/XHVYVFFL"],"itemData":{"id":1801,"type":"article-journal","archive":"Scopus","container-title":"Age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id":1717,"uris":["http://zotero.org/users/7655466/items/JXK2VUYX"],"itemData":{"id":1717,"type":"article-journal","archive":"Scopus","container-title":"Archives of Gerontology and Geriatrics","DOI":"10.1016/j.archger.2022.104876","ISSN":"01674943 (ISSN)","note":"publisher: Elsevier Ireland Ltd","title":"The effects of dental visits on the occurrence of acute hospitalization for systemic diseases among patients aged 75 years or older: A propensity score-matched study","URL":"https://www.scopus.com/inward/record.uri?eid=2-s2.0-85143869945&amp;doi=10.1016%2fj.archger.2022.104876&amp;partnerID=40&amp;md5=f95bfc991b35665d2cc507dd671c36b0","volume":"107","author":[{"family":"Mitsutake","given":"S."},{"family":"Ishizaki","given":"T."},{"family":"Edahiro","given":"A."},{"family":"Kitamura","given":"A."},{"family":"Hirata","given":"T."},{"family":"Saito","given":"A."}],"issued":{"date-parts":[["2023"]]}}}],"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[18–20,24,29,37]</w:t>
      </w:r>
      <w:r w:rsidRPr="00ED5246">
        <w:rPr>
          <w:rFonts w:ascii="Times New Roman" w:hAnsi="Times New Roman" w:cs="Times New Roman"/>
        </w:rPr>
        <w:fldChar w:fldCharType="end"/>
      </w:r>
      <w:r w:rsidRPr="00ED5246">
        <w:rPr>
          <w:rFonts w:ascii="Times New Roman" w:hAnsi="Times New Roman" w:cs="Times New Roman"/>
        </w:rPr>
        <w:t xml:space="preserve"> and systematic reviews (n=4)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gtRaqADQ","properties":{"formattedCitation":"[22,26,34,38]","plainCitation":"[22,26,34,38]","noteIndex":0},"citationItems":[{"id":41315,"uris":["http://zotero.org/groups/5108666/items/Y8SIINXU"],"itemData":{"id":41315,"type":"article-journal","abstract":"Background: moving into long-term institutional care is a significant life event for any individual. Predictors of institutional care admission from community-dwellers and people with dementia have been described, but those from the acute hospital setting have not been systematically reviewed. Our aim was to establish predictive factors for discharge to institutional care following acute hospitalisation., Methods: we registered and conducted a systematic review (PROSPERO: CRD42015023497). We searched MEDLINE; EMBASE and CINAHL Plus in September 2015. We included observational studies of patients admitted directly to long-term institutional care following acute hospitalisation where factors associated with institutionalisation were reported., Results: from 9,176 records, we included 23 studies (n = 354,985 participants). Studies were heterogeneous, with the proportions discharged to a care home 3-77% (median 15%). Eleven studies (n = 12,642), of moderate to low quality, were included in the quantitative synthesis. The need for institutional long-term care was associated with age (pooled odds ratio (OR) 1.02, 95% confidence intervals (CI): 1.00-1.04), female sex (pooled OR 1.41, 95% CI: 1.03-1.92), dementia (pooled OR 2.14, 95% CI: 1.24-3.70) and functional dependency (pooled OR 2.06, 95% CI: 1.58-2.69)., Conclusions: discharge to long-term institutional care following acute hospitalisation is common, but current data do not allow prediction of who will make this transition. Potentially important predictors evaluated in community cohorts have not been examined in hospitalised cohorts. Understanding these predictors could help identify individuals at risk early in their admission, and support them in this transition or potentially intervene to reduce their risk. Copyright © The Author 2017. Published by Oxford University Press on behalf of the British Geriatrics Society.","archive":"Ovid MEDLINE(R) &lt;2017&gt;","container-title":"Age and ageing","DOI":"10.1093/ageing/afx047","ISSN":"1468-2834","issue":"4","journalAbbreviation":"Age Ageing","page":"547-558","title":"Predicting discharge to institutional long-term care following acute hospitalisation: a systematic review and meta-analysis.","volume":"46","author":[{"family":"Harrison","given":"Jennifer Kirsty"},{"family":"Walesby","given":"Katherine E"},{"family":"Hamilton","given":"Lorna"},{"family":"Armstrong","given":"Carolyn"},{"family":"Starr","given":"John M"},{"family":"Reynish","given":"Emma L"},{"family":"MacLullich","given":"Alasdair M J"},{"family":"Quinn","given":"Terry J"},{"family":"Shenkin","given":"Susan D"}],"issued":{"date-parts":[["2017"]]}}},{"id":67849,"uris":["http://zotero.org/groups/5108666/items/J9ZNK6VX"],"itemData":{"id":67849,"type":"webpage","abstract":"The decision to transition yourself or a loved one to a long-term care facility is not an easy one. Luckily, research exists to help you learn about your long-term care options and support you through the decision-making process.","container-title":"Default","language":"en","title":"Evidence-based considerations around long-term care","URL":"https://www.mcmasteroptimalaging.org/blog/detail/blog/2022/08/31/evidence-based-considerations-around-long-term-care","author":[{"family":"University","given":"McMaster"}],"accessed":{"date-parts":[["2023",7,30]]}}},{"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[22,26,34,38]</w:t>
      </w:r>
      <w:r w:rsidRPr="00ED5246">
        <w:rPr>
          <w:rFonts w:ascii="Times New Roman" w:hAnsi="Times New Roman" w:cs="Times New Roman"/>
        </w:rPr>
        <w:fldChar w:fldCharType="end"/>
      </w:r>
      <w:r w:rsidRPr="00ED5246">
        <w:rPr>
          <w:rFonts w:ascii="Times New Roman" w:hAnsi="Times New Roman" w:cs="Times New Roman"/>
        </w:rPr>
        <w:t xml:space="preserve">. Mobility challenges are also positively associated with LTC transitions (n=3)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DjikFbEN","properties":{"formattedCitation":"[2,6,16]","plainCitation":"[2,6,16]","noteIndex":0},"citationItems":[{"id":67898,"uris":["http://zotero.org/groups/5108666/items/QYS9TC57"],"itemData":{"id":67898,"type":"article-journal","abstract":"Objective\nOne-fifth of patient discharges from the acute hospital are delayed due to non-medical reasons. Prior research on small specific samples shows that patient mobility is important for predicting post-acute care (PAC) need. Our purpose was to create a disposition prediction model for PAC need in a large, clinically diverse.\nMethods\nA random forest (RF) was constructed to analyze patient admissions at 2 hospitals. The primary outcome was discharge disposition (home or PAC). Predictors included the lowest AM-PAC ‘6-clicks’ mobility score within 48-hours of admission (primary predictor) and demographic and clinical characteristics. A global summary tree was constructed to summarize the RF.\nResults\nAmong 34,432 patient admissions, the most important variables for predicting PAC placement were AM-PAC, BMI, and age. The AUC was 0.80 (95% confidence interval: 0.79, 0.81). Using a predicted probability for PAC of 0.25 or higher, the sensitivity, specificity and overall accuracy was 76%, 70% and 72%, respectively. Patients 66 years or older with AM-PAC of &lt;31 had the highest probability (0.76) for discharge to PAC. Patients with AM-PAC of &gt;43 had the highest probability for discharge to home.\nConclusions\nSystematic assessment of inpatients admission mobility should be implemented and used for discharge planning. Electronic medical record systems should be designed to collect and facilitate availability of mobility data on all patients to providers who play key roles in discharge planning.\nPublic Interest Summary\nPatient's mobility status during hospitalization has been used to predict their next level of care at discharge, but this work has been done with more limited methods and focused on select patient groups. Using a machine learning technique on thousands of patients with very different medical problems, this study shows that mobility status very early in hospitalization predicts post-acute care (PAC) needs. Based on this study we recommend that early assessment of patient mobility in the hospital should occur for all patients as it can facilitate more effective discharge planning.","container-title":"Health Policy and Technology","DOI":"10.1016/j.hlpt.2023.100754","ISSN":"2211-8837","issue":"2","journalAbbreviation":"Health Policy and Technology","language":"en","page":"100754","source":"ScienceDirect","title":"Machine learning prediction of hospital patient need for post-acute care using an admission mobility measure is robust across patient diagnoses","volume":"12","author":[{"family":"Young","given":"Daniel L."},{"family":"Engels","given":"Rebecca"},{"family":"Colantuoni","given":"Elizabeth"},{"family":"Friedman","given":"Lisa Aronson"},{"family":"Hoyer","given":"Erik H."}],"issued":{"date-parts":[["2023",6,1]]}}},{"id":39955,"uris":["http://zotero.org/groups/5108666/items/2CBAJKM4"],"itemData":{"id":39955,"type":"article-journal","abstract":"OBJECTIVE: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[2,6,16]</w:t>
      </w:r>
      <w:r w:rsidRPr="00ED5246">
        <w:rPr>
          <w:rFonts w:ascii="Times New Roman" w:hAnsi="Times New Roman" w:cs="Times New Roman"/>
        </w:rPr>
        <w:fldChar w:fldCharType="end"/>
      </w:r>
      <w:r w:rsidRPr="00ED5246">
        <w:rPr>
          <w:rFonts w:ascii="Times New Roman" w:hAnsi="Times New Roman" w:cs="Times New Roman"/>
        </w:rPr>
        <w:t xml:space="preserve">, as is a high level of </w:t>
      </w:r>
      <w:r w:rsidRPr="00ED5246">
        <w:rPr>
          <w:rFonts w:ascii="Times New Roman" w:eastAsia="Aptos" w:hAnsi="Times New Roman" w:cs="Times New Roman"/>
        </w:rPr>
        <w:t xml:space="preserve">dependence on </w:t>
      </w:r>
      <w:r w:rsidRPr="00ED5246">
        <w:rPr>
          <w:rFonts w:ascii="Times New Roman" w:hAnsi="Times New Roman" w:cs="Times New Roman"/>
        </w:rPr>
        <w:t xml:space="preserve">activities of daily living (ADL), </w:t>
      </w:r>
      <w:r w:rsidRPr="00ED5246">
        <w:rPr>
          <w:rFonts w:ascii="Times New Roman" w:eastAsia="Aptos" w:hAnsi="Times New Roman" w:cs="Times New Roman"/>
        </w:rPr>
        <w:t xml:space="preserve">as </w:t>
      </w:r>
      <w:r w:rsidRPr="00ED5246">
        <w:rPr>
          <w:rFonts w:ascii="Times New Roman" w:hAnsi="Times New Roman" w:cs="Times New Roman"/>
        </w:rPr>
        <w:t xml:space="preserve">supported by quantitative studies (n=6)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U0fzeO3h","properties":{"formattedCitation":"[4,6,16,25,28,39]","plainCitation":"[4,6,16,25,28,39]","noteIndex":0},"citationItems":[{"id":1415,"uris":["http://zotero.org/users/local/LM1vrYZg/items/XCTDBSK7","http://zotero.org/users/7655466/items/XCTDBSK7"],"itemData":{"id":1415,"type":"report","title":"Seniors in Transition - Exploring Pathways Across the Care Continuum","URL":"https://www.cihi.ca/sites/default/files/document/seniors-in-transition-report-2017-en.pdf","author":[{"literal":"Canadian Institute for Health Information,"}],"accessed":{"date-parts":[["2022",12,9]]},"issued":{"date-parts":[["2017"]]}}},{"id":39310,"uris":["http://zotero.org/groups/5108666/items/DKV78FLY"],"itemData":{"id":39310,"type":"article-journal","abstract":"In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Group"}],"issued":{"date-parts":[["2021"]]}}},{"id":41933,"uris":["http://zotero.org/groups/5108666/items/PI2ZRFRF"],"itemData":{"id":41933,"type":"article-journal","abstract":"OBJECTIVES: This study investigates how health- and disability-based need factors and enabling factors (e.g., socioeconomic and family-based resources) relate to nursing home admission among 3 different racial and ethnic groups., METHOD: We use Cox proportional hazard models to estimate differences in nursing home admission for non-Hispanic whites, non-Hispanic blacks, and Hispanics from 1998 to 2010 in the Health and Retirement Study (N = 18,952)., RESULTS: Racial-ethnic differences in nursing home admission are magnified after controlling for health- and disability-based need factors and enabling factors. Additionally, the degree to which specific factors contribute to risk of nursing home admission varies significantly across racial-ethnic groups., DISCUSSION: Our findings indicate that substantial racial and ethnic variations in nursing home admission continue to exist and that Hispanic use is particularly low. We argue that these differences may demonstrate a significant underuse of nursing homes for racial and ethnic minorities. Alternatively, they could signify different preferences for nursing home care, perhaps due to unmeasured cultural factors or structural obstacles. Copyright © The Author 2014. Published by Oxford University Press on behalf of The Gerontological Society of America. All rights reserved. For permissions, please e-mail: journals.permissions@oup.com.","archive":"Ovid MEDLINE(R) &lt;2015&gt;","container-title":"The journals of gerontology. Series B, Psychological sciences and social sciences","DOI":"10.1093/geronb/gbu114","ISSN":"1758-5368","issue":"4","journalAbbreviation":"J Gerontol B Psychol Sci Soc Sci","page":"628-38","title":"How do race and Hispanic ethnicity affect nursing home admission? Evidence from the Health and Retirement Study.","volume":"70","author":[{"family":"Thomeer","given":"Mieke Beth"},{"family":"Mudrazija","given":"Stipica"},{"family":"Angel","given":"Jacqueline L"}],"issued":{"date-parts":[["2015"]]}}},{"id":68296,"uris":["http://zotero.org/groups/5124193/items/JEVEXEAX"],"itemData":{"id":68296,"type":"report","title":"Ageing Well - School of Policy Studies - Queen's University","URL":"https://www.queensu.ca/sps/sites/spswww/files/uploaded_files/publications/1%20Ageing%20Well%20Report%20-%20November%202020.pdf","author":[{"literal":"Don Drummond"}],"issued":{"date-parts":[["2020"]]}}},{"id":69671,"uris":["http://zotero.org/users/7655466/items/9UXVR3EU"],"itemData":{"id":69671,"type":"article-journal","abstract":"A systematic screening of patients with a need for post-acute care is a helpful support for interprofessional discharge planning teams. We aimed to...","container-title":"International Journal of Health Professions","DOI":"10.2478/ijhp-2022-0005","issue":"1","language":"en","page":"59-66","source":"sciendo.com","title":"Sciendo","volume":"9","author":[{"family":"Conca","given":"Antoinette"},{"family":"Koch","given":"Daniel"},{"family":"Regez","given":"Katharina"},{"family":"Kutz","given":"Alexander"},{"family":"Haubitz","given":"Sebastian"},{"family":"Schuetz","given":"Philipp"},{"family":"Mueller","given":"Beat"},{"family":"Schindler","given":"Christian"},{"family":"Spirig","given":"Rebecca"},{"family":"Petry","given":"Heidi"}],"issued":{"date-parts":[["2022",7,12]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[4,6,16,25,28,39]</w:t>
      </w:r>
      <w:r w:rsidRPr="00ED5246">
        <w:rPr>
          <w:rFonts w:ascii="Times New Roman" w:hAnsi="Times New Roman" w:cs="Times New Roman"/>
        </w:rPr>
        <w:fldChar w:fldCharType="end"/>
      </w:r>
      <w:r w:rsidRPr="00ED5246">
        <w:rPr>
          <w:rFonts w:ascii="Times New Roman" w:hAnsi="Times New Roman" w:cs="Times New Roman"/>
        </w:rPr>
        <w:t xml:space="preserve"> and systematic </w:t>
      </w:r>
      <w:r w:rsidRPr="00ED5246">
        <w:rPr>
          <w:rFonts w:ascii="Times New Roman" w:eastAsia="Aptos" w:hAnsi="Times New Roman" w:cs="Times New Roman"/>
        </w:rPr>
        <w:t>reviews</w:t>
      </w:r>
      <w:r w:rsidRPr="00ED5246">
        <w:rPr>
          <w:rFonts w:ascii="Times New Roman" w:hAnsi="Times New Roman" w:cs="Times New Roman"/>
        </w:rPr>
        <w:t xml:space="preserv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{"citationID":"mejoFC5R","properties":{"formattedCitation":"[34]","plainCitation":"[34]","noteIndex":0},"citationItems":[{"id":1532,"uris":["http://zotero.org/users/7655466/items/NYWMK3NE"],"itemData":{"id":1532,"type":"article-journal","abstract":"Some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[34]</w:t>
      </w:r>
      <w:r w:rsidRPr="00ED5246">
        <w:rPr>
          <w:rFonts w:ascii="Times New Roman" w:hAnsi="Times New Roman" w:cs="Times New Roman"/>
        </w:rPr>
        <w:fldChar w:fldCharType="end"/>
      </w:r>
      <w:r w:rsidRPr="00ED5246">
        <w:rPr>
          <w:rFonts w:ascii="Times New Roman" w:hAnsi="Times New Roman" w:cs="Times New Roman"/>
        </w:rPr>
        <w:t xml:space="preserve">. Additionally, higher frailty levels were identified as determinants of </w:t>
      </w:r>
      <w:r w:rsidRPr="00ED5246">
        <w:rPr>
          <w:rFonts w:ascii="Times New Roman" w:eastAsia="Aptos" w:hAnsi="Times New Roman" w:cs="Times New Roman"/>
        </w:rPr>
        <w:t>the</w:t>
      </w:r>
      <w:r w:rsidRPr="00ED5246">
        <w:rPr>
          <w:rFonts w:ascii="Times New Roman" w:hAnsi="Times New Roman" w:cs="Times New Roman"/>
        </w:rPr>
        <w:t xml:space="preserve"> need </w:t>
      </w:r>
      <w:r w:rsidRPr="00ED5246">
        <w:rPr>
          <w:rFonts w:ascii="Times New Roman" w:eastAsia="Aptos" w:hAnsi="Times New Roman" w:cs="Times New Roman"/>
        </w:rPr>
        <w:t xml:space="preserve">for LTC </w:t>
      </w:r>
      <w:r w:rsidRPr="00ED5246">
        <w:rPr>
          <w:rFonts w:ascii="Times New Roman" w:hAnsi="Times New Roman" w:cs="Times New Roman"/>
        </w:rPr>
        <w:t>in quantitative studies (n=</w:t>
      </w:r>
      <w:r>
        <w:rPr>
          <w:rFonts w:ascii="Times New Roman" w:hAnsi="Times New Roman" w:cs="Times New Roman"/>
        </w:rPr>
        <w:t>9</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SeNJb1yM","properties":{"formattedCitation":"[18\\uc0\\u8211{}20,33,37,39\\uc0\\u8211{}42]","plainCitation":"[18–20,33,37,39–42]","noteIndex":0},"citationItems":[{"id":67866,"uris":["http://zotero.org/groups/5108666/items/QLKDZV2V"],"itemData":{"id":67866,"type":"article-journal","abstract":"OBJECTIVE: To evaluate the impact of frailty, measured using the Canadian Study of Health and Aging Clinical Frailty Scale, on outcomes of older people hospitalized with acute illness.\nMETHOD: Consecutive patients were randomly allocated to a model development sample or a model validation sample. Multivariate analyses were used to model in-hospital mortality, new nursing home placement, and length of stay. Variables selected in the development samples were tested in the validation samples.\nRESULTS: The mean age of all 2,125 patients was 82.9 years. Most (93.6%) were admitted through the emergency department. Frailty predicted in-hospital mortality (odds ratio [OR] = 2.97 [2.11, 4.17]), new nursing home placement (OR = 1.60 [1.14, 2.24]), and length of hospital stay (hazard ratio = 0.87 [0.81, 0.93]).\nDISCUSSION: Frailty is a strong predictor of adverse outcomes in older people hospitalized with acute illness. An increased awareness of its impact may alert clinicians to screen for frailty.","container-title":"Journal of Aging and Health","DOI":"10.1177/0898264314558202","ISSN":"1552-6887","issue":"4","journalAbbreviation":"J Aging Health","language":"eng","note":"PMID: 25414168","page":"670-685","source":"PubMed","title":"Frailty in an older inpatient population: using the clinical frailty scale to predict patient outcomes","title-short":"Frailty in an older inpatient population","volume":"27","author":[{"family":"Basic","given":"David"},{"family":"Shanley","given":"Chris"}],"issued":{"date-parts":[["2015",6]]}}},{"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id":81820,"uris":["http://zotero.org/users/7655466/items/C9KXWNBV"],"itemData":{"id":81820,"type":"article-journal","abstract":"IMPORTANCE: Long-term nursing home stay or death (long-term NH stay or death), defined as new long-term residence in a nursing home or death following hospital discharge, is an important patient-centered outcome.\nOBJECTIVE: To examine whether the COVID-19 pandemic was associated with changes in long-term NH stay or death among older adults with sepsis, and whether these changes were greater in individuals from racial and ethnic minoritized groups.\nDESIGN, SETTING, AND PARTICIPANTS: This cross-sectional study used patient-level data from the Medicare Provider Analysis and Review File, the Master Beneficiary Summary File, and the Minimum Data Set. Community-dwelling individuals aged at least 65 years hospitalized with sepsis between January 2016 and June 2021 were included. Data were analyzed from May to November 2024.\nEXPOSURE: Race and ethnicity and the COVID-19 pandemic.\nMAIN OUTCOMES AND MEASURES: Patients discharged alive experienced long-term NH stay or death if they resided in a nursing home more than 100 days after hospital discharge and had no period at home greater than 30 days, or died more than 30 days following hospital discharge. Interrupted time series analysis was used to evaluate the association between long-term NH stay or death and the pandemic and race and ethnicity.\nRESULTS: A total of 2 964 517 hospitalizations for sepsis of community-dwelling patients discharged alive (1 468 754 [49.5%] female; 19 549 [0.7%] American Indian or Alaska Native, 95 308 [3.2%] Asian or Pacific Islander, 282 646 [9.5%] Black, 279 011 [9.4%] Hispanic, 2 288 003 [71.2%] White individuals; mean [SD] age, 76 [8.3] years) were included. Compared with non-Hispanic White individuals, Black individuals were more likely to experience long-term NH stay or death (adjusted odds ratio [aOR], 1.33; 95% CI, 1.30-1.37; P &lt; .001), while Asian or Pacific Islander (aOR, 0.79; 95% CI, 0.75-0.83; P &lt; .001), Hispanic (aOR, 0.72; 95% CI, 0.70-0.74; P &lt; .001), and American Indian or Alaska Native (aOR, 0.79; 95% CI, 0.72-0.87; P &lt; .001) individuals were less likely to experience long-term NH stay or death. Long-term NH stay or death declined from 13.5% in the first quarter of 2016 to 6.9% in the first quarter of 2020. After adjustment, long-term NH stay or death decreased each quarter (aOR, 0.958; 95% CI, 0.957-0.959; P &lt; .001) before the pandemic. The pandemic was associated with increased risk of long-term NH stay or death over time (aOR, 1.03; 95% CI, 1.02-1.04; P &lt; .001 [each quarter]) compared with before the pandemic for non-Hispanic White individuals. The pandemic was not associated with differential changes in long-term NH stay or death for minoritized individuals compared with non-Hispanic White individuals.\nCONCLUSIONS AND RELEVANCE: In this cross-sectional study, older adults hospitalized with sepsis experienced an approximately 50% reduction in long-term NH stay or death over a 5-year period before the pandemic. These results suggest that during the pandemic, all individuals, regardless of race and ethnicity, experienced increased long-term NH stay or death compared with before the pandemic.","container-title":"JAMA network open","DOI":"10.1001/jamanetworkopen.2024.56816","ISSN":"2574-3805","issue":"1","journalAbbreviation":"JAMA Netw Open","language":"eng","note":"PMID: 39853973\nPMCID: PMC11762228","page":"e2456816","source":"PubMed","title":"COVID-19 Pandemic and Racial and Ethnic Disparities in Long-Term Nursing Home Stay or Death Following Hospital Discharge","volume":"8","author":[{"family":"Glance","given":"Laurent G."},{"family":"Joynt Maddox","given":"Karen E."},{"family":"Stone","given":"Patricia W."},{"family":"Shang","given":"Jingjing"},{"family":"Furuya","given":"E. Yoko"},{"family":"Chastain","given":"Ashley M."},{"family":"Lee","given":"Ji Won"},{"family":"Morse-Karzen","given":"Bridget"},{"family":"Dick","given":"Andrew W."}],"issued":{"date-parts":[["2025",1,2]]}}},{"id":1717,"uris":["http://zotero.org/users/7655466/items/JXK2VUYX"],"itemData":{"id":1717,"type":"article-journal","archive":"Scopus","container-title":"Archives of Gerontology and Geriatrics","DOI":"10.1016/j.archger.2022.104876","ISSN":"01674943 (ISSN)","note":"publisher: Elsevier Ireland Ltd","title":"The effects of dental visits on the occurrence of acute hospitalization for systemic diseases among patients aged 75 years or older: A propensity score-matched study","URL":"https://www.scopus.com/inward/record.uri?eid=2-s2.0-85143869945&amp;doi=10.1016%2fj.archger.2022.104876&amp;partnerID=40&amp;md5=f95bfc991b35665d2cc507dd671c36b0","volume":"107","author":[{"family":"Mitsutake","given":"S."},{"family":"Ishizaki","given":"T."},{"family":"Edahiro","given":"A."},{"family":"Kitamura","given":"A."},{"family":"Hirata","given":"T."},{"family":"Saito","given":"A."}],"issued":{"date-parts":[["2023"]]}}},{"id":68296,"uris":["http://zotero.org/groups/5124193/items/JEVEXEAX"],"itemData":{"id":68296,"type":"report","title":"Ageing Well - School of Policy Studies - Queen's University","URL":"https://www.queensu.ca/sps/sites/spswww/files/uploaded_files/publications/1%20Ageing%20Well%20Report%20-%20November%202020.pdf","author":[{"literal":"Don Drummond"}],"issued":{"date-parts":[["2020"]]}}},{"id":67820,"uris":["http://zotero.org/groups/5108666/items/JKJ2XE2U"],"itemData":{"id":67820,"type":"article-journal","abstract":"BACKGROUND: Acutely ill and frail older adults have complex social and health care needs. It is important to understand how this complexity affects acute outcomes for admission to hospital. We validated a frailty index using routine admission laboratory tests with outcomes after patients were admitted to hospital.\nMETHODS: In a prospective cohort of older adults admitted to a large tertiary hospital in the United Kingdom, we created a frailty index from routine admission laboratory investigations (FI-Laboratory) linked to data comprising hospital outcomes. We evaluated the association between the FI-Laboratory and total days spent in hospital, discharge to a higher level of care, readmission and mortality.\nRESULTS: Of 2552 admissions among 1750 older adults, we were able to generate FI-Laboratory values for 2254 admissions (88.3% of the cohort). More than half of admitted patients were women (55.3%) and the mean age was 84.6 (SD 14.0) years. We found that the FI-Laboratory correlated weakly with the Clinical Frailty Scale (CFS; r 2 = 0.09). An increase in the CFS and the equivalent of 3 additional abnormal laboratory test results in the FI-Laboratory, respectively, were associated with an increased proportion of inpatient days (rate ratios [RRs] 1.43, 95% confidence interval [CI] 1.35-1.52; and 1.47, 95% CI 1.41-1.54), discharge to a higher level of care (odd ratios [ORs] 1.39, 95% CI 1.27-1.52; and 1.30, 95% CI 1.16-1.47) and increased readmission rate (hazard ratios [HRs] 1.26, 95% CI 1.17-1.37; and 1.18, 95% CI 1.11-1.26). Increases in the CFS and FI-Laboratory were associated with increased mortality HRs of 1.39 (95% CI 1.28-1.51) and 1.45 (95% CI 1.37-1.54), respectively.\nINTERPRETATION: We determined that FI-Laboratory, distinct from baseline frailty, could be used to predict risk of many adverse outcomes. The score is therefore a useful way to quantify the degree of acute illness in frail older adults.","container-title":"CMAJ: Canadian Medical Association journal = journal de l'Association medicale canadienne","DOI":"10.1503/cmaj.190952","ISSN":"1488-2329","issue":"1","journalAbbreviation":"CMAJ","language":"eng","note":"PMID: 31907228\nPMCID: PMC6944299","page":"E3-E8","source":"PubMed","title":"Complementing chronic frailty assessment at hospital admission with an electronic frailty index (FI-Laboratory) comprising routine blood test results","volume":"192","author":[{"family":"Ellis","given":"Hugh Logan"},{"family":"Wan","given":"Bettina"},{"family":"Yeung","given":"Michael"},{"family":"Rather","given":"Arshad"},{"family":"Mannan","given":"Imran"},{"family":"Bond","given":"Catherine"},{"family":"Harvey","given":"Catherine"},{"family":"Raja","given":"Nadia"},{"family":"Dutey-Magni","given":"Peter"},{"family":"Rockwood","given":"Kenneth"},{"family":"Davis","given":"Daniel"},{"family":"Searle","given":"Samuel D."}],"issued":{"date-parts":[["2020",1,6]]}}},{"id":68196,"uris":["http://zotero.org/groups/5108666/items/J2KLV6TE"],"itemData":{"id":68196,"type":"article-journal","abstract":"PURPOSE: Perioperative frailty increases postoperative complications, mortality, and new functional dependence. Despite this, routine perioperative frailty screening is not widespread. We aimed to assess the accuracy of the Clinical Frailty Scale (CFS) as a screening tool prior to anesthesia, and to determine which health domains are affected by frailty.\nMETHODS: In a prospective, single-centre observational study, we enrolled 218 patients aged ≥ 65 yr undergoing elective and emergency surgery. The screening performance of the CFS was compared with the Edmonton Frail Scale, including the effect in individual frailty domains, and outcomes including discharge location and mortality.\nRESULTS: The median [interquartile range] age of the enrolled subjects was 74 [69-80] yr and 24% of the patients were frail. The CFS and Edmonton scales were highly correlated (Spearman correlation coefficient, 0.81; 95% confidence interval [CI], 0.77 to 0.86), and in substantial agreement (kappa coefficient, 0.76; 95% CI, 0.70 to 0.81), with an area under the receiver operating characteristic curve of 0.91 (95% CI, 0.86 to 0.94) indicating excellent discrimination for the CFS in predicting frailty status based on the Edmonton scale. Frail patients had higher 30-day mortality (odds ratio, 5.26; 95% CI, 1.28 to 21.62), and were less likely to be discharged home. Frail patients had poorer health throughout frailty domains, including functional dependence (42% of frail vs 4% of non-frail patients; P &lt; 0.001), malnutrition (48% vs 19%, P &lt; 0.001), and poor physical performance (47% vs 7%, P &lt; 0.001).\nCONCLUSION: The CFS is a valid and accurate tool to screen for perioperative frailty, which encompasses the spectrum of health-related domains.","container-title":"Canadian Journal of Anaesthesia = Journal Canadien D'anesthesie","DOI":"10.1007/s12630-020-01610-x","ISSN":"1496-8975","issue":"6","journalAbbreviation":"Can J Anaesth","language":"eng","note":"PMID: 32128722","page":"694-705","source":"PubMed","title":"Accuracy of the Clinical Frailty Scale for perioperative frailty screening: a prospective observational study","title-short":"Accuracy of the Clinical Frailty Scale for perioperative frailty screening","volume":"67","author":[{"family":"Darvall","given":"Jai N."},{"family":"Loth","given":"Joel"},{"family":"Bose","given":"Tony"},{"family":"Braat","given":"Sabine"},{"family":"De Silva","given":"Anurika"},{"family":"Story","given":"David A."},{"family":"Lim","given":"Wen K."}],"issued":{"date-parts":[["2020",6]]}}},{"id":45377,"uris":["http://zotero.org/groups/5108666/items/FGVHU7B2"],"itemData":{"id":45377,"type":"article-journal","archive":"Scopus","container-title":"PLoS ONE","DOI":"10.1371/journal.pone.0275677","issue":"10 October","title":"Frailty independently predicts unfavorable discharge in non-operative traumatic brain injury: A retrospective single-institution cohort study","URL":"https://www.scopus.com/inward/record.uri?eid=2-s2.0-85139571283&amp;doi=10.1371%2fjournal.pone.0275677&amp;partnerID=40&amp;md5=dea3ce302318856afa0d3df20fa4629c","volume":"17","author":[{"family":"Sastry","given":"R.A."},{"family":"Feler","given":"J.R."},{"family":"Shao","given":"B."},{"family":"Ali","given":"R."},{"family":"McNicoll","given":"L."},{"family":"Telfeian","given":"A.E."},{"family":"Oyelese","given":"A.A."},{"family":"Weil","given":"R.J."},{"family":"Gokaslan","given":"Z.L."}],"issued":{"date-parts":[["2022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[18–20,33,37,39–42]</w:t>
      </w:r>
      <w:r w:rsidRPr="00ED5246">
        <w:rPr>
          <w:rFonts w:ascii="Times New Roman" w:hAnsi="Times New Roman" w:cs="Times New Roman"/>
        </w:rPr>
        <w:fldChar w:fldCharType="end"/>
      </w:r>
      <w:r>
        <w:rPr>
          <w:rFonts w:ascii="Times New Roman" w:hAnsi="Times New Roman" w:cs="Times New Roman"/>
        </w:rPr>
        <w:t xml:space="preserve"> a</w:t>
      </w:r>
      <w:r w:rsidRPr="00ED5246">
        <w:rPr>
          <w:rFonts w:ascii="Times New Roman" w:hAnsi="Times New Roman" w:cs="Times New Roman"/>
        </w:rPr>
        <w:t xml:space="preserve">nd one systematic review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{"citationID":"I5b1INcp","properties":{"formattedCitation":"[34]","plainCitation":"[34]","noteIndex":0},"citationItems":[{"id":1532,"uris":["http://zotero.org/users/7655466/items/NYWMK3NE"],"itemData":{"id":1532,"type":"article-journal","abstract":"Some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[34]</w:t>
      </w:r>
      <w:r w:rsidRPr="00ED5246">
        <w:rPr>
          <w:rFonts w:ascii="Times New Roman" w:hAnsi="Times New Roman" w:cs="Times New Roman"/>
        </w:rPr>
        <w:fldChar w:fldCharType="end"/>
      </w:r>
      <w:r w:rsidRPr="00ED5246">
        <w:rPr>
          <w:rFonts w:ascii="Times New Roman" w:hAnsi="Times New Roman" w:cs="Times New Roman"/>
        </w:rPr>
        <w:t>. Falls are another risk factor for these transitions, as seen in quantitative studies (n=</w:t>
      </w:r>
      <w:r>
        <w:rPr>
          <w:rFonts w:ascii="Times New Roman" w:hAnsi="Times New Roman" w:cs="Times New Roman"/>
        </w:rPr>
        <w:t>5</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oSdbOnLj","properties":{"formattedCitation":"[3,20,24,28,39]","plainCitation":"[3,20,24,28,39]","noteIndex":0},"citationItems":[{"id":1415,"uris":["http://zotero.org/users/local/LM1vrYZg/items/XCTDBSK7","http://zotero.org/users/7655466/items/XCTDBSK7"],"itemData":{"id":1415,"type":"report","title":"Seniors in Transition - Exploring Pathways Across the Care Continuum","URL":"https://www.cihi.ca/sites/default/files/document/seniors-in-transition-report-2017-en.pdf","author":[{"literal":"Canadian Institute for Health Information,"}],"accessed":{"date-parts":[["2022",12,9]]},"issued":{"date-parts":[["2017"]]}}},{"id":67933,"uris":["http://zotero.org/groups/5108666/items/G4RZ8PSG"],"itemData":{"id":67933,"type":"article-journal","abstract":"INTRODUCTION: The Quality and Outcomes Framework, or QOF, rewards primary care doctors (GPs) in the UK for providing certain types of care. Since 2006, GPs have been paid to identify patients with dementia and to conduct an annual review of their mental and physical health. During the review, the GP also assesses the carer's support needs, including impact of caring, and ensures that services are co-ordinated across care settings. In principle, this type of care should reduce the risk of admission to long-term residential care directly from an acute hospital ward, a phenomenon considered to be indicative of poor quality care. However, this potential effect has not previously been tested.\nMETHODS: Using English data from 2006/07 to 2010/11, we ran multilevel logit models to assess the impact of the QOF review on the risk of care home placement following emergency admission to acute hospital. Emergency admissions were defined for (a) people with a primary diagnosis of dementia and (b) people with dementia admitted for treatment of an ambulatory care sensitive condition. We adjusted for a wide range of potential confounding factors.\nRESULTS: Over the study period, 19% of individuals admitted to hospital with a primary diagnosis of dementia (N = 31,120) were discharged to a care home; of those admitted for an ambulatory care sensitive condition (N = 139,267), the corresponding figure was 14%. Risk factors for subsequent care home placement included older age, female gender, vascular dementia, incontinence, fall, hip fracture, and number of comorbidities. Better performance on the QOF review was associated with a lower risk of care home placement but only when the admission was for an ambulatory care sensitive condition.\nCONCLUSIONS: The QOF dementia review may help to reduce the risk of long-term care home placement following acute hospital admission.","container-title":"PloS One","DOI":"10.1371/journal.pone.0155850","ISSN":"1932-6203","issue":"5","journalAbbreviation":"PLoS One","language":"eng","note":"PMID: 27227403\nPMCID: PMC4882036","page":"e0155850","source":"PubMed","title":"Risk of Care Home Placement following Acute Hospital Admission: Effects of a Pay-for-Performance Scheme for Dementia","title-short":"Risk of Care Home Placement following Acute Hospital Admission","volume":"11","author":[{"family":"Kasteridis","given":"Panagiotis"},{"family":"Mason","given":"Anne"},{"family":"Goddard","given":"Maria"},{"family":"Jacobs","given":"Rowena"},{"family":"Santos","given":"Rita"},{"family":"Rodriguez-Sanchez","given":"Beatriz"},{"family":"McGonigal","given":"Gerard"}],"issued":{"date-parts":[["2016"]]}}},{"id":8035,"uris":["http://zotero.org/users/7655466/items/CPY7XGIE"],"itemData":{"id":8035,"type":"article-journal","archive":"Scopus","container-title":"Archives of Gerontology and Geriatrics","DOI":"10.1016/j.archger.2017.05.012","ISSN":"01674943 (ISSN)","note":"publisher: Elsevier Ireland Ltd","page":"59-66","title":"Risk factors associated with residential aged care, respite and transitional aged care admission for older people following an injury-related hospitalisation","volume":"72","author":[{"family":"Mitchell","given":"R."},{"family":"Harvey","given":"L."},{"family":"Draper","given":"B."},{"family":"Brodaty","given":"H."},{"family":"Close","given":"J."}],"issued":{"date-parts":[["2017"]]}}},{"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id":68296,"uris":["http://zotero.org/groups/5124193/items/JEVEXEAX"],"itemData":{"id":68296,"type":"report","title":"Ageing Well - School of Policy Studies - Queen's University","URL":"https://www.queensu.ca/sps/sites/spswww/files/uploaded_files/publications/1%20Ageing%20Well%20Report%20-%20November%202020.pdf","author":[{"literal":"Don Drummond"}],"issued":{"date-parts":[["2020"]]}}}],"schema":"https://github.com/citation-style-language/schema/raw/master/csl-citation.json"}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[3,20,24,28,39]</w:t>
      </w:r>
      <w:r w:rsidRPr="00ED5246">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and a systematic review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{"citationID":"N9UHSCPR","properties":{"formattedCitation":"[22]","plainCitation":"[22]","noteIndex":0},"citationItems":[{"id":39806,"uris":["http://zotero.org/groups/5108666/items/2MF7J4KI"],"itemData":{"id":39806,"type":"article-journal","abstract":"Multiple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[22]</w:t>
      </w:r>
      <w:r w:rsidRPr="00ED5246">
        <w:rPr>
          <w:rFonts w:ascii="Times New Roman" w:hAnsi="Times New Roman" w:cs="Times New Roman"/>
        </w:rPr>
        <w:fldChar w:fldCharType="end"/>
      </w:r>
      <w:r w:rsidRPr="00ED5246">
        <w:rPr>
          <w:rFonts w:ascii="Times New Roman" w:hAnsi="Times New Roman" w:cs="Times New Roman"/>
        </w:rPr>
        <w:t>.</w:t>
      </w:r>
    </w:p>
    <w:p w14:paraId="37269CF5" w14:textId="3437F79A"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rPr>
        <w:t>Beyond these, specific health conditions were documented as increasing LTC placement in quantitative studies</w:t>
      </w:r>
      <w:r>
        <w:rPr>
          <w:rFonts w:ascii="Times New Roman" w:hAnsi="Times New Roman" w:cs="Times New Roman"/>
        </w:rPr>
        <w:t>. These include</w:t>
      </w:r>
      <w:r w:rsidRPr="00ED5246">
        <w:rPr>
          <w:rFonts w:ascii="Times New Roman" w:hAnsi="Times New Roman" w:cs="Times New Roman"/>
        </w:rPr>
        <w:t xml:space="preserve"> neurological conditions, including Parkinson</w:t>
      </w:r>
      <w:r>
        <w:rPr>
          <w:rFonts w:ascii="Times New Roman" w:hAnsi="Times New Roman" w:cs="Times New Roman"/>
        </w:rPr>
        <w:t>’</w:t>
      </w:r>
      <w:r w:rsidRPr="00ED5246">
        <w:rPr>
          <w:rFonts w:ascii="Times New Roman" w:hAnsi="Times New Roman" w:cs="Times New Roman"/>
        </w:rPr>
        <w:t xml:space="preserve">s disease and stroke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{"citationID":"ofeF2orG","properties":{"formattedCitation":"[17,20]","plainCitation":"[17,20]","noteIndex":0},"citationItems":[{"id":67837,"uris":["http://zotero.org/groups/5108666/items/772946KW"],"itemData":{"id":67837,"type":"article-journal","abstract":"INTRODUCTION: Sustaining a hip fracture is a life changing event for many elderlies. While doctors and researchers tend to be preoccupied with mortality and complication rates, patients are more concerned by other aspects e.g. loss of independence and ability to remain in their own home. This study aimed to i) determine age-stratified one-year event rates of admission to nursing home after discharge, and ii) identify risk factors associated with nursing home admission.\nMETHODS: Community dwelling patients aged 60-100 years undergoing their first hip fracture surgery in 2005 - 2015 were identified in nationwide administrative registries. Outcome was admission to nursing home within one year of discharge. To assess risk factors, we performed age-stratified cumulative incidence curves and multivariate cause specific cox regression models adjusted for age, sex, social factors, and comorbidities.\nRESULTS: A total of 53,157 patients were included. One-year risk increased with advancing age from 3.2% of patients aged 60 to 69, up to 22.4% in the eldest group aged 90-100 years. Living alone and dementia were strong risk factors HR 9.22 [95% CI 5.60-15.18, p = &lt;0.0001] and HR 6.73 [95% CI 4.80- 9.44, p = 0.0001] respectively for patients aged 60 to 69 years, the effect decreased with higher age down to HR 2.75 [95% CI 2.12- 3.57, p = &lt;0.0001] and HR 2.15 [95% CI 1.88- 2.46, p = &lt;0.0001] for patients ≥ 90 years. Other important risk factors were pre-injury home care, Parkinson's disease and depression. Surprisingly, physical comorbidities i.e. kidney disease, chronic obstructive pulmonary disease, diabetes and cancer did not increase the risk of nursing home admission.\nCONCLUSION: Future initiatives aimed to reduce loss of independence and nursing home admission, among patients with first time hip fracture, should devote attention to living settings and cognitive impairment rather than physical comorbidity.","container-title":"Injury","DOI":"10.1016/j.injury.2020.06.041","ISSN":"1879-0267","issue":"10","journalAbbreviation":"Injury","language":"eng","note":"PMID: 32622625","page":"2289-2294","source":"PubMed","title":"Living settings and cognitive impairment are stronger predictors of nursing home admission after hip fracture surgery than physical comorbidities A nationwide Danish cohort study","volume":"51","author":[{"family":"Wahlsten","given":"Liv Riisager"},{"family":"Smedegaard","given":"Lærke"},{"family":"Brorson","given":"Stig"},{"family":"Gislason","given":"Gunnar"},{"family":"Palm","given":"Henrik"}],"issued":{"date-parts":[["2020",10]]}}},{"id":1801,"uris":["http://zotero.org/users/7655466/items/XHVYVFFL"],"itemData":{"id":1801,"type":"article-journal","archive":"Scopus","container-title":"Age and Ageing","DOI":"10.1093/ageing/afac304","ISSN":"00020729 (ISSN)","issue":"12","note":"publisher: Oxford University Press","title":"Understanding Pathways into Care homes using Data (UnPiCD study): a retrospective cohort study using national linked health and social care data","URL":"https://www.scopus.com/inward/record.uri?eid=2-s2.0-85145122899&amp;doi=10.1093%2fageing%2fafac304&amp;partnerID=40&amp;md5=cea539ceeb956035dec3b371f27a0c6a","volume":"51","author":[{"family":"Burton","given":"J.K."},{"family":"Ciminata","given":"G."},{"family":"Lynch","given":"E."},{"family":"Shenkin","given":"S.D."},{"family":"Geue","given":"C."},{"family":"Quinn","given":"T.J."}],"issued":{"date-parts":[["2022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[17,20]</w:t>
      </w:r>
      <w:r w:rsidRPr="00ED5246">
        <w:rPr>
          <w:rFonts w:ascii="Times New Roman" w:hAnsi="Times New Roman" w:cs="Times New Roman"/>
        </w:rPr>
        <w:fldChar w:fldCharType="end"/>
      </w:r>
      <w:r w:rsidRPr="00ED5246">
        <w:rPr>
          <w:rFonts w:ascii="Times New Roman" w:hAnsi="Times New Roman" w:cs="Times New Roman"/>
        </w:rPr>
        <w:t xml:space="preserve">, urological conditions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{"citationID":"hWHbdjiT","properties":{"formattedCitation":"[3,18]","plainCitation":"[3,18]","noteIndex":0},"citationItems":[{"id":67933,"uris":["http://zotero.org/groups/5108666/items/G4RZ8PSG"],"itemData":{"id":67933,"type":"article-journal","abstract":"INTRODUCTION: The Quality and Outcomes Framework, or QOF, rewards primary care doctors (GPs) in the UK for providing certain types of care. Since 2006, GPs have been paid to identify patients with dementia and to conduct an annual review of their mental and physical health. During the review, the GP also assesses the carer's support needs, including impact of caring, and ensures that services are co-ordinated across care settings. In principle, this type of care should reduce the risk of admission to long-term residential care directly from an acute hospital ward, a phenomenon considered to be indicative of poor quality care. However, this potential effect has not previously been tested.\nMETHODS: Using English data from 2006/07 to 2010/11, we ran multilevel logit models to assess the impact of the QOF review on the risk of care home placement following emergency admission to acute hospital. Emergency admissions were defined for (a) people with a primary diagnosis of dementia and (b) people with dementia admitted for treatment of an ambulatory care sensitive condition. We adjusted for a wide range of potential confounding factors.\nRESULTS: Over the study period, 19% of individuals admitted to hospital with a primary diagnosis of dementia (N = 31,120) were discharged to a care home; of those admitted for an ambulatory care sensitive condition (N = 139,267), the corresponding figure was 14%. Risk factors for subsequent care home placement included older age, female gender, vascular dementia, incontinence, fall, hip fracture, and number of comorbidities. Better performance on the QOF review was associated with a lower risk of care home placement but only when the admission was for an ambulatory care sensitive condition.\nCONCLUSIONS: The QOF dementia review may help to reduce the risk of long-term care home placement following acute hospital admission.","container-title":"PloS One","DOI":"10.1371/journal.pone.0155850","ISSN":"1932-6203","issue":"5","journalAbbreviation":"PLoS One","language":"eng","note":"PMID: 27227403\nPMCID: PMC4882036","page":"e0155850","source":"PubMed","title":"Risk of Care Home Placement following Acute Hospital Admission: Effects of a Pay-for-Performance Scheme for Dementia","title-short":"Risk of Care Home Placement following Acute Hospital Admission","volume":"11","author":[{"family":"Kasteridis","given":"Panagiotis"},{"family":"Mason","given":"Anne"},{"family":"Goddard","given":"Maria"},{"family":"Jacobs","given":"Rowena"},{"family":"Santos","given":"Rita"},{"family":"Rodriguez-Sanchez","given":"Beatriz"},{"family":"McGonigal","given":"Gerard"}],"issued":{"date-parts":[["2016"]]}}},{"id":67866,"uris":["http://zotero.org/groups/5108666/items/QLKDZV2V"],"itemData":{"id":67866,"type":"article-journal","abstract":"OBJECTIVE: To evaluate the impact of frailty, measured using the Canadian Study of Health and Aging Clinical Frailty Scale, on outcomes of older people hospitalized with acute illness.\nMETHOD: Consecutive patients were randomly allocated to a model development sample or a model validation sample. Multivariate analyses were used to model in-hospital mortality, new nursing home placement, and length of stay. Variables selected in the development samples were tested in the validation samples.\nRESULTS: The mean age of all 2,125 patients was 82.9 years. Most (93.6%) were admitted through the emergency department. Frailty predicted in-hospital mortality (odds ratio [OR] = 2.97 [2.11, 4.17]), new nursing home placement (OR = 1.60 [1.14, 2.24]), and length of hospital stay (hazard ratio = 0.87 [0.81, 0.93]).\nDISCUSSION: Frailty is a strong predictor of adverse outcomes in older people hospitalized with acute illness. An increased awareness of its impact may alert clinicians to screen for frailty.","container-title":"Journal of Aging and Health","DOI":"10.1177/0898264314558202","ISSN":"1552-6887","issue":"4","journalAbbreviation":"J Aging Health","language":"eng","note":"PMID: 25414168","page":"670-685","source":"PubMed","title":"Frailty in an older inpatient population: using the clinical frailty scale to predict patient outcomes","title-short":"Frailty in an older inpatient population","volume":"27","author":[{"family":"Basic","given":"David"},{"family":"Shanley","given":"Chris"}],"issued":{"date-parts":[["2015",6]]}}}],"schema":"https://github.com/citation-style-language/schema/raw/master/csl-citation.json"}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[3,18]</w:t>
      </w:r>
      <w:r w:rsidRPr="00ED5246">
        <w:rPr>
          <w:rFonts w:ascii="Times New Roman" w:hAnsi="Times New Roman" w:cs="Times New Roman"/>
        </w:rPr>
        <w:fldChar w:fldCharType="end"/>
      </w:r>
      <w:r w:rsidRPr="00ED5246">
        <w:rPr>
          <w:rFonts w:ascii="Times New Roman" w:hAnsi="Times New Roman" w:cs="Times New Roman"/>
        </w:rPr>
        <w:t xml:space="preserve">, musculoskeletal conditions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{"citationID":"qKdqbCcF","properties":{"formattedCitation":"[3,24]","plainCitation":"[3,24]","noteIndex":0},"citationItems":[{"id":67933,"uris":["http://zotero.org/groups/5108666/items/G4RZ8PSG"],"itemData":{"id":67933,"type":"article-journal","abstract":"INTRODUCTION: The Quality and Outcomes Framework, or QOF, rewards primary care doctors (GPs) in the UK for providing certain types of care. Since 2006, GPs have been paid to identify patients with dementia and to conduct an annual review of their mental and physical health. During the review, the GP also assesses the carer's support needs, including impact of caring, and ensures that services are co-ordinated across care settings. In principle, this type of care should reduce the risk of admission to long-term residential care directly from an acute hospital ward, a phenomenon considered to be indicative of poor quality care. However, this potential effect has not previously been tested.\nMETHODS: Using English data from 2006/07 to 2010/11, we ran multilevel logit models to assess the impact of the QOF review on the risk of care home placement following emergency admission to acute hospital. Emergency admissions were defined for (a) people with a primary diagnosis of dementia and (b) people with dementia admitted for treatment of an ambulatory care sensitive condition. We adjusted for a wide range of potential confounding factors.\nRESULTS: Over the study period, 19% of individuals admitted to hospital with a primary diagnosis of dementia (N = 31,120) were discharged to a care home; of those admitted for an ambulatory care sensitive condition (N = 139,267), the corresponding figure was 14%. Risk factors for subsequent care home placement included older age, female gender, vascular dementia, incontinence, fall, hip fracture, and number of comorbidities. Better performance on the QOF review was associated with a lower risk of care home placement but only when the admission was for an ambulatory care sensitive condition.\nCONCLUSIONS: The QOF dementia review may help to reduce the risk of long-term care home placement following acute hospital admission.","container-title":"PloS One","DOI":"10.1371/journal.pone.0155850","ISSN":"1932-6203","issue":"5","journalAbbreviation":"PLoS One","language":"eng","note":"PMID: 27227403\nPMCID: PMC4882036","page":"e0155850","source":"PubMed","title":"Risk of Care Home Placement following Acute Hospital Admission: Effects of a Pay-for-Performance Scheme for Dementia","title-short":"Risk of Care Home Placement following Acute Hospital Admission","volume":"11","author":[{"family":"Kasteridis","given":"Panagiotis"},{"family":"Mason","given":"Anne"},{"family":"Goddard","given":"Maria"},{"family":"Jacobs","given":"Rowena"},{"family":"Santos","given":"Rita"},{"family":"Rodriguez-Sanchez","given":"Beatriz"},{"family":"McGonigal","given":"Gerard"}],"issued":{"date-parts":[["2016"]]}}},{"id":8035,"uris":["http://zotero.org/users/7655466/items/CPY7XGIE"],"itemData":{"id":8035,"type":"article-journal","archive":"Scopus","container-title":"Archives of Gerontology and Geriatrics","DOI":"10.1016/j.archger.2017.05.012","ISSN":"01674943 (ISSN)","note":"publisher: Elsevier Ireland Ltd","page":"59-66","title":"Risk factors associated with residential aged care, respite and transitional aged care admission for older people following an injury-related hospitalisation","volume":"72","author":[{"family":"Mitchell","given":"R."},{"family":"Harvey","given":"L."},{"family":"Draper","given":"B."},{"family":"Brodaty","given":"H."},{"family":"Close","given":"J."}],"issued":{"date-parts":[["2017"]]}}}],"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[3,24]</w:t>
      </w:r>
      <w:r w:rsidRPr="00ED5246">
        <w:rPr>
          <w:rFonts w:ascii="Times New Roman" w:hAnsi="Times New Roman" w:cs="Times New Roman"/>
        </w:rPr>
        <w:fldChar w:fldCharType="end"/>
      </w:r>
      <w:r w:rsidRPr="00ED5246">
        <w:rPr>
          <w:rFonts w:ascii="Times New Roman" w:hAnsi="Times New Roman" w:cs="Times New Roman"/>
        </w:rPr>
        <w:t xml:space="preserve">, cardiovascular conditions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opt9G7n3","properties":{"formattedCitation":"[7]","plainCitation":"[7]","noteIndex":0},"citationItems":[{"id":41364,"uris":["http://zotero.org/groups/5108666/items/8WYH84Q8","http://zotero.org/groups/5108666/items/ID488ST8"],"itemData":{"id":41364,"type":"article-journal","abstract":"OBJECTIVES: To evaluate the incidence and characteristics of nursing home (NH) use after implantable cardioverter-defibrillator (ICD) implantation., DESIGN: Cohort study., SETTING: Medicare beneficiaries in the National Cardiovascular Data Registry-ICD Registry., PARTICIPANTS: Individuals aged 65 and older receiving ICDs between January 1, 2006, and March 31, 2010 (N = 192,483)., MEASUREMENTS: Proportion of ICD recipients discharged to NHs directly after device placement, cumulative incidence of long-term NH admission, and factors associated with immediate discharge to a NH and time to long-term NH admission., RESULTS: Over 4 years, 40.6% of the cohort died, and 35,939 (18.7%) experienced at least one NH admission, including 4.0% directly discharged to a NH after ICD implantation and 2.8% admitted to long-term NH care during follow-up. The cumulative incidence of long-term NH admission, accounting for the competing risk of death, was 1.7% at 1 year, 3.8% at 3 years, and 4.6% at 4 years; 20.1% of individuals admitted to a NH died there. Factors most strongly associated with direct NH discharge and time to long-term NH care were older age (adjusted odds ratio (AOR) = 2.09, 95% confidence interval (CI) = 2.01-2.17 per 10-year increment; adjusted hazard ratio (AHR) = 1.88, 95% CI = 1.80-1.97, respectively), dementia (AOR = 2.60, 95% CI = 2.25-3.01; AHR = 2.50, 95% CI = 2.14-2.93, respectively), and Medicare Part A claim for NH stay in prior 6 months (AOR = 3.96, 95% CI = 3.70-4.25; AHR = 2.88, 95% CI = 2.65-3.14, respectively)., CONCLUSION: Nearly one in five individuals are admitted to NHs over a median of 1.6 years of follow-up after ICD implantation. Understanding these outcomes may help inform the clinical care of these individuals. © 2016, Copyright the Authors Journal compilation © 2016, The American Geriatrics Society.","archive":"Ovid MEDLINE(R) &lt;2017&gt;","container-title":"Journal of the American Geriatrics Society","DOI":"10.1111/jgs.14520","ISSN":"1532-5415","issue":"2","journalAbbreviation":"J Am Geriatr Soc","page":"340-347","title":"Nursing Home Use After Implantable Cardioverter-Defibrillator Implantation in Older Adults: Results from the National Cardiovascular Data Registry.","volume":"65","author":[{"family":"Kramer","given":"Daniel B"},{"family":"Reynolds","given":"Matthew R"},{"family":"Normand","given":"Sharon-Lise"},{"family":"Parzynski","given":"Craig S"},{"family":"Spertus","given":"John A"},{"family":"Mor","given":"Vincent"},{"family":"Mitchell","given":"Susan L"}],"issued":{"date-parts":[["2017"]]}}}],"schema":"https://github.com/citation-style-language/schema/raw/master/csl-citation.json"}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[7]</w:t>
      </w:r>
      <w:r w:rsidRPr="00ED5246">
        <w:rPr>
          <w:rFonts w:ascii="Times New Roman" w:hAnsi="Times New Roman" w:cs="Times New Roman"/>
        </w:rPr>
        <w:fldChar w:fldCharType="end"/>
      </w:r>
      <w:r w:rsidRPr="00ED5246">
        <w:rPr>
          <w:rFonts w:ascii="Times New Roman" w:hAnsi="Times New Roman" w:cs="Times New Roman"/>
        </w:rPr>
        <w:t xml:space="preserve">, respiratory conditions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Alf3rHm9","properties":{"formattedCitation":"[11]","plainCitation":"[11]","noteIndex":0},"citationItems":[{"id":48995,"uris":["http://zotero.org/groups/5108666/items/TQTV8ZCH","http://zotero.org/groups/5108666/items/NXEYSJEF"],"itemData":{"id":48995,"type":"article-journal","archive":"Scopus","container-title":"Clinical Rehabilitation","DOI":"10.1177/0269215517748715","issue":"8","page":"1108-1118","title":"Using population-based routinely collected data from the Sentinel Stroke National Audit Programme to investigate factors associated with discharge to care home after rehabilitation","volume":"32","author":[{"family":"Dutta","given":"D."},{"family":"Thornton","given":"D."},{"family":"Bowen","given":"E."}],"issued":{"date-parts":[["2018"]]}}}],"schema":"https://github.com/citation-style-language/schema/raw/master/csl-citation.json"}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[11]</w:t>
      </w:r>
      <w:r w:rsidRPr="00ED5246">
        <w:rPr>
          <w:rFonts w:ascii="Times New Roman" w:hAnsi="Times New Roman" w:cs="Times New Roman"/>
        </w:rPr>
        <w:fldChar w:fldCharType="end"/>
      </w:r>
      <w:r w:rsidRPr="00ED5246">
        <w:rPr>
          <w:rFonts w:ascii="Times New Roman" w:hAnsi="Times New Roman" w:cs="Times New Roman"/>
        </w:rPr>
        <w:t xml:space="preserve">, incontinence (n=3)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{"citationID":"LxnCm64B","properties":{"formattedCitation":"[3,11,19]","plainCitation":"[3,11,19]","noteIndex":0},"citationItems":[{"id":67933,"uris":["http://zotero.org/groups/5108666/items/G4RZ8PSG"],"itemData":{"id":67933,"type":"article-journal","abstract":"INTRODUCTION: The Quality and Outcomes Framework, or QOF, rewards primary care doctors (GPs) in the UK for providing certain types of care. Since 2006, GPs have been paid to identify patients with dementia and to conduct an annual review of their mental and physical health. During the review, the GP also assesses the carer's support needs, including impact of caring, and ensures that services are co-ordinated across care settings. In principle, this type of care should reduce the risk of admission to long-term residential care directly from an acute hospital ward, a phenomenon considered to be indicative of poor quality care. However, this potential effect has not previously been tested.\nMETHODS: Using English data from 2006/07 to 2010/11, we ran multilevel logit models to assess the impact of the QOF review on the risk of care home placement following emergency admission to acute hospital. Emergency admissions were defined for (a) people with a primary diagnosis of dementia and (b) people with dementia admitted for treatment of an ambulatory care sensitive condition. We adjusted for a wide range of potential confounding factors.\nRESULTS: Over the study period, 19% of individuals admitted to hospital with a primary diagnosis of dementia (N = 31,120) were discharged to a care home; of those admitted for an ambulatory care sensitive condition (N = 139,267), the corresponding figure was 14%. Risk factors for subsequent care home placement included older age, female gender, vascular dementia, incontinence, fall, hip fracture, and number of comorbidities. Better performance on the QOF review was associated with a lower risk of care home placement but only when the admission was for an ambulatory care sensitive condition.\nCONCLUSIONS: The QOF dementia review may help to reduce the risk of long-term care home placement following acute hospital admission.","container-title":"PloS One","DOI":"10.1371/journal.pone.0155850","ISSN":"1932-6203","issue":"5","journalAbbreviation":"PLoS One","language":"eng","note":"PMID: 27227403\nPMCID: PMC4882036","page":"e0155850","source":"PubMed","title":"Risk of Care Home Placement following Acute Hospital Admission: Effects of a Pay-for-Performance Scheme for Dementia","title-short":"Risk of Care Home Placement following Acute Hospital Admission","volume":"11","author":[{"family":"Kasteridis","given":"Panagiotis"},{"family":"Mason","given":"Anne"},{"family":"Goddard","given":"Maria"},{"family":"Jacobs","given":"Rowena"},{"family":"Santos","given":"Rita"},{"family":"Rodriguez-Sanchez","given":"Beatriz"},{"family":"McGonigal","given":"Gerard"}],"issued":{"date-parts":[["2016"]]}}},{"id":48995,"uris":["http://zotero.org/groups/5108666/items/TQTV8ZCH","http://zotero.org/groups/5108666/items/NXEYSJEF"],"itemData":{"id":48995,"type":"article-journal","archive":"Scopus","container-title":"Clinical Rehabilitation","DOI":"10.1177/0269215517748715","issue":"8","page":"1108-1118","title":"Using population-based routinely collected data from the Sentinel Stroke National Audit Programme to investigate factors associated with discharge to care home after rehabilitation","volume":"32","author":[{"family":"Dutta","given":"D."},{"family":"Thornton","given":"D."},{"family":"Bowen","given":"E."}],"issued":{"date-parts":[["2018"]]}}},{"id":69669,"uris":["http://zotero.org/users/7655466/items/7WNBJ2LB"],"itemData":{"id":69669,"type":"article-journal","abstract":"OBJECTIVE: To examine factors that may influence the risk of discharge to a residential aged care facility (RACF) in a population of frail older inpatients.\nMETHODS: We analysed data from 5846 inpatients aged over 60 years from 27 hospitals in Queensland, Australia, admitted from independent living and referred for geriatric consultation. Patients underwent an interRAI Acute Care Comprehensive Geriatric Assessment by trained nurses. Frailty was assessed using a 52-item frailty index (FI). Risk/protective factors were determined a priori. Logistic regression assessed the relationship between factors and discharge destination, adjusted for FI, age, sex and hospital. Frailty × risk/protective factor interactions were performed.\nRESULTS: Patients had a mean (SD) age of 79.7 (8.2) years and a mean (SD) FI of 0.44 (0.14). Twenty-nine per cent (n = 1678) of patients were discharged to an RACF. Each 0.1 increment in FI increased the risk of discharge to an RACF by 54% (OR 1.54, 95% CI 1.40-1.68, p &lt; 0.01). Being married or in a de facto relationship had protective effects up to an FI of 0.7, whereas behavioural and psychological symptoms of dementia (BPSD) increased the risk of RACF discharge up to an FI of 0.7. Female sex, faecal incontinence and living alone did not influence the relationship between frailty and discharge destination.\nCONCLUSIONS: The association between frailty and discharge to RACF has previously been recognised but here we found that risk and protective factors can influence this association. Whether early identification and management of mutable factors can reduce discharge to RACF should be addressed in future studies.","container-title":"Australasian Journal on Ageing","DOI":"10.1111/ajag.13231","ISSN":"1741-6612","issue":"4","journalAbbreviation":"Australas J Ageing","language":"eng","note":"PMID: 37573545","page":"720-727","source":"PubMed","title":"Factors associated with entry to residential care in frail older inpatients","volume":"42","author":[{"family":"Misquitta","given":"Karen"},{"family":"Reid","given":"Natasha"},{"family":"Hubbard","given":"Ruth E."},{"family":"Gordon","given":"Emily H."}],"issued":{"date-parts":[["2023",12]]}}}],"schema":"https://github.com/citation-style-language/schema/raw/master/csl-citation.json"}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[3,11,19]</w:t>
      </w:r>
      <w:r w:rsidRPr="00ED5246">
        <w:rPr>
          <w:rFonts w:ascii="Times New Roman" w:hAnsi="Times New Roman" w:cs="Times New Roman"/>
        </w:rPr>
        <w:fldChar w:fldCharType="end"/>
      </w:r>
      <w:r w:rsidRPr="00ED5246">
        <w:rPr>
          <w:rFonts w:ascii="Times New Roman" w:hAnsi="Times New Roman" w:cs="Times New Roman"/>
        </w:rPr>
        <w:t xml:space="preserve">, and medical instability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2RK4pRpp","properties":{"formattedCitation":"[28]","plainCitation":"[28]","noteIndex":0},"citationItems":[{"id":1415,"uris":["http://zotero.org/users/local/LM1vrYZg/items/XCTDBSK7","http://zotero.org/users/7655466/items/XCTDBSK7"],"itemData":{"id":1415,"type":"report","title":"Seniors in Transition - Exploring Pathways Across the Care Continuum","URL":"https://www.cihi.ca/sites/default/files/document/seniors-in-transition-report-2017-en.pdf","author":[{"literal":"Canadian Institute for Health Information,"}],"accessed":{"date-parts":[["2022",12,9]]},"issued":{"date-parts":[["2017"]]}}}],"schema":"https://github.com/citation-style-language/schema/raw/master/csl-citation.json"}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[28]</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Moreover, c</w:t>
      </w:r>
      <w:r w:rsidRPr="00ED5246">
        <w:rPr>
          <w:rFonts w:ascii="Times New Roman" w:hAnsi="Times New Roman" w:cs="Times New Roman"/>
        </w:rPr>
        <w:t xml:space="preserve">ancer was identified as increasing the likelihood of LTC placement in a systematic review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{"citationID":"k7jZjqtZ","properties":{"formattedCitation":"[22]","plainCitation":"[22]","noteIndex":0},"citationItems":[{"id":39806,"uris":["http://zotero.org/groups/5108666/items/2MF7J4KI"],"itemData":{"id":39806,"type":"article-journal","abstract":"Multiple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[22]</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Lastly, p</w:t>
      </w:r>
      <w:r w:rsidRPr="00ED5246">
        <w:rPr>
          <w:rFonts w:ascii="Times New Roman" w:hAnsi="Times New Roman" w:cs="Times New Roman"/>
        </w:rPr>
        <w:t xml:space="preserve">oor nutritional status </w:t>
      </w:r>
      <w:r>
        <w:rPr>
          <w:rFonts w:ascii="Times New Roman" w:hAnsi="Times New Roman" w:cs="Times New Roman"/>
        </w:rPr>
        <w:t xml:space="preserve">was reported to </w:t>
      </w:r>
      <w:r w:rsidRPr="00ED5246">
        <w:rPr>
          <w:rFonts w:ascii="Times New Roman" w:hAnsi="Times New Roman" w:cs="Times New Roman"/>
        </w:rPr>
        <w:t xml:space="preserve">increase this likelihood in a systematic review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{"citationID":"yqrdJBq8","properties":{"formattedCitation":"[26]","plainCitation":"[26]","noteIndex":0},"citationItems":[{"id":41315,"uris":["http://zotero.org/groups/5108666/items/Y8SIINXU"],"itemData":{"id":41315,"type":"article-journal","abstract":"Background: moving into long-term institutional care is a significant life event for any individual. Predictors of institutional care admission from community-dwellers and people with dementia have been described, but those from the acute hospital setting have not been systematically reviewed. Our aim was to establish predictive factors for discharge to institutional care following acute hospitalisation., Methods: we registered and conducted a systematic review (PROSPERO: CRD42015023497). We searched MEDLINE; EMBASE and CINAHL Plus in September 2015. We included observational studies of patients admitted directly to long-term institutional care following acute hospitalisation where factors associated with institutionalisation were reported., Results: from 9,176 records, we included 23 studies (n = 354,985 participants). Studies were heterogeneous, with the proportions discharged to a care home 3-77% (median 15%). Eleven studies (n = 12,642), of moderate to low quality, were included in the quantitative synthesis. The need for institutional long-term care was associated with age (pooled odds ratio (OR) 1.02, 95% confidence intervals (CI): 1.00-1.04), female sex (pooled OR 1.41, 95% CI: 1.03-1.92), dementia (pooled OR 2.14, 95% CI: 1.24-3.70) and functional dependency (pooled OR 2.06, 95% CI: 1.58-2.69)., Conclusions: discharge to long-term institutional care following acute hospitalisation is common, but current data do not allow prediction of who will make this transition. Potentially important predictors evaluated in community cohorts have not been examined in hospitalised cohorts. Understanding these predictors could help identify individuals at risk early in their admission, and support them in this transition or potentially intervene to reduce their risk. Copyright © The Author 2017. Published by Oxford University Press on behalf of the British Geriatrics Society.","archive":"Ovid MEDLINE(R) &lt;2017&gt;","container-title":"Age and ageing","DOI":"10.1093/ageing/afx047","ISSN":"1468-2834","issue":"4","journalAbbreviation":"Age Ageing","page":"547-558","title":"Predicting discharge to institutional long-term care following acute hospitalisation: a systematic review and meta-analysis.","volume":"46","author":[{"family":"Harrison","given":"Jennifer Kirsty"},{"family":"Walesby","given":"Katherine E"},{"family":"Hamilton","given":"Lorna"},{"family":"Armstrong","given":"Carolyn"},{"family":"Starr","given":"John M"},{"family":"Reynish","given":"Emma L"},{"family":"MacLullich","given":"Alasdair M J"},{"family":"Quinn","given":"Terry J"},{"family":"Shenkin","given":"Susan D"}],"issued":{"date-parts":[["2017"]]}}}],"schema":"https://github.com/citation-style-language/schema/raw/master/csl-citation.json"}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[26]</w:t>
      </w:r>
      <w:r w:rsidRPr="00ED5246">
        <w:rPr>
          <w:rFonts w:ascii="Times New Roman" w:hAnsi="Times New Roman" w:cs="Times New Roman"/>
        </w:rPr>
        <w:fldChar w:fldCharType="end"/>
      </w:r>
      <w:r w:rsidRPr="00ED5246">
        <w:rPr>
          <w:rFonts w:ascii="Times New Roman" w:hAnsi="Times New Roman" w:cs="Times New Roman"/>
        </w:rPr>
        <w:t xml:space="preserve"> and a quantitative study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{"citationID":"6LnxHNib","properties":{"formattedCitation":"[9]","plainCitation":"[9]","noteIndex":0},"citationItems":[{"id":68054,"uris":["http://zotero.org/groups/5108666/items/X4U2WQZC"],"itemData":{"id":68054,"type":"article-journal","abstract":"IMPORTANCE: Discharge to home after surgery has been recognized as a determinant of long-term survival and is a common concern in the elderly population.\nOBJECTIVE: The aim of the study was to determine the incidence and risk factors for nonhome discharge in patients undergoing major surgery for pelvic organ prolapse.\nSTUDY DESIGN: We performed a retrospective cohort study using the American College of Surgeons National Surgical Quality Improvement Program Database from 2010 to 2018. We included patients who underwent sacrocolpopexy, vaginal colpopexy, and colpocleisis. We compared perioperative characteristics in patients who were discharged home versus those who were discharged to a nonhome location. Stepwise backward multivariate logistic regression was then used to control for confounding variables and identify independent predictors of nonhome discharge.\nRESULTS: A total of 38,012 patients were included in this study, 209 of whom experienced nonhome discharge (0.5%). Independent predictors of nonhome discharge included preoperative weight loss (adjusted odds ratio [aOR], 5.9; 95% confidence interval [CI], 1.3-27.5), dependent health care status (aOR, 5.0; 95% CI, 2.6-9.5), abdominal hysterectomy (aOR, 2.3; 95% CI, 1.4-3.7), American Society of Anesthesiologists class 3 or greater (aOR, 2.0; 95% CI, 1.5-2.7), age (aOR, 1.1; 95% CI, 1.05-1.09), operative time (aOR, 1.005; 95% CI, 1.003-1.006), laparoscopic hysterectomy (aOR, 0.6; 95% CI, 0.4-1.0), and laparoscopic sacrocolpopexy (aOR, 0.5; 95% CI, 0.3-0.8).\nCONCLUSIONS: In patients undergoing surgery for pelvic organ prolapse, nonhome discharge is associated with various indicators of frailty, including age, health care dependence, and certain comorbidities. An open surgical approach increases the risk of nonhome discharge, while a laparoscopic approach is associated with lower risk.","container-title":"Urogynecology (Philadelphia, Pa.)","DOI":"10.1097/SPV.0000000000001347","ISSN":"2771-1897","journalAbbreviation":"Urogynecology (Phila)","language":"eng","note":"PMID: 36946906","source":"PubMed","title":"Nonhome Discharge in Patients Undergoing Pelvic Reconstructive Surgery: A National Analysis","title-short":"Nonhome Discharge in Patients Undergoing Pelvic Reconstructive Surgery","author":[{"family":"Ross","given":"James H."},{"family":"Wood","given":"Nicole"},{"family":"Simmons","given":"Adrienne"},{"family":"Lua-Mailland","given":"Lannah L."},{"family":"Wallace","given":"Shannon L."},{"family":"Chapman","given":"Graham C."}],"issued":{"date-parts":[["2023",3,9]]}}}],"schema":"https://github.com/citation-style-language/schema/raw/master/csl-citation.json"}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[9]</w:t>
      </w:r>
      <w:r w:rsidRPr="00ED5246">
        <w:rPr>
          <w:rFonts w:ascii="Times New Roman" w:hAnsi="Times New Roman" w:cs="Times New Roman"/>
        </w:rPr>
        <w:fldChar w:fldCharType="end"/>
      </w:r>
      <w:r w:rsidRPr="00ED5246">
        <w:rPr>
          <w:rFonts w:ascii="Times New Roman" w:hAnsi="Times New Roman" w:cs="Times New Roman"/>
        </w:rPr>
        <w:t>.</w:t>
      </w:r>
    </w:p>
    <w:p w14:paraId="5F60326D" w14:textId="59DA3D61"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b/>
          <w:bCs/>
        </w:rPr>
        <w:t xml:space="preserve">Healthcare systems. </w:t>
      </w:r>
      <w:bookmarkStart w:id="9" w:name="_Hlk184142185"/>
      <w:r w:rsidRPr="00ED5246">
        <w:rPr>
          <w:rFonts w:ascii="Times New Roman" w:hAnsi="Times New Roman" w:cs="Times New Roman"/>
        </w:rPr>
        <w:t xml:space="preserve">Specific clinical procedures were particularly important in determining LTC placement. Major surgeries, including total knee arthroplasty (TKA)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0Kbvz99N","properties":{"formattedCitation":"[5,12]","plainCitation":"[5,12]","noteIndex":0},"citationItems":[{"id":50443,"uris":["http://zotero.org/groups/5108666/items/492BMIAT"],"itemData":{"id":50443,"type":"article-journal","archive":"Scopus","container-title":"Journal of Arthroplasty","DOI":"10.1016/j.arth.2016.05.027","issue":"12","page":"2700-2704","title":"Disparities in Discharge Destination After Lower Extremity Joint Arthroplasty: Analysis of 7924 Patients in an Urban Setting","volume":"31","author":[{"family":"Inneh","given":"I.A."},{"family":"Clair","given":"A.J."},{"family":"Slover","given":"J.D."},{"family":"Iorio","given":"R."}],"issued":{"date-parts":[["2016"]]}}},{"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[5,12]</w:t>
      </w:r>
      <w:r w:rsidRPr="00ED5246">
        <w:rPr>
          <w:rFonts w:ascii="Times New Roman" w:hAnsi="Times New Roman" w:cs="Times New Roman"/>
        </w:rPr>
        <w:fldChar w:fldCharType="end"/>
      </w:r>
      <w:r w:rsidRPr="00ED5246">
        <w:rPr>
          <w:rFonts w:ascii="Times New Roman" w:hAnsi="Times New Roman" w:cs="Times New Roman"/>
        </w:rPr>
        <w:t>, cardiac procedures</w:t>
      </w:r>
      <w:r w:rsidRPr="00ED5246">
        <w:rPr>
          <w:rFonts w:ascii="Times New Roman" w:eastAsia="Aptos" w:hAnsi="Times New Roman" w:cs="Times New Roman"/>
        </w:rPr>
        <w:t>,</w:t>
      </w:r>
      <w:r w:rsidRPr="00ED5246">
        <w:rPr>
          <w:rFonts w:ascii="Times New Roman" w:hAnsi="Times New Roman" w:cs="Times New Roman"/>
        </w:rPr>
        <w:t xml:space="preserve"> such as </w:t>
      </w:r>
      <w:r w:rsidRPr="00ED5246">
        <w:rPr>
          <w:rFonts w:ascii="Times New Roman" w:eastAsia="Aptos" w:hAnsi="Times New Roman" w:cs="Times New Roman"/>
        </w:rPr>
        <w:t>transcatheter</w:t>
      </w:r>
      <w:r w:rsidRPr="00ED5246">
        <w:rPr>
          <w:rFonts w:ascii="Times New Roman" w:hAnsi="Times New Roman" w:cs="Times New Roman"/>
        </w:rPr>
        <w:t xml:space="preserve"> aortic valve replacement (TAVR) and </w:t>
      </w:r>
      <w:r w:rsidRPr="00ED5246">
        <w:rPr>
          <w:rFonts w:ascii="Times New Roman" w:eastAsia="Aptos" w:hAnsi="Times New Roman" w:cs="Times New Roman"/>
        </w:rPr>
        <w:t>coronary</w:t>
      </w:r>
      <w:r w:rsidRPr="00ED5246">
        <w:rPr>
          <w:rFonts w:ascii="Times New Roman" w:hAnsi="Times New Roman" w:cs="Times New Roman"/>
        </w:rPr>
        <w:t xml:space="preserve"> artery bypass graft (CABG)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{"citationID":"rtBtM2cJ","properties":{"formattedCitation":"[10,13]","plainCitation":"[10,13]","noteIndex":0},"citationItems":[{"id":37590,"uris":["http://zotero.org/groups/5108666/items/RNYD7TU4"],"itemData":{"id":37590,"type":"article-journal","abstract":"Background Patients undergoing transcatheter aortic valve replacement (TAVR) are likely to be discharged to a location other than home. We aimed to determine the association between preoperative risk factors and non-home discharge after TAVR. Methods Patients discharged alive after TAVR at three centers were identified from a prospectively maintained database randomly divided into 80% derivation and 20% validation cohorts. Logistic regression models were fit to identify preoperative factors associated with non-home discharge in the derivation cohort. Multivariable models were developed and a nomogram based risk-scoring system was developed for use in preoperative counseling. Results Between June 2012 and December 2018, a total of 1,163 patients had TAVR at three centers. Thirty-seven patients who died before discharge were excluded. Of the remaining 1,126 patients (97%) who were discharged alive, the incidence of non-home discharge was 25.6% (n = 289). The patient population was randomly divided into the 80% (n = 900) derivation cohort and 20% (n = 226) validation cohort. Mean +/- SD age of the study population was 83 +/- 8 years. In multivariable analysis, factors that were significantly associated with non-home discharge were extreme age, female sex, higher STS scores, use of general anesthesia, elective procedures, chronic liver disease, non-transfemoral approach and postoperative complications. The unbiased estimate of the C-index was 0.81 and the model had excellent calibration. Conclusions One out of every four patients undergoing TAVR is discharged to a location other than home. Identification of preoperative factors associated with non-home discharge can assist patient counseling and postoperative disposition planning.Copyright © 2020 JGC All rights reserved; www.jgc301.com","archive":"Embase","container-title":"Journal of Geriatric Cardiology","DOI":"10.11909/j.issn.1671-5411.2020.10.002","ISSN":"1671-5411","issue":"10","journalAbbreviation":"J. Geriatr. Cardiol.","language":"English","page":"621-627","title":"Risk scoring model for prediction of non-home discharge after transcatheter aortic valve replacement","volume":"17","author":[{"literal":"Okoh A.K."},{"literal":"Ozturk E."},{"literal":"Gold J."},{"literal":"Siddiqui E."},{"literal":"Dhaduk N."},{"literal":"Haik B."},{"literal":"Chen C.-G."},{"literal":"Cohen M."},{"literal":"Russo M.J."}],"issued":{"date-parts":[["2020"]]}}},{"id":42053,"uris":["http://zotero.org/groups/5108666/items/ZSL94DSH"],"itemData":{"id":42053,"type":"article-journal","abstract":"OBJECTIVE: To determine the proportion of patients surviving their cardiac surgery who experienced non-home discharge (NHD) over a 16-year period in  Australia and New Zealand (ANZ). DESIGN: Retrospective, multicentre,  cross-sectional study over the time period 01 January 2004 to 31 December 2019.  SETTING: Adult patients who underwent cardiac surgery from the Australia New  Zealand Intensive Care Society Adult Patient Database (APD). PARTICIPANTS: Adult  patients (age 18 and above) who underwent index coronary artery bypass grafting,  cardiac valve surgery or combined valve/coronary surgery. EXPOSURE: The primary  exposure variable was the calendar year during the which the index surgery was  performed. OUTCOME: The primary outcome was NHD after the index surgery. NHD  included discharge to locations such as nursing home, chronic care facility,  rehabilitation and palliative care. RESULTS: We analysed 252 924 index cardiac  surgical admissions from 101 discrete sites with a median age of 68 years (IQR  60-76), of which 74.2% (187 662 out of 252 920) were males. Of these, 4302 (1.7%)  patients died in hospital and 213 011 (84.2%) were discharged home, 18 010 (7.1%)  were transferred to another hospital and 17 601 (7%) experienced NHD. In  Australia, 14 457 (6.4%) of patients progressed to NHD, compared with 3144  (11.7%) in New Zealand. The rate of NHD increased significantly over time  (adjusted OR per year=1.06, 95% CI, 1.06 to 1.07, p&lt;0.001). Increasing age,  female sex, non-elective surgery, surgery type and Acute Physiology and Chronic  Health Evaluation III Score were all associated with significant increase in NHD.  CONCLUSIONS: There was significant increase in NHD after cardiac surgery over  time in ANZ. This has significant clinical relevance for informed consent  discussions between healthcare providers and patients, and for healthcare  services planning.","container-title":"BMJ open","DOI":"10.1136/bmjopen-2021-049187","ISSN":"2044-6055","issue":"12","journalAbbreviation":"BMJ Open","language":"eng","page":"e049187","title":"Non-home discharge after cardiac surgery in Australia and New Zealand: a cross-sectional study.","volume":"11","author":[{"family":"Ramanan","given":"Mahesh"},{"family":"Kumar","given":"Aashish"},{"family":"Anstey","given":"Chris"},{"family":"Shekar","given":"Kiran"}],"issued":{"date-parts":[["2021",12,23]]}}}],"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[10,13]</w:t>
      </w:r>
      <w:r w:rsidRPr="00ED5246">
        <w:rPr>
          <w:rFonts w:ascii="Times New Roman" w:hAnsi="Times New Roman" w:cs="Times New Roman"/>
        </w:rPr>
        <w:fldChar w:fldCharType="end"/>
      </w:r>
      <w:r w:rsidRPr="00ED5246">
        <w:rPr>
          <w:rFonts w:ascii="Times New Roman" w:hAnsi="Times New Roman" w:cs="Times New Roman"/>
        </w:rPr>
        <w:t xml:space="preserve">, and gynecological surgeries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{"citationID":"sWuGofgm","properties":{"formattedCitation":"[9]","plainCitation":"[9]","noteIndex":0},"citationItems":[{"id":68054,"uris":["http://zotero.org/groups/5108666/items/X4U2WQZC"],"itemData":{"id":68054,"type":"article-journal","abstract":"IMPORTANCE: Discharge to home after surgery has been recognized as a determinant of long-term survival and is a common concern in the elderly population.\nOBJECTIVE: The aim of the study was to determine the incidence and risk factors for nonhome discharge in patients undergoing major surgery for pelvic organ prolapse.\nSTUDY DESIGN: We performed a retrospective cohort study using the American College of Surgeons National Surgical Quality Improvement Program Database from 2010 to 2018. We included patients who underwent sacrocolpopexy, vaginal colpopexy, and colpocleisis. We compared perioperative characteristics in patients who were discharged home versus those who were discharged to a nonhome location. Stepwise backward multivariate logistic regression was then used to control for confounding variables and identify independent predictors of nonhome discharge.\nRESULTS: A total of 38,012 patients were included in this study, 209 of whom experienced nonhome discharge (0.5%). Independent predictors of nonhome discharge included preoperative weight loss (adjusted odds ratio [aOR], 5.9; 95% confidence interval [CI], 1.3-27.5), dependent health care status (aOR, 5.0; 95% CI, 2.6-9.5), abdominal hysterectomy (aOR, 2.3; 95% CI, 1.4-3.7), American Society of Anesthesiologists class 3 or greater (aOR, 2.0; 95% CI, 1.5-2.7), age (aOR, 1.1; 95% CI, 1.05-1.09), operative time (aOR, 1.005; 95% CI, 1.003-1.006), laparoscopic hysterectomy (aOR, 0.6; 95% CI, 0.4-1.0), and laparoscopic sacrocolpopexy (aOR, 0.5; 95% CI, 0.3-0.8).\nCONCLUSIONS: In patients undergoing surgery for pelvic organ prolapse, nonhome discharge is associated with various indicators of frailty, including age, health care dependence, and certain comorbidities. An open surgical approach increases the risk of nonhome discharge, while a laparoscopic approach is associated with lower risk.","container-title":"Urogynecology (Philadelphia, Pa.)","DOI":"10.1097/SPV.0000000000001347","ISSN":"2771-1897","journalAbbreviation":"Urogynecology (Phila)","language":"eng","note":"PMID: 36946906","source":"PubMed","title":"Nonhome Discharge in Patients Undergoing Pelvic Reconstructive Surgery: A National Analysis","title-short":"Nonhome Discharge in Patients Undergoing Pelvic Reconstructive Surgery","author":[{"family":"Ross","given":"James H."},{"family":"Wood","given":"Nicole"},{"family":"Simmons","given":"Adrienne"},{"family":"Lua-Mailland","given":"Lannah L."},{"family":"Wallace","given":"Shannon L."},{"family":"Chapman","given":"Graham C."}],"issued":{"date-parts":[["2023",3,9]]}}}],"schema":"https://github.com/citation-style-language/schema/raw/master/csl-citation.json"}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[9]</w:t>
      </w:r>
      <w:r w:rsidRPr="00ED5246">
        <w:rPr>
          <w:rFonts w:ascii="Times New Roman" w:hAnsi="Times New Roman" w:cs="Times New Roman"/>
        </w:rPr>
        <w:fldChar w:fldCharType="end"/>
      </w:r>
      <w:r w:rsidRPr="00ED5246">
        <w:rPr>
          <w:rFonts w:ascii="Times New Roman" w:hAnsi="Times New Roman" w:cs="Times New Roman"/>
        </w:rPr>
        <w:t xml:space="preserve"> were all associated with an increased likelihood of LTC transition. Additional factors heightening LTC placement risk included non-elective surgeries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{"citationID":"OPALmTlz","properties":{"formattedCitation":"[13]","plainCitation":"[13]","noteIndex":0},"citationItems":[{"id":42053,"uris":["http://zotero.org/groups/5108666/items/ZSL94DSH"],"itemData":{"id":42053,"type":"article-journal","abstract":"OBJECTIVE: To determine the proportion of patients surviving their cardiac surgery who experienced non-home discharge (NHD) over a 16-year period in  Australia and New Zealand (ANZ). DESIGN: Retrospective, multicentre,  cross-sectional study over the time period 01 January 2004 to 31 December 2019.  SETTING: Adult patients who underwent cardiac surgery from the Australia New  Zealand Intensive Care Society Adult Patient Database (APD). PARTICIPANTS: Adult  patients (age 18 and above) who underwent index coronary artery bypass grafting,  cardiac valve surgery or combined valve/coronary surgery. EXPOSURE: The primary  exposure variable was the calendar year during the which the index surgery was  performed. OUTCOME: The primary outcome was NHD after the index surgery. NHD  included discharge to locations such as nursing home, chronic care facility,  rehabilitation and palliative care. RESULTS: We analysed 252 924 index cardiac  surgical admissions from 101 discrete sites with a median age of 68 years (IQR  60-76), of which 74.2% (187 662 out of 252 920) were males. Of these, 4302 (1.7%)  patients died in hospital and 213 011 (84.2%) were discharged home, 18 010 (7.1%)  were transferred to another hospital and 17 601 (7%) experienced NHD. In  Australia, 14 457 (6.4%) of patients progressed to NHD, compared with 3144  (11.7%) in New Zealand. The rate of NHD increased significantly over time  (adjusted OR per year=1.06, 95% CI, 1.06 to 1.07, p&lt;0.001). Increasing age,  female sex, non-elective surgery, surgery type and Acute Physiology and Chronic  Health Evaluation III Score were all associated with significant increase in NHD.  CONCLUSIONS: There was significant increase in NHD after cardiac surgery over  time in ANZ. This has significant clinical relevance for informed consent  discussions between healthcare providers and patients, and for healthcare  services planning.","container-title":"BMJ open","DOI":"10.1136/bmjopen-2021-049187","ISSN":"2044-6055","issue":"12","journalAbbreviation":"BMJ Open","language":"eng","page":"e049187","title":"Non-home discharge after cardiac surgery in Australia and New Zealand: a cross-sectional study.","volume":"11","author":[{"family":"Ramanan","given":"Mahesh"},{"family":"Kumar","given":"Aashish"},{"family":"Anstey","given":"Chris"},{"family":"Shekar","given":"Kiran"}],"issued":{"date-parts":[["2021",12,23]]}}}],"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[13]</w:t>
      </w:r>
      <w:r w:rsidRPr="00ED5246">
        <w:rPr>
          <w:rFonts w:ascii="Times New Roman" w:hAnsi="Times New Roman" w:cs="Times New Roman"/>
        </w:rPr>
        <w:fldChar w:fldCharType="end"/>
      </w:r>
      <w:r w:rsidRPr="00ED5246">
        <w:rPr>
          <w:rFonts w:ascii="Times New Roman" w:hAnsi="Times New Roman" w:cs="Times New Roman"/>
        </w:rPr>
        <w:t xml:space="preserve">, general anesthesia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{"citationID":"HVSFKk6c","properties":{"formattedCitation":"[6]","plainCitation":"[6]","noteIndex":0},"citationItems":[{"id":39955,"uris":["http://zotero.org/groups/5108666/items/2CBAJKM4"],"itemData":{"id":39955,"type":"article-journal","abstract":"OBJECTIVE: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[6]</w:t>
      </w:r>
      <w:r w:rsidRPr="00ED5246">
        <w:rPr>
          <w:rFonts w:ascii="Times New Roman" w:hAnsi="Times New Roman" w:cs="Times New Roman"/>
        </w:rPr>
        <w:fldChar w:fldCharType="end"/>
      </w:r>
      <w:r w:rsidRPr="00ED5246">
        <w:rPr>
          <w:rFonts w:ascii="Times New Roman" w:hAnsi="Times New Roman" w:cs="Times New Roman"/>
        </w:rPr>
        <w:t xml:space="preserve">, respiratory treatments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{"citationID":"sF5hcY3B","properties":{"formattedCitation":"[4]","plainCitation":"[4]","noteIndex":0},"citationItems":[{"id":39310,"uris":["http://zotero.org/groups/5108666/items/DKV78FLY"],"itemData":{"id":39310,"type":"article-journal","abstract":"In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[4]</w:t>
      </w:r>
      <w:r w:rsidRPr="00ED5246">
        <w:rPr>
          <w:rFonts w:ascii="Times New Roman" w:hAnsi="Times New Roman" w:cs="Times New Roman"/>
        </w:rPr>
        <w:fldChar w:fldCharType="end"/>
      </w:r>
      <w:r w:rsidRPr="00ED5246">
        <w:rPr>
          <w:rFonts w:ascii="Times New Roman" w:hAnsi="Times New Roman" w:cs="Times New Roman"/>
        </w:rPr>
        <w:t xml:space="preserve">, tube insertions in hospital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{"citationID":"wCFTHM5r","properties":{"formattedCitation":"[22]","plainCitation":"[22]","noteIndex":0},"citationItems":[{"id":39806,"uris":["http://zotero.org/groups/5108666/items/2MF7J4KI"],"itemData":{"id":39806,"type":"article-journal","abstract":"Multiple transitions across care settings can be disruptive for older adults with dementia and their care partners, and can lead to fragmented care with adverse outcomes. This scoping review was conducted to identify and classify care trajectories across multiple settings for people with dementia, and to understand the prevalence of multiple transitions and associated factors at the individual and organizational levels. Searches of three databases, limited to peer-reviewed studies published between 2007 and 2017, provided 33 articles for inclusion. We identified 26 distinct care trajectories. Common trajectories involved hospital readmission or discharge from hospital to long-term care. Factors associated with transitions were identified mainly at the level of demographic and medical characteristics. Findings suggest a need for investing in stronger community-based systems of care that may reduce transitions. Further research is recommended to address knowledge gaps about complex and longitudinal care trajectories and trajectories experienced by sub-populations of people living with dementia.","archive":"Ovid MEDLINE(R) &lt;2022&gt;","container-title":"Canadian journal on aging = La revue canadienne du vieillissement","DOI":"10.1017/S0714980821000167","ISSN":"1710-1107","issue":"1","journalAbbreviation":"Can J Aging","page":"71-95","title":"A Scoping Review of Care Trajectories across Multiple Settings for Persons with Dementia.","volume":"41","author":[{"family":"Kosteniuk","given":"Julie G"},{"family":"Morgan","given":"Debra G"},{"family":"Elliot","given":"Valerie"},{"family":"Froehlich Chow","given":"Amanda"},{"family":"Bayly","given":"Melanie"},{"family":"Watson","given":"Erin"},{"family":"Osman","given":"Meric"},{"family":"Acan Osman","given":"Beliz"},{"family":"O'Connell","given":"Megan E"},{"family":"Kirk","given":"Andrew"},{"family":"Stewart","given":"Norma"},{"family":"Cammer","given":"Allison"},{"family":"Innes","given":"Anthea"}],"issued":{"date-parts":[["2022"]]}}}],"schema":"https://github.com/citation-style-language/schema/raw/master/csl-citation.json"}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[22]</w:t>
      </w:r>
      <w:r w:rsidRPr="00ED5246">
        <w:rPr>
          <w:rFonts w:ascii="Times New Roman" w:hAnsi="Times New Roman" w:cs="Times New Roman"/>
        </w:rPr>
        <w:fldChar w:fldCharType="end"/>
      </w:r>
      <w:r w:rsidRPr="00ED5246">
        <w:rPr>
          <w:rFonts w:ascii="Times New Roman" w:hAnsi="Times New Roman" w:cs="Times New Roman"/>
        </w:rPr>
        <w:t xml:space="preserve">, and multiple procedures during a single hospitalization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{"citationID":"ztsEOKMl","properties":{"formattedCitation":"[1]","plainCitation":"[1]","noteIndex":0},"citationItems":[{"id":67839,"uris":["http://zotero.org/groups/5108666/items/UNDAPQBL"],"itemData":{"id":67839,"type":"article-journal","abstract":"We examine the relationship between long-term care supply (care home beds and prices) and (i) the probability of being discharged to a care home and (ii) length of stay in hospital for patients admitted to hospital for hip fracture or stroke. Using patient level data from all English hospitals and allowing for a rich set of demographic and clinical factors, we find no association between discharge destination and long-term care beds supply or prices. We do, however, find evidence of bed blocking: hospital length of stay for hip fracture patients discharged to a care home is shorter in areas with more long-term care beds and lower prices. Length of stay is over 30% shorter in areas in the highest quintile of care home beds supply compared to those in the lowest quintile.","container-title":"International Journal of Health Economics and Management","DOI":"10.1007/s10754-017-9214-z","ISSN":"2199-9031","issue":"3","journalAbbreviation":"Int J Health Econ Manag","language":"eng","note":"PMID: 28247174\nPMCID: PMC5703024","page":"311-331","source":"PubMed","title":"Long-term care provision, hospital bed blocking, and discharge destination for hip fracture and stroke patients","volume":"17","author":[{"family":"Gaughan","given":"James"},{"family":"Gravelle","given":"Hugh"},{"family":"Santos","given":"Rita"},{"family":"Siciliani","given":"Luigi"}],"issued":{"date-parts":[["2017",2,28]]}}}],"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w:t>
      </w:r>
      <w:r w:rsidRPr="00ED5246">
        <w:rPr>
          <w:rFonts w:ascii="Times New Roman" w:hAnsi="Times New Roman" w:cs="Times New Roman"/>
        </w:rPr>
        <w:fldChar w:fldCharType="end"/>
      </w:r>
      <w:r w:rsidRPr="00ED5246">
        <w:rPr>
          <w:rFonts w:ascii="Times New Roman" w:hAnsi="Times New Roman" w:cs="Times New Roman"/>
        </w:rPr>
        <w:t xml:space="preserve">. Conversely, pre-hospitalization physiotherapy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cmCZXsYQ","properties":{"formattedCitation":"[30]","plainCitation":"[30]","noteIndex":0},"citationItems":[{"id":4913,"uris":["http://zotero.org/users/7655466/items/NKEDP6UA"],"itemData":{"id":4913,"type":"article-journal","archive":"Scopus","container-title":"Aging Clinical and Experimental Research","DOI":"10.1007/s40520-019-01310-7","ISSN":"15940667 (ISSN)","issue":"7","note":"publisher: Springer","page":"1271-1277","title":"Previous in-home physiotherapy prevents institutionalization after short-term hospitalization in community-dwelling older dependent people","volume":"32","author":[{"family":"Sebban","given":"A."},{"family":"Lesclide","given":"E."},{"family":"Bonin-Guillaume","given":"S."},{"family":"Campana","given":"M."},{"family":"Grino","given":"M."},{"family":"Franqui","given":"C."}],"issued":{"date-parts":[["2020"]]}}}],"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[30]</w:t>
      </w:r>
      <w:r w:rsidRPr="00ED5246">
        <w:rPr>
          <w:rFonts w:ascii="Times New Roman" w:hAnsi="Times New Roman" w:cs="Times New Roman"/>
        </w:rPr>
        <w:fldChar w:fldCharType="end"/>
      </w:r>
      <w:r w:rsidRPr="00ED5246">
        <w:rPr>
          <w:rFonts w:ascii="Times New Roman" w:hAnsi="Times New Roman" w:cs="Times New Roman"/>
        </w:rPr>
        <w:t xml:space="preserve"> decreased the likelihood of LTC transition.</w:t>
      </w:r>
    </w:p>
    <w:p w14:paraId="087B6E1F" w14:textId="20DADD35" w:rsidR="004579D2" w:rsidRPr="00ED5246" w:rsidRDefault="004579D2" w:rsidP="00A04BF9">
      <w:pPr>
        <w:spacing w:after="0" w:line="480" w:lineRule="auto"/>
        <w:jc w:val="both"/>
        <w:rPr>
          <w:rFonts w:ascii="Times New Roman" w:hAnsi="Times New Roman" w:cs="Times New Roman"/>
        </w:rPr>
      </w:pPr>
      <w:bookmarkStart w:id="10" w:name="_Hlk184142588"/>
      <w:bookmarkStart w:id="11" w:name="_Hlk184142817"/>
      <w:bookmarkEnd w:id="9"/>
      <w:r w:rsidRPr="00ED5246">
        <w:rPr>
          <w:rFonts w:ascii="Times New Roman" w:hAnsi="Times New Roman" w:cs="Times New Roman"/>
        </w:rPr>
        <w:lastRenderedPageBreak/>
        <w:t>Operational efficiency within hospitals also played a role. Higher patient-to-nurse ratios (7</w:t>
      </w:r>
      <w:r>
        <w:rPr>
          <w:rFonts w:ascii="Times New Roman" w:hAnsi="Times New Roman" w:cs="Times New Roman"/>
        </w:rPr>
        <w:t>:</w:t>
      </w:r>
      <w:r w:rsidRPr="00ED5246">
        <w:rPr>
          <w:rFonts w:ascii="Times New Roman" w:hAnsi="Times New Roman" w:cs="Times New Roman"/>
        </w:rPr>
        <w:t xml:space="preserve">1) were linked with increased LTC transitions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{"citationID":"JM9xNuj3","properties":{"formattedCitation":"[4]","plainCitation":"[4]","noteIndex":0},"citationItems":[{"id":39310,"uris":["http://zotero.org/groups/5108666/items/DKV78FLY"],"itemData":{"id":39310,"type":"article-journal","abstract":"In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[4]</w:t>
      </w:r>
      <w:r w:rsidRPr="00ED5246">
        <w:rPr>
          <w:rFonts w:ascii="Times New Roman" w:hAnsi="Times New Roman" w:cs="Times New Roman"/>
        </w:rPr>
        <w:fldChar w:fldCharType="end"/>
      </w:r>
      <w:r w:rsidRPr="00ED5246">
        <w:rPr>
          <w:rFonts w:ascii="Times New Roman" w:hAnsi="Times New Roman" w:cs="Times New Roman"/>
        </w:rPr>
        <w:t xml:space="preserve">. </w:t>
      </w:r>
      <w:bookmarkEnd w:id="10"/>
      <w:r>
        <w:rPr>
          <w:rFonts w:ascii="Times New Roman" w:hAnsi="Times New Roman" w:cs="Times New Roman"/>
        </w:rPr>
        <w:t>Several i</w:t>
      </w:r>
      <w:r w:rsidRPr="00ED5246">
        <w:rPr>
          <w:rFonts w:ascii="Times New Roman" w:hAnsi="Times New Roman" w:cs="Times New Roman"/>
        </w:rPr>
        <w:t>nstitutional practices</w:t>
      </w:r>
      <w:r>
        <w:rPr>
          <w:rFonts w:ascii="Times New Roman" w:hAnsi="Times New Roman" w:cs="Times New Roman"/>
        </w:rPr>
        <w:t xml:space="preserve"> were identified as barriers to effective transition processes. This includes </w:t>
      </w:r>
      <w:r w:rsidRPr="00656DC1">
        <w:rPr>
          <w:rFonts w:ascii="Times New Roman" w:hAnsi="Times New Roman" w:cs="Times New Roman"/>
        </w:rPr>
        <w:t xml:space="preserve">the dominance of healthcare team decision-making </w:t>
      </w:r>
      <w:r>
        <w:rPr>
          <w:rFonts w:ascii="Times New Roman" w:hAnsi="Times New Roman" w:cs="Times New Roman"/>
        </w:rPr>
        <w:t>with</w:t>
      </w:r>
      <w:r w:rsidRPr="00656DC1">
        <w:rPr>
          <w:rFonts w:ascii="Times New Roman" w:hAnsi="Times New Roman" w:cs="Times New Roman"/>
        </w:rPr>
        <w:t xml:space="preserve"> limited incorporation of patient and family preferences </w:t>
      </w:r>
      <w:r w:rsidRPr="00ED5246">
        <w:rPr>
          <w:rFonts w:ascii="Times New Roman" w:hAnsi="Times New Roman" w:cs="Times New Roman"/>
        </w:rPr>
        <w:t xml:space="preserve">(n=1)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{"citationID":"jmDS48QM","properties":{"formattedCitation":"[43]","plainCitation":"[43]","noteIndex":0},"citationItems":[{"id":67842,"uris":["http://zotero.org/groups/5108666/items/M5GZSVI2"],"itemData":{"id":67842,"type":"article-journal","abstract":"Objective To synthesise the existing literature on care transition planning from the perspectives of older adults, caregivers and health professionals and to identify the factors that may influence these stakeholders’ transition decision-making processes.\nDesign A scoping review guided by Arksey and O’Malley’s six-step framework. A comprehensive search strategy was conducted on 7 January 2021 to identify articles in five databases (MEDLINE, Embase, CINAHL Plus, PsycINFO and AgeLine). Records were included when they described care transition planning in an institutional setting from the perspectives of the care triad (older adults, caregivers and health professionals). No date or study design restrictions were imposed.\nSetting This review explored care transitions involving older adults from an institutional care setting to any other institutional or non-institutional care setting. Institutional care settings include communal facilities where individuals dwell for short or extended periods of time and have access to healthcare services.\nParticipants Older adults (aged 65 or older), caregivers and health professionals.\nResults 39 records were included. Stakeholder involvement in transition planning varied across the studies. Transition decisions were largely made by health professionals, with limited or unclear involvement from older adults and caregivers. Seven factors appeared to guide transition planning across the stakeholder groups: (a) institutional priorities and requirements; (b) resources; (c) knowledge; (d) risk; (e) group structure and dynamic; (f) health and support needs; and (g) personality preferences and beliefs. Factors were described at microlevels, mesolevels and macrolevels.\nConclusions This review explored stakeholder involvement in transition planning and identified seven factors that appear to influence transition decision-making. These factors may be useful in advancing the delivery of person and family-centred care by determining how individual-level, group-level and system-level values guide decision-making. Further research is needed to understand how various stakeholder groups balance these factors during transition planning in different health contexts.","container-title":"BMJ Open","DOI":"10.1136/bmjopen-2021-059446","ISSN":"2044-6055, 2044-6055","issue":"6","language":"en","license":"© Author(s) (or their employer(s)) 2022.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British Medical Journal Publishing Group\nsection: Patient-centred medicine\nPMID: 35697455","page":"e059446","source":"bmjopen.bmj.com","title":"Stakeholder involvement in care transition planning for older adults and the factors guiding their decision-making: a scoping review","title-short":"Stakeholder involvement in care transition planning for older adults and the factors guiding their decision-making","volume":"12","author":[{"family":"Carbone","given":"Sarah"},{"family":"Kokorelias","given":"Kristina Marie"},{"family":"Berta","given":"Whitney"},{"family":"Law","given":"Susan"},{"family":"Kuluski","given":"Kerry"}],"issued":{"date-parts":[["2022",6,1]]}}}],"schema":"https://github.com/citation-style-language/schema/raw/master/csl-citation.json"}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[43]</w:t>
      </w:r>
      <w:r w:rsidRPr="00ED5246">
        <w:rPr>
          <w:rFonts w:ascii="Times New Roman" w:hAnsi="Times New Roman" w:cs="Times New Roman"/>
        </w:rPr>
        <w:fldChar w:fldCharType="end"/>
      </w:r>
      <w:r w:rsidRPr="00ED5246">
        <w:rPr>
          <w:rFonts w:ascii="Times New Roman" w:hAnsi="Times New Roman" w:cs="Times New Roman"/>
        </w:rPr>
        <w:t xml:space="preserve">, inadequate staff education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{"citationID":"uQ8eSbBt","properties":{"formattedCitation":"[44]","plainCitation":"[44]","noteIndex":0},"citationItems":[{"id":22362,"uris":["http://zotero.org/users/7655466/items/CL74BD8G"],"itemData":{"id":22362,"type":"article-journal","abstract":"INTRODUCTION: Despite a generally decreased length of stay in Swedish hospitals, an increasing delay of discharge has been observed among patients with long-term care need., AIM: Identify challenges and opportunities in the transition of patients between hospitals and out-patient care., METHOD: Data were obtained from national registers on patients discharged from hospitals in 2014, interviews with public care authorities, and a systematic literature review., RESULTS: A total of 1 121 823 persons were discharged from Swedish hospitals in 2014. Of all discharged patients, 334 420 (30%) was in need of further out-patient medical care while 221 221 (20%) needed social services. Among these discharged patients, 53 763 (5%) needed both medical care and social services. In this group of frail persons (primarily females 80 years or older), 25 760 (48%) were readmitted to hospital within 30 days from the discharge. Main reported challenges in the transition were as follows: a decreasing number of beds in hospitals and nursing homes, lack of staff with proper education, and problems in transfer of information between caregivers. To solve these problems, respondents reported some new approaches: extensive initial home services after discharge, out-patient care organised by both municipalities and county councils, local follow-up of patient data as well as an emphasis on collaboration between caregivers. The literature reported ambiguous results about effects of single interventions at discharge. However, evidence suggests that the number of readmissions to hospital may be reduced by combining several interventions before discharge (individual planning, geriatric assessment, and patient education) with follow-up after discharge., CONCLUSION: Since many frail patients are readmitted to hospital within 30 days after discharge, Swedish out-patient care may need new working methods in order to promote a coherent care. Further, multi-component interventions at discharge, including follow-up after discharge, may prevent unintended readmissions. Copyright © 2018 Nordic College of Caring Science.","archive":"Ovid MEDLINE(R) &lt;2019&gt;","container-title":"Scandinavian journal of caring sciences","DOI":"10.1111/scs.12625","ISSN":"1471-6712","issue":"2","journalAbbreviation":"Scand J Caring Sci","note":"publisher-place: Sweden\nAhsberg, Elizabeth. Department of Knowledge Based Policy and Guidance, The National Board of Health and Welfare, Stockholm, Sweden.","page":"329-335","title":"Discharge from hospital - a national survey of transition to out-patient care.","volume":"33","author":[{"family":"Ahsberg","given":"Elizabeth"}],"issued":{"date-parts":[["2019"]]}}}],"schema":"https://github.com/citation-style-language/schema/raw/master/csl-citation.json"}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[44]</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 xml:space="preserve">delayed communication between hospitals and LTC in rural areas (n=1) </w:t>
      </w:r>
      <w:r>
        <w:rPr>
          <w:rFonts w:ascii="Times New Roman" w:hAnsi="Times New Roman" w:cs="Times New Roman"/>
        </w:rPr>
        <w:fldChar w:fldCharType="begin"/>
      </w:r>
      <w:r>
        <w:rPr>
          <w:rFonts w:ascii="Times New Roman" w:hAnsi="Times New Roman" w:cs="Times New Roman"/>
        </w:rPr>
        <w:instrText xml:space="preserve"> ADDIN ZOTERO_ITEM CSL_CITATION {"citationID":"9y0H4vsf","properties":{"formattedCitation":"[45]","plainCitation":"[45]","noteIndex":0},"citationItems":[{"id":49129,"uris":["http://zotero.org/groups/5108666/items/FV6EKNZR"],"itemData":{"id":49129,"type":"article-journal","archive":"Scopus","container-title":"Journal of Aging and Social Policy","DOI":"10.1080/08959420.2018.1430413","issue":"2","page":"109-126","title":"Beyond Clinical Complexity: Nonmedical Barriers to Nursing Home Care for Rural Residents","volume":"30","author":[{"family":"Henning-Smith","given":"C."},{"family":"Kozhimannil","given":"K.B."},{"family":"Casey","given":"M.M."},{"family":"Prasad","given":"S."}],"issued":{"date-parts":[["2018"]]}}}],"schema":"https://github.com/citation-style-language/schema/raw/master/csl-citation.json"} </w:instrText>
      </w:r>
      <w:r>
        <w:rPr>
          <w:rFonts w:ascii="Times New Roman" w:hAnsi="Times New Roman" w:cs="Times New Roman"/>
        </w:rPr>
        <w:fldChar w:fldCharType="separate"/>
      </w:r>
      <w:r w:rsidRPr="00084D63">
        <w:rPr>
          <w:rFonts w:ascii="Times New Roman" w:hAnsi="Times New Roman" w:cs="Times New Roman"/>
        </w:rPr>
        <w:t>[45]</w:t>
      </w:r>
      <w:r>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and poor inter-provider communication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{"citationID":"XOLm56mw","properties":{"formattedCitation":"[44,46]","plainCitation":"[44,46]","noteIndex":0},"citationItems":[{"id":22362,"uris":["http://zotero.org/users/7655466/items/CL74BD8G"],"itemData":{"id":22362,"type":"article-journal","abstract":"INTRODUCTION: Despite a generally decreased length of stay in Swedish hospitals, an increasing delay of discharge has been observed among patients with long-term care need., AIM: Identify challenges and opportunities in the transition of patients between hospitals and out-patient care., METHOD: Data were obtained from national registers on patients discharged from hospitals in 2014, interviews with public care authorities, and a systematic literature review., RESULTS: A total of 1 121 823 persons were discharged from Swedish hospitals in 2014. Of all discharged patients, 334 420 (30%) was in need of further out-patient medical care while 221 221 (20%) needed social services. Among these discharged patients, 53 763 (5%) needed both medical care and social services. In this group of frail persons (primarily females 80 years or older), 25 760 (48%) were readmitted to hospital within 30 days from the discharge. Main reported challenges in the transition were as follows: a decreasing number of beds in hospitals and nursing homes, lack of staff with proper education, and problems in transfer of information between caregivers. To solve these problems, respondents reported some new approaches: extensive initial home services after discharge, out-patient care organised by both municipalities and county councils, local follow-up of patient data as well as an emphasis on collaboration between caregivers. The literature reported ambiguous results about effects of single interventions at discharge. However, evidence suggests that the number of readmissions to hospital may be reduced by combining several interventions before discharge (individual planning, geriatric assessment, and patient education) with follow-up after discharge., CONCLUSION: Since many frail patients are readmitted to hospital within 30 days after discharge, Swedish out-patient care may need new working methods in order to promote a coherent care. Further, multi-component interventions at discharge, including follow-up after discharge, may prevent unintended readmissions. Copyright © 2018 Nordic College of Caring Science.","archive":"Ovid MEDLINE(R) &lt;2019&gt;","container-title":"Scandinavian journal of caring sciences","DOI":"10.1111/scs.12625","ISSN":"1471-6712","issue":"2","journalAbbreviation":"Scand J Caring Sci","note":"publisher-place: Sweden\nAhsberg, Elizabeth. Department of Knowledge Based Policy and Guidance, The National Board of Health and Welfare, Stockholm, Sweden.","page":"329-335","title":"Discharge from hospital - a national survey of transition to out-patient care.","volume":"33","author":[{"family":"Ahsberg","given":"Elizabeth"}],"issued":{"date-parts":[["2019"]]}}},{"id":69720,"uris":["http://zotero.org/users/7655466/items/P9DGBNHF"],"itemData":{"id":69720,"type":"article-journal","abstract":"The aim of this brief report is to present the protocol and preliminary findings of a systematic review on key aspects of care provision that affect care transition of older adults 60+ within the long-term care systems. This brief report describes ...","container-title":"International Journal of Environmental Research and Public Health","DOI":"10.3390/ijerph19116402","issue":"11","language":"en","note":"PMID: 35681987","page":"6402","source":"pmc.ncbi.nlm.nih.gov","title":"Key Care Provision Aspects That Affect Care Transition in the Long-Term Care Systems: Preliminary Review Findings","title-short":"Key Care Provision Aspects That Affect Care Transition in the Long-Term Care Systems","volume":"19","author":[{"family":"Wieczorek","given":"Estera"},{"family":"Kocot","given":"Ewa"},{"family":"Evers","given":"Silvia"},{"family":"Sowada","given":"Christoph"},{"family":"Pavlova","given":"Milena"}],"issued":{"date-parts":[["2022",5,24]]}}}],"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[44,46]</w:t>
      </w:r>
      <w:r w:rsidRPr="00ED5246">
        <w:rPr>
          <w:rFonts w:ascii="Times New Roman" w:hAnsi="Times New Roman" w:cs="Times New Roman"/>
        </w:rPr>
        <w:fldChar w:fldCharType="end"/>
      </w:r>
      <w:r w:rsidRPr="00ED5246">
        <w:rPr>
          <w:rFonts w:ascii="Times New Roman" w:hAnsi="Times New Roman" w:cs="Times New Roman"/>
        </w:rPr>
        <w:t>.</w:t>
      </w:r>
      <w:bookmarkEnd w:id="11"/>
      <w:r w:rsidRPr="00ED5246">
        <w:rPr>
          <w:rFonts w:ascii="Times New Roman" w:hAnsi="Times New Roman" w:cs="Times New Roman"/>
        </w:rPr>
        <w:t xml:space="preserve"> Notably, electronic health records (EHR) and information transfer mechanisms were identified in systematic reviews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{"citationID":"COrtakeX","properties":{"formattedCitation":"[46]","plainCitation":"[46]","noteIndex":0},"citationItems":[{"id":69720,"uris":["http://zotero.org/users/7655466/items/P9DGBNHF"],"itemData":{"id":69720,"type":"article-journal","abstract":"The aim of this brief report is to present the protocol and preliminary findings of a systematic review on key aspects of care provision that affect care transition of older adults 60+ within the long-term care systems. This brief report describes ...","container-title":"International Journal of Environmental Research and Public Health","DOI":"10.3390/ijerph19116402","issue":"11","language":"en","note":"PMID: 35681987","page":"6402","source":"pmc.ncbi.nlm.nih.gov","title":"Key Care Provision Aspects That Affect Care Transition in the Long-Term Care Systems: Preliminary Review Findings","title-short":"Key Care Provision Aspects That Affect Care Transition in the Long-Term Care Systems","volume":"19","author":[{"family":"Wieczorek","given":"Estera"},{"family":"Kocot","given":"Ewa"},{"family":"Evers","given":"Silvia"},{"family":"Sowada","given":"Christoph"},{"family":"Pavlova","given":"Milena"}],"issued":{"date-parts":[["2022",5,24]]}}}],"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[46]</w:t>
      </w:r>
      <w:r w:rsidRPr="00ED5246">
        <w:rPr>
          <w:rFonts w:ascii="Times New Roman" w:hAnsi="Times New Roman" w:cs="Times New Roman"/>
        </w:rPr>
        <w:fldChar w:fldCharType="end"/>
      </w:r>
      <w:r w:rsidRPr="00ED5246">
        <w:rPr>
          <w:rFonts w:ascii="Times New Roman" w:hAnsi="Times New Roman" w:cs="Times New Roman"/>
        </w:rPr>
        <w:t xml:space="preserve"> and mixed methods studies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{"citationID":"uWKc7OOM","properties":{"formattedCitation":"[44]","plainCitation":"[44]","noteIndex":0},"citationItems":[{"id":22362,"uris":["http://zotero.org/users/7655466/items/CL74BD8G"],"itemData":{"id":22362,"type":"article-journal","abstract":"INTRODUCTION: Despite a generally decreased length of stay in Swedish hospitals, an increasing delay of discharge has been observed among patients with long-term care need., AIM: Identify challenges and opportunities in the transition of patients between hospitals and out-patient care., METHOD: Data were obtained from national registers on patients discharged from hospitals in 2014, interviews with public care authorities, and a systematic literature review., RESULTS: A total of 1 121 823 persons were discharged from Swedish hospitals in 2014. Of all discharged patients, 334 420 (30%) was in need of further out-patient medical care while 221 221 (20%) needed social services. Among these discharged patients, 53 763 (5%) needed both medical care and social services. In this group of frail persons (primarily females 80 years or older), 25 760 (48%) were readmitted to hospital within 30 days from the discharge. Main reported challenges in the transition were as follows: a decreasing number of beds in hospitals and nursing homes, lack of staff with proper education, and problems in transfer of information between caregivers. To solve these problems, respondents reported some new approaches: extensive initial home services after discharge, out-patient care organised by both municipalities and county councils, local follow-up of patient data as well as an emphasis on collaboration between caregivers. The literature reported ambiguous results about effects of single interventions at discharge. However, evidence suggests that the number of readmissions to hospital may be reduced by combining several interventions before discharge (individual planning, geriatric assessment, and patient education) with follow-up after discharge., CONCLUSION: Since many frail patients are readmitted to hospital within 30 days after discharge, Swedish out-patient care may need new working methods in order to promote a coherent care. Further, multi-component interventions at discharge, including follow-up after discharge, may prevent unintended readmissions. Copyright © 2018 Nordic College of Caring Science.","archive":"Ovid MEDLINE(R) &lt;2019&gt;","container-title":"Scandinavian journal of caring sciences","DOI":"10.1111/scs.12625","ISSN":"1471-6712","issue":"2","journalAbbreviation":"Scand J Caring Sci","note":"publisher-place: Sweden\nAhsberg, Elizabeth. Department of Knowledge Based Policy and Guidance, The National Board of Health and Welfare, Stockholm, Sweden.","page":"329-335","title":"Discharge from hospital - a national survey of transition to out-patient care.","volume":"33","author":[{"family":"Ahsberg","given":"Elizabeth"}],"issued":{"date-parts":[["2019"]]}}}],"schema":"https://github.com/citation-style-language/schema/raw/master/csl-citation.json"}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[44]</w:t>
      </w:r>
      <w:r w:rsidRPr="00ED5246">
        <w:rPr>
          <w:rFonts w:ascii="Times New Roman" w:hAnsi="Times New Roman" w:cs="Times New Roman"/>
        </w:rPr>
        <w:fldChar w:fldCharType="end"/>
      </w:r>
      <w:r w:rsidRPr="00ED5246">
        <w:rPr>
          <w:rFonts w:ascii="Times New Roman" w:hAnsi="Times New Roman" w:cs="Times New Roman"/>
        </w:rPr>
        <w:t xml:space="preserve"> as critical tools affecting transition processes.</w:t>
      </w:r>
    </w:p>
    <w:p w14:paraId="023C4BAB" w14:textId="586F3CAB"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rPr>
        <w:t xml:space="preserve">The availability of LTC beds was another determinant, with limited bed availability </w:t>
      </w:r>
      <w:r>
        <w:rPr>
          <w:rFonts w:ascii="Times New Roman" w:hAnsi="Times New Roman" w:cs="Times New Roman"/>
        </w:rPr>
        <w:t xml:space="preserve">prolonging </w:t>
      </w:r>
      <w:r w:rsidRPr="00ED5246">
        <w:rPr>
          <w:rFonts w:ascii="Times New Roman" w:hAnsi="Times New Roman" w:cs="Times New Roman"/>
        </w:rPr>
        <w:t xml:space="preserve">hospital stays in quantitative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{"citationID":"QFmyKkq0","properties":{"formattedCitation":"[38]","plainCitation":"[38]","noteIndex":0},"citationItems":[{"id":67849,"uris":["http://zotero.org/groups/5108666/items/J9ZNK6VX"],"itemData":{"id":67849,"type":"webpage","abstract":"The decision to transition yourself or a loved one to a long-term care facility is not an easy one. Luckily, research exists to help you learn about your long-term care options and support you through the decision-making process.","container-title":"Default","language":"en","title":"Evidence-based considerations around long-term care","URL":"https://www.mcmasteroptimalaging.org/blog/detail/blog/2022/08/31/evidence-based-considerations-around-long-term-care","author":[{"family":"University","given":"McMaster"}],"accessed":{"date-parts":[["2023",7,30]]}}}],"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[38]</w:t>
      </w:r>
      <w:r w:rsidRPr="00ED5246">
        <w:rPr>
          <w:rFonts w:ascii="Times New Roman" w:hAnsi="Times New Roman" w:cs="Times New Roman"/>
        </w:rPr>
        <w:fldChar w:fldCharType="end"/>
      </w:r>
      <w:r w:rsidRPr="00ED5246">
        <w:rPr>
          <w:rFonts w:ascii="Times New Roman" w:hAnsi="Times New Roman" w:cs="Times New Roman"/>
        </w:rPr>
        <w:t xml:space="preserve">, qualitative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Juv1grgH","properties":{"formattedCitation":"[45]","plainCitation":"[45]","noteIndex":0},"citationItems":[{"id":49129,"uris":["http://zotero.org/groups/5108666/items/FV6EKNZR"],"itemData":{"id":49129,"type":"article-journal","archive":"Scopus","container-title":"Journal of Aging and Social Policy","DOI":"10.1080/08959420.2018.1430413","issue":"2","page":"109-126","title":"Beyond Clinical Complexity: Nonmedical Barriers to Nursing Home Care for Rural Residents","volume":"30","author":[{"family":"Henning-Smith","given":"C."},{"family":"Kozhimannil","given":"K.B."},{"family":"Casey","given":"M.M."},{"family":"Prasad","given":"S."}],"issued":{"date-parts":[["2018"]]}}}],"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[45]</w:t>
      </w:r>
      <w:r w:rsidRPr="00ED5246">
        <w:rPr>
          <w:rFonts w:ascii="Times New Roman" w:hAnsi="Times New Roman" w:cs="Times New Roman"/>
        </w:rPr>
        <w:fldChar w:fldCharType="end"/>
      </w:r>
      <w:r w:rsidRPr="00ED5246">
        <w:rPr>
          <w:rFonts w:ascii="Times New Roman" w:hAnsi="Times New Roman" w:cs="Times New Roman"/>
        </w:rPr>
        <w:t xml:space="preserve">, and mixed methods research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{"citationID":"s9NPBmxL","properties":{"formattedCitation":"[44]","plainCitation":"[44]","noteIndex":0},"citationItems":[{"id":22362,"uris":["http://zotero.org/users/7655466/items/CL74BD8G"],"itemData":{"id":22362,"type":"article-journal","abstract":"INTRODUCTION: Despite a generally decreased length of stay in Swedish hospitals, an increasing delay of discharge has been observed among patients with long-term care need., AIM: Identify challenges and opportunities in the transition of patients between hospitals and out-patient care., METHOD: Data were obtained from national registers on patients discharged from hospitals in 2014, interviews with public care authorities, and a systematic literature review., RESULTS: A total of 1 121 823 persons were discharged from Swedish hospitals in 2014. Of all discharged patients, 334 420 (30%) was in need of further out-patient medical care while 221 221 (20%) needed social services. Among these discharged patients, 53 763 (5%) needed both medical care and social services. In this group of frail persons (primarily females 80 years or older), 25 760 (48%) were readmitted to hospital within 30 days from the discharge. Main reported challenges in the transition were as follows: a decreasing number of beds in hospitals and nursing homes, lack of staff with proper education, and problems in transfer of information between caregivers. To solve these problems, respondents reported some new approaches: extensive initial home services after discharge, out-patient care organised by both municipalities and county councils, local follow-up of patient data as well as an emphasis on collaboration between caregivers. The literature reported ambiguous results about effects of single interventions at discharge. However, evidence suggests that the number of readmissions to hospital may be reduced by combining several interventions before discharge (individual planning, geriatric assessment, and patient education) with follow-up after discharge., CONCLUSION: Since many frail patients are readmitted to hospital within 30 days after discharge, Swedish out-patient care may need new working methods in order to promote a coherent care. Further, multi-component interventions at discharge, including follow-up after discharge, may prevent unintended readmissions. Copyright © 2018 Nordic College of Caring Science.","archive":"Ovid MEDLINE(R) &lt;2019&gt;","container-title":"Scandinavian journal of caring sciences","DOI":"10.1111/scs.12625","ISSN":"1471-6712","issue":"2","journalAbbreviation":"Scand J Caring Sci","note":"publisher-place: Sweden\nAhsberg, Elizabeth. Department of Knowledge Based Policy and Guidance, The National Board of Health and Welfare, Stockholm, Sweden.","page":"329-335","title":"Discharge from hospital - a national survey of transition to out-patient care.","volume":"33","author":[{"family":"Ahsberg","given":"Elizabeth"}],"issued":{"date-parts":[["2019"]]}}}],"schema":"https://github.com/citation-style-language/schema/raw/master/csl-citation.json"}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[44]</w:t>
      </w:r>
      <w:r w:rsidRPr="00ED5246">
        <w:rPr>
          <w:rFonts w:ascii="Times New Roman" w:hAnsi="Times New Roman" w:cs="Times New Roman"/>
        </w:rPr>
        <w:fldChar w:fldCharType="end"/>
      </w:r>
      <w:r w:rsidRPr="00ED5246">
        <w:rPr>
          <w:rFonts w:ascii="Times New Roman" w:hAnsi="Times New Roman" w:cs="Times New Roman"/>
        </w:rPr>
        <w:t xml:space="preserve">. Resource availability and coordination were also emphasized in systematic reviews (n=3)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{"citationID":"kwnKXn1r","properties":{"formattedCitation":"[38,43,46]","plainCitation":"[38,43,46]","noteIndex":0},"citationItems":[{"id":67849,"uris":["http://zotero.org/groups/5108666/items/J9ZNK6VX"],"itemData":{"id":67849,"type":"webpage","abstract":"The decision to transition yourself or a loved one to a long-term care facility is not an easy one. Luckily, research exists to help you learn about your long-term care options and support you through the decision-making process.","container-title":"Default","language":"en","title":"Evidence-based considerations around long-term care","URL":"https://www.mcmasteroptimalaging.org/blog/detail/blog/2022/08/31/evidence-based-considerations-around-long-term-care","author":[{"family":"University","given":"McMaster"}],"accessed":{"date-parts":[["2023",7,30]]}}},{"id":69720,"uris":["http://zotero.org/users/7655466/items/P9DGBNHF"],"itemData":{"id":69720,"type":"article-journal","abstract":"The aim of this brief report is to present the protocol and preliminary findings of a systematic review on key aspects of care provision that affect care transition of older adults 60+ within the long-term care systems. This brief report describes ...","container-title":"International Journal of Environmental Research and Public Health","DOI":"10.3390/ijerph19116402","issue":"11","language":"en","note":"PMID: 35681987","page":"6402","source":"pmc.ncbi.nlm.nih.gov","title":"Key Care Provision Aspects That Affect Care Transition in the Long-Term Care Systems: Preliminary Review Findings","title-short":"Key Care Provision Aspects That Affect Care Transition in the Long-Term Care Systems","volume":"19","author":[{"family":"Wieczorek","given":"Estera"},{"family":"Kocot","given":"Ewa"},{"family":"Evers","given":"Silvia"},{"family":"Sowada","given":"Christoph"},{"family":"Pavlova","given":"Milena"}],"issued":{"date-parts":[["2022",5,24]]}}},{"id":67842,"uris":["http://zotero.org/groups/5108666/items/M5GZSVI2"],"itemData":{"id":67842,"type":"article-journal","abstract":"Objective To synthesise the existing literature on care transition planning from the perspectives of older adults, caregivers and health professionals and to identify the factors that may influence these stakeholders’ transition decision-making processes.\nDesign A scoping review guided by Arksey and O’Malley’s six-step framework. A comprehensive search strategy was conducted on 7 January 2021 to identify articles in five databases (MEDLINE, Embase, CINAHL Plus, PsycINFO and AgeLine). Records were included when they described care transition planning in an institutional setting from the perspectives of the care triad (older adults, caregivers and health professionals). No date or study design restrictions were imposed.\nSetting This review explored care transitions involving older adults from an institutional care setting to any other institutional or non-institutional care setting. Institutional care settings include communal facilities where individuals dwell for short or extended periods of time and have access to healthcare services.\nParticipants Older adults (aged 65 or older), caregivers and health professionals.\nResults 39 records were included. Stakeholder involvement in transition planning varied across the studies. Transition decisions were largely made by health professionals, with limited or unclear involvement from older adults and caregivers. Seven factors appeared to guide transition planning across the stakeholder groups: (a) institutional priorities and requirements; (b) resources; (c) knowledge; (d) risk; (e) group structure and dynamic; (f) health and support needs; and (g) personality preferences and beliefs. Factors were described at microlevels, mesolevels and macrolevels.\nConclusions This review explored stakeholder involvement in transition planning and identified seven factors that appear to influence transition decision-making. These factors may be useful in advancing the delivery of person and family-centred care by determining how individual-level, group-level and system-level values guide decision-making. Further research is needed to understand how various stakeholder groups balance these factors during transition planning in different health contexts.","container-title":"BMJ Open","DOI":"10.1136/bmjopen-2021-059446","ISSN":"2044-6055, 2044-6055","issue":"6","language":"en","license":"© Author(s) (or their employer(s)) 2022.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British Medical Journal Publishing Group\nsection: Patient-centred medicine\nPMID: 35697455","page":"e059446","source":"bmjopen.bmj.com","title":"Stakeholder involvement in care transition planning for older adults and the factors guiding their decision-making: a scoping review","title-short":"Stakeholder involvement in care transition planning for older adults and the factors guiding their decision-making","volume":"12","author":[{"family":"Carbone","given":"Sarah"},{"family":"Kokorelias","given":"Kristina Marie"},{"family":"Berta","given":"Whitney"},{"family":"Law","given":"Susan"},{"family":"Kuluski","given":"Kerry"}],"issued":{"date-parts":[["2022",6,1]]}}}],"schema":"https://github.com/citation-style-language/schema/raw/master/csl-citation.json"}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[38,43,46]</w:t>
      </w:r>
      <w:r w:rsidRPr="00ED5246">
        <w:rPr>
          <w:rFonts w:ascii="Times New Roman" w:hAnsi="Times New Roman" w:cs="Times New Roman"/>
        </w:rPr>
        <w:fldChar w:fldCharType="end"/>
      </w:r>
      <w:r w:rsidRPr="00ED5246">
        <w:rPr>
          <w:rFonts w:ascii="Times New Roman" w:hAnsi="Times New Roman" w:cs="Times New Roman"/>
        </w:rPr>
        <w:t xml:space="preserve"> as essential components in effective transition planning.</w:t>
      </w:r>
    </w:p>
    <w:p w14:paraId="5E2F9FA2" w14:textId="3F1F050D" w:rsidR="004579D2" w:rsidRPr="00ED5246" w:rsidRDefault="00E51CB4" w:rsidP="004579D2">
      <w:pPr>
        <w:pStyle w:val="Heading3"/>
        <w:numPr>
          <w:ilvl w:val="0"/>
          <w:numId w:val="0"/>
        </w:numPr>
        <w:spacing w:before="0" w:line="480" w:lineRule="auto"/>
        <w:ind w:left="720" w:hanging="720"/>
        <w:jc w:val="both"/>
        <w:rPr>
          <w:rFonts w:ascii="Times New Roman" w:hAnsi="Times New Roman" w:cs="Times New Roman"/>
          <w:b/>
          <w:color w:val="auto"/>
          <w:sz w:val="22"/>
          <w:szCs w:val="22"/>
        </w:rPr>
      </w:pPr>
      <w:r>
        <w:rPr>
          <w:rFonts w:ascii="Times New Roman" w:hAnsi="Times New Roman" w:cs="Times New Roman"/>
          <w:b/>
          <w:color w:val="auto"/>
          <w:sz w:val="22"/>
          <w:szCs w:val="22"/>
        </w:rPr>
        <w:t>S3.2.</w:t>
      </w:r>
      <w:r w:rsidR="004579D2" w:rsidRPr="00ED5246">
        <w:rPr>
          <w:rFonts w:ascii="Times New Roman" w:hAnsi="Times New Roman" w:cs="Times New Roman"/>
          <w:b/>
          <w:color w:val="auto"/>
          <w:sz w:val="22"/>
          <w:szCs w:val="22"/>
        </w:rPr>
        <w:t xml:space="preserve"> </w:t>
      </w:r>
      <w:r w:rsidR="00B61988">
        <w:rPr>
          <w:rFonts w:ascii="Times New Roman" w:hAnsi="Times New Roman" w:cs="Times New Roman"/>
          <w:b/>
          <w:color w:val="auto"/>
          <w:sz w:val="22"/>
          <w:szCs w:val="22"/>
        </w:rPr>
        <w:t xml:space="preserve">Factors </w:t>
      </w:r>
      <w:r w:rsidR="00C661AC">
        <w:rPr>
          <w:rFonts w:ascii="Times New Roman" w:hAnsi="Times New Roman" w:cs="Times New Roman"/>
          <w:b/>
          <w:color w:val="auto"/>
          <w:sz w:val="22"/>
          <w:szCs w:val="22"/>
        </w:rPr>
        <w:t>i</w:t>
      </w:r>
      <w:r w:rsidR="00B61988">
        <w:rPr>
          <w:rFonts w:ascii="Times New Roman" w:hAnsi="Times New Roman" w:cs="Times New Roman"/>
          <w:b/>
          <w:color w:val="auto"/>
          <w:sz w:val="22"/>
          <w:szCs w:val="22"/>
        </w:rPr>
        <w:t xml:space="preserve">nfluencing </w:t>
      </w:r>
      <w:r w:rsidR="00C661AC">
        <w:rPr>
          <w:rFonts w:ascii="Times New Roman" w:hAnsi="Times New Roman" w:cs="Times New Roman"/>
          <w:b/>
          <w:color w:val="auto"/>
          <w:sz w:val="22"/>
          <w:szCs w:val="22"/>
        </w:rPr>
        <w:t>t</w:t>
      </w:r>
      <w:r w:rsidR="004579D2" w:rsidRPr="00ED5246">
        <w:rPr>
          <w:rFonts w:ascii="Times New Roman" w:hAnsi="Times New Roman" w:cs="Times New Roman"/>
          <w:b/>
          <w:color w:val="auto"/>
          <w:sz w:val="22"/>
          <w:szCs w:val="22"/>
        </w:rPr>
        <w:t>ransitions from acute care to CCC</w:t>
      </w:r>
    </w:p>
    <w:p w14:paraId="640BF2C0" w14:textId="1E1C82B7"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b/>
          <w:bCs/>
        </w:rPr>
        <w:t>Socio-demographic characteristics.</w:t>
      </w:r>
      <w:r w:rsidRPr="00ED5246">
        <w:rPr>
          <w:rFonts w:ascii="Times New Roman" w:hAnsi="Times New Roman" w:cs="Times New Roman"/>
        </w:rPr>
        <w:t xml:space="preserve"> In quantitative studies, age was the most frequently cited factor associated with an increased likelihood of CCC placement (n=</w:t>
      </w:r>
      <w:r>
        <w:rPr>
          <w:rFonts w:ascii="Times New Roman" w:hAnsi="Times New Roman" w:cs="Times New Roman"/>
        </w:rPr>
        <w:t>9</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OQtBpRVL","properties":{"formattedCitation":"[2,4,6,9,10,13,14,47,48]","plainCitation":"[2,4,6,9,10,13,14,47,48]","noteIndex":0},"citationItems":[{"id":67898,"uris":["http://zotero.org/groups/5108666/items/QYS9TC57"],"itemData":{"id":67898,"type":"article-journal","abstract":"Objective\nOne-fifth of patient discharges from the acute hospital are delayed due to non-medical reasons. Prior research on small specific samples shows that patient mobility is important for predicting post-acute care (PAC) need. Our purpose was to create a disposition prediction model for PAC need in a large, clinically diverse.\nMethods\nA random forest (RF) was constructed to analyze patient admissions at 2 hospitals. The primary outcome was discharge disposition (home or PAC). Predictors included the lowest AM-PAC ‘6-clicks’ mobility score within 48-hours of admission (primary predictor) and demographic and clinical characteristics. A global summary tree was constructed to summarize the RF.\nResults\nAmong 34,432 patient admissions, the most important variables for predicting PAC placement were AM-PAC, BMI, and age. The AUC was 0.80 (95% confidence interval: 0.79, 0.81). Using a predicted probability for PAC of 0.25 or higher, the sensitivity, specificity and overall accuracy was 76%, 70% and 72%, respectively. Patients 66 years or older with AM-PAC of &lt;31 had the highest probability (0.76) for discharge to PAC. Patients with AM-PAC of &gt;43 had the highest probability for discharge to home.\nConclusions\nSystematic assessment of inpatients admission mobility should be implemented and used for discharge planning. Electronic medical record systems should be designed to collect and facilitate availability of mobility data on all patients to providers who play key roles in discharge planning.\nPublic Interest Summary\nPatient's mobility status during hospitalization has been used to predict their next level of care at discharge, but this work has been done with more limited methods and focused on select patient groups. Using a machine learning technique on thousands of patients with very different medical problems, this study shows that mobility status very early in hospitalization predicts post-acute care (PAC) needs. Based on this study we recommend that early assessment of patient mobility in the hospital should occur for all patients as it can facilitate more effective discharge planning.","container-title":"Health Policy and Technology","DOI":"10.1016/j.hlpt.2023.100754","ISSN":"2211-8837","issue":"2","journalAbbreviation":"Health Policy and Technology","language":"en","page":"100754","source":"ScienceDirect","title":"Machine learning prediction of hospital patient need for post-acute care using an admission mobility measure is robust across patient diagnoses","volume":"12","author":[{"family":"Young","given":"Daniel L."},{"family":"Engels","given":"Rebecca"},{"family":"Colantuoni","given":"Elizabeth"},{"family":"Friedman","given":"Lisa Aronson"},{"family":"Hoyer","given":"Erik H."}],"issued":{"date-parts":[["2023",6,1]]}}},{"id":39310,"uris":["http://zotero.org/groups/5108666/items/DKV78FLY"],"itemData":{"id":39310,"type":"article-journal","abstract":"In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Group"}],"issued":{"date-parts":[["2021"]]}}},{"id":68054,"uris":["http://zotero.org/groups/5108666/items/X4U2WQZC"],"itemData":{"id":68054,"type":"article-journal","abstract":"IMPORTANCE: Discharge to home after surgery has been recognized as a determinant of long-term survival and is a common concern in the elderly population.\nOBJECTIVE: The aim of the study was to determine the incidence and risk factors for nonhome discharge in patients undergoing major surgery for pelvic organ prolapse.\nSTUDY DESIGN: We performed a retrospective cohort study using the American College of Surgeons National Surgical Quality Improvement Program Database from 2010 to 2018. We included patients who underwent sacrocolpopexy, vaginal colpopexy, and colpocleisis. We compared perioperative characteristics in patients who were discharged home versus those who were discharged to a nonhome location. Stepwise backward multivariate logistic regression was then used to control for confounding variables and identify independent predictors of nonhome discharge.\nRESULTS: A total of 38,012 patients were included in this study, 209 of whom experienced nonhome discharge (0.5%). Independent predictors of nonhome discharge included preoperative weight loss (adjusted odds ratio [aOR], 5.9; 95% confidence interval [CI], 1.3-27.5), dependent health care status (aOR, 5.0; 95% CI, 2.6-9.5), abdominal hysterectomy (aOR, 2.3; 95% CI, 1.4-3.7), American Society of Anesthesiologists class 3 or greater (aOR, 2.0; 95% CI, 1.5-2.7), age (aOR, 1.1; 95% CI, 1.05-1.09), operative time (aOR, 1.005; 95% CI, 1.003-1.006), laparoscopic hysterectomy (aOR, 0.6; 95% CI, 0.4-1.0), and laparoscopic sacrocolpopexy (aOR, 0.5; 95% CI, 0.3-0.8).\nCONCLUSIONS: In patients undergoing surgery for pelvic organ prolapse, nonhome discharge is associated with various indicators of frailty, including age, health care dependence, and certain comorbidities. An open surgical approach increases the risk of nonhome discharge, while a laparoscopic approach is associated with lower risk.","container-title":"Urogynecology (Philadelphia, Pa.)","DOI":"10.1097/SPV.0000000000001347","ISSN":"2771-1897","journalAbbreviation":"Urogynecology (Phila)","language":"eng","note":"PMID: 36946906","source":"PubMed","title":"Nonhome Discharge in Patients Undergoing Pelvic Reconstructive Surgery: A National Analysis","title-short":"Nonhome Discharge in Patients Undergoing Pelvic Reconstructive Surgery","author":[{"family":"Ross","given":"James H."},{"family":"Wood","given":"Nicole"},{"family":"Simmons","given":"Adrienne"},{"family":"Lua-Mailland","given":"Lannah L."},{"family":"Wallace","given":"Shannon L."},{"family":"Chapman","given":"Graham C."}],"issued":{"date-parts":[["2023",3,9]]}}},{"id":37590,"uris":["http://zotero.org/groups/5108666/items/RNYD7TU4"],"itemData":{"id":37590,"type":"article-journal","abstract":"Background Patients undergoing transcatheter aortic valve replacement (TAVR) are likely to be discharged to a location other than home. We aimed to determine the association between preoperative risk factors and non-home discharge after TAVR. Methods Patients discharged alive after TAVR at three centers were identified from a prospectively maintained database randomly divided into 80% derivation and 20% validation cohorts. Logistic regression models were fit to identify preoperative factors associated with non-home discharge in the derivation cohort. Multivariable models were developed and a nomogram based risk-scoring system was developed for use in preoperative counseling. Results Between June 2012 and December 2018, a total of 1,163 patients had TAVR at three centers. Thirty-seven patients who died before discharge were excluded. Of the remaining 1,126 patients (97%) who were discharged alive, the incidence of non-home discharge was 25.6% (n = 289). The patient population was randomly divided into the 80% (n = 900) derivation cohort and 20% (n = 226) validation cohort. Mean +/- SD age of the study population was 83 +/- 8 years. In multivariable analysis, factors that were significantly associated with non-home discharge were extreme age, female sex, higher STS scores, use of general anesthesia, elective procedures, chronic liver disease, non-transfemoral approach and postoperative complications. The unbiased estimate of the C-index was 0.81 and the model had excellent calibration. Conclusions One out of every four patients undergoing TAVR is discharged to a location other than home. Identification of preoperative factors associated with non-home discharge can assist patient counseling and postoperative disposition planning.Copyright © 2020 JGC All rights reserved; www.jgc301.com","archive":"Embase","container-title":"Journal of Geriatric Cardiology","DOI":"10.11909/j.issn.1671-5411.2020.10.002","ISSN":"1671-5411","issue":"10","journalAbbreviation":"J. Geriatr. Cardiol.","language":"English","page":"621-627","title":"Risk scoring model for prediction of non-home discharge after transcatheter aortic valve replacement","volume":"17","author":[{"literal":"Okoh A.K."},{"literal":"Ozturk E."},{"literal":"Gold J."},{"literal":"Siddiqui E."},{"literal":"Dhaduk N."},{"literal":"Haik B."},{"literal":"Chen C.-G."},{"literal":"Cohen M."},{"literal":"Russo M.J."}],"issued":{"date-parts":[["2020"]]}}},{"id":42053,"uris":["http://zotero.org/groups/5108666/items/ZSL94DSH"],"itemData":{"id":42053,"type":"article-journal","abstract":"OBJECTIVE: To determine the proportion of patients surviving their cardiac surgery who experienced non-home discharge (NHD) over a 16-year period in  Australia and New Zealand (ANZ). DESIGN: Retrospective, multicentre,  cross-sectional study over the time period 01 January 2004 to 31 December 2019.  SETTING: Adult patients who underwent cardiac surgery from the Australia New  Zealand Intensive Care Society Adult Patient Database (APD). PARTICIPANTS: Adult  patients (age 18 and above) who underwent index coronary artery bypass grafting,  cardiac valve surgery or combined valve/coronary surgery. EXPOSURE: The primary  exposure variable was the calendar year during the which the index surgery was  performed. OUTCOME: The primary outcome was NHD after the index surgery. NHD  included discharge to locations such as nursing home, chronic care facility,  rehabilitation and palliative care. RESULTS: We analysed 252 924 index cardiac  surgical admissions from 101 discrete sites with a median age of 68 years (IQR  60-76), of which 74.2% (187 662 out of 252 920) were males. Of these, 4302 (1.7%)  patients died in hospital and 213 011 (84.2%) were discharged home, 18 010 (7.1%)  were transferred to another hospital and 17 601 (7%) experienced NHD. In  Australia, 14 457 (6.4%) of patients progressed to NHD, compared with 3144  (11.7%) in New Zealand. The rate of NHD increased significantly over time  (adjusted OR per year=1.06, 95% CI, 1.06 to 1.07, p&lt;0.001). Increasing age,  female sex, non-elective surgery, surgery type and Acute Physiology and Chronic  Health Evaluation III Score were all associated with significant increase in NHD.  CONCLUSIONS: There was significant increase in NHD after cardiac surgery over  time in ANZ. This has significant clinical relevance for informed consent  discussions between healthcare providers and patients, and for healthcare  services planning.","container-title":"BMJ open","DOI":"10.1136/bmjopen-2021-049187","ISSN":"2044-6055","issue":"12","journalAbbreviation":"BMJ Open","language":"eng","page":"e049187","title":"Non-home discharge after cardiac surgery in Australia and New Zealand: a cross-sectional study.","volume":"11","author":[{"family":"Ramanan","given":"Mahesh"},{"family":"Kumar","given":"Aashish"},{"family":"Anstey","given":"Chris"},{"family":"Shekar","given":"Kiran"}],"issued":{"date-parts":[["2021",12,23]]}}},{"id":42078,"uris":["http://zotero.org/groups/5108666/items/BE564LFZ"],"itemData":{"id":42078,"type":"article-journal","abstract":"OBJECTIVE: To describe the discharge destination of patients with severe traumatic brain injury (sTBI) after acute care. To identify predictors associated  with inpatient rehabilitation (vs discharge home) and to identify predictors  associated with neurorehabilitation (vs general rehabilitation). METHODS: A  national, multi-centre, prospective study with adult survivors after sTBI  (abbreviated injury scale head score &gt; 3). Univariate and multivariate logistic  regression models included patient characteristics, pre-injury conditions,  initial neuro-physiological assessment, trauma mechanisms, severity of TBI and  pre-hospital conditions to find predictors of discharge destination. RESULTS: Out  of the 566 included patients, 341 (60%) were referred to inpatient  rehabilitation, thereof 249 (73%) to neurorehabilitation; 225 (40%) were  discharged home or to a nursing home. Lower scores on the Glasgow Coma Scale at  admission/at 14 days, higher injury severity scores and older age were predictors  for inpatient rehabilitation. Younger age and male gender were predictors for  neurorehabilitation. CONCLUSIONS: Patients' pathways after acute care are not  only determined by the severity of their brain injury, but also by their overall  injury severity and socio-biological factors. More than half of the patients  after sTBI are not discharged to specialized inpatient neurorehabilitation and,  therefore, efforts should be taken to optimize post-acute care.","container-title":"Brain injury","DOI":"10.1080/02699052.2016.1183821","ISSN":"1362-301X 0269-9052","issue":"10","journalAbbreviation":"Brain Inj","language":"eng","page":"1186-1193","title":"Predictors of inpatient (neuro)rehabilitation after acute care of severe traumatic brain injury: An epidemiological study.","volume":"30","author":[{"family":"Schumacher","given":"Rahel"},{"family":"Walder","given":"Bernhard"},{"family":"Delhumeau","given":"Cécile"},{"family":"Müri","given":"René M."}],"issued":{"date-parts":[["2016"]]}}},{"id":67925,"uris":["http://zotero.org/groups/5108666/items/KMTTQASD"],"itemData":{"id":67925,"type":"article-journal","abstract":"BACKGROUND/OBJECTIVES: Community-based older adults are increasingly living alone. When they become ill, they might need greater support from the healthcare system than would those who live with others. There also has been a growing concern about the high use of postacute care such as skilled nursing facility (SNF) care and the level of variation in this use between hospitals and regions. Our objective was to examine whether living alone contributed to the risk of being discharged to a SNF.\nDESIGN: Retrospective cohort study.\nSETTING: Massachusetts General Hospital.\nPARTICIPANTS: Community-dwelling individuals aged 50 and older admitted to the medical service and discharged alive between July 2014 and August 2015 (N = 7,029).\nMEASUREMENTS: We extracted demographic, clinical, and functional data from the electronic medical record and used multivariable logistic regression to determine whether living alone at the time of hospitalization was associated with subsequent discharge to a SNF.\nRESULTS: Of eligible individuals, 24.8% reported living alone before admission. Those living alone were more likely to be female, older, and more independent before admission than those living with others. Of all participants, 10.9% were discharged to a SNF. After adjustment, participants living alone had more than twice the odds of being discharged to a SNF (odds ratio = 2.23, 95% confidence interval = 1.85-2.69, P &lt; .001).\nDISCUSSION: People living alone are more likely to be discharged to SNFs, even when compared to other individuals with similar levels of clinical complexity and functional status. To the extent that this variation is due to a lack of home support, it could be possible to reduce SNF use through additional home services after hospital discharge.","container-title":"Journal of the American Geriatrics Society","DOI":"10.1111/jgs.15150","ISSN":"1532-5415","issue":"1","journalAbbreviation":"J Am Geriatr Soc","language":"eng","note":"PMID: 29072783","page":"100-105","source":"PubMed","title":"Living Alone and Discharge to Skilled Nursing Facility Care after Hospitalization in Older Adults","volume":"66","author":[{"family":"Lage","given":"Daniel E."},{"family":"Jernigan","given":"Michael C."},{"family":"Chang","given":"Yuchiao"},{"family":"Grabowski","given":"David C."},{"family":"Hsu","given":"John"},{"family":"Metlay","given":"Joshua P."},{"family":"Shah","given":"Sachin J."}],"issued":{"date-parts":[["2018",1]]}}},{"id":81826,"uris":["http://zotero.org/users/7655466/items/BZ3SDPZE"],"itemData":{"id":81826,"type":"article-journal","abstract":"Objective:\nTo compare the sociodemographic, clinical, and hospital related factors associated with discharge of acute ischemic stroke (AIS) survivors to inpatient rehabilitation (IRF) and skilled nursing facility (SNF) rehabilitation services.\n\nDesign:\nRetrospective descriptive study from the Paul Coverdell National Acute Stroke Program (PCNASP) participating hospitals during 2016 to 2019.\n\nSetting:\n9 Participating states from PCNASP in United States.\n\nParticipants:\n130,988 patients with AIS from 569 hospitals (N=337,857).\n\nInterventions:\nNot applicable.\n\nMain Outcome Measure:\nDischarge to IRF and SNF.\n\nResults:\nPatients discharged to a SNF had longer length of hospital stay, more comorbidities, and higher modified Rankin scores compared with patients discharged to an IRF. Nine characteristics were associated with being less likely to be discharged to an IRF than an SNF: older age (85+ years old, adjusted odds ratio [AOR]=0.20 [confidence interval [CI]=0.18–0.21]), identifying as non-Hispanic Black (AOR=0.85 [CI=0.81–0.89]), identifying as Hispanic (AOR=0.80 [CI=0.74–0.87]), having Medicaid or Medicare (AOR=0.73 [CI=0.70–0.77]), being able to ambulate with assistance from another person (AOR=0.93 [CI=0.89–0.97]), being unable to ambulate (AOR=0.73 [CI=0.62–0.87]) and having comorbidities, prior stroke (AOR=0.69 [CI=0.66–0.73]), diabetes (AOR=0.85 [CI=0.82–0.88]), and myocardial infraction or coronary artery disease (AOR=0.94 [CI=0.90–0.97]). Four characteristics were associated with being more likely to be discharged to an IRF than an SNF: being a man (AOR=1.20 [CI=1.16–1.24]), and having a slight disability (Rankin Score 2) (AOR=1.41 [CI=1.29–1.54]), being at larger hospitals (200–399 beds: AOR=1.31 [CI=1.23–1.40]; 400+ beds: AOR=1.29 [CI=1.20–1.38]), and being at a hospital with stroke unit (AOR=1.12 [CI=1.07–1.17]).\n\nConclusion:\nThis study found differences in demographic, clinical, and hospital characteristics of AIS patients discharged for rehabilitation to an IRF vs SNF. The characteristics of patients receiving rehabilitation services may be helpful for researchers and hospitals making policies related to stroke discharge and practices that optimize patient outcomes. Populations experiencing inequities in access to rehabilitation services should be identified, and those who qualify for rehabilitation in IRF should receive this care in preference to rehabilitation in SNF.","container-title":"Archives of physical medicine and rehabilitation","DOI":"10.1016/j.apmr.2022.11.008","ISSN":"0003-9993","issue":"4","journalAbbreviation":"Arch Phys Med Rehabil","note":"PMID: 36521579\nPMCID: PMC11015737","page":"605-611","source":"PubMed Central","title":"A Comparison of Acute Ischemic Stroke Patients Discharged to Inpatient Rehabilitation vs a Skilled Nursing Facility: The Paul Coverdell National Acute Stroke Program","title-short":"A Comparison of Acute Ischemic Stroke Patients Discharged to Inpatient Rehabilitation vs a Skilled Nursing Facility","volume":"104","author":[{"family":"Pattath","given":"Priyadarshini"},{"family":"Odom","given":"Erika C."},{"family":"Tong","given":"Xin"},{"family":"Yin","given":"Xiaoping"},{"family":"Coleman King","given":"Sallyann M."}],"issued":{"date-parts":[["2023",4]]}}}],"schema":"https://github.com/citation-style-language/schema/raw/master/csl-citation.json"}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[2,4,6,9,10,13,14,47,48]</w:t>
      </w:r>
      <w:r w:rsidRPr="00ED5246">
        <w:rPr>
          <w:rFonts w:ascii="Times New Roman" w:hAnsi="Times New Roman" w:cs="Times New Roman"/>
        </w:rPr>
        <w:fldChar w:fldCharType="end"/>
      </w:r>
      <w:r>
        <w:rPr>
          <w:rFonts w:ascii="Times New Roman" w:hAnsi="Times New Roman" w:cs="Times New Roman"/>
        </w:rPr>
        <w:t>. This</w:t>
      </w:r>
      <w:r w:rsidRPr="00ED5246">
        <w:rPr>
          <w:rFonts w:ascii="Times New Roman" w:hAnsi="Times New Roman" w:cs="Times New Roman"/>
        </w:rPr>
        <w:t xml:space="preserve"> association was also supported by a systematic review</w:t>
      </w:r>
      <w:r>
        <w:rPr>
          <w:rFonts w:ascii="Times New Roman" w:hAnsi="Times New Roman" w:cs="Times New Roman"/>
        </w:rPr>
        <w:t xml:space="preserve"> (n=1)</w:t>
      </w:r>
      <w:r w:rsidRPr="00ED5246">
        <w:rPr>
          <w:rFonts w:ascii="Times New Roman" w:hAnsi="Times New Roman" w:cs="Times New Roman"/>
        </w:rPr>
        <w:t xml:space="preserve">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{"citationID":"t6fbFpa2","properties":{"formattedCitation":"[34]","plainCitation":"[34]","noteIndex":0},"citationItems":[{"id":1532,"uris":["http://zotero.org/users/7655466/items/NYWMK3NE"],"itemData":{"id":1532,"type":"article-journal","abstract":"Some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[34]</w:t>
      </w:r>
      <w:r w:rsidRPr="00ED5246">
        <w:rPr>
          <w:rFonts w:ascii="Times New Roman" w:hAnsi="Times New Roman" w:cs="Times New Roman"/>
        </w:rPr>
        <w:fldChar w:fldCharType="end"/>
      </w:r>
      <w:r w:rsidRPr="00ED5246">
        <w:rPr>
          <w:rFonts w:ascii="Times New Roman" w:hAnsi="Times New Roman" w:cs="Times New Roman"/>
        </w:rPr>
        <w:t>. Female gender (n=</w:t>
      </w:r>
      <w:r>
        <w:rPr>
          <w:rFonts w:ascii="Times New Roman" w:hAnsi="Times New Roman" w:cs="Times New Roman"/>
        </w:rPr>
        <w:t>5</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bXPn93yR","properties":{"formattedCitation":"[8,10,13,25,48]","plainCitation":"[8,10,13,25,48]","noteIndex":0},"citationItems":[{"id":38712,"uris":["http://zotero.org/groups/5108666/items/7R6D6SB7","http://zotero.org/groups/5108666/items/3PLZ8G9F"],"itemData":{"id":38712,"type":"article-journal","abstract":"Introduction: The demand for total knee arthroplasty (TKA) continues to challenge hospital financial resources. Hospitals have countered this economic demand by reducing patient length of stay (LoS), thus requiring a higher utilization of extended care facilities (ECF) and home with home health care (HHC). With an increase in the number of insured low-income families following the Affordable Care Act (ACA), TKA patients' demographics are anticipated to change. Both trends have significant economic implications, and predicting the discharge destinations of TKA patients would help plan for future health expenditures. The purpose of this study was to determine which variables are significant in predicting discharge destinations of patients treated with TKA. Method(s): We utilized the California Hospital Discharge data set of the year 2010. For each hospitalization, the data set includes information about patient demographics (age, gender, race, and ethnicity), insurance type, diagnoses and procedures, and patient disposition. Discharge to home was the reference category. Discharges to a skilled nursing home and discharge to home with home care were the 2 additional alternatives. Independent variables included the Charlson comorbidity index, payer category (private, Medicare, Medical, and other), race, ethnicity, age, and gender. Result(s): Over 28 611 TKAs were reviewed with 45.9% discharged to HHC, 29.9% going to ECF, and 24.2% going home without home health care. Race, age, insurance, and morbidity proved to be highly significant factors influencing patient discharge destination (P &lt;.001). Medicare coverage relative to private payers was a strong predictor for discharge destination (relative risk ratio (RRR) 1.69, P &lt;.001). The strongest predictors were black and Asian races relative to whites (RRR 1.54, P &lt;.01). Male gender was the only factor that lowered the risk of discharge to a nursing home (RRR 0.43, P &lt;.001). Conclusion(s): This study provides insight on which patient characteristics influence discharge destination after TKA. Race, age, insurance, and morbidity were highly significant (P &lt;.001) factors on patient discharge destination.Copyright © 2016, © The Author(s) 2016.","archive":"Embase","container-title":"Geriatric Orthopaedic Surgery and Rehabilitation","DOI":"10.1177/2151458516645635","ISSN":"2151-4585","issue":"2","journalAbbreviation":"Geriatr. Orthop. Surg. Rehabit.","language":"English","page":"95-99","title":"Factors Influencing Discharge Destination After Total Knee Arthroplasty: A Database Analysis","volume":"7","author":[{"literal":"Schwarzkopf R."},{"literal":"Ho J."},{"literal":"Quinn J.R."},{"literal":"Snir N."},{"literal":"Mukamel D."}],"issued":{"date-parts":[["2016"]]}}},{"id":37590,"uris":["http://zotero.org/groups/5108666/items/RNYD7TU4"],"itemData":{"id":37590,"type":"article-journal","abstract":"Background Patients undergoing transcatheter aortic valve replacement (TAVR) are likely to be discharged to a location other than home. We aimed to determine the association between preoperative risk factors and non-home discharge after TAVR. Methods Patients discharged alive after TAVR at three centers were identified from a prospectively maintained database randomly divided into 80% derivation and 20% validation cohorts. Logistic regression models were fit to identify preoperative factors associated with non-home discharge in the derivation cohort. Multivariable models were developed and a nomogram based risk-scoring system was developed for use in preoperative counseling. Results Between June 2012 and December 2018, a total of 1,163 patients had TAVR at three centers. Thirty-seven patients who died before discharge were excluded. Of the remaining 1,126 patients (97%) who were discharged alive, the incidence of non-home discharge was 25.6% (n = 289). The patient population was randomly divided into the 80% (n = 900) derivation cohort and 20% (n = 226) validation cohort. Mean +/- SD age of the study population was 83 +/- 8 years. In multivariable analysis, factors that were significantly associated with non-home discharge were extreme age, female sex, higher STS scores, use of general anesthesia, elective procedures, chronic liver disease, non-transfemoral approach and postoperative complications. The unbiased estimate of the C-index was 0.81 and the model had excellent calibration. Conclusions One out of every four patients undergoing TAVR is discharged to a location other than home. Identification of preoperative factors associated with non-home discharge can assist patient counseling and postoperative disposition planning.Copyright © 2020 JGC All rights reserved; www.jgc301.com","archive":"Embase","container-title":"Journal of Geriatric Cardiology","DOI":"10.11909/j.issn.1671-5411.2020.10.002","ISSN":"1671-5411","issue":"10","journalAbbreviation":"J. Geriatr. Cardiol.","language":"English","page":"621-627","title":"Risk scoring model for prediction of non-home discharge after transcatheter aortic valve replacement","volume":"17","author":[{"literal":"Okoh A.K."},{"literal":"Ozturk E."},{"literal":"Gold J."},{"literal":"Siddiqui E."},{"literal":"Dhaduk N."},{"literal":"Haik B."},{"literal":"Chen C.-G."},{"literal":"Cohen M."},{"literal":"Russo M.J."}],"issued":{"date-parts":[["2020"]]}}},{"id":42053,"uris":["http://zotero.org/groups/5108666/items/ZSL94DSH"],"itemData":{"id":42053,"type":"article-journal","abstract":"OBJECTIVE: To determine the proportion of patients surviving their cardiac surgery who experienced non-home discharge (NHD) over a 16-year period in  Australia and New Zealand (ANZ). DESIGN: Retrospective, multicentre,  cross-sectional study over the time period 01 January 2004 to 31 December 2019.  SETTING: Adult patients who underwent cardiac surgery from the Australia New  Zealand Intensive Care Society Adult Patient Database (APD). PARTICIPANTS: Adult  patients (age 18 and above) who underwent index coronary artery bypass grafting,  cardiac valve surgery or combined valve/coronary surgery. EXPOSURE: The primary  exposure variable was the calendar year during the which the index surgery was  performed. OUTCOME: The primary outcome was NHD after the index surgery. NHD  included discharge to locations such as nursing home, chronic care facility,  rehabilitation and palliative care. RESULTS: We analysed 252 924 index cardiac  surgical admissions from 101 discrete sites with a median age of 68 years (IQR  60-76), of which 74.2% (187 662 out of 252 920) were males. Of these, 4302 (1.7%)  patients died in hospital and 213 011 (84.2%) were discharged home, 18 010 (7.1%)  were transferred to another hospital and 17 601 (7%) experienced NHD. In  Australia, 14 457 (6.4%) of patients progressed to NHD, compared with 3144  (11.7%) in New Zealand. The rate of NHD increased significantly over time  (adjusted OR per year=1.06, 95% CI, 1.06 to 1.07, p&lt;0.001). Increasing age,  female sex, non-elective surgery, surgery type and Acute Physiology and Chronic  Health Evaluation III Score were all associated with significant increase in NHD.  CONCLUSIONS: There was significant increase in NHD after cardiac surgery over  time in ANZ. This has significant clinical relevance for informed consent  discussions between healthcare providers and patients, and for healthcare  services planning.","container-title":"BMJ open","DOI":"10.1136/bmjopen-2021-049187","ISSN":"2044-6055","issue":"12","journalAbbreviation":"BMJ Open","language":"eng","page":"e049187","title":"Non-home discharge after cardiac surgery in Australia and New Zealand: a cross-sectional study.","volume":"11","author":[{"family":"Ramanan","given":"Mahesh"},{"family":"Kumar","given":"Aashish"},{"family":"Anstey","given":"Chris"},{"family":"Shekar","given":"Kiran"}],"issued":{"date-parts":[["2021",12,23]]}}},{"id":69671,"uris":["http://zotero.org/users/7655466/items/9UXVR3EU"],"itemData":{"id":69671,"type":"article-journal","abstract":"A systematic screening of patients with a need for post-acute care is a helpful support for interprofessional discharge planning teams. We aimed to...","container-title":"International Journal of Health Professions","DOI":"10.2478/ijhp-2022-0005","issue":"1","language":"en","page":"59-66","source":"sciendo.com","title":"Sciendo","volume":"9","author":[{"family":"Conca","given":"Antoinette"},{"family":"Koch","given":"Daniel"},{"family":"Regez","given":"Katharina"},{"family":"Kutz","given":"Alexander"},{"family":"Haubitz","given":"Sebastian"},{"family":"Schuetz","given":"Philipp"},{"family":"Mueller","given":"Beat"},{"family":"Schindler","given":"Christian"},{"family":"Spirig","given":"Rebecca"},{"family":"Petry","given":"Heidi"}],"issued":{"date-parts":[["2022",7,12]]}}},{"id":81826,"uris":["http://zotero.org/users/7655466/items/BZ3SDPZE"],"itemData":{"id":81826,"type":"article-journal","abstract":"Objective:\nTo compare the sociodemographic, clinical, and hospital related factors associated with discharge of acute ischemic stroke (AIS) survivors to inpatient rehabilitation (IRF) and skilled nursing facility (SNF) rehabilitation services.\n\nDesign:\nRetrospective descriptive study from the Paul Coverdell National Acute Stroke Program (PCNASP) participating hospitals during 2016 to 2019.\n\nSetting:\n9 Participating states from PCNASP in United States.\n\nParticipants:\n130,988 patients with AIS from 569 hospitals (N=337,857).\n\nInterventions:\nNot applicable.\n\nMain Outcome Measure:\nDischarge to IRF and SNF.\n\nResults:\nPatients discharged to a SNF had longer length of hospital stay, more comorbidities, and higher modified Rankin scores compared with patients discharged to an IRF. Nine characteristics were associated with being less likely to be discharged to an IRF than an SNF: older age (85+ years old, adjusted odds ratio [AOR]=0.20 [confidence interval [CI]=0.18–0.21]), identifying as non-Hispanic Black (AOR=0.85 [CI=0.81–0.89]), identifying as Hispanic (AOR=0.80 [CI=0.74–0.87]), having Medicaid or Medicare (AOR=0.73 [CI=0.70–0.77]), being able to ambulate with assistance from another person (AOR=0.93 [CI=0.89–0.97]), being unable to ambulate (AOR=0.73 [CI=0.62–0.87]) and having comorbidities, prior stroke (AOR=0.69 [CI=0.66–0.73]), diabetes (AOR=0.85 [CI=0.82–0.88]), and myocardial infraction or coronary artery disease (AOR=0.94 [CI=0.90–0.97]). Four characteristics were associated with being more likely to be discharged to an IRF than an SNF: being a man (AOR=1.20 [CI=1.16–1.24]), and having a slight disability (Rankin Score 2) (AOR=1.41 [CI=1.29–1.54]), being at larger hospitals (200–399 beds: AOR=1.31 [CI=1.23–1.40]; 400+ beds: AOR=1.29 [CI=1.20–1.38]), and being at a hospital with stroke unit (AOR=1.12 [CI=1.07–1.17]).\n\nConclusion:\nThis study found differences in demographic, clinical, and hospital characteristics of AIS patients discharged for rehabilitation to an IRF vs SNF. The characteristics of patients receiving rehabilitation services may be helpful for researchers and hospitals making policies related to stroke discharge and practices that optimize patient outcomes. Populations experiencing inequities in access to rehabilitation services should be identified, and those who qualify for rehabilitation in IRF should receive this care in preference to rehabilitation in SNF.","container-title":"Archives of physical medicine and rehabilitation","DOI":"10.1016/j.apmr.2022.11.008","ISSN":"0003-9993","issue":"4","journalAbbreviation":"Arch Phys Med Rehabil","note":"PMID: 36521579\nPMCID: PMC11015737","page":"605-611","source":"PubMed Central","title":"A Comparison of Acute Ischemic Stroke Patients Discharged to Inpatient Rehabilitation vs a Skilled Nursing Facility: The Paul Coverdell National Acute Stroke Program","title-short":"A Comparison of Acute Ischemic Stroke Patients Discharged to Inpatient Rehabilitation vs a Skilled Nursing Facility","volume":"104","author":[{"family":"Pattath","given":"Priyadarshini"},{"family":"Odom","given":"Erika C."},{"family":"Tong","given":"Xin"},{"family":"Yin","given":"Xiaoping"},{"family":"Coleman King","given":"Sallyann M."}],"issued":{"date-parts":[["2023",4]]}}}],"schema":"https://github.com/citation-style-language/schema/raw/master/csl-citation.json"}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[8,10,13,25,48]</w:t>
      </w:r>
      <w:r w:rsidRPr="00ED5246">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living alone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gOJDkezc","properties":{"formattedCitation":"[29,47]","plainCitation":"[29,47]","noteIndex":0},"citationItems":[{"id":67925,"uris":["http://zotero.org/groups/5108666/items/KMTTQASD"],"itemData":{"id":67925,"type":"article-journal","abstract":"BACKGROUND/OBJECTIVES: Community-based older adults are increasingly living alone. When they become ill, they might need greater support from the healthcare system than would those who live with others. There also has been a growing concern about the high use of postacute care such as skilled nursing facility (SNF) care and the level of variation in this use between hospitals and regions. Our objective was to examine whether living alone contributed to the risk of being discharged to a SNF.\nDESIGN: Retrospective cohort study.\nSETTING: Massachusetts General Hospital.\nPARTICIPANTS: Community-dwelling individuals aged 50 and older admitted to the medical service and discharged alive between July 2014 and August 2015 (N = 7,029).\nMEASUREMENTS: We extracted demographic, clinical, and functional data from the electronic medical record and used multivariable logistic regression to determine whether living alone at the time of hospitalization was associated with subsequent discharge to a SNF.\nRESULTS: Of eligible individuals, 24.8% reported living alone before admission. Those living alone were more likely to be female, older, and more independent before admission than those living with others. Of all participants, 10.9% were discharged to a SNF. After adjustment, participants living alone had more than twice the odds of being discharged to a SNF (odds ratio = 2.23, 95% confidence interval = 1.85-2.69, P &lt; .001).\nDISCUSSION: People living alone are more likely to be discharged to SNFs, even when compared to other individuals with similar levels of clinical complexity and functional status. To the extent that this variation is due to a lack of home support, it could be possible to reduce SNF use through additional home services after hospital discharge.","container-title":"Journal of the American Geriatrics Society","DOI":"10.1111/jgs.15150","ISSN":"1532-5415","issue":"1","journalAbbreviation":"J Am Geriatr Soc","language":"eng","note":"PMID: 29072783","page":"100-105","source":"PubMed","title":"Living Alone and Discharge to Skilled Nursing Facility Care after Hospitalization in Older Adults","volume":"66","author":[{"family":"Lage","given":"Daniel E."},{"family":"Jernigan","given":"Michael C."},{"family":"Chang","given":"Yuchiao"},{"family":"Grabowski","given":"David C."},{"family":"Hsu","given":"John"},{"family":"Metlay","given":"Joshua P."},{"family":"Shah","given":"Sachin J."}],"issued":{"date-parts":[["2018",1]]}}},{"id":36534,"uris":["http://zotero.org/groups/5108666/items/GK9WYFZW"],"itemData":{"id":36534,"type":"article-journal","abstract":"Objective: To identify older adults who could benefit from integrated care, we examined (a) health, social, and functional characteristics of older, hospitalized adults who required continuing care on discharge and (b) associations between these characteristics and potentially unnecessary health care use. Method: Personal characteristics were extracted from patient charts (N = 214) and examined in relation to three outcomes: discharge to institutional care, unnecessary hospital stay (alternative level of care), and long hospital stay. Results: Twenty-nine percent of the sample was discharged to an institution, 32.7% was coded as alternate level of care, and 27.6% had a long length of stay. Independent predictors of potentially avoidable health care use were mental and behavioral issues, living alone, functional status, and preadmission concerns about the patient managing in the community. Discussion: High users of health care services were identifiable prior to hospital admission, supporting the use of community-based integrated care approaches.","archive":"cin20","container-title":"Journal of Aging &amp; Health","DOI":"10.1177/0898264318759856","ISSN":"0898-2643","issue":"7","journalAbbreviation":"Journal of Aging &amp; Health","page":"1085-1105","source":"EBSCOhost","title":"Health, Social, and Functional Characteristics of Older Adults With Continuing Care Needs: Implications for Integrated Care.","volume":"31","author":[{"family":"Brown","given":"Cara L."},{"family":"Menec","given":"Verena"}],"issued":{"date-parts":[["2019",8]]}}}],"schema":"https://github.com/citation-style-language/schema/raw/master/csl-citation.json"}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[29,47]</w:t>
      </w:r>
      <w:r w:rsidRPr="00ED5246">
        <w:rPr>
          <w:rFonts w:ascii="Times New Roman" w:hAnsi="Times New Roman" w:cs="Times New Roman"/>
        </w:rPr>
        <w:fldChar w:fldCharType="end"/>
      </w:r>
      <w:r w:rsidRPr="00ED5246">
        <w:rPr>
          <w:rFonts w:ascii="Times New Roman" w:hAnsi="Times New Roman" w:cs="Times New Roman"/>
        </w:rPr>
        <w:t xml:space="preserve">, unmarried status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{"citationID":"5kZwt1YK","properties":{"formattedCitation":"[12]","plainCitation":"[12]","noteIndex":0},"citationItems":[{"id":40098,"uris":["http://zotero.org/groups/5108666/items/W3VDQB48"],"itemData":{"id":40098,"type":"article-journal","abstract":"BACKGROUND: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[12]</w:t>
      </w:r>
      <w:r w:rsidRPr="00ED5246">
        <w:rPr>
          <w:rFonts w:ascii="Times New Roman" w:hAnsi="Times New Roman" w:cs="Times New Roman"/>
        </w:rPr>
        <w:fldChar w:fldCharType="end"/>
      </w:r>
      <w:r w:rsidRPr="00ED5246">
        <w:rPr>
          <w:rFonts w:ascii="Times New Roman" w:hAnsi="Times New Roman" w:cs="Times New Roman"/>
        </w:rPr>
        <w:t xml:space="preserve">, and low estimated household income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{"citationID":"Pr8lPSwO","properties":{"formattedCitation":"[12]","plainCitation":"[12]","noteIndex":0},"citationItems":[{"id":40098,"uris":["http://zotero.org/groups/5108666/items/W3VDQB48"],"itemData":{"id":40098,"type":"article-journal","abstract":"BACKGROUND: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[12]</w:t>
      </w:r>
      <w:r w:rsidRPr="00ED5246">
        <w:rPr>
          <w:rFonts w:ascii="Times New Roman" w:hAnsi="Times New Roman" w:cs="Times New Roman"/>
        </w:rPr>
        <w:fldChar w:fldCharType="end"/>
      </w:r>
      <w:r w:rsidRPr="00ED5246">
        <w:rPr>
          <w:rFonts w:ascii="Times New Roman" w:hAnsi="Times New Roman" w:cs="Times New Roman"/>
        </w:rPr>
        <w:t xml:space="preserve"> were further associated with a higher likelihood of CCC placement. </w:t>
      </w:r>
      <w:r>
        <w:rPr>
          <w:rFonts w:ascii="Times New Roman" w:hAnsi="Times New Roman" w:cs="Times New Roman"/>
        </w:rPr>
        <w:t>Race and ethnicity showed mixed effects.</w:t>
      </w:r>
      <w:r w:rsidRPr="00ED5246">
        <w:rPr>
          <w:rFonts w:ascii="Times New Roman" w:hAnsi="Times New Roman" w:cs="Times New Roman"/>
        </w:rPr>
        <w:t xml:space="preserve"> Asian or African American race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{"citationID":"3Y9Dsp5P","properties":{"formattedCitation":"[47]","plainCitation":"[47]","noteIndex":0},"citationItems":[{"id":67925,"uris":["http://zotero.org/groups/5108666/items/KMTTQASD"],"itemData":{"id":67925,"type":"article-journal","abstract":"BACKGROUND/OBJECTIVES: Community-based older adults are increasingly living alone. When they become ill, they might need greater support from the healthcare system than would those who live with others. There also has been a growing concern about the high use of postacute care such as skilled nursing facility (SNF) care and the level of variation in this use between hospitals and regions. Our objective was to examine whether living alone contributed to the risk of being discharged to a SNF.\nDESIGN: Retrospective cohort study.\nSETTING: Massachusetts General Hospital.\nPARTICIPANTS: Community-dwelling individuals aged 50 and older admitted to the medical service and discharged alive between July 2014 and August 2015 (N = 7,029).\nMEASUREMENTS: We extracted demographic, clinical, and functional data from the electronic medical record and used multivariable logistic regression to determine whether living alone at the time of hospitalization was associated with subsequent discharge to a SNF.\nRESULTS: Of eligible individuals, 24.8% reported living alone before admission. Those living alone were more likely to be female, older, and more independent before admission than those living with others. Of all participants, 10.9% were discharged to a SNF. After adjustment, participants living alone had more than twice the odds of being discharged to a SNF (odds ratio = 2.23, 95% confidence interval = 1.85-2.69, P &lt; .001).\nDISCUSSION: People living alone are more likely to be discharged to SNFs, even when compared to other individuals with similar levels of clinical complexity and functional status. To the extent that this variation is due to a lack of home support, it could be possible to reduce SNF use through additional home services after hospital discharge.","container-title":"Journal of the American Geriatrics Society","DOI":"10.1111/jgs.15150","ISSN":"1532-5415","issue":"1","journalAbbreviation":"J Am Geriatr Soc","language":"eng","note":"PMID: 29072783","page":"100-105","source":"PubMed","title":"Living Alone and Discharge to Skilled Nursing Facility Care after Hospitalization in Older Adults","volume":"66","author":[{"family":"Lage","given":"Daniel E."},{"family":"Jernigan","given":"Michael C."},{"family":"Chang","given":"Yuchiao"},{"family":"Grabowski","given":"David C."},{"family":"Hsu","given":"John"},{"family":"Metlay","given":"Joshua P."},{"family":"Shah","given":"Sachin J."}],"issued":{"date-parts":[["2018",1]]}}}],"schema":"https://github.com/citation-style-language/schema/raw/master/csl-citation.json"}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[47]</w:t>
      </w:r>
      <w:r w:rsidRPr="00ED5246">
        <w:rPr>
          <w:rFonts w:ascii="Times New Roman" w:hAnsi="Times New Roman" w:cs="Times New Roman"/>
        </w:rPr>
        <w:fldChar w:fldCharType="end"/>
      </w:r>
      <w:r>
        <w:rPr>
          <w:rFonts w:ascii="Times New Roman" w:hAnsi="Times New Roman" w:cs="Times New Roman"/>
        </w:rPr>
        <w:t xml:space="preserve">, non-Latinx Black or Latinx ethnicity (n=1) </w:t>
      </w:r>
      <w:r>
        <w:rPr>
          <w:rFonts w:ascii="Times New Roman" w:hAnsi="Times New Roman" w:cs="Times New Roman"/>
        </w:rPr>
        <w:fldChar w:fldCharType="begin"/>
      </w:r>
      <w:r>
        <w:rPr>
          <w:rFonts w:ascii="Times New Roman" w:hAnsi="Times New Roman" w:cs="Times New Roman"/>
        </w:rPr>
        <w:instrText xml:space="preserve"> ADDIN ZOTERO_ITEM CSL_CITATION {"citationID":"qJ385lfI","properties":{"formattedCitation":"[49]","plainCitation":"[49]","noteIndex":0},"citationItems":[{"id":81829,"uris":["http://zotero.org/users/7655466/items/X9T8D3DE"],"itemData":{"id":81829,"type":"article-journal","abstract":"BACKGROUND: Differences in the post-acute care (PAC) destinations among racial, ethnic, and socioeconomic groups have been documented before the COVID-19 pandemic. Yet, the pandemic's impact on these differences remains unknown. We examined the impact of the COVID-19 pandemic on PAC destinations and its variation by individual race, ethnicity, and socioeconomic status among community-dwelling older adults with Alzheimer's disease and related dementia (ADRD).\nMETHODS: We linked 2019-2021 national data (Medicare claims, Minimum Data Set, Master Beneficiary Summary File) and several publicly available datasets, including Provider of Services File, Area Deprivation Index, Area Health Resource File, and COVID-19 infection data. PAC discharge destinations included skilled nursing facilities (SNFs), home health agencies (HHA), and homes without services. Key variables of interest included individual race, ethnicity, and Medicare-Medicaid dual status. The analytic cohort included 830,656 community-dwelling Medicare fee-for-service beneficiaries with ADRD who were hospitalized between 2019 and 2021. Regression models with hospital random effects and state-fixed effects were estimated, stratified by the time periods, and adjusted for the individual, hospital, and county-level covariates.\nRESULTS: SNF discharges decreased while home and HHA discharges increased during the pandemic. The trend was more prominent among racial and ethnic minoritized groups and even more so among dual-eligible beneficiaries. For instance, the reduction in the probabilities of SNF admissions between the pre-pandemic period and the 2nd year of COVID was 4.6 (White non-duals), 18.5 (White duals), 8.7 (Black non-duals), and 20.1 (Black duals) percentage-point, respectively. We also found that non-duals were more likely to replace SNF with HHA services, while duals were more likely to be discharged home without HHA.\nCONCLUSIONS: The COVID-19 pandemic significantly impacted PAC destinations for individuals with ADRD, especially among socioeconomically disadvantaged and racial and ethnic minoritized populations. Future research is needed to understand if and how these transitions may have affected health outcomes.","container-title":"Journal of the American Geriatrics Society","DOI":"10.1111/jgs.18884","ISSN":"1532-5415","issue":"7","journalAbbreviation":"J Am Geriatr Soc","language":"eng","note":"PMID: 38539279\nPMCID: PMC11226367","page":"2006-2016","source":"PubMed","title":"Post-acute care transitions during COVID-19: Racial, ethnic, and socioeconomic differences in older adults with Alzheimer's disease and related dementia","title-short":"Post-acute care transitions during COVID-19","volume":"72","author":[{"family":"Yang","given":"Ming-Ting"},{"family":"Temkin-Greener","given":"Helena"},{"family":"Veazie","given":"Peter"},{"family":"Cai","given":"Shubing"}],"issued":{"date-parts":[["2024",7]]}}}],"schema":"https://github.com/citation-style-language/schema/raw/master/csl-citation.json"} </w:instrText>
      </w:r>
      <w:r>
        <w:rPr>
          <w:rFonts w:ascii="Times New Roman" w:hAnsi="Times New Roman" w:cs="Times New Roman"/>
        </w:rPr>
        <w:fldChar w:fldCharType="separate"/>
      </w:r>
      <w:r w:rsidRPr="00B04635">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appeared to decrease th</w:t>
      </w:r>
      <w:r>
        <w:rPr>
          <w:rFonts w:ascii="Times New Roman" w:hAnsi="Times New Roman" w:cs="Times New Roman"/>
        </w:rPr>
        <w:t xml:space="preserve">e likelihood of CCC placement, while Hispanic and non-Hispanic Black ethnicities increased it (n=1) </w:t>
      </w:r>
      <w:r>
        <w:rPr>
          <w:rFonts w:ascii="Times New Roman" w:hAnsi="Times New Roman" w:cs="Times New Roman"/>
        </w:rPr>
        <w:fldChar w:fldCharType="begin"/>
      </w:r>
      <w:r>
        <w:rPr>
          <w:rFonts w:ascii="Times New Roman" w:hAnsi="Times New Roman" w:cs="Times New Roman"/>
        </w:rPr>
        <w:instrText xml:space="preserve"> ADDIN ZOTERO_ITEM CSL_CITATION {"citationID":"Owk3nCWe","properties":{"formattedCitation":"[48]","plainCitation":"[48]","noteIndex":0},"citationItems":[{"id":81826,"uris":["http://zotero.org/users/7655466/items/BZ3SDPZE"],"itemData":{"id":81826,"type":"article-journal","abstract":"Objective:\nTo compare the sociodemographic, clinical, and hospital related factors associated with discharge of acute ischemic stroke (AIS) survivors to inpatient rehabilitation (IRF) and skilled nursing facility (SNF) rehabilitation services.\n\nDesign:\nRetrospective descriptive study from the Paul Coverdell National Acute Stroke Program (PCNASP) participating hospitals during 2016 to 2019.\n\nSetting:\n9 Participating states from PCNASP in United States.\n\nParticipants:\n130,988 patients with AIS from 569 hospitals (N=337,857).\n\nInterventions:\nNot applicable.\n\nMain Outcome Measure:\nDischarge to IRF and SNF.\n\nResults:\nPatients discharged to a SNF had longer length of hospital stay, more comorbidities, and higher modified Rankin scores compared with patients discharged to an IRF. Nine characteristics were associated with being less likely to be discharged to an IRF than an SNF: older age (85+ years old, adjusted odds ratio [AOR]=0.20 [confidence interval [CI]=0.18–0.21]), identifying as non-Hispanic Black (AOR=0.85 [CI=0.81–0.89]), identifying as Hispanic (AOR=0.80 [CI=0.74–0.87]), having Medicaid or Medicare (AOR=0.73 [CI=0.70–0.77]), being able to ambulate with assistance from another person (AOR=0.93 [CI=0.89–0.97]), being unable to ambulate (AOR=0.73 [CI=0.62–0.87]) and having comorbidities, prior stroke (AOR=0.69 [CI=0.66–0.73]), diabetes (AOR=0.85 [CI=0.82–0.88]), and myocardial infraction or coronary artery disease (AOR=0.94 [CI=0.90–0.97]). Four characteristics were associated with being more likely to be discharged to an IRF than an SNF: being a man (AOR=1.20 [CI=1.16–1.24]), and having a slight disability (Rankin Score 2) (AOR=1.41 [CI=1.29–1.54]), being at larger hospitals (200–399 beds: AOR=1.31 [CI=1.23–1.40]; 400+ beds: AOR=1.29 [CI=1.20–1.38]), and being at a hospital with stroke unit (AOR=1.12 [CI=1.07–1.17]).\n\nConclusion:\nThis study found differences in demographic, clinical, and hospital characteristics of AIS patients discharged for rehabilitation to an IRF vs SNF. The characteristics of patients receiving rehabilitation services may be helpful for researchers and hospitals making policies related to stroke discharge and practices that optimize patient outcomes. Populations experiencing inequities in access to rehabilitation services should be identified, and those who qualify for rehabilitation in IRF should receive this care in preference to rehabilitation in SNF.","container-title":"Archives of physical medicine and rehabilitation","DOI":"10.1016/j.apmr.2022.11.008","ISSN":"0003-9993","issue":"4","journalAbbreviation":"Arch Phys Med Rehabil","note":"PMID: 36521579\nPMCID: PMC11015737","page":"605-611","source":"PubMed Central","title":"A Comparison of Acute Ischemic Stroke Patients Discharged to Inpatient Rehabilitation vs a Skilled Nursing Facility: The Paul Coverdell National Acute Stroke Program","title-short":"A Comparison of Acute Ischemic Stroke Patients Discharged to Inpatient Rehabilitation vs a Skilled Nursing Facility","volume":"104","author":[{"family":"Pattath","given":"Priyadarshini"},{"family":"Odom","given":"Erika C."},{"family":"Tong","given":"Xin"},{"family":"Yin","given":"Xiaoping"},{"family":"Coleman King","given":"Sallyann M."}],"issued":{"date-parts":[["2023",4]]}}}],"schema":"https://github.com/citation-style-language/schema/raw/master/csl-citation.json"} </w:instrText>
      </w:r>
      <w:r>
        <w:rPr>
          <w:rFonts w:ascii="Times New Roman" w:hAnsi="Times New Roman" w:cs="Times New Roman"/>
        </w:rPr>
        <w:fldChar w:fldCharType="separate"/>
      </w:r>
      <w:r w:rsidRPr="00187912">
        <w:rPr>
          <w:rFonts w:ascii="Times New Roman" w:hAnsi="Times New Roman" w:cs="Times New Roman"/>
        </w:rPr>
        <w:t>[48]</w:t>
      </w:r>
      <w:r>
        <w:rPr>
          <w:rFonts w:ascii="Times New Roman" w:hAnsi="Times New Roman" w:cs="Times New Roman"/>
        </w:rPr>
        <w:fldChar w:fldCharType="end"/>
      </w:r>
      <w:r>
        <w:rPr>
          <w:rFonts w:ascii="Times New Roman" w:hAnsi="Times New Roman" w:cs="Times New Roman"/>
        </w:rPr>
        <w:t>.</w:t>
      </w:r>
    </w:p>
    <w:p w14:paraId="396CABFB" w14:textId="77777777" w:rsidR="004579D2" w:rsidRPr="00ED5246" w:rsidRDefault="004579D2" w:rsidP="004579D2">
      <w:pPr>
        <w:spacing w:after="0" w:line="480" w:lineRule="auto"/>
        <w:jc w:val="both"/>
        <w:rPr>
          <w:rFonts w:ascii="Times New Roman" w:hAnsi="Times New Roman" w:cs="Times New Roman"/>
          <w:b/>
          <w:bCs/>
        </w:rPr>
      </w:pPr>
      <w:bookmarkStart w:id="12" w:name="_Hlk182828945"/>
      <w:r w:rsidRPr="00ED5246">
        <w:rPr>
          <w:rFonts w:ascii="Times New Roman" w:hAnsi="Times New Roman" w:cs="Times New Roman"/>
          <w:b/>
          <w:bCs/>
        </w:rPr>
        <w:t xml:space="preserve">Caregiver support. </w:t>
      </w:r>
      <w:r w:rsidRPr="00ED5246">
        <w:rPr>
          <w:rFonts w:ascii="Times New Roman" w:hAnsi="Times New Roman" w:cs="Times New Roman"/>
        </w:rPr>
        <w:t xml:space="preserve">This aspect was minimally documented in CCC transitions. Specifically, one systematic review identified the absence of an informal caregiver as increasing the likelihood of CCC placement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{"citationID":"voXpXVxm","properties":{"formattedCitation":"[34]","plainCitation":"[34]","noteIndex":0},"citationItems":[{"id":1532,"uris":["http://zotero.org/users/7655466/items/NYWMK3NE"],"itemData":{"id":1532,"type":"article-journal","abstract":"Some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[34]</w:t>
      </w:r>
      <w:r w:rsidRPr="00ED5246">
        <w:rPr>
          <w:rFonts w:ascii="Times New Roman" w:hAnsi="Times New Roman" w:cs="Times New Roman"/>
        </w:rPr>
        <w:fldChar w:fldCharType="end"/>
      </w:r>
      <w:r w:rsidRPr="00ED5246">
        <w:rPr>
          <w:rFonts w:ascii="Times New Roman" w:hAnsi="Times New Roman" w:cs="Times New Roman"/>
        </w:rPr>
        <w:t xml:space="preserve">, while one report highlighted the importance of discussing needs with family members actively involved in the assessment process to facilitate these transitions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{"citationID":"9GgGni5V","properties":{"formattedCitation":"[50]","plainCitation":"[50]","noteIndex":0},"citationItems":[{"id":67947,"uris":["http://zotero.org/groups/5108666/items/QIBGAIXU"],"itemData":{"id":67947,"type":"document","title":"Moving to a new home  in continuing care An information and decision-making guide for patients and families","URL":"chrome-extension://efaidnbmnnnibpcajpcglclefindmkaj/https://www.albertahealthservices.ca/assets/info/pf/cc/if-pf-cc-moving-to-a-new-home-in-continuing-care.pdf","author":[{"literal":"Alberta health services continuing care"}],"issued":{"date-parts":[["2019"]]}}}],"schema":"https://github.com/citation-style-language/schema/raw/master/csl-citation.json"} </w:instrText>
      </w:r>
      <w:r w:rsidRPr="00ED5246">
        <w:rPr>
          <w:rFonts w:ascii="Times New Roman" w:hAnsi="Times New Roman" w:cs="Times New Roman"/>
        </w:rPr>
        <w:fldChar w:fldCharType="separate"/>
      </w:r>
      <w:r w:rsidRPr="00B04635">
        <w:rPr>
          <w:rFonts w:ascii="Times New Roman" w:hAnsi="Times New Roman" w:cs="Times New Roman"/>
        </w:rPr>
        <w:t>[50]</w:t>
      </w:r>
      <w:r w:rsidRPr="00ED5246">
        <w:rPr>
          <w:rFonts w:ascii="Times New Roman" w:hAnsi="Times New Roman" w:cs="Times New Roman"/>
        </w:rPr>
        <w:fldChar w:fldCharType="end"/>
      </w:r>
      <w:r w:rsidRPr="00ED5246">
        <w:rPr>
          <w:rFonts w:ascii="Times New Roman" w:hAnsi="Times New Roman" w:cs="Times New Roman"/>
        </w:rPr>
        <w:t>.</w:t>
      </w:r>
    </w:p>
    <w:bookmarkEnd w:id="12"/>
    <w:p w14:paraId="190E9C2B" w14:textId="1CF19A11"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b/>
          <w:bCs/>
        </w:rPr>
        <w:lastRenderedPageBreak/>
        <w:t xml:space="preserve">Health conditions. </w:t>
      </w:r>
      <w:r w:rsidRPr="00ED5246">
        <w:rPr>
          <w:rFonts w:ascii="Times New Roman" w:hAnsi="Times New Roman" w:cs="Times New Roman"/>
        </w:rPr>
        <w:t>Comorbidities were identified as increasing the likelihood of CCC transitions in quantitative studies (n=</w:t>
      </w:r>
      <w:r>
        <w:rPr>
          <w:rFonts w:ascii="Times New Roman" w:hAnsi="Times New Roman" w:cs="Times New Roman"/>
        </w:rPr>
        <w:t>3</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Q8edV4Sv","properties":{"formattedCitation":"[8,51,52]","plainCitation":"[8,51,52]","noteIndex":0},"citationItems":[{"id":38712,"uris":["http://zotero.org/groups/5108666/items/7R6D6SB7","http://zotero.org/groups/5108666/items/3PLZ8G9F"],"itemData":{"id":38712,"type":"article-journal","abstract":"Introduction: The demand for total knee arthroplasty (TKA) continues to challenge hospital financial resources. Hospitals have countered this economic demand by reducing patient length of stay (LoS), thus requiring a higher utilization of extended care facilities (ECF) and home with home health care (HHC). With an increase in the number of insured low-income families following the Affordable Care Act (ACA), TKA patients' demographics are anticipated to change. Both trends have significant economic implications, and predicting the discharge destinations of TKA patients would help plan for future health expenditures. The purpose of this study was to determine which variables are significant in predicting discharge destinations of patients treated with TKA. Method(s): We utilized the California Hospital Discharge data set of the year 2010. For each hospitalization, the data set includes information about patient demographics (age, gender, race, and ethnicity), insurance type, diagnoses and procedures, and patient disposition. Discharge to home was the reference category. Discharges to a skilled nursing home and discharge to home with home care were the 2 additional alternatives. Independent variables included the Charlson comorbidity index, payer category (private, Medicare, Medical, and other), race, ethnicity, age, and gender. Result(s): Over 28 611 TKAs were reviewed with 45.9% discharged to HHC, 29.9% going to ECF, and 24.2% going home without home health care. Race, age, insurance, and morbidity proved to be highly significant factors influencing patient discharge destination (P &lt;.001). Medicare coverage relative to private payers was a strong predictor for discharge destination (relative risk ratio (RRR) 1.69, P &lt;.001). The strongest predictors were black and Asian races relative to whites (RRR 1.54, P &lt;.01). Male gender was the only factor that lowered the risk of discharge to a nursing home (RRR 0.43, P &lt;.001). Conclusion(s): This study provides insight on which patient characteristics influence discharge destination after TKA. Race, age, insurance, and morbidity were highly significant (P &lt;.001) factors on patient discharge destination.Copyright © 2016, © The Author(s) 2016.","archive":"Embase","container-title":"Geriatric Orthopaedic Surgery and Rehabilitation","DOI":"10.1177/2151458516645635","ISSN":"2151-4585","issue":"2","journalAbbreviation":"Geriatr. Orthop. Surg. Rehabit.","language":"English","page":"95-99","title":"Factors Influencing Discharge Destination After Total Knee Arthroplasty: A Database Analysis","volume":"7","author":[{"literal":"Schwarzkopf R."},{"literal":"Ho J."},{"literal":"Quinn J.R."},{"literal":"Snir N."},{"literal":"Mukamel D."}],"issued":{"date-parts":[["2016"]]}}},{"id":67901,"uris":["http://zotero.org/groups/5108666/items/G3TZEKTW"],"itemData":{"id":67901,"type":"article-journal","abstract":"Background Reducing delays in hospital discharge is important to improve transition processes and reduce health care costs. The recently proposed post-acute care discharge score focusing on the self-care abilities before hospital admission allows early identification of patients with a need for post-acute care. New limitations in self-care abilities identified during hospitalization may also indicate a risk. Our aim was to investigate whether the addition of the post-acute care discharge score and a validated self-care instrument would improve the prognostic accuracy to predict post-acute discharge needs in unselected medical inpatients. Methods We included consecutive adult medical and neurological inpatients. Logistic regression models with area under the receiver operating characteristic curve were calculated to study associations of post-acute discharge score and self-care index with post-acute discharge risk. We calculated joint regression models and reclassification statistics including the net reclassification index and integrated discrimination improvement to investigate whether merging the self-care index and the post-acute discharge score leads to better diagnostic accuracy. Results Out of 1342 medical and 402 neurological patients, 150 (11.18%) and 94 (23.38%) have reached the primary endpoint of being discharged to a post-acute care facility. Multivariate analysis showed that the self-care index is an outcome predictor (OR 0.897, 95%CI 0.864–0.930). By combining the self-care index and the post-acute care discharge score discrimination for medical (from area under the curve 0.77 to 0.83) and neurological patients (from area under the curve 0.68 to 0.78) could be significantly improved. Reclassification statistics also showed significant improvements with regard to net reclassification index (14.2%, p&lt;0.05) and integrated discrimination improvement (4.83%, p&lt;0.05). Conclusions Incorporating an early assessment of patients’ actual intrahospital self-care ability to the post-acute care discharge score led to an improved prognostic accuracy for identifying adult, medical and neurological patients at risk for discharge to a post-acute care facility.","container-title":"PLOS ONE","DOI":"10.1371/journal.pone.0214194","ISSN":"1932-6203","issue":"3","journalAbbreviation":"PLOS ONE","language":"en","note":"publisher: Public Library of Science","page":"e0214194","source":"PLoS Journals","title":"Improving the post-acute care discharge score (PACD) by adding patients’ self-care abilities: A prospective cohort study","title-short":"Improving the post-acute care discharge score (PACD) by adding patients’ self-care abilities","volume":"14","author":[{"family":"Koch","given":"Daniel"},{"family":"Schuetz","given":"Philipp"},{"family":"Haubitz","given":"Sebastian"},{"family":"Kutz","given":"Alexander"},{"family":"Mueller","given":"Beat"},{"family":"Weber","given":"Helen"},{"family":"Regez","given":"Katharina"},{"family":"Conca","given":"Antoinette"},{"family":"Group","given":"for the Triage Study"}],"issued":{"date-parts":[["2019",3,28]]}}},{"id":81831,"uris":["http://zotero.org/users/7655466/items/VVDVS6BM"],"itemData":{"id":81831,"type":"article-journal","abstract":"BACKGROUND: Geriatric trauma patients (GTPs) represent a high-risk population for needing post-acute care, such as skilled nursing facilities (SNFs) and long-term acute care hospitals (LTACs), due to a combination of traumatic injuries and baseline functional health. As there is currently no well-established tool for predicting these needs, we aimed to create a scoring tool that predicts disposition to SNFs/LTACs in GTPs.\nMETHODS: The adult 2017 Trauma Quality Improvement Program database was divided at random into two equal sized sets (derivation and validation sets) of GTPs &gt;65 years old. First, multiple logistic regression models were created to determine risk factors for discharge to a SNF/LTAC in admitted GTPs. Second, the weighted average and relative impact of each independent predictor was used to derive a DEPARTS (Discharge of Elderly Patients After Recent Trauma to SNF/LTAC) score. We then validated the score using the area under the receiver-operating curve (AROC).\nRESULTS: Of 66 479 patients in the derivation set, 36 944 (55.6%) were discharged to a SNF/LTAC. Number of comorbidities, fall mechanism, spinal cord injury, long bone fracture, and major surgery were each independent predictors for discharge to SNF/LTAC, and a DEPARTS score was derived with scores ranging from 0 to 19. The AROC for this was .74. In the validation set, 66 477 patients also had a SNF/LTAC discharge rate of 55.7%, and the AROC was .74.\nDISCUSSION: The DEPARTS score is a good predictor of SNF/LTAC discharge for GTPs. Future prospective studies are warranted to validate its accuracy and clinical utility in preventing delays in discharge.","container-title":"The American Surgeon","DOI":"10.1177/00031348211029843","ISSN":"1555-9823","issue":"3","journalAbbreviation":"Am Surg","language":"eng","note":"PMID: 34240654","page":"447-451","source":"PubMed","title":"The DEPARTS Score: A Novel Tool for Predicting Discharge Disposition in Geriatric Trauma Patients","title-short":"The DEPARTS Score","volume":"89","author":[{"family":"Yeates","given":"Eric O."},{"family":"Grigorian","given":"Areg"},{"family":"Kuza","given":"Catherine M."},{"family":"Nguyen","given":"Ninh T."},{"family":"Inaba","given":"Kenji"},{"family":"Dolich","given":"Matthew"},{"family":"Nahmias","given":"Jeffry"}],"issued":{"date-parts":[["2023",3]]}}}],"schema":"https://github.com/citation-style-language/schema/raw/master/csl-citation.json"}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[8,51,52]</w:t>
      </w:r>
      <w:r w:rsidRPr="00ED5246">
        <w:rPr>
          <w:rFonts w:ascii="Times New Roman" w:hAnsi="Times New Roman" w:cs="Times New Roman"/>
        </w:rPr>
        <w:fldChar w:fldCharType="end"/>
      </w:r>
      <w:r w:rsidRPr="00ED5246">
        <w:rPr>
          <w:rFonts w:ascii="Times New Roman" w:hAnsi="Times New Roman" w:cs="Times New Roman"/>
        </w:rPr>
        <w:t xml:space="preserve">. </w:t>
      </w:r>
      <w:bookmarkStart w:id="13" w:name="_Hlk184124733"/>
      <w:r w:rsidRPr="00ED5246">
        <w:rPr>
          <w:rFonts w:ascii="Times New Roman" w:hAnsi="Times New Roman" w:cs="Times New Roman"/>
        </w:rPr>
        <w:t xml:space="preserve">Regarding cognitive health, an </w:t>
      </w:r>
      <w:r>
        <w:rPr>
          <w:rFonts w:ascii="Times New Roman" w:hAnsi="Times New Roman" w:cs="Times New Roman"/>
        </w:rPr>
        <w:t>intriguing</w:t>
      </w:r>
      <w:r w:rsidRPr="00ED5246">
        <w:rPr>
          <w:rFonts w:ascii="Times New Roman" w:hAnsi="Times New Roman" w:cs="Times New Roman"/>
        </w:rPr>
        <w:t xml:space="preserve"> pattern emerged</w:t>
      </w:r>
      <w:r>
        <w:rPr>
          <w:rFonts w:ascii="Times New Roman" w:hAnsi="Times New Roman" w:cs="Times New Roman"/>
        </w:rPr>
        <w:t xml:space="preserve">: One study found that </w:t>
      </w:r>
      <w:r w:rsidRPr="00ED5246">
        <w:rPr>
          <w:rFonts w:ascii="Times New Roman" w:hAnsi="Times New Roman" w:cs="Times New Roman"/>
        </w:rPr>
        <w:t xml:space="preserve">the absence of dementia </w:t>
      </w:r>
      <w:r>
        <w:rPr>
          <w:rFonts w:ascii="Times New Roman" w:hAnsi="Times New Roman" w:cs="Times New Roman"/>
        </w:rPr>
        <w:t>increased the likelihood of</w:t>
      </w:r>
      <w:r w:rsidRPr="00ED5246">
        <w:rPr>
          <w:rFonts w:ascii="Times New Roman" w:hAnsi="Times New Roman" w:cs="Times New Roman"/>
        </w:rPr>
        <w:t xml:space="preserve"> CCC placement</w:t>
      </w:r>
      <w:r>
        <w:rPr>
          <w:rFonts w:ascii="Times New Roman" w:hAnsi="Times New Roman" w:cs="Times New Roman"/>
        </w:rPr>
        <w:t xml:space="preserve"> </w:t>
      </w:r>
      <w:r w:rsidRPr="00ED5246">
        <w:rPr>
          <w:rFonts w:ascii="Times New Roman" w:hAnsi="Times New Roman" w:cs="Times New Roman"/>
        </w:rPr>
        <w:t xml:space="preserve">(n=1)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{"citationID":"XdaUe8Ib","properties":{"formattedCitation":"[6]","plainCitation":"[6]","noteIndex":0},"citationItems":[{"id":39955,"uris":["http://zotero.org/groups/5108666/items/2CBAJKM4"],"itemData":{"id":39955,"type":"article-journal","abstract":"OBJECTIVE: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[6]</w:t>
      </w:r>
      <w:r w:rsidRPr="00ED5246">
        <w:rPr>
          <w:rFonts w:ascii="Times New Roman" w:hAnsi="Times New Roman" w:cs="Times New Roman"/>
        </w:rPr>
        <w:fldChar w:fldCharType="end"/>
      </w:r>
      <w:r>
        <w:rPr>
          <w:rFonts w:ascii="Times New Roman" w:hAnsi="Times New Roman" w:cs="Times New Roman"/>
        </w:rPr>
        <w:t>, two studies reported that dementia and cognitive symptoms increased the</w:t>
      </w:r>
      <w:r w:rsidRPr="00ED5246">
        <w:rPr>
          <w:rFonts w:ascii="Times New Roman" w:hAnsi="Times New Roman" w:cs="Times New Roman"/>
        </w:rPr>
        <w:t xml:space="preserve"> likelihood of CCC placement (n=</w:t>
      </w:r>
      <w:r>
        <w:rPr>
          <w:rFonts w:ascii="Times New Roman" w:hAnsi="Times New Roman" w:cs="Times New Roman"/>
        </w:rPr>
        <w:t>2</w:t>
      </w:r>
      <w:r w:rsidRPr="00ED5246">
        <w:rPr>
          <w:rFonts w:ascii="Times New Roman" w:hAnsi="Times New Roman" w:cs="Times New Roman"/>
        </w:rPr>
        <w:t xml:space="preserve">) </w:t>
      </w:r>
      <w:r>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{"citationID":"fUD2ExRa","properties":{"formattedCitation":"[12,53]","plainCitation":"[12,53]","noteIndex":0},"citationItems":[{"id":40098,"uris":["http://zotero.org/groups/5108666/items/W3VDQB48"],"itemData":{"id":40098,"type":"article-journal","abstract":"BACKGROUND: Adverse discharge disposition, which is discharge to a long-term nursing home or skilled nursing facility is frequent and devastating in older patients after lower-extremity orthopaedic surgery. Predicting individual patient risk allows for preventive interventions to address modifiable risk factors and helps managing expectations. Despite a variety of risk prediction tools for perioperative morbidity in older patients, there is no tool available to predict successful recovery of a patient's ability to live independently in this highly vulnerable population., QUESTIONS/PURPOSES: In this study, we asked: (1) What factors predict adverse discharge disposition in patients older than 60 years after lower-extremity surgery? (2) Can a prediction instrument incorporating these factors be applied to another patient population with reasonable accuracy? (3) How does the instrument compare with other predictions scores that account for frailty, comorbidities, or procedural risk alone?, METHODS: In this retrospective study at two competing New England university hospitals and Level 1 trauma centers with 673 and 1017 beds, respectively; 83% (19,961 of 24,095) of patients 60 years or older undergoing lower-extremity orthopaedic surgery were included. In all, 5% (1316 of 24,095) patients not living at home and 12% (2797 of 24,095) patients with missing data were excluded. All patients were living at home before surgery. The mean age was 72 +/- 9 years, 60% (11,981 of 19,961) patients were female, 21% (4155 of 19,961) underwent fracture care, and 34% (6882 of 19,961) underwent elective joint replacements. Candidate predictors were tested in a multivariable logistic regression model for adverse discharge disposition in a development cohort of all 14,123 patients from the first hospital, and then included in a prediction instrument that was validated in all 5838 patients from the second hospital by calculating the area under the receiver operating characteristics curve (ROC-AUC). Thirty-eight percent (5360 of 14,262) of patients in the development cohort and 37% (2184 of 5910) of patients in the validation cohort had adverse discharge disposition. Score performance in predicting adverse discharge disposition was then compared with prediction scores considering frailty (modified Frailty Index-5 or mFI-5), comorbidities (Charlson Comorbidity Index or CCI), and procedural risks (Procedural Severity Scores for Morbidity and Mortality or PSS)., RESULTS: After controlling for potential confounders like BMI, cardiac, renal and pulmonary disease, we found that the most prominent factors were age older than 90 years (10 points), hip or knee surgery (7 or 8 points), fracture management (6 points), dementia (5 points), unmarried status (3 points), federally provided insurance (2 points), and low estimated household income based on ZIP code (1 point). Higher score values indicate a higher risk of adverse discharge disposition. The score comprised 19 variables, including socioeconomic characteristics, surgical management, and comorbidities with a cutoff value of &gt;= 23 points. Score performance yielded an ROC-AUC of 0.85 (95% confidence interval 0.84 to 0.85) in the development and 0.72 (95% CI 0.71 to 0.73) in the independent validation cohort, indicating excellent and good discriminative ability. Performance of the instrument in predicting adverse discharge in the validation cohort was superior to the mFI-5, CCI, and PSS (ROC-AUC 0.72 versus 0.58, 0.57, and 0.57, respectively)., CONCLUSION: The Adverse Discharge in Older Patients after Lower Extremity Surgery (ADELES) score predicts adverse discharge disposition after lower-extremity surgery, reflecting loss of the ability to live independently. Its discriminative ability is better than instruments that consider frailty, comorbidities, or procedural risk alone. The ADELES score identifies modifiable risk factors, including general anesthesia and prolonged preoperative hospitalization, and should be used to streamline patient and family expectation management and improve shared decision making. Future studies need to evaluate the score in community hospitals and in institutions with different rates of adverse discharge disposition and lower income. A non-commercial calculator can be accessed at www.adeles-score.org., LEVEL OF EVIDENCE: Level III, diagnostic study. Copyright © 2020 by the Association of Bone and Joint Surgeons.","archive":"Ovid MEDLINE(R) &lt;2021&gt;","collection-title":"Comment in: Clin Orthop Relat Res. 2021 Mar 1;479(3):558-560 PMID: 33201023 [https://www.ncbi.nlm.nih.gov/pubmed/33201023]","container-title":"Clinical orthopaedics and related research","DOI":"10.1097/CORR.0000000000001532","ISSN":"1528-1132","issue":"3","journalAbbreviation":"Clin Orthop","page":"546-547","title":"What Factors Predict Adverse Discharge Disposition in Patients Older Than 60 Years Undergoing Lower-extremity Surgery? The Adverse Discharge in Older Patients after Lower-extremity Surgery (ADELES) Risk Score.","volume":"479","author":[{"family":"Schaefer","given":"Maximilian S"},{"family":"Hammer","given":"Maximilian"},{"family":"Platzbecker","given":"Katharina"},{"family":"Santer","given":"Peter"},{"family":"Grabitz","given":"Stephanie D"},{"family":"Murugappan","given":"Kadhiresan R"},{"family":"Houle","given":"Tim"},{"family":"Barnett","given":"Sheila"},{"family":"Rodriguez","given":"Edward K"},{"family":"Eikermann","given":"Matthias"}],"issued":{"date-parts":[["2021"]]}}},{"id":81833,"uris":["http://zotero.org/users/7655466/items/2Z4PJVIC"],"itemData":{"id":81833,"type":"article-journal","abstract":"PURPOSE: Geriatric rehabilitation is intended for older adults with vulnerability, comorbidity, and acute functional impairments. To explore and evaluate referral criteria, this study followed hospital patients referred for rehabilitation in nursing homes.\nDESIGN: Exploratory, retrospective cohort study.\nMETHODS: Participants were community living before acute hospitalization and referred for geriatric rehabilitation between January 15 and May 15, 2019. Data were collected at hospital admission, hospital discharge, and discharge from rehabilitation-oriented care. Outcome measure was the final discharge destination.\nRESULTS: Out of 87 hospital patients referred for rehabilitation (mean age = 76.3 years, SD = 10.7), 73 received rehabilitation-oriented post-acute care and 60 (82.2%) returned home after rehabilitation. Premorbid functional status was regained by 45 (61.6%) participants and mobility by 40 (54.8%). Independent baseline mobility, no complications during post-acute care, fewer cognitive symptoms, and multidomain vulnerability were associated with discharge destination after rehabilitation.\nCLINICAL RELEVANCE TO REHABILITATION NURSING: A multidomain assessment can make vulnerability applicable in referral decisions and induce tailored individual rehabilitation programs.\nCONCLUSION: This study explored the case-mix characteristics of hospital patients following rehabilitation trajectories. No frailty measures were available; vulnerability was refined into physical, cognitive, and social components. Careful assessment of vulnerability can support personalized referral decision-making.","container-title":"Rehabilitation Nursing: The Official Journal of the Association of Rehabilitation Nurses","DOI":"10.1097/RNJ.0000000000000489","ISSN":"2048-7940","issue":"2","journalAbbreviation":"Rehabil Nurs","language":"eng","note":"PMID: 40001272","page":"66-77","source":"PubMed","title":"Referral to Geriatric Rehabilitation in the Netherlands, an Exploratory Study of Patient Characteristics","volume":"50","author":[{"family":"Groot","given":"Aafke J.","non-dropping-particle":"de"},{"family":"Wattel","given":"Elizabeth M."},{"family":"Balen","given":"Romke","non-dropping-particle":"van"},{"family":"Hertogh","given":"Cees M. P. M."},{"family":"Wouden","given":"Johannes C.","non-dropping-particle":"van der"}],"issued":{"date-parts":[["2025",5,1]]}}}],"schema":"https://github.com/citation-style-language/schema/raw/master/csl-citation.json"} </w:instrText>
      </w:r>
      <w:r>
        <w:rPr>
          <w:rFonts w:ascii="Times New Roman" w:hAnsi="Times New Roman" w:cs="Times New Roman"/>
        </w:rPr>
        <w:fldChar w:fldCharType="separate"/>
      </w:r>
      <w:r w:rsidR="00A04BF9" w:rsidRPr="00A04BF9">
        <w:rPr>
          <w:rFonts w:ascii="Times New Roman" w:hAnsi="Times New Roman" w:cs="Times New Roman"/>
        </w:rPr>
        <w:t>[12,53]</w:t>
      </w:r>
      <w:r>
        <w:rPr>
          <w:rFonts w:ascii="Times New Roman" w:hAnsi="Times New Roman" w:cs="Times New Roman"/>
        </w:rPr>
        <w:fldChar w:fldCharType="end"/>
      </w:r>
      <w:r>
        <w:rPr>
          <w:rFonts w:ascii="Times New Roman" w:hAnsi="Times New Roman" w:cs="Times New Roman"/>
        </w:rPr>
        <w:t xml:space="preserve">, and another </w:t>
      </w:r>
      <w:r w:rsidRPr="00F467B3">
        <w:rPr>
          <w:rFonts w:ascii="Times New Roman" w:hAnsi="Times New Roman" w:cs="Times New Roman"/>
        </w:rPr>
        <w:t xml:space="preserve">study reported that </w:t>
      </w:r>
      <w:r>
        <w:rPr>
          <w:rFonts w:ascii="Times New Roman" w:hAnsi="Times New Roman" w:cs="Times New Roman"/>
        </w:rPr>
        <w:t xml:space="preserve">a longer time since dementia diagnosis reduced the likelihood of CCC placement (n=1) </w:t>
      </w:r>
      <w:r>
        <w:rPr>
          <w:rFonts w:ascii="Times New Roman" w:hAnsi="Times New Roman" w:cs="Times New Roman"/>
        </w:rPr>
        <w:fldChar w:fldCharType="begin"/>
      </w:r>
      <w:r>
        <w:rPr>
          <w:rFonts w:ascii="Times New Roman" w:hAnsi="Times New Roman" w:cs="Times New Roman"/>
        </w:rPr>
        <w:instrText xml:space="preserve"> ADDIN ZOTERO_ITEM CSL_CITATION {"citationID":"E7lgeDcr","properties":{"formattedCitation":"[54]","plainCitation":"[54]","noteIndex":0},"citationItems":[{"id":81835,"uris":["http://zotero.org/users/7655466/items/BM6JX7XT"],"itemData":{"id":81835,"type":"article-journal","abstract":"OBJECTIVE: To evaluate how post-acute care (PAC) transitions affect minority older adults with Alzheimer's disease or related dementia (ADRD), and the extent to which dual Medicare-Medicaid eligibility may attenuate or exacerbate disparities in PAC outcomes. We examined: (1) PAC referrals by race/ethnicity and dual status; (2) individual, hospital, and market-level factors associated with PAC; (3) the association between PAC and outcomes.\nDATA SOURCES/STUDY SETTING: We used the following secondary data: Master Beneficiary Summary File (MBSF), Medicare Provider Analysis and Review (MedPAR), Minimum Data Set (MDS), Area Health Resource File (AHRF), hospital Provider of Services (POS) file, and the area deprivation index (ADI).\nSTUDY DESIGN: This observational study consisted of 619,262 community-residing Medicare fee-for-service (FFS) beneficiaries with ADRD who had a hospital stay in 2017.\nDATA COLLECTION/EXTRACTION METHODS: PAC discharge was to skilled nursing facilities (SNF), home health care (HHC) agencies or home without services. Outcomes were 30-day readmission and death. Multinomial logistic regressions with hospital random effects (RE), stratified by dual eligibility, were fit.\nPRINCIPAL FINDINGS: Dual-related differences were significantly larger than race/ethnicity differences in PAC transitions. For example, the difference in the probability of SNF transitions between White and Black patients was 3.2% and 6.8%-points for non-duals and duals, respectively. The difference between non-dual/dual White patients was 21.6% points, and among Black patients 18.0%-points. The adjusted risk of 30-day readmission was 5.6 percentage point higher among non-duals discharged to SNF, compared to home, but such risk among duals was not statistically significantly different. The adjusted probabilities of 30-day mortality were larger for duals and non-duals who transitioned to SNF, compared to those discharged home.\nCONCLUSIONS: PAC referrals and the resulting outcomes for Medicare beneficiaries with ADRD are associated with multi-level variables that need to be incorporated in discharge decision making.","container-title":"Health Services Research","DOI":"10.1111/1475-6773.14059","ISSN":"1475-6773","issue":"1","journalAbbreviation":"Health Serv Res","language":"eng","note":"PMID: 36054521\nPMCID: PMC9836959","page":"164-173","source":"PubMed","title":"Post-acute care transitions and outcomes among Medicare beneficiaries with dementia: Associations with race/ethnicity and dual status","title-short":"Post-acute care transitions and outcomes among Medicare beneficiaries with dementia","volume":"58","author":[{"family":"Temkin-Greener","given":"Helena"},{"family":"Yan","given":"Di"},{"family":"Cai","given":"Shubing"}],"issued":{"date-parts":[["2023",2]]}}}],"schema":"https://github.com/citation-style-language/schema/raw/master/csl-citation.json"} </w:instrText>
      </w:r>
      <w:r>
        <w:rPr>
          <w:rFonts w:ascii="Times New Roman" w:hAnsi="Times New Roman" w:cs="Times New Roman"/>
        </w:rPr>
        <w:fldChar w:fldCharType="separate"/>
      </w:r>
      <w:r w:rsidRPr="00DF28C8">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t>.</w:t>
      </w:r>
    </w:p>
    <w:bookmarkEnd w:id="13"/>
    <w:p w14:paraId="6089EB3F" w14:textId="29957B4E"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rPr>
        <w:t xml:space="preserve">Functional impairments were extensively highlighted as necessitating CCC transitions in quantitative studies (n=4)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3BFLxZWs","properties":{"formattedCitation":"[2,6,25,47]","plainCitation":"[2,6,25,47]","noteIndex":0},"citationItems":[{"id":67898,"uris":["http://zotero.org/groups/5108666/items/QYS9TC57"],"itemData":{"id":67898,"type":"article-journal","abstract":"Objective\nOne-fifth of patient discharges from the acute hospital are delayed due to non-medical reasons. Prior research on small specific samples shows that patient mobility is important for predicting post-acute care (PAC) need. Our purpose was to create a disposition prediction model for PAC need in a large, clinically diverse.\nMethods\nA random forest (RF) was constructed to analyze patient admissions at 2 hospitals. The primary outcome was discharge disposition (home or PAC). Predictors included the lowest AM-PAC ‘6-clicks’ mobility score within 48-hours of admission (primary predictor) and demographic and clinical characteristics. A global summary tree was constructed to summarize the RF.\nResults\nAmong 34,432 patient admissions, the most important variables for predicting PAC placement were AM-PAC, BMI, and age. The AUC was 0.80 (95% confidence interval: 0.79, 0.81). Using a predicted probability for PAC of 0.25 or higher, the sensitivity, specificity and overall accuracy was 76%, 70% and 72%, respectively. Patients 66 years or older with AM-PAC of &lt;31 had the highest probability (0.76) for discharge to PAC. Patients with AM-PAC of &gt;43 had the highest probability for discharge to home.\nConclusions\nSystematic assessment of inpatients admission mobility should be implemented and used for discharge planning. Electronic medical record systems should be designed to collect and facilitate availability of mobility data on all patients to providers who play key roles in discharge planning.\nPublic Interest Summary\nPatient's mobility status during hospitalization has been used to predict their next level of care at discharge, but this work has been done with more limited methods and focused on select patient groups. Using a machine learning technique on thousands of patients with very different medical problems, this study shows that mobility status very early in hospitalization predicts post-acute care (PAC) needs. Based on this study we recommend that early assessment of patient mobility in the hospital should occur for all patients as it can facilitate more effective discharge planning.","container-title":"Health Policy and Technology","DOI":"10.1016/j.hlpt.2023.100754","ISSN":"2211-8837","issue":"2","journalAbbreviation":"Health Policy and Technology","language":"en","page":"100754","source":"ScienceDirect","title":"Machine learning prediction of hospital patient need for post-acute care using an admission mobility measure is robust across patient diagnoses","volume":"12","author":[{"family":"Young","given":"Daniel L."},{"family":"Engels","given":"Rebecca"},{"family":"Colantuoni","given":"Elizabeth"},{"family":"Friedman","given":"Lisa Aronson"},{"family":"Hoyer","given":"Erik H."}],"issued":{"date-parts":[["2023",6,1]]}}},{"id":39955,"uris":["http://zotero.org/groups/5108666/items/2CBAJKM4"],"itemData":{"id":39955,"type":"article-journal","abstract":"OBJECTIVE: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Group"}],"issued":{"date-parts":[["2021"]]}}},{"id":69671,"uris":["http://zotero.org/users/7655466/items/9UXVR3EU"],"itemData":{"id":69671,"type":"article-journal","abstract":"A systematic screening of patients with a need for post-acute care is a helpful support for interprofessional discharge planning teams. We aimed to...","container-title":"International Journal of Health Professions","DOI":"10.2478/ijhp-2022-0005","issue":"1","language":"en","page":"59-66","source":"sciendo.com","title":"Sciendo","volume":"9","author":[{"family":"Conca","given":"Antoinette"},{"family":"Koch","given":"Daniel"},{"family":"Regez","given":"Katharina"},{"family":"Kutz","given":"Alexander"},{"family":"Haubitz","given":"Sebastian"},{"family":"Schuetz","given":"Philipp"},{"family":"Mueller","given":"Beat"},{"family":"Schindler","given":"Christian"},{"family":"Spirig","given":"Rebecca"},{"family":"Petry","given":"Heidi"}],"issued":{"date-parts":[["2022",7,12]]}}},{"id":67925,"uris":["http://zotero.org/groups/5108666/items/KMTTQASD"],"itemData":{"id":67925,"type":"article-journal","abstract":"BACKGROUND/OBJECTIVES: Community-based older adults are increasingly living alone. When they become ill, they might need greater support from the healthcare system than would those who live with others. There also has been a growing concern about the high use of postacute care such as skilled nursing facility (SNF) care and the level of variation in this use between hospitals and regions. Our objective was to examine whether living alone contributed to the risk of being discharged to a SNF.\nDESIGN: Retrospective cohort study.\nSETTING: Massachusetts General Hospital.\nPARTICIPANTS: Community-dwelling individuals aged 50 and older admitted to the medical service and discharged alive between July 2014 and August 2015 (N = 7,029).\nMEASUREMENTS: We extracted demographic, clinical, and functional data from the electronic medical record and used multivariable logistic regression to determine whether living alone at the time of hospitalization was associated with subsequent discharge to a SNF.\nRESULTS: Of eligible individuals, 24.8% reported living alone before admission. Those living alone were more likely to be female, older, and more independent before admission than those living with others. Of all participants, 10.9% were discharged to a SNF. After adjustment, participants living alone had more than twice the odds of being discharged to a SNF (odds ratio = 2.23, 95% confidence interval = 1.85-2.69, P &lt; .001).\nDISCUSSION: People living alone are more likely to be discharged to SNFs, even when compared to other individuals with similar levels of clinical complexity and functional status. To the extent that this variation is due to a lack of home support, it could be possible to reduce SNF use through additional home services after hospital discharge.","container-title":"Journal of the American Geriatrics Society","DOI":"10.1111/jgs.15150","ISSN":"1532-5415","issue":"1","journalAbbreviation":"J Am Geriatr Soc","language":"eng","note":"PMID: 29072783","page":"100-105","source":"PubMed","title":"Living Alone and Discharge to Skilled Nursing Facility Care after Hospitalization in Older Adults","volume":"66","author":[{"family":"Lage","given":"Daniel E."},{"family":"Jernigan","given":"Michael C."},{"family":"Chang","given":"Yuchiao"},{"family":"Grabowski","given":"David C."},{"family":"Hsu","given":"John"},{"family":"Metlay","given":"Joshua P."},{"family":"Shah","given":"Sachin J."}],"issued":{"date-parts":[["2018",1]]}}}],"schema":"https://github.com/citation-style-language/schema/raw/master/csl-citation.json"}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[2,6,25,47]</w:t>
      </w:r>
      <w:r w:rsidRPr="00ED5246">
        <w:rPr>
          <w:rFonts w:ascii="Times New Roman" w:hAnsi="Times New Roman" w:cs="Times New Roman"/>
        </w:rPr>
        <w:fldChar w:fldCharType="end"/>
      </w:r>
      <w:r w:rsidRPr="00ED5246">
        <w:rPr>
          <w:rFonts w:ascii="Times New Roman" w:hAnsi="Times New Roman" w:cs="Times New Roman"/>
        </w:rPr>
        <w:t>. Within this category, mobility challenges (n=</w:t>
      </w:r>
      <w:r>
        <w:rPr>
          <w:rFonts w:ascii="Times New Roman" w:hAnsi="Times New Roman" w:cs="Times New Roman"/>
        </w:rPr>
        <w:t>4</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xos9IyOJ","properties":{"formattedCitation":"[2,6,47,48]","plainCitation":"[2,6,47,48]","noteIndex":0},"citationItems":[{"id":67898,"uris":["http://zotero.org/groups/5108666/items/QYS9TC57"],"itemData":{"id":67898,"type":"article-journal","abstract":"Objective\nOne-fifth of patient discharges from the acute hospital are delayed due to non-medical reasons. Prior research on small specific samples shows that patient mobility is important for predicting post-acute care (PAC) need. Our purpose was to create a disposition prediction model for PAC need in a large, clinically diverse.\nMethods\nA random forest (RF) was constructed to analyze patient admissions at 2 hospitals. The primary outcome was discharge disposition (home or PAC). Predictors included the lowest AM-PAC ‘6-clicks’ mobility score within 48-hours of admission (primary predictor) and demographic and clinical characteristics. A global summary tree was constructed to summarize the RF.\nResults\nAmong 34,432 patient admissions, the most important variables for predicting PAC placement were AM-PAC, BMI, and age. The AUC was 0.80 (95% confidence interval: 0.79, 0.81). Using a predicted probability for PAC of 0.25 or higher, the sensitivity, specificity and overall accuracy was 76%, 70% and 72%, respectively. Patients 66 years or older with AM-PAC of &lt;31 had the highest probability (0.76) for discharge to PAC. Patients with AM-PAC of &gt;43 had the highest probability for discharge to home.\nConclusions\nSystematic assessment of inpatients admission mobility should be implemented and used for discharge planning. Electronic medical record systems should be designed to collect and facilitate availability of mobility data on all patients to providers who play key roles in discharge planning.\nPublic Interest Summary\nPatient's mobility status during hospitalization has been used to predict their next level of care at discharge, but this work has been done with more limited methods and focused on select patient groups. Using a machine learning technique on thousands of patients with very different medical problems, this study shows that mobility status very early in hospitalization predicts post-acute care (PAC) needs. Based on this study we recommend that early assessment of patient mobility in the hospital should occur for all patients as it can facilitate more effective discharge planning.","container-title":"Health Policy and Technology","DOI":"10.1016/j.hlpt.2023.100754","ISSN":"2211-8837","issue":"2","journalAbbreviation":"Health Policy and Technology","language":"en","page":"100754","source":"ScienceDirect","title":"Machine learning prediction of hospital patient need for post-acute care using an admission mobility measure is robust across patient diagnoses","volume":"12","author":[{"family":"Young","given":"Daniel L."},{"family":"Engels","given":"Rebecca"},{"family":"Colantuoni","given":"Elizabeth"},{"family":"Friedman","given":"Lisa Aronson"},{"family":"Hoyer","given":"Erik H."}],"issued":{"date-parts":[["2023",6,1]]}}},{"id":39955,"uris":["http://zotero.org/groups/5108666/items/2CBAJKM4"],"itemData":{"id":39955,"type":"article-journal","abstract":"OBJECTIVE: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Group"}],"issued":{"date-parts":[["2021"]]}}},{"id":67925,"uris":["http://zotero.org/groups/5108666/items/KMTTQASD"],"itemData":{"id":67925,"type":"article-journal","abstract":"BACKGROUND/OBJECTIVES: Community-based older adults are increasingly living alone. When they become ill, they might need greater support from the healthcare system than would those who live with others. There also has been a growing concern about the high use of postacute care such as skilled nursing facility (SNF) care and the level of variation in this use between hospitals and regions. Our objective was to examine whether living alone contributed to the risk of being discharged to a SNF.\nDESIGN: Retrospective cohort study.\nSETTING: Massachusetts General Hospital.\nPARTICIPANTS: Community-dwelling individuals aged 50 and older admitted to the medical service and discharged alive between July 2014 and August 2015 (N = 7,029).\nMEASUREMENTS: We extracted demographic, clinical, and functional data from the electronic medical record and used multivariable logistic regression to determine whether living alone at the time of hospitalization was associated with subsequent discharge to a SNF.\nRESULTS: Of eligible individuals, 24.8% reported living alone before admission. Those living alone were more likely to be female, older, and more independent before admission than those living with others. Of all participants, 10.9% were discharged to a SNF. After adjustment, participants living alone had more than twice the odds of being discharged to a SNF (odds ratio = 2.23, 95% confidence interval = 1.85-2.69, P &lt; .001).\nDISCUSSION: People living alone are more likely to be discharged to SNFs, even when compared to other individuals with similar levels of clinical complexity and functional status. To the extent that this variation is due to a lack of home support, it could be possible to reduce SNF use through additional home services after hospital discharge.","container-title":"Journal of the American Geriatrics Society","DOI":"10.1111/jgs.15150","ISSN":"1532-5415","issue":"1","journalAbbreviation":"J Am Geriatr Soc","language":"eng","note":"PMID: 29072783","page":"100-105","source":"PubMed","title":"Living Alone and Discharge to Skilled Nursing Facility Care after Hospitalization in Older Adults","volume":"66","author":[{"family":"Lage","given":"Daniel E."},{"family":"Jernigan","given":"Michael C."},{"family":"Chang","given":"Yuchiao"},{"family":"Grabowski","given":"David C."},{"family":"Hsu","given":"John"},{"family":"Metlay","given":"Joshua P."},{"family":"Shah","given":"Sachin J."}],"issued":{"date-parts":[["2018",1]]}}},{"id":81826,"uris":["http://zotero.org/users/7655466/items/BZ3SDPZE"],"itemData":{"id":81826,"type":"article-journal","abstract":"Objective:\nTo compare the sociodemographic, clinical, and hospital related factors associated with discharge of acute ischemic stroke (AIS) survivors to inpatient rehabilitation (IRF) and skilled nursing facility (SNF) rehabilitation services.\n\nDesign:\nRetrospective descriptive study from the Paul Coverdell National Acute Stroke Program (PCNASP) participating hospitals during 2016 to 2019.\n\nSetting:\n9 Participating states from PCNASP in United States.\n\nParticipants:\n130,988 patients with AIS from 569 hospitals (N=337,857).\n\nInterventions:\nNot applicable.\n\nMain Outcome Measure:\nDischarge to IRF and SNF.\n\nResults:\nPatients discharged to a SNF had longer length of hospital stay, more comorbidities, and higher modified Rankin scores compared with patients discharged to an IRF. Nine characteristics were associated with being less likely to be discharged to an IRF than an SNF: older age (85+ years old, adjusted odds ratio [AOR]=0.20 [confidence interval [CI]=0.18–0.21]), identifying as non-Hispanic Black (AOR=0.85 [CI=0.81–0.89]), identifying as Hispanic (AOR=0.80 [CI=0.74–0.87]), having Medicaid or Medicare (AOR=0.73 [CI=0.70–0.77]), being able to ambulate with assistance from another person (AOR=0.93 [CI=0.89–0.97]), being unable to ambulate (AOR=0.73 [CI=0.62–0.87]) and having comorbidities, prior stroke (AOR=0.69 [CI=0.66–0.73]), diabetes (AOR=0.85 [CI=0.82–0.88]), and myocardial infraction or coronary artery disease (AOR=0.94 [CI=0.90–0.97]). Four characteristics were associated with being more likely to be discharged to an IRF than an SNF: being a man (AOR=1.20 [CI=1.16–1.24]), and having a slight disability (Rankin Score 2) (AOR=1.41 [CI=1.29–1.54]), being at larger hospitals (200–399 beds: AOR=1.31 [CI=1.23–1.40]; 400+ beds: AOR=1.29 [CI=1.20–1.38]), and being at a hospital with stroke unit (AOR=1.12 [CI=1.07–1.17]).\n\nConclusion:\nThis study found differences in demographic, clinical, and hospital characteristics of AIS patients discharged for rehabilitation to an IRF vs SNF. The characteristics of patients receiving rehabilitation services may be helpful for researchers and hospitals making policies related to stroke discharge and practices that optimize patient outcomes. Populations experiencing inequities in access to rehabilitation services should be identified, and those who qualify for rehabilitation in IRF should receive this care in preference to rehabilitation in SNF.","container-title":"Archives of physical medicine and rehabilitation","DOI":"10.1016/j.apmr.2022.11.008","ISSN":"0003-9993","issue":"4","journalAbbreviation":"Arch Phys Med Rehabil","note":"PMID: 36521579\nPMCID: PMC11015737","page":"605-611","source":"PubMed Central","title":"A Comparison of Acute Ischemic Stroke Patients Discharged to Inpatient Rehabilitation vs a Skilled Nursing Facility: The Paul Coverdell National Acute Stroke Program","title-short":"A Comparison of Acute Ischemic Stroke Patients Discharged to Inpatient Rehabilitation vs a Skilled Nursing Facility","volume":"104","author":[{"family":"Pattath","given":"Priyadarshini"},{"family":"Odom","given":"Erika C."},{"family":"Tong","given":"Xin"},{"family":"Yin","given":"Xiaoping"},{"family":"Coleman King","given":"Sallyann M."}],"issued":{"date-parts":[["2023",4]]}}}],"schema":"https://github.com/citation-style-language/schema/raw/master/csl-citation.json"}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[2,6,47,48]</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r w:rsidRPr="00ED5246">
        <w:rPr>
          <w:rFonts w:ascii="Times New Roman" w:hAnsi="Times New Roman" w:cs="Times New Roman"/>
        </w:rPr>
        <w:t>increased ADL dependence (n=</w:t>
      </w:r>
      <w:r>
        <w:rPr>
          <w:rFonts w:ascii="Times New Roman" w:hAnsi="Times New Roman" w:cs="Times New Roman"/>
        </w:rPr>
        <w:t>5</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{"citationID":"gvYZzYTK","properties":{"formattedCitation":"[4,6,25,47,53]","plainCitation":"[4,6,25,47,53]","noteIndex":0},"citationItems":[{"id":39310,"uris":["http://zotero.org/groups/5108666/items/DKV78FLY"],"itemData":{"id":39310,"type":"article-journal","abstract":"In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Group"}],"issued":{"date-parts":[["2021"]]}}},{"id":69671,"uris":["http://zotero.org/users/7655466/items/9UXVR3EU"],"itemData":{"id":69671,"type":"article-journal","abstract":"A systematic screening of patients with a need for post-acute care is a helpful support for interprofessional discharge planning teams. We aimed to...","container-title":"International Journal of Health Professions","DOI":"10.2478/ijhp-2022-0005","issue":"1","language":"en","page":"59-66","source":"sciendo.com","title":"Sciendo","volume":"9","author":[{"family":"Conca","given":"Antoinette"},{"family":"Koch","given":"Daniel"},{"family":"Regez","given":"Katharina"},{"family":"Kutz","given":"Alexander"},{"family":"Haubitz","given":"Sebastian"},{"family":"Schuetz","given":"Philipp"},{"family":"Mueller","given":"Beat"},{"family":"Schindler","given":"Christian"},{"family":"Spirig","given":"Rebecca"},{"family":"Petry","given":"Heidi"}],"issued":{"date-parts":[["2022",7,12]]}}},{"id":67925,"uris":["http://zotero.org/groups/5108666/items/KMTTQASD"],"itemData":{"id":67925,"type":"article-journal","abstract":"BACKGROUND/OBJECTIVES: Community-based older adults are increasingly living alone. When they become ill, they might need greater support from the healthcare system than would those who live with others. There also has been a growing concern about the high use of postacute care such as skilled nursing facility (SNF) care and the level of variation in this use between hospitals and regions. Our objective was to examine whether living alone contributed to the risk of being discharged to a SNF.\nDESIGN: Retrospective cohort study.\nSETTING: Massachusetts General Hospital.\nPARTICIPANTS: Community-dwelling individuals aged 50 and older admitted to the medical service and discharged alive between July 2014 and August 2015 (N = 7,029).\nMEASUREMENTS: We extracted demographic, clinical, and functional data from the electronic medical record and used multivariable logistic regression to determine whether living alone at the time of hospitalization was associated with subsequent discharge to a SNF.\nRESULTS: Of eligible individuals, 24.8% reported living alone before admission. Those living alone were more likely to be female, older, and more independent before admission than those living with others. Of all participants, 10.9% were discharged to a SNF. After adjustment, participants living alone had more than twice the odds of being discharged to a SNF (odds ratio = 2.23, 95% confidence interval = 1.85-2.69, P &lt; .001).\nDISCUSSION: People living alone are more likely to be discharged to SNFs, even when compared to other individuals with similar levels of clinical complexity and functional status. To the extent that this variation is due to a lack of home support, it could be possible to reduce SNF use through additional home services after hospital discharge.","container-title":"Journal of the American Geriatrics Society","DOI":"10.1111/jgs.15150","ISSN":"1532-5415","issue":"1","journalAbbreviation":"J Am Geriatr Soc","language":"eng","note":"PMID: 29072783","page":"100-105","source":"PubMed","title":"Living Alone and Discharge to Skilled Nursing Facility Care after Hospitalization in Older Adults","volume":"66","author":[{"family":"Lage","given":"Daniel E."},{"family":"Jernigan","given":"Michael C."},{"family":"Chang","given":"Yuchiao"},{"family":"Grabowski","given":"David C."},{"family":"Hsu","given":"John"},{"family":"Metlay","given":"Joshua P."},{"family":"Shah","given":"Sachin J."}],"issued":{"date-parts":[["2018",1]]}}},{"id":81833,"uris":["http://zotero.org/users/7655466/items/2Z4PJVIC"],"itemData":{"id":81833,"type":"article-journal","abstract":"PURPOSE: Geriatric rehabilitation is intended for older adults with vulnerability, comorbidity, and acute functional impairments. To explore and evaluate referral criteria, this study followed hospital patients referred for rehabilitation in nursing homes.\nDESIGN: Exploratory, retrospective cohort study.\nMETHODS: Participants were community living before acute hospitalization and referred for geriatric rehabilitation between January 15 and May 15, 2019. Data were collected at hospital admission, hospital discharge, and discharge from rehabilitation-oriented care. Outcome measure was the final discharge destination.\nRESULTS: Out of 87 hospital patients referred for rehabilitation (mean age = 76.3 years, SD = 10.7), 73 received rehabilitation-oriented post-acute care and 60 (82.2%) returned home after rehabilitation. Premorbid functional status was regained by 45 (61.6%) participants and mobility by 40 (54.8%). Independent baseline mobility, no complications during post-acute care, fewer cognitive symptoms, and multidomain vulnerability were associated with discharge destination after rehabilitation.\nCLINICAL RELEVANCE TO REHABILITATION NURSING: A multidomain assessment can make vulnerability applicable in referral decisions and induce tailored individual rehabilitation programs.\nCONCLUSION: This study explored the case-mix characteristics of hospital patients following rehabilitation trajectories. No frailty measures were available; vulnerability was refined into physical, cognitive, and social components. Careful assessment of vulnerability can support personalized referral decision-making.","container-title":"Rehabilitation Nursing: The Official Journal of the Association of Rehabilitation Nurses","DOI":"10.1097/RNJ.0000000000000489","ISSN":"2048-7940","issue":"2","journalAbbreviation":"Rehabil Nurs","language":"eng","note":"PMID: 40001272","page":"66-77","source":"PubMed","title":"Referral to Geriatric Rehabilitation in the Netherlands, an Exploratory Study of Patient Characteristics","volume":"50","author":[{"family":"Groot","given":"Aafke J.","non-dropping-particle":"de"},{"family":"Wattel","given":"Elizabeth M."},{"family":"Balen","given":"Romke","non-dropping-particle":"van"},{"family":"Hertogh","given":"Cees M. P. M."},{"family":"Wouden","given":"Johannes C.","non-dropping-particle":"van der"}],"issued":{"date-parts":[["2025",5,1]]}}}],"schema":"https://github.com/citation-style-language/schema/raw/master/csl-citation.json"}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[4,6,25,47,53]</w:t>
      </w:r>
      <w:r w:rsidRPr="00ED5246">
        <w:rPr>
          <w:rFonts w:ascii="Times New Roman" w:hAnsi="Times New Roman" w:cs="Times New Roman"/>
        </w:rPr>
        <w:fldChar w:fldCharType="end"/>
      </w:r>
      <w:r w:rsidRPr="00ED5246">
        <w:rPr>
          <w:rFonts w:ascii="Times New Roman" w:hAnsi="Times New Roman" w:cs="Times New Roman"/>
        </w:rPr>
        <w:t>,</w:t>
      </w:r>
      <w:r w:rsidRPr="00DF28C8">
        <w:rPr>
          <w:rFonts w:ascii="Times New Roman" w:hAnsi="Times New Roman" w:cs="Times New Roman"/>
          <w:color w:val="EE0000"/>
        </w:rPr>
        <w:t xml:space="preserve"> </w:t>
      </w:r>
      <w:r w:rsidRPr="00ED5246">
        <w:rPr>
          <w:rFonts w:ascii="Times New Roman" w:hAnsi="Times New Roman" w:cs="Times New Roman"/>
        </w:rPr>
        <w:t xml:space="preserve">and high frailty levels (n=4)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DiSeCqYI","properties":{"formattedCitation":"[34,40\\uc0\\u8211{}42]","plainCitation":"[34,40–42]","noteIndex":0},"citationItems":[{"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I."}],"issued":{"date-parts":[["2020",3,4]]}}},{"id":67820,"uris":["http://zotero.org/groups/5108666/items/JKJ2XE2U"],"itemData":{"id":67820,"type":"article-journal","abstract":"BACKGROUND: Acutely ill and frail older adults have complex social and health care needs. It is important to understand how this complexity affects acute outcomes for admission to hospital. We validated a frailty index using routine admission laboratory tests with outcomes after patients were admitted to hospital.\nMETHODS: In a prospective cohort of older adults admitted to a large tertiary hospital in the United Kingdom, we created a frailty index from routine admission laboratory investigations (FI-Laboratory) linked to data comprising hospital outcomes. We evaluated the association between the FI-Laboratory and total days spent in hospital, discharge to a higher level of care, readmission and mortality.\nRESULTS: Of 2552 admissions among 1750 older adults, we were able to generate FI-Laboratory values for 2254 admissions (88.3% of the cohort). More than half of admitted patients were women (55.3%) and the mean age was 84.6 (SD 14.0) years. We found that the FI-Laboratory correlated weakly with the Clinical Frailty Scale (CFS; r 2 = 0.09). An increase in the CFS and the equivalent of 3 additional abnormal laboratory test results in the FI-Laboratory, respectively, were associated with an increased proportion of inpatient days (rate ratios [RRs] 1.43, 95% confidence interval [CI] 1.35-1.52; and 1.47, 95% CI 1.41-1.54), discharge to a higher level of care (odd ratios [ORs] 1.39, 95% CI 1.27-1.52; and 1.30, 95% CI 1.16-1.47) and increased readmission rate (hazard ratios [HRs] 1.26, 95% CI 1.17-1.37; and 1.18, 95% CI 1.11-1.26). Increases in the CFS and FI-Laboratory were associated with increased mortality HRs of 1.39 (95% CI 1.28-1.51) and 1.45 (95% CI 1.37-1.54), respectively.\nINTERPRETATION: We determined that FI-Laboratory, distinct from baseline frailty, could be used to predict risk of many adverse outcomes. The score is therefore a useful way to quantify the degree of acute illness in frail older adults.","container-title":"CMAJ: Canadian Medical Association journal = journal de l'Association medicale canadienne","DOI":"10.1503/cmaj.190952","ISSN":"1488-2329","issue":"1","journalAbbreviation":"CMAJ","language":"eng","note":"PMID: 31907228\nPMCID: PMC6944299","page":"E3-E8","source":"PubMed","title":"Complementing chronic frailty assessment at hospital admission with an electronic frailty index (FI-Laboratory) comprising routine blood test results","volume":"192","author":[{"family":"Ellis","given":"Hugh Logan"},{"family":"Wan","given":"Bettina"},{"family":"Yeung","given":"Michael"},{"family":"Rather","given":"Arshad"},{"family":"Mannan","given":"Imran"},{"family":"Bond","given":"Catherine"},{"family":"Harvey","given":"Catherine"},{"family":"Raja","given":"Nadia"},{"family":"Dutey-Magni","given":"Peter"},{"family":"Rockwood","given":"Kenneth"},{"family":"Davis","given":"Daniel"},{"family":"Searle","given":"Samuel D."}],"issued":{"date-parts":[["2020",1,6]]}}},{"id":68196,"uris":["http://zotero.org/groups/5108666/items/J2KLV6TE"],"itemData":{"id":68196,"type":"article-journal","abstract":"PURPOSE: Perioperative frailty increases postoperative complications, mortality, and new functional dependence. Despite this, routine perioperative frailty screening is not widespread. We aimed to assess the accuracy of the Clinical Frailty Scale (CFS) as a screening tool prior to anesthesia, and to determine which health domains are affected by frailty.\nMETHODS: In a prospective, single-centre observational study, we enrolled 218 patients aged ≥ 65 yr undergoing elective and emergency surgery. The screening performance of the CFS was compared with the Edmonton Frail Scale, including the effect in individual frailty domains, and outcomes including discharge location and mortality.\nRESULTS: The median [interquartile range] age of the enrolled subjects was 74 [69-80] yr and 24% of the patients were frail. The CFS and Edmonton scales were highly correlated (Spearman correlation coefficient, 0.81; 95% confidence interval [CI], 0.77 to 0.86), and in substantial agreement (kappa coefficient, 0.76; 95% CI, 0.70 to 0.81), with an area under the receiver operating characteristic curve of 0.91 (95% CI, 0.86 to 0.94) indicating excellent discrimination for the CFS in predicting frailty status based on the Edmonton scale. Frail patients had higher 30-day mortality (odds ratio, 5.26; 95% CI, 1.28 to 21.62), and were less likely to be discharged home. Frail patients had poorer health throughout frailty domains, including functional dependence (42% of frail vs 4% of non-frail patients; P &lt; 0.001), malnutrition (48% vs 19%, P &lt; 0.001), and poor physical performance (47% vs 7%, P &lt; 0.001).\nCONCLUSION: The CFS is a valid and accurate tool to screen for perioperative frailty, which encompasses the spectrum of health-related domains.","container-title":"Canadian Journal of Anaesthesia = Journal Canadien D'anesthesie","DOI":"10.1007/s12630-020-01610-x","ISSN":"1496-8975","issue":"6","journalAbbreviation":"Can J Anaesth","language":"eng","note":"PMID: 32128722","page":"694-705","source":"PubMed","title":"Accuracy of the Clinical Frailty Scale for perioperative frailty screening: a prospective observational study","title-short":"Accuracy of the Clinical Frailty Scale for perioperative frailty screening","volume":"67","author":[{"family":"Darvall","given":"Jai N."},{"family":"Loth","given":"Joel"},{"family":"Bose","given":"Tony"},{"family":"Braat","given":"Sabine"},{"family":"De Silva","given":"Anurika"},{"family":"Story","given":"David A."},{"family":"Lim","given":"Wen K."}],"issued":{"date-parts":[["2020",6]]}}},{"id":45377,"uris":["http://zotero.org/groups/5108666/items/FGVHU7B2"],"itemData":{"id":45377,"type":"article-journal","archive":"Scopus","container-title":"PLoS ONE","DOI":"10.1371/journal.pone.0275677","issue":"10 October","title":"Frailty independently predicts unfavorable discharge in non-operative traumatic brain injury: A retrospective single-institution cohort study","URL":"https://www.scopus.com/inward/record.uri?eid=2-s2.0-85139571283&amp;doi=10.1371%2fjournal.pone.0275677&amp;partnerID=40&amp;md5=dea3ce302318856afa0d3df20fa4629c","volume":"17","author":[{"family":"Sastry","given":"R.A."},{"family":"Feler","given":"J.R."},{"family":"Shao","given":"B."},{"family":"Ali","given":"R."},{"family":"McNicoll","given":"L."},{"family":"Telfeian","given":"A.E."},{"family":"Oyelese","given":"A.A."},{"family":"Weil","given":"R.J."},{"family":"Gokaslan","given":"Z.L."}],"issued":{"date-parts":[["2022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[34,40–42]</w:t>
      </w:r>
      <w:r w:rsidRPr="00ED5246">
        <w:rPr>
          <w:rFonts w:ascii="Times New Roman" w:hAnsi="Times New Roman" w:cs="Times New Roman"/>
        </w:rPr>
        <w:fldChar w:fldCharType="end"/>
      </w:r>
      <w:r w:rsidRPr="00ED5246">
        <w:rPr>
          <w:rFonts w:ascii="Times New Roman" w:hAnsi="Times New Roman" w:cs="Times New Roman"/>
        </w:rPr>
        <w:t xml:space="preserve"> all raised the likelihood of CCC placement. In contrast, mental health conditions were less frequently documented, with only behavioral issues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{"citationID":"3QSy2Mb4","properties":{"formattedCitation":"[29]","plainCitation":"[29]","noteIndex":0},"citationItems":[{"id":36534,"uris":["http://zotero.org/groups/5108666/items/GK9WYFZW"],"itemData":{"id":36534,"type":"article-journal","abstract":"Objective: To identify older adults who could benefit from integrated care, we examined (a) health, social, and functional characteristics of older, hospitalized adults who required continuing care on discharge and (b) associations between these characteristics and potentially unnecessary health care use. Method: Personal characteristics were extracted from patient charts (N = 214) and examined in relation to three outcomes: discharge to institutional care, unnecessary hospital stay (alternative level of care), and long hospital stay. Results: Twenty-nine percent of the sample was discharged to an institution, 32.7% was coded as alternate level of care, and 27.6% had a long length of stay. Independent predictors of potentially avoidable health care use were mental and behavioral issues, living alone, functional status, and preadmission concerns about the patient managing in the community. Discussion: High users of health care services were identifiable prior to hospital admission, supporting the use of community-based integrated care approaches.","archive":"cin20","container-title":"Journal of Aging &amp; Health","DOI":"10.1177/0898264318759856","ISSN":"0898-2643","issue":"7","journalAbbreviation":"Journal of Aging &amp; Health","page":"1085-1105","source":"EBSCOhost","title":"Health, Social, and Functional Characteristics of Older Adults With Continuing Care Needs: Implications for Integrated Care.","volume":"31","author":[{"family":"Brown","given":"Cara L."},{"family":"Menec","given":"Verena"}],"issued":{"date-parts":[["2019",8]]}}}],"schema":"https://github.com/citation-style-language/schema/raw/master/csl-citation.json"}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[29]</w:t>
      </w:r>
      <w:r w:rsidRPr="00ED5246">
        <w:rPr>
          <w:rFonts w:ascii="Times New Roman" w:hAnsi="Times New Roman" w:cs="Times New Roman"/>
        </w:rPr>
        <w:fldChar w:fldCharType="end"/>
      </w:r>
      <w:r w:rsidRPr="00ED5246">
        <w:rPr>
          <w:rFonts w:ascii="Times New Roman" w:hAnsi="Times New Roman" w:cs="Times New Roman"/>
        </w:rPr>
        <w:t xml:space="preserve"> specifically identified as contributing to CCC placement.</w:t>
      </w:r>
    </w:p>
    <w:p w14:paraId="2612B09F" w14:textId="77777777" w:rsidR="004579D2" w:rsidRPr="00ED5246" w:rsidRDefault="004579D2" w:rsidP="004579D2">
      <w:pPr>
        <w:spacing w:after="0" w:line="480" w:lineRule="auto"/>
        <w:jc w:val="both"/>
        <w:rPr>
          <w:rFonts w:ascii="Times New Roman" w:hAnsi="Times New Roman" w:cs="Times New Roman"/>
        </w:rPr>
      </w:pPr>
      <w:r w:rsidRPr="00ED5246">
        <w:rPr>
          <w:rFonts w:ascii="Times New Roman" w:hAnsi="Times New Roman" w:cs="Times New Roman"/>
        </w:rPr>
        <w:t xml:space="preserve">Lastly, specific health conditions </w:t>
      </w:r>
      <w:r>
        <w:rPr>
          <w:rFonts w:ascii="Times New Roman" w:hAnsi="Times New Roman" w:cs="Times New Roman"/>
        </w:rPr>
        <w:t>influenced</w:t>
      </w:r>
      <w:r w:rsidRPr="00ED5246">
        <w:rPr>
          <w:rFonts w:ascii="Times New Roman" w:hAnsi="Times New Roman" w:cs="Times New Roman"/>
        </w:rPr>
        <w:t xml:space="preserve"> CCC </w:t>
      </w:r>
      <w:r>
        <w:rPr>
          <w:rFonts w:ascii="Times New Roman" w:hAnsi="Times New Roman" w:cs="Times New Roman"/>
        </w:rPr>
        <w:t>transitions</w:t>
      </w:r>
      <w:r w:rsidRPr="00ED5246">
        <w:rPr>
          <w:rFonts w:ascii="Times New Roman" w:hAnsi="Times New Roman" w:cs="Times New Roman"/>
        </w:rPr>
        <w:t xml:space="preserve">. </w:t>
      </w:r>
      <w:r>
        <w:rPr>
          <w:rFonts w:ascii="Times New Roman" w:hAnsi="Times New Roman" w:cs="Times New Roman"/>
        </w:rPr>
        <w:t>C</w:t>
      </w:r>
      <w:r w:rsidRPr="00ED5246">
        <w:rPr>
          <w:rFonts w:ascii="Times New Roman" w:hAnsi="Times New Roman" w:cs="Times New Roman"/>
        </w:rPr>
        <w:t xml:space="preserve">ardiovascular issues, such as congestive heart failure, arrhythmia, and coronary artery disease, were associated with decreased transitions to CCC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{"citationID":"U2aakFQs","properties":{"formattedCitation":"[47]","plainCitation":"[47]","noteIndex":0},"citationItems":[{"id":67925,"uris":["http://zotero.org/groups/5108666/items/KMTTQASD"],"itemData":{"id":67925,"type":"article-journal","abstract":"BACKGROUND/OBJECTIVES: Community-based older adults are increasingly living alone. When they become ill, they might need greater support from the healthcare system than would those who live with others. There also has been a growing concern about the high use of postacute care such as skilled nursing facility (SNF) care and the level of variation in this use between hospitals and regions. Our objective was to examine whether living alone contributed to the risk of being discharged to a SNF.\nDESIGN: Retrospective cohort study.\nSETTING: Massachusetts General Hospital.\nPARTICIPANTS: Community-dwelling individuals aged 50 and older admitted to the medical service and discharged alive between July 2014 and August 2015 (N = 7,029).\nMEASUREMENTS: We extracted demographic, clinical, and functional data from the electronic medical record and used multivariable logistic regression to determine whether living alone at the time of hospitalization was associated with subsequent discharge to a SNF.\nRESULTS: Of eligible individuals, 24.8% reported living alone before admission. Those living alone were more likely to be female, older, and more independent before admission than those living with others. Of all participants, 10.9% were discharged to a SNF. After adjustment, participants living alone had more than twice the odds of being discharged to a SNF (odds ratio = 2.23, 95% confidence interval = 1.85-2.69, P &lt; .001).\nDISCUSSION: People living alone are more likely to be discharged to SNFs, even when compared to other individuals with similar levels of clinical complexity and functional status. To the extent that this variation is due to a lack of home support, it could be possible to reduce SNF use through additional home services after hospital discharge.","container-title":"Journal of the American Geriatrics Society","DOI":"10.1111/jgs.15150","ISSN":"1532-5415","issue":"1","journalAbbreviation":"J Am Geriatr Soc","language":"eng","note":"PMID: 29072783","page":"100-105","source":"PubMed","title":"Living Alone and Discharge to Skilled Nursing Facility Care after Hospitalization in Older Adults","volume":"66","author":[{"family":"Lage","given":"Daniel E."},{"family":"Jernigan","given":"Michael C."},{"family":"Chang","given":"Yuchiao"},{"family":"Grabowski","given":"David C."},{"family":"Hsu","given":"John"},{"family":"Metlay","given":"Joshua P."},{"family":"Shah","given":"Sachin J."}],"issued":{"date-parts":[["2018",1]]}}}],"schema":"https://github.com/citation-style-language/schema/raw/master/csl-citation.json"}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[47]</w:t>
      </w:r>
      <w:r w:rsidRPr="00ED5246">
        <w:rPr>
          <w:rFonts w:ascii="Times New Roman" w:hAnsi="Times New Roman" w:cs="Times New Roman"/>
        </w:rPr>
        <w:fldChar w:fldCharType="end"/>
      </w:r>
      <w:r w:rsidRPr="00ED5246">
        <w:rPr>
          <w:rFonts w:ascii="Times New Roman" w:hAnsi="Times New Roman" w:cs="Times New Roman"/>
        </w:rPr>
        <w:t xml:space="preserve">. On the other hand, chronic liver disease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{"citationID":"GlEY7PdG","properties":{"formattedCitation":"[10]","plainCitation":"[10]","noteIndex":0},"citationItems":[{"id":37590,"uris":["http://zotero.org/groups/5108666/items/RNYD7TU4"],"itemData":{"id":37590,"type":"article-journal","abstract":"Background Patients undergoing transcatheter aortic valve replacement (TAVR) are likely to be discharged to a location other than home. We aimed to determine the association between preoperative risk factors and non-home discharge after TAVR. Methods Patients discharged alive after TAVR at three centers were identified from a prospectively maintained database randomly divided into 80% derivation and 20% validation cohorts. Logistic regression models were fit to identify preoperative factors associated with non-home discharge in the derivation cohort. Multivariable models were developed and a nomogram based risk-scoring system was developed for use in preoperative counseling. Results Between June 2012 and December 2018, a total of 1,163 patients had TAVR at three centers. Thirty-seven patients who died before discharge were excluded. Of the remaining 1,126 patients (97%) who were discharged alive, the incidence of non-home discharge was 25.6% (n = 289). The patient population was randomly divided into the 80% (n = 900) derivation cohort and 20% (n = 226) validation cohort. Mean +/- SD age of the study population was 83 +/- 8 years. In multivariable analysis, factors that were significantly associated with non-home discharge were extreme age, female sex, higher STS scores, use of general anesthesia, elective procedures, chronic liver disease, non-transfemoral approach and postoperative complications. The unbiased estimate of the C-index was 0.81 and the model had excellent calibration. Conclusions One out of every four patients undergoing TAVR is discharged to a location other than home. Identification of preoperative factors associated with non-home discharge can assist patient counseling and postoperative disposition planning.Copyright © 2020 JGC All rights reserved; www.jgc301.com","archive":"Embase","container-title":"Journal of Geriatric Cardiology","DOI":"10.11909/j.issn.1671-5411.2020.10.002","ISSN":"1671-5411","issue":"10","journalAbbreviation":"J. Geriatr. Cardiol.","language":"English","page":"621-627","title":"Risk scoring model for prediction of non-home discharge after transcatheter aortic valve replacement","volume":"17","author":[{"literal":"Okoh A.K."},{"literal":"Ozturk E."},{"literal":"Gold J."},{"literal":"Siddiqui E."},{"literal":"Dhaduk N."},{"literal":"Haik B."},{"literal":"Chen C.-G."},{"literal":"Cohen M."},{"literal":"Russo M.J."}],"issued":{"date-parts":[["2020"]]}}}],"schema":"https://github.com/citation-style-language/schema/raw/master/csl-citation.json"}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[10]</w:t>
      </w:r>
      <w:r w:rsidRPr="00ED5246">
        <w:rPr>
          <w:rFonts w:ascii="Times New Roman" w:hAnsi="Times New Roman" w:cs="Times New Roman"/>
        </w:rPr>
        <w:fldChar w:fldCharType="end"/>
      </w:r>
      <w:r>
        <w:rPr>
          <w:rFonts w:ascii="Times New Roman" w:hAnsi="Times New Roman" w:cs="Times New Roman"/>
        </w:rPr>
        <w:t xml:space="preserve">, spinal-cord injury (n=1) </w:t>
      </w:r>
      <w:r>
        <w:rPr>
          <w:rFonts w:ascii="Times New Roman" w:hAnsi="Times New Roman" w:cs="Times New Roman"/>
        </w:rPr>
        <w:fldChar w:fldCharType="begin"/>
      </w:r>
      <w:r>
        <w:rPr>
          <w:rFonts w:ascii="Times New Roman" w:hAnsi="Times New Roman" w:cs="Times New Roman"/>
        </w:rPr>
        <w:instrText xml:space="preserve"> ADDIN ZOTERO_ITEM CSL_CITATION {"citationID":"cDa5eCPy","properties":{"formattedCitation":"[52]","plainCitation":"[52]","noteIndex":0},"citationItems":[{"id":81831,"uris":["http://zotero.org/users/7655466/items/VVDVS6BM"],"itemData":{"id":81831,"type":"article-journal","abstract":"BACKGROUND: Geriatric trauma patients (GTPs) represent a high-risk population for needing post-acute care, such as skilled nursing facilities (SNFs) and long-term acute care hospitals (LTACs), due to a combination of traumatic injuries and baseline functional health. As there is currently no well-established tool for predicting these needs, we aimed to create a scoring tool that predicts disposition to SNFs/LTACs in GTPs.\nMETHODS: The adult 2017 Trauma Quality Improvement Program database was divided at random into two equal sized sets (derivation and validation sets) of GTPs &gt;65 years old. First, multiple logistic regression models were created to determine risk factors for discharge to a SNF/LTAC in admitted GTPs. Second, the weighted average and relative impact of each independent predictor was used to derive a DEPARTS (Discharge of Elderly Patients After Recent Trauma to SNF/LTAC) score. We then validated the score using the area under the receiver-operating curve (AROC).\nRESULTS: Of 66 479 patients in the derivation set, 36 944 (55.6%) were discharged to a SNF/LTAC. Number of comorbidities, fall mechanism, spinal cord injury, long bone fracture, and major surgery were each independent predictors for discharge to SNF/LTAC, and a DEPARTS score was derived with scores ranging from 0 to 19. The AROC for this was .74. In the validation set, 66 477 patients also had a SNF/LTAC discharge rate of 55.7%, and the AROC was .74.\nDISCUSSION: The DEPARTS score is a good predictor of SNF/LTAC discharge for GTPs. Future prospective studies are warranted to validate its accuracy and clinical utility in preventing delays in discharge.","container-title":"The American Surgeon","DOI":"10.1177/00031348211029843","ISSN":"1555-9823","issue":"3","journalAbbreviation":"Am Surg","language":"eng","note":"PMID: 34240654","page":"447-451","source":"PubMed","title":"The DEPARTS Score: A Novel Tool for Predicting Discharge Disposition in Geriatric Trauma Patients","title-short":"The DEPARTS Score","volume":"89","author":[{"family":"Yeates","given":"Eric O."},{"family":"Grigorian","given":"Areg"},{"family":"Kuza","given":"Catherine M."},{"family":"Nguyen","given":"Ninh T."},{"family":"Inaba","given":"Kenji"},{"family":"Dolich","given":"Matthew"},{"family":"Nahmias","given":"Jeffry"}],"issued":{"date-parts":[["2023",3]]}}}],"schema":"https://github.com/citation-style-language/schema/raw/master/csl-citation.json"} </w:instrText>
      </w:r>
      <w:r>
        <w:rPr>
          <w:rFonts w:ascii="Times New Roman" w:hAnsi="Times New Roman" w:cs="Times New Roman"/>
        </w:rPr>
        <w:fldChar w:fldCharType="separate"/>
      </w:r>
      <w:r w:rsidRPr="00B04635">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t xml:space="preserve">, long-bone fracture (n=1) </w:t>
      </w:r>
      <w:r>
        <w:rPr>
          <w:rFonts w:ascii="Times New Roman" w:hAnsi="Times New Roman" w:cs="Times New Roman"/>
        </w:rPr>
        <w:fldChar w:fldCharType="begin"/>
      </w:r>
      <w:r>
        <w:rPr>
          <w:rFonts w:ascii="Times New Roman" w:hAnsi="Times New Roman" w:cs="Times New Roman"/>
        </w:rPr>
        <w:instrText xml:space="preserve"> ADDIN ZOTERO_ITEM CSL_CITATION {"citationID":"oDvPlO0b","properties":{"formattedCitation":"[52]","plainCitation":"[52]","noteIndex":0},"citationItems":[{"id":81831,"uris":["http://zotero.org/users/7655466/items/VVDVS6BM"],"itemData":{"id":81831,"type":"article-journal","abstract":"BACKGROUND: Geriatric trauma patients (GTPs) represent a high-risk population for needing post-acute care, such as skilled nursing facilities (SNFs) and long-term acute care hospitals (LTACs), due to a combination of traumatic injuries and baseline functional health. As there is currently no well-established tool for predicting these needs, we aimed to create a scoring tool that predicts disposition to SNFs/LTACs in GTPs.\nMETHODS: The adult 2017 Trauma Quality Improvement Program database was divided at random into two equal sized sets (derivation and validation sets) of GTPs &gt;65 years old. First, multiple logistic regression models were created to determine risk factors for discharge to a SNF/LTAC in admitted GTPs. Second, the weighted average and relative impact of each independent predictor was used to derive a DEPARTS (Discharge of Elderly Patients After Recent Trauma to SNF/LTAC) score. We then validated the score using the area under the receiver-operating curve (AROC).\nRESULTS: Of 66 479 patients in the derivation set, 36 944 (55.6%) were discharged to a SNF/LTAC. Number of comorbidities, fall mechanism, spinal cord injury, long bone fracture, and major surgery were each independent predictors for discharge to SNF/LTAC, and a DEPARTS score was derived with scores ranging from 0 to 19. The AROC for this was .74. In the validation set, 66 477 patients also had a SNF/LTAC discharge rate of 55.7%, and the AROC was .74.\nDISCUSSION: The DEPARTS score is a good predictor of SNF/LTAC discharge for GTPs. Future prospective studies are warranted to validate its accuracy and clinical utility in preventing delays in discharge.","container-title":"The American Surgeon","DOI":"10.1177/00031348211029843","ISSN":"1555-9823","issue":"3","journalAbbreviation":"Am Surg","language":"eng","note":"PMID: 34240654","page":"447-451","source":"PubMed","title":"The DEPARTS Score: A Novel Tool for Predicting Discharge Disposition in Geriatric Trauma Patients","title-short":"The DEPARTS Score","volume":"89","author":[{"family":"Yeates","given":"Eric O."},{"family":"Grigorian","given":"Areg"},{"family":"Kuza","given":"Catherine M."},{"family":"Nguyen","given":"Ninh T."},{"family":"Inaba","given":"Kenji"},{"family":"Dolich","given":"Matthew"},{"family":"Nahmias","given":"Jeffry"}],"issued":{"date-parts":[["2023",3]]}}}],"schema":"https://github.com/citation-style-language/schema/raw/master/csl-citation.json"} </w:instrText>
      </w:r>
      <w:r>
        <w:rPr>
          <w:rFonts w:ascii="Times New Roman" w:hAnsi="Times New Roman" w:cs="Times New Roman"/>
        </w:rPr>
        <w:fldChar w:fldCharType="separate"/>
      </w:r>
      <w:r w:rsidRPr="00B04635">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t xml:space="preserve">, major surgery (n=1) </w:t>
      </w:r>
      <w:r>
        <w:rPr>
          <w:rFonts w:ascii="Times New Roman" w:hAnsi="Times New Roman" w:cs="Times New Roman"/>
        </w:rPr>
        <w:fldChar w:fldCharType="begin"/>
      </w:r>
      <w:r>
        <w:rPr>
          <w:rFonts w:ascii="Times New Roman" w:hAnsi="Times New Roman" w:cs="Times New Roman"/>
        </w:rPr>
        <w:instrText xml:space="preserve"> ADDIN ZOTERO_ITEM CSL_CITATION {"citationID":"uiD5aUs9","properties":{"formattedCitation":"[52]","plainCitation":"[52]","noteIndex":0},"citationItems":[{"id":81831,"uris":["http://zotero.org/users/7655466/items/VVDVS6BM"],"itemData":{"id":81831,"type":"article-journal","abstract":"BACKGROUND: Geriatric trauma patients (GTPs) represent a high-risk population for needing post-acute care, such as skilled nursing facilities (SNFs) and long-term acute care hospitals (LTACs), due to a combination of traumatic injuries and baseline functional health. As there is currently no well-established tool for predicting these needs, we aimed to create a scoring tool that predicts disposition to SNFs/LTACs in GTPs.\nMETHODS: The adult 2017 Trauma Quality Improvement Program database was divided at random into two equal sized sets (derivation and validation sets) of GTPs &gt;65 years old. First, multiple logistic regression models were created to determine risk factors for discharge to a SNF/LTAC in admitted GTPs. Second, the weighted average and relative impact of each independent predictor was used to derive a DEPARTS (Discharge of Elderly Patients After Recent Trauma to SNF/LTAC) score. We then validated the score using the area under the receiver-operating curve (AROC).\nRESULTS: Of 66 479 patients in the derivation set, 36 944 (55.6%) were discharged to a SNF/LTAC. Number of comorbidities, fall mechanism, spinal cord injury, long bone fracture, and major surgery were each independent predictors for discharge to SNF/LTAC, and a DEPARTS score was derived with scores ranging from 0 to 19. The AROC for this was .74. In the validation set, 66 477 patients also had a SNF/LTAC discharge rate of 55.7%, and the AROC was .74.\nDISCUSSION: The DEPARTS score is a good predictor of SNF/LTAC discharge for GTPs. Future prospective studies are warranted to validate its accuracy and clinical utility in preventing delays in discharge.","container-title":"The American Surgeon","DOI":"10.1177/00031348211029843","ISSN":"1555-9823","issue":"3","journalAbbreviation":"Am Surg","language":"eng","note":"PMID: 34240654","page":"447-451","source":"PubMed","title":"The DEPARTS Score: A Novel Tool for Predicting Discharge Disposition in Geriatric Trauma Patients","title-short":"The DEPARTS Score","volume":"89","author":[{"family":"Yeates","given":"Eric O."},{"family":"Grigorian","given":"Areg"},{"family":"Kuza","given":"Catherine M."},{"family":"Nguyen","given":"Ninh T."},{"family":"Inaba","given":"Kenji"},{"family":"Dolich","given":"Matthew"},{"family":"Nahmias","given":"Jeffry"}],"issued":{"date-parts":[["2023",3]]}}}],"schema":"https://github.com/citation-style-language/schema/raw/master/csl-citation.json"} </w:instrText>
      </w:r>
      <w:r>
        <w:rPr>
          <w:rFonts w:ascii="Times New Roman" w:hAnsi="Times New Roman" w:cs="Times New Roman"/>
        </w:rPr>
        <w:fldChar w:fldCharType="separate"/>
      </w:r>
      <w:r w:rsidRPr="00B04635">
        <w:rPr>
          <w:rFonts w:ascii="Times New Roman" w:hAnsi="Times New Roman" w:cs="Times New Roman"/>
        </w:rPr>
        <w:t>[52]</w:t>
      </w:r>
      <w:r>
        <w:rPr>
          <w:rFonts w:ascii="Times New Roman" w:hAnsi="Times New Roman" w:cs="Times New Roman"/>
        </w:rPr>
        <w:fldChar w:fldCharType="end"/>
      </w:r>
      <w:r w:rsidRPr="00B04635">
        <w:rPr>
          <w:rFonts w:ascii="Times New Roman" w:hAnsi="Times New Roman" w:cs="Times New Roman"/>
          <w:color w:val="000000" w:themeColor="text1"/>
        </w:rPr>
        <w:t>,</w:t>
      </w:r>
      <w:r>
        <w:rPr>
          <w:rFonts w:ascii="Times New Roman" w:hAnsi="Times New Roman" w:cs="Times New Roman"/>
          <w:i/>
          <w:iCs/>
          <w:color w:val="EE0000"/>
        </w:rPr>
        <w:t xml:space="preserve"> </w:t>
      </w:r>
      <w:r w:rsidRPr="0013310D">
        <w:rPr>
          <w:rFonts w:ascii="Times New Roman" w:hAnsi="Times New Roman" w:cs="Times New Roman"/>
          <w:color w:val="000000" w:themeColor="text1"/>
        </w:rPr>
        <w:t>diabetes (n=1)</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ZOTERO_ITEM CSL_CITATION {"citationID":"bBuTNwqW","properties":{"formattedCitation":"[48]","plainCitation":"[48]","noteIndex":0},"citationItems":[{"id":81826,"uris":["http://zotero.org/users/7655466/items/BZ3SDPZE"],"itemData":{"id":81826,"type":"article-journal","abstract":"Objective:\nTo compare the sociodemographic, clinical, and hospital related factors associated with discharge of acute ischemic stroke (AIS) survivors to inpatient rehabilitation (IRF) and skilled nursing facility (SNF) rehabilitation services.\n\nDesign:\nRetrospective descriptive study from the Paul Coverdell National Acute Stroke Program (PCNASP) participating hospitals during 2016 to 2019.\n\nSetting:\n9 Participating states from PCNASP in United States.\n\nParticipants:\n130,988 patients with AIS from 569 hospitals (N=337,857).\n\nInterventions:\nNot applicable.\n\nMain Outcome Measure:\nDischarge to IRF and SNF.\n\nResults:\nPatients discharged to a SNF had longer length of hospital stay, more comorbidities, and higher modified Rankin scores compared with patients discharged to an IRF. Nine characteristics were associated with being less likely to be discharged to an IRF than an SNF: older age (85+ years old, adjusted odds ratio [AOR]=0.20 [confidence interval [CI]=0.18–0.21]), identifying as non-Hispanic Black (AOR=0.85 [CI=0.81–0.89]), identifying as Hispanic (AOR=0.80 [CI=0.74–0.87]), having Medicaid or Medicare (AOR=0.73 [CI=0.70–0.77]), being able to ambulate with assistance from another person (AOR=0.93 [CI=0.89–0.97]), being unable to ambulate (AOR=0.73 [CI=0.62–0.87]) and having comorbidities, prior stroke (AOR=0.69 [CI=0.66–0.73]), diabetes (AOR=0.85 [CI=0.82–0.88]), and myocardial infraction or coronary artery disease (AOR=0.94 [CI=0.90–0.97]). Four characteristics were associated with being more likely to be discharged to an IRF than an SNF: being a man (AOR=1.20 [CI=1.16–1.24]), and having a slight disability (Rankin Score 2) (AOR=1.41 [CI=1.29–1.54]), being at larger hospitals (200–399 beds: AOR=1.31 [CI=1.23–1.40]; 400+ beds: AOR=1.29 [CI=1.20–1.38]), and being at a hospital with stroke unit (AOR=1.12 [CI=1.07–1.17]).\n\nConclusion:\nThis study found differences in demographic, clinical, and hospital characteristics of AIS patients discharged for rehabilitation to an IRF vs SNF. The characteristics of patients receiving rehabilitation services may be helpful for researchers and hospitals making policies related to stroke discharge and practices that optimize patient outcomes. Populations experiencing inequities in access to rehabilitation services should be identified, and those who qualify for rehabilitation in IRF should receive this care in preference to rehabilitation in SNF.","container-title":"Archives of physical medicine and rehabilitation","DOI":"10.1016/j.apmr.2022.11.008","ISSN":"0003-9993","issue":"4","journalAbbreviation":"Arch Phys Med Rehabil","note":"PMID: 36521579\nPMCID: PMC11015737","page":"605-611","source":"PubMed Central","title":"A Comparison of Acute Ischemic Stroke Patients Discharged to Inpatient Rehabilitation vs a Skilled Nursing Facility: The Paul Coverdell National Acute Stroke Program","title-short":"A Comparison of Acute Ischemic Stroke Patients Discharged to Inpatient Rehabilitation vs a Skilled Nursing Facility","volume":"104","author":[{"family":"Pattath","given":"Priyadarshini"},{"family":"Odom","given":"Erika C."},{"family":"Tong","given":"Xin"},{"family":"Yin","given":"Xiaoping"},{"family":"Coleman King","given":"Sallyann M."}],"issued":{"date-parts":[["2023",4]]}}}],"schema":"https://github.com/citation-style-language/schema/raw/master/csl-citation.json"} </w:instrText>
      </w:r>
      <w:r>
        <w:rPr>
          <w:rFonts w:ascii="Times New Roman" w:hAnsi="Times New Roman" w:cs="Times New Roman"/>
          <w:color w:val="000000" w:themeColor="text1"/>
        </w:rPr>
        <w:fldChar w:fldCharType="separate"/>
      </w:r>
      <w:r w:rsidRPr="00D25BEC">
        <w:rPr>
          <w:rFonts w:ascii="Times New Roman" w:hAnsi="Times New Roman" w:cs="Times New Roman"/>
        </w:rPr>
        <w:t>[48]</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13310D">
        <w:rPr>
          <w:rFonts w:ascii="Times New Roman" w:hAnsi="Times New Roman" w:cs="Times New Roman"/>
          <w:color w:val="000000" w:themeColor="text1"/>
        </w:rPr>
        <w:t>myocardial infraction (n=1)</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ZOTERO_ITEM CSL_CITATION {"citationID":"U2ROoDnZ","properties":{"formattedCitation":"[48]","plainCitation":"[48]","noteIndex":0},"citationItems":[{"id":81826,"uris":["http://zotero.org/users/7655466/items/BZ3SDPZE"],"itemData":{"id":81826,"type":"article-journal","abstract":"Objective:\nTo compare the sociodemographic, clinical, and hospital related factors associated with discharge of acute ischemic stroke (AIS) survivors to inpatient rehabilitation (IRF) and skilled nursing facility (SNF) rehabilitation services.\n\nDesign:\nRetrospective descriptive study from the Paul Coverdell National Acute Stroke Program (PCNASP) participating hospitals during 2016 to 2019.\n\nSetting:\n9 Participating states from PCNASP in United States.\n\nParticipants:\n130,988 patients with AIS from 569 hospitals (N=337,857).\n\nInterventions:\nNot applicable.\n\nMain Outcome Measure:\nDischarge to IRF and SNF.\n\nResults:\nPatients discharged to a SNF had longer length of hospital stay, more comorbidities, and higher modified Rankin scores compared with patients discharged to an IRF. Nine characteristics were associated with being less likely to be discharged to an IRF than an SNF: older age (85+ years old, adjusted odds ratio [AOR]=0.20 [confidence interval [CI]=0.18–0.21]), identifying as non-Hispanic Black (AOR=0.85 [CI=0.81–0.89]), identifying as Hispanic (AOR=0.80 [CI=0.74–0.87]), having Medicaid or Medicare (AOR=0.73 [CI=0.70–0.77]), being able to ambulate with assistance from another person (AOR=0.93 [CI=0.89–0.97]), being unable to ambulate (AOR=0.73 [CI=0.62–0.87]) and having comorbidities, prior stroke (AOR=0.69 [CI=0.66–0.73]), diabetes (AOR=0.85 [CI=0.82–0.88]), and myocardial infraction or coronary artery disease (AOR=0.94 [CI=0.90–0.97]). Four characteristics were associated with being more likely to be discharged to an IRF than an SNF: being a man (AOR=1.20 [CI=1.16–1.24]), and having a slight disability (Rankin Score 2) (AOR=1.41 [CI=1.29–1.54]), being at larger hospitals (200–399 beds: AOR=1.31 [CI=1.23–1.40]; 400+ beds: AOR=1.29 [CI=1.20–1.38]), and being at a hospital with stroke unit (AOR=1.12 [CI=1.07–1.17]).\n\nConclusion:\nThis study found differences in demographic, clinical, and hospital characteristics of AIS patients discharged for rehabilitation to an IRF vs SNF. The characteristics of patients receiving rehabilitation services may be helpful for researchers and hospitals making policies related to stroke discharge and practices that optimize patient outcomes. Populations experiencing inequities in access to rehabilitation services should be identified, and those who qualify for rehabilitation in IRF should receive this care in preference to rehabilitation in SNF.","container-title":"Archives of physical medicine and rehabilitation","DOI":"10.1016/j.apmr.2022.11.008","ISSN":"0003-9993","issue":"4","journalAbbreviation":"Arch Phys Med Rehabil","note":"PMID: 36521579\nPMCID: PMC11015737","page":"605-611","source":"PubMed Central","title":"A Comparison of Acute Ischemic Stroke Patients Discharged to Inpatient Rehabilitation vs a Skilled Nursing Facility: The Paul Coverdell National Acute Stroke Program","title-short":"A Comparison of Acute Ischemic Stroke Patients Discharged to Inpatient Rehabilitation vs a Skilled Nursing Facility","volume":"104","author":[{"family":"Pattath","given":"Priyadarshini"},{"family":"Odom","given":"Erika C."},{"family":"Tong","given":"Xin"},{"family":"Yin","given":"Xiaoping"},{"family":"Coleman King","given":"Sallyann M."}],"issued":{"date-parts":[["2023",4]]}}}],"schema":"https://github.com/citation-style-language/schema/raw/master/csl-citation.json"} </w:instrText>
      </w:r>
      <w:r>
        <w:rPr>
          <w:rFonts w:ascii="Times New Roman" w:hAnsi="Times New Roman" w:cs="Times New Roman"/>
          <w:color w:val="000000" w:themeColor="text1"/>
        </w:rPr>
        <w:fldChar w:fldCharType="separate"/>
      </w:r>
      <w:r w:rsidRPr="00D25BEC">
        <w:rPr>
          <w:rFonts w:ascii="Times New Roman" w:hAnsi="Times New Roman" w:cs="Times New Roman"/>
        </w:rPr>
        <w:t>[48]</w:t>
      </w:r>
      <w:r>
        <w:rPr>
          <w:rFonts w:ascii="Times New Roman" w:hAnsi="Times New Roman" w:cs="Times New Roman"/>
          <w:color w:val="000000" w:themeColor="text1"/>
        </w:rPr>
        <w:fldChar w:fldCharType="end"/>
      </w:r>
      <w:r w:rsidRPr="00D25BEC">
        <w:rPr>
          <w:rFonts w:ascii="Times New Roman" w:hAnsi="Times New Roman" w:cs="Times New Roman"/>
          <w:color w:val="000000" w:themeColor="text1"/>
        </w:rPr>
        <w:t xml:space="preserve">, </w:t>
      </w:r>
      <w:r w:rsidRPr="0013310D">
        <w:rPr>
          <w:rFonts w:ascii="Times New Roman" w:hAnsi="Times New Roman" w:cs="Times New Roman"/>
          <w:color w:val="000000" w:themeColor="text1"/>
        </w:rPr>
        <w:t>prior stroke (n=1)</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ZOTERO_ITEM CSL_CITATION {"citationID":"qpjwCpyW","properties":{"formattedCitation":"[48]","plainCitation":"[48]","noteIndex":0},"citationItems":[{"id":81826,"uris":["http://zotero.org/users/7655466/items/BZ3SDPZE"],"itemData":{"id":81826,"type":"article-journal","abstract":"Objective:\nTo compare the sociodemographic, clinical, and hospital related factors associated with discharge of acute ischemic stroke (AIS) survivors to inpatient rehabilitation (IRF) and skilled nursing facility (SNF) rehabilitation services.\n\nDesign:\nRetrospective descriptive study from the Paul Coverdell National Acute Stroke Program (PCNASP) participating hospitals during 2016 to 2019.\n\nSetting:\n9 Participating states from PCNASP in United States.\n\nParticipants:\n130,988 patients with AIS from 569 hospitals (N=337,857).\n\nInterventions:\nNot applicable.\n\nMain Outcome Measure:\nDischarge to IRF and SNF.\n\nResults:\nPatients discharged to a SNF had longer length of hospital stay, more comorbidities, and higher modified Rankin scores compared with patients discharged to an IRF. Nine characteristics were associated with being less likely to be discharged to an IRF than an SNF: older age (85+ years old, adjusted odds ratio [AOR]=0.20 [confidence interval [CI]=0.18–0.21]), identifying as non-Hispanic Black (AOR=0.85 [CI=0.81–0.89]), identifying as Hispanic (AOR=0.80 [CI=0.74–0.87]), having Medicaid or Medicare (AOR=0.73 [CI=0.70–0.77]), being able to ambulate with assistance from another person (AOR=0.93 [CI=0.89–0.97]), being unable to ambulate (AOR=0.73 [CI=0.62–0.87]) and having comorbidities, prior stroke (AOR=0.69 [CI=0.66–0.73]), diabetes (AOR=0.85 [CI=0.82–0.88]), and myocardial infraction or coronary artery disease (AOR=0.94 [CI=0.90–0.97]). Four characteristics were associated with being more likely to be discharged to an IRF than an SNF: being a man (AOR=1.20 [CI=1.16–1.24]), and having a slight disability (Rankin Score 2) (AOR=1.41 [CI=1.29–1.54]), being at larger hospitals (200–399 beds: AOR=1.31 [CI=1.23–1.40]; 400+ beds: AOR=1.29 [CI=1.20–1.38]), and being at a hospital with stroke unit (AOR=1.12 [CI=1.07–1.17]).\n\nConclusion:\nThis study found differences in demographic, clinical, and hospital characteristics of AIS patients discharged for rehabilitation to an IRF vs SNF. The characteristics of patients receiving rehabilitation services may be helpful for researchers and hospitals making policies related to stroke discharge and practices that optimize patient outcomes. Populations experiencing inequities in access to rehabilitation services should be identified, and those who qualify for rehabilitation in IRF should receive this care in preference to rehabilitation in SNF.","container-title":"Archives of physical medicine and rehabilitation","DOI":"10.1016/j.apmr.2022.11.008","ISSN":"0003-9993","issue":"4","journalAbbreviation":"Arch Phys Med Rehabil","note":"PMID: 36521579\nPMCID: PMC11015737","page":"605-611","source":"PubMed Central","title":"A Comparison of Acute Ischemic Stroke Patients Discharged to Inpatient Rehabilitation vs a Skilled Nursing Facility: The Paul Coverdell National Acute Stroke Program","title-short":"A Comparison of Acute Ischemic Stroke Patients Discharged to Inpatient Rehabilitation vs a Skilled Nursing Facility","volume":"104","author":[{"family":"Pattath","given":"Priyadarshini"},{"family":"Odom","given":"Erika C."},{"family":"Tong","given":"Xin"},{"family":"Yin","given":"Xiaoping"},{"family":"Coleman King","given":"Sallyann M."}],"issued":{"date-parts":[["2023",4]]}}}],"schema":"https://github.com/citation-style-language/schema/raw/master/csl-citation.json"} </w:instrText>
      </w:r>
      <w:r>
        <w:rPr>
          <w:rFonts w:ascii="Times New Roman" w:hAnsi="Times New Roman" w:cs="Times New Roman"/>
          <w:color w:val="000000" w:themeColor="text1"/>
        </w:rPr>
        <w:fldChar w:fldCharType="separate"/>
      </w:r>
      <w:r w:rsidRPr="00D25BEC">
        <w:rPr>
          <w:rFonts w:ascii="Times New Roman" w:hAnsi="Times New Roman" w:cs="Times New Roman"/>
        </w:rPr>
        <w:t>[48]</w:t>
      </w:r>
      <w:r>
        <w:rPr>
          <w:rFonts w:ascii="Times New Roman" w:hAnsi="Times New Roman" w:cs="Times New Roman"/>
          <w:color w:val="000000" w:themeColor="text1"/>
        </w:rPr>
        <w:fldChar w:fldCharType="end"/>
      </w:r>
      <w:r>
        <w:rPr>
          <w:rFonts w:ascii="Times New Roman" w:hAnsi="Times New Roman" w:cs="Times New Roman"/>
          <w:color w:val="000000" w:themeColor="text1"/>
        </w:rPr>
        <w:t>, a</w:t>
      </w:r>
      <w:r w:rsidRPr="0013310D">
        <w:rPr>
          <w:rFonts w:ascii="Times New Roman" w:hAnsi="Times New Roman" w:cs="Times New Roman"/>
          <w:color w:val="000000" w:themeColor="text1"/>
        </w:rPr>
        <w:t xml:space="preserve">s well as </w:t>
      </w:r>
      <w:r>
        <w:rPr>
          <w:rFonts w:ascii="Times New Roman" w:hAnsi="Times New Roman" w:cs="Times New Roman"/>
          <w:color w:val="000000" w:themeColor="text1"/>
        </w:rPr>
        <w:t xml:space="preserve">high </w:t>
      </w:r>
      <w:r w:rsidRPr="0013310D">
        <w:rPr>
          <w:rFonts w:ascii="Times New Roman" w:hAnsi="Times New Roman" w:cs="Times New Roman"/>
          <w:color w:val="000000" w:themeColor="text1"/>
        </w:rPr>
        <w:t>multi-domain vulnerability</w:t>
      </w:r>
      <w:r>
        <w:rPr>
          <w:rFonts w:ascii="Times New Roman" w:hAnsi="Times New Roman" w:cs="Times New Roman"/>
          <w:color w:val="000000" w:themeColor="text1"/>
        </w:rPr>
        <w:t xml:space="preserve"> (n=1)</w:t>
      </w:r>
      <w:r w:rsidRPr="00B2796E">
        <w:rPr>
          <w:rFonts w:ascii="Times New Roman" w:hAnsi="Times New Roman" w:cs="Times New Roman"/>
          <w:i/>
          <w:iCs/>
          <w:color w:val="EE0000"/>
        </w:rPr>
        <w:t xml:space="preserve"> </w:t>
      </w:r>
      <w:r w:rsidRPr="00DF28C8">
        <w:rPr>
          <w:rFonts w:ascii="Times New Roman" w:hAnsi="Times New Roman" w:cs="Times New Roman"/>
          <w:color w:val="EE0000"/>
        </w:rPr>
        <w:fldChar w:fldCharType="begin"/>
      </w:r>
      <w:r w:rsidRPr="00DF28C8">
        <w:rPr>
          <w:rFonts w:ascii="Times New Roman" w:hAnsi="Times New Roman" w:cs="Times New Roman"/>
          <w:color w:val="EE0000"/>
        </w:rPr>
        <w:instrText xml:space="preserve"> ADDIN ZOTERO_ITEM CSL_CITATION {"citationID":"SxcGPZri","properties":{"formattedCitation":"[53]","plainCitation":"[53]","noteIndex":0},"citationItems":[{"id":81833,"uris":["http://zotero.org/users/7655466/items/2Z4PJVIC"],"itemData":{"id":81833,"type":"article-journal","abstract":"PURPOSE: Geriatric rehabilitation is intended for older adults with vulnerability, comorbidity, and acute functional impairments. To explore and evaluate referral criteria, this study followed hospital patients referred for rehabilitation in nursing homes.\nDESIGN: Exploratory, retrospective cohort study.\nMETHODS: Participants were community living before acute hospitalization and referred for geriatric rehabilitation between January 15 and May 15, 2019. Data were collected at hospital admission, hospital discharge, and discharge from rehabilitation-oriented care. Outcome measure was the final discharge destination.\nRESULTS: Out of 87 hospital patients referred for rehabilitation (mean age = 76.3 years, SD = 10.7), 73 received rehabilitation-oriented post-acute care and 60 (82.2%) returned home after rehabilitation. Premorbid functional status was regained by 45 (61.6%) participants and mobility by 40 (54.8%). Independent baseline mobility, no complications during post-acute care, fewer cognitive symptoms, and multidomain vulnerability were associated with discharge destination after rehabilitation.\nCLINICAL RELEVANCE TO REHABILITATION NURSING: A multidomain assessment can make vulnerability applicable in referral decisions and induce tailored individual rehabilitation programs.\nCONCLUSION: This study explored the case-mix characteristics of hospital patients following rehabilitation trajectories. No frailty measures were available; vulnerability was refined into physical, cognitive, and social components. Careful assessment of vulnerability can support personalized referral decision-making.","container-title":"Rehabilitation Nursing: The Official Journal of the Association of Rehabilitation Nurses","DOI":"10.1097/RNJ.0000000000000489","ISSN":"2048-7940","issue":"2","journalAbbreviation":"Rehabil Nurs","language":"eng","note":"PMID: 40001272","page":"66-77","source":"PubMed","title":"Referral to Geriatric Rehabilitation in the Netherlands, an Exploratory Study of Patient Characteristics","volume":"50","author":[{"family":"Groot","given":"Aafke J.","non-dropping-particle":"de"},{"family":"Wattel","given":"Elizabeth M."},{"family":"Balen","given":"Romke","non-dropping-particle":"van"},{"family":"Hertogh","given":"Cees M. P. M."},{"family":"Wouden","given":"Johannes C.","non-dropping-particle":"van der"}],"issued":{"date-parts":[["2025",5,1]]}}}],"schema":"https://github.com/citation-style-language/schema/raw/master/csl-citation.json"} </w:instrText>
      </w:r>
      <w:r w:rsidRPr="00DF28C8">
        <w:rPr>
          <w:rFonts w:ascii="Times New Roman" w:hAnsi="Times New Roman" w:cs="Times New Roman"/>
          <w:color w:val="EE0000"/>
        </w:rPr>
        <w:fldChar w:fldCharType="separate"/>
      </w:r>
      <w:r w:rsidRPr="00DF28C8">
        <w:rPr>
          <w:rFonts w:ascii="Times New Roman" w:hAnsi="Times New Roman" w:cs="Times New Roman"/>
        </w:rPr>
        <w:t>[53]</w:t>
      </w:r>
      <w:r w:rsidRPr="00DF28C8">
        <w:rPr>
          <w:rFonts w:ascii="Times New Roman" w:hAnsi="Times New Roman" w:cs="Times New Roman"/>
          <w:color w:val="EE0000"/>
        </w:rPr>
        <w:fldChar w:fldCharType="end"/>
      </w:r>
      <w:r w:rsidRPr="00DF28C8">
        <w:rPr>
          <w:rFonts w:ascii="Times New Roman" w:hAnsi="Times New Roman" w:cs="Times New Roman"/>
          <w:color w:val="000000" w:themeColor="text1"/>
        </w:rPr>
        <w:t xml:space="preserve"> and</w:t>
      </w:r>
      <w:r w:rsidRPr="0013310D">
        <w:rPr>
          <w:rFonts w:ascii="Times New Roman" w:hAnsi="Times New Roman" w:cs="Times New Roman"/>
          <w:color w:val="000000" w:themeColor="text1"/>
        </w:rPr>
        <w:t xml:space="preserve"> other complications</w:t>
      </w:r>
      <w:r>
        <w:rPr>
          <w:rFonts w:ascii="Times New Roman" w:hAnsi="Times New Roman" w:cs="Times New Roman"/>
          <w:color w:val="000000" w:themeColor="text1"/>
        </w:rPr>
        <w:t>,</w:t>
      </w:r>
      <w:r w:rsidRPr="0013310D">
        <w:rPr>
          <w:rFonts w:ascii="Times New Roman" w:hAnsi="Times New Roman" w:cs="Times New Roman"/>
          <w:i/>
          <w:iCs/>
          <w:color w:val="000000" w:themeColor="text1"/>
        </w:rPr>
        <w:t xml:space="preserve"> </w:t>
      </w:r>
      <w:r>
        <w:rPr>
          <w:rFonts w:ascii="Times New Roman" w:hAnsi="Times New Roman" w:cs="Times New Roman"/>
        </w:rPr>
        <w:t>all</w:t>
      </w:r>
      <w:r w:rsidRPr="00ED5246">
        <w:rPr>
          <w:rFonts w:ascii="Times New Roman" w:hAnsi="Times New Roman" w:cs="Times New Roman"/>
        </w:rPr>
        <w:t xml:space="preserve"> increased these transitions.</w:t>
      </w:r>
    </w:p>
    <w:p w14:paraId="360E8A58" w14:textId="77777777" w:rsidR="004579D2" w:rsidRPr="00ED5246" w:rsidRDefault="004579D2" w:rsidP="004579D2">
      <w:pPr>
        <w:spacing w:after="0" w:line="480" w:lineRule="auto"/>
        <w:jc w:val="both"/>
        <w:rPr>
          <w:rFonts w:ascii="Times New Roman" w:hAnsi="Times New Roman" w:cs="Times New Roman"/>
        </w:rPr>
      </w:pPr>
      <w:r w:rsidRPr="00ED5246">
        <w:rPr>
          <w:rFonts w:ascii="Times New Roman" w:hAnsi="Times New Roman" w:cs="Times New Roman"/>
          <w:b/>
          <w:bCs/>
        </w:rPr>
        <w:t xml:space="preserve">Healthcare system. </w:t>
      </w:r>
      <w:bookmarkStart w:id="14" w:name="_Hlk184142020"/>
      <w:r w:rsidRPr="00ED5246">
        <w:rPr>
          <w:rFonts w:ascii="Times New Roman" w:hAnsi="Times New Roman" w:cs="Times New Roman"/>
        </w:rPr>
        <w:t xml:space="preserve">Specific surgical procedures were associated with an increased likelihood of CCC transitions, including intramedullary implant procedures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{"citationID":"oALHEkyf","properties":{"formattedCitation":"[6]","plainCitation":"[6]","noteIndex":0},"citationItems":[{"id":39955,"uris":["http://zotero.org/groups/5108666/items/2CBAJKM4"],"itemData":{"id":39955,"type":"article-journal","abstract":"OBJECTIVE: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[6]</w:t>
      </w:r>
      <w:r w:rsidRPr="00ED5246">
        <w:rPr>
          <w:rFonts w:ascii="Times New Roman" w:hAnsi="Times New Roman" w:cs="Times New Roman"/>
        </w:rPr>
        <w:fldChar w:fldCharType="end"/>
      </w:r>
      <w:r w:rsidRPr="00ED5246">
        <w:rPr>
          <w:rFonts w:ascii="Times New Roman" w:hAnsi="Times New Roman" w:cs="Times New Roman"/>
        </w:rPr>
        <w:t xml:space="preserve">, abdominal hysterectomy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{"citationID":"kquDBshz","properties":{"formattedCitation":"[9]","plainCitation":"[9]","noteIndex":0},"citationItems":[{"id":68054,"uris":["http://zotero.org/groups/5108666/items/X4U2WQZC"],"itemData":{"id":68054,"type":"article-journal","abstract":"IMPORTANCE: Discharge to home after surgery has been recognized as a determinant of long-term survival and is a common concern in the elderly population.\nOBJECTIVE: The aim of the study was to determine the incidence and risk factors for nonhome discharge in patients undergoing major surgery for pelvic organ prolapse.\nSTUDY DESIGN: We performed a retrospective cohort study using the American College of Surgeons National Surgical Quality Improvement Program Database from 2010 to 2018. We included patients who underwent sacrocolpopexy, vaginal colpopexy, and colpocleisis. We compared perioperative characteristics in patients who were discharged home versus those who were discharged to a nonhome location. Stepwise backward multivariate logistic regression was then used to control for confounding variables and identify independent predictors of nonhome discharge.\nRESULTS: A total of 38,012 patients were included in this study, 209 of whom experienced nonhome discharge (0.5%). Independent predictors of nonhome discharge included preoperative weight loss (adjusted odds ratio [aOR], 5.9; 95% confidence interval [CI], 1.3-27.5), dependent health care status (aOR, 5.0; 95% CI, 2.6-9.5), abdominal hysterectomy (aOR, 2.3; 95% CI, 1.4-3.7), American Society of Anesthesiologists class 3 or greater (aOR, 2.0; 95% CI, 1.5-2.7), age (aOR, 1.1; 95% CI, 1.05-1.09), operative time (aOR, 1.005; 95% CI, 1.003-1.006), laparoscopic hysterectomy (aOR, 0.6; 95% CI, 0.4-1.0), and laparoscopic sacrocolpopexy (aOR, 0.5; 95% CI, 0.3-0.8).\nCONCLUSIONS: In patients undergoing surgery for pelvic organ prolapse, nonhome discharge is associated with various indicators of frailty, including age, health care dependence, and certain comorbidities. An open surgical approach increases the risk of nonhome discharge, while a laparoscopic approach is associated with lower risk.","container-title":"Urogynecology (Philadelphia, Pa.)","DOI":"10.1097/SPV.0000000000001347","ISSN":"2771-1897","journalAbbreviation":"Urogynecology (Phila)","language":"eng","note":"PMID: 36946906","source":"PubMed","title":"Nonhome Discharge in Patients Undergoing Pelvic Reconstructive Surgery: A National Analysis","title-short":"Nonhome Discharge in Patients Undergoing Pelvic Reconstructive Surgery","author":[{"family":"Ross","given":"James H."},{"family":"Wood","given":"Nicole"},{"family":"Simmons","given":"Adrienne"},{"family":"Lua-Mailland","given":"Lannah L."},{"family":"Wallace","given":"Shannon L."},{"family":"Chapman","given":"Graham C."}],"issued":{"date-parts":[["2023",3,9]]}}}],"schema":"https://github.com/citation-style-language/schema/raw/master/csl-citation.json"}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[9]</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r w:rsidRPr="00ED5246">
        <w:rPr>
          <w:rFonts w:ascii="Times New Roman" w:hAnsi="Times New Roman" w:cs="Times New Roman"/>
        </w:rPr>
        <w:t xml:space="preserve">non-transfemoral </w:t>
      </w:r>
      <w:r>
        <w:rPr>
          <w:rFonts w:ascii="Times New Roman" w:hAnsi="Times New Roman" w:cs="Times New Roman"/>
        </w:rPr>
        <w:t xml:space="preserve">cardiac </w:t>
      </w:r>
      <w:r w:rsidRPr="00ED5246">
        <w:rPr>
          <w:rFonts w:ascii="Times New Roman" w:hAnsi="Times New Roman" w:cs="Times New Roman"/>
        </w:rPr>
        <w:t xml:space="preserve">approaches(n=1)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{"citationID":"OhdqugOt","properties":{"formattedCitation":"[10]","plainCitation":"[10]","noteIndex":0},"citationItems":[{"id":37590,"uris":["http://zotero.org/groups/5108666/items/RNYD7TU4"],"itemData":{"id":37590,"type":"article-journal","abstract":"Background Patients undergoing transcatheter aortic valve replacement (TAVR) are likely to be discharged to a location other than home. We aimed to determine the association between preoperative risk factors and non-home discharge after TAVR. Methods Patients discharged alive after TAVR at three centers were identified from a prospectively maintained database randomly divided into 80% derivation and 20% validation cohorts. Logistic regression models were fit to identify preoperative factors associated with non-home discharge in the derivation cohort. Multivariable models were developed and a nomogram based risk-scoring system was developed for use in preoperative counseling. Results Between June 2012 and December 2018, a total of 1,163 patients had TAVR at three centers. Thirty-seven patients who died before discharge were excluded. Of the remaining 1,126 patients (97%) who were discharged alive, the incidence of non-home discharge was 25.6% (n = 289). The patient population was randomly divided into the 80% (n = 900) derivation cohort and 20% (n = 226) validation cohort. Mean +/- SD age of the study population was 83 +/- 8 years. In multivariable analysis, factors that were significantly associated with non-home discharge were extreme age, female sex, higher STS scores, use of general anesthesia, elective procedures, chronic liver disease, non-transfemoral approach and postoperative complications. The unbiased estimate of the C-index was 0.81 and the model had excellent calibration. Conclusions One out of every four patients undergoing TAVR is discharged to a location other than home. Identification of preoperative factors associated with non-home discharge can assist patient counseling and postoperative disposition planning.Copyright © 2020 JGC All rights reserved; www.jgc301.com","archive":"Embase","container-title":"Journal of Geriatric Cardiology","DOI":"10.11909/j.issn.1671-5411.2020.10.002","ISSN":"1671-5411","issue":"10","journalAbbreviation":"J. Geriatr. Cardiol.","language":"English","page":"621-627","title":"Risk scoring model for prediction of non-home discharge after transcatheter aortic valve replacement","volume":"17","author":[{"literal":"Okoh A.K."},{"literal":"Ozturk E."},{"literal":"Gold J."},{"literal":"Siddiqui E."},{"literal":"Dhaduk N."},{"literal":"Haik B."},{"literal":"Chen C.-G."},{"literal":"Cohen M."},{"literal":"Russo M.J."}],"issued":{"date-parts":[["2020"]]}}}],"schema":"https://github.com/citation-style-language/schema/raw/master/csl-citation.json"}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[10]</w:t>
      </w:r>
      <w:r w:rsidRPr="00ED5246">
        <w:rPr>
          <w:rFonts w:ascii="Times New Roman" w:hAnsi="Times New Roman" w:cs="Times New Roman"/>
        </w:rPr>
        <w:fldChar w:fldCharType="end"/>
      </w:r>
      <w:r>
        <w:rPr>
          <w:rFonts w:ascii="Times New Roman" w:hAnsi="Times New Roman" w:cs="Times New Roman"/>
        </w:rPr>
        <w:t xml:space="preserve">, and trauma-related major surgery (n=1) </w:t>
      </w:r>
      <w:r>
        <w:rPr>
          <w:rFonts w:ascii="Times New Roman" w:hAnsi="Times New Roman" w:cs="Times New Roman"/>
        </w:rPr>
        <w:fldChar w:fldCharType="begin"/>
      </w:r>
      <w:r>
        <w:rPr>
          <w:rFonts w:ascii="Times New Roman" w:hAnsi="Times New Roman" w:cs="Times New Roman"/>
        </w:rPr>
        <w:instrText xml:space="preserve"> ADDIN ZOTERO_ITEM CSL_CITATION {"citationID":"8cN3Wmn9","properties":{"formattedCitation":"[52]","plainCitation":"[52]","noteIndex":0},"citationItems":[{"id":81831,"uris":["http://zotero.org/users/7655466/items/VVDVS6BM"],"itemData":{"id":81831,"type":"article-journal","abstract":"BACKGROUND: Geriatric trauma patients (GTPs) represent a high-risk population for needing post-acute care, such as skilled nursing facilities (SNFs) and long-term acute care hospitals (LTACs), due to a combination of traumatic injuries and baseline functional health. As there is currently no well-established tool for predicting these needs, we aimed to create a scoring tool that predicts disposition to SNFs/LTACs in GTPs.\nMETHODS: The adult 2017 Trauma Quality Improvement Program database was divided at random into two equal sized sets (derivation and validation sets) of GTPs &gt;65 years old. First, multiple logistic regression models were created to determine risk factors for discharge to a SNF/LTAC in admitted GTPs. Second, the weighted average and relative impact of each independent predictor was used to derive a DEPARTS (Discharge of Elderly Patients After Recent Trauma to SNF/LTAC) score. We then validated the score using the area under the receiver-operating curve (AROC).\nRESULTS: Of 66 479 patients in the derivation set, 36 944 (55.6%) were discharged to a SNF/LTAC. Number of comorbidities, fall mechanism, spinal cord injury, long bone fracture, and major surgery were each independent predictors for discharge to SNF/LTAC, and a DEPARTS score was derived with scores ranging from 0 to 19. The AROC for this was .74. In the validation set, 66 477 patients also had a SNF/LTAC discharge rate of 55.7%, and the AROC was .74.\nDISCUSSION: The DEPARTS score is a good predictor of SNF/LTAC discharge for GTPs. Future prospective studies are warranted to validate its accuracy and clinical utility in preventing delays in discharge.","container-title":"The American Surgeon","DOI":"10.1177/00031348211029843","ISSN":"1555-9823","issue":"3","journalAbbreviation":"Am Surg","language":"eng","note":"PMID: 34240654","page":"447-451","source":"PubMed","title":"The DEPARTS Score: A Novel Tool for Predicting Discharge Disposition in Geriatric Trauma Patients","title-short":"The DEPARTS Score","volume":"89","author":[{"family":"Yeates","given":"Eric O."},{"family":"Grigorian","given":"Areg"},{"family":"Kuza","given":"Catherine M."},{"family":"Nguyen","given":"Ninh T."},{"family":"Inaba","given":"Kenji"},{"family":"Dolich","given":"Matthew"},{"family":"Nahmias","given":"Jeffry"}],"issued":{"date-parts":[["2023",3]]}}}],"schema":"https://github.com/citation-style-language/schema/raw/master/csl-citation.json"} </w:instrText>
      </w:r>
      <w:r>
        <w:rPr>
          <w:rFonts w:ascii="Times New Roman" w:hAnsi="Times New Roman" w:cs="Times New Roman"/>
        </w:rPr>
        <w:fldChar w:fldCharType="separate"/>
      </w:r>
      <w:r w:rsidRPr="00B04635">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t>.</w:t>
      </w:r>
      <w:r w:rsidRPr="00ED5246">
        <w:rPr>
          <w:rFonts w:ascii="Times New Roman" w:hAnsi="Times New Roman" w:cs="Times New Roman"/>
        </w:rPr>
        <w:t xml:space="preserve"> Other medical treatments linked to increased CCC placement included electrocardiography and respiratory treatments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{"citationID":"UJ7vtciM","properties":{"formattedCitation":"[4]","plainCitation":"[4]","noteIndex":0},"citationItems":[{"id":39310,"uris":["http://zotero.org/groups/5108666/items/DKV78FLY"],"itemData":{"id":39310,"type":"article-journal","abstract":"In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[4]</w:t>
      </w:r>
      <w:r w:rsidRPr="00ED5246">
        <w:rPr>
          <w:rFonts w:ascii="Times New Roman" w:hAnsi="Times New Roman" w:cs="Times New Roman"/>
        </w:rPr>
        <w:fldChar w:fldCharType="end"/>
      </w:r>
      <w:r w:rsidRPr="00ED5246">
        <w:rPr>
          <w:rFonts w:ascii="Times New Roman" w:hAnsi="Times New Roman" w:cs="Times New Roman"/>
        </w:rPr>
        <w:t xml:space="preserve"> and the use of general anesthesia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{"citationID":"uINV7u7a","properties":{"formattedCitation":"[6]","plainCitation":"[6]","noteIndex":0},"citationItems":[{"id":39955,"uris":["http://zotero.org/groups/5108666/items/2CBAJKM4"],"itemData":{"id":39955,"type":"article-journal","abstract":"OBJECTIVE: To investigate early predictors for discharge to a geriatric rehabilitation department at a skilled nursing home in older patients after hospitalization for hip fracture surgery., DESIGN: Retrospective cohort study., SETTING AND PARTICIPANTS: Data from 21,176 patients with hip fracture aged &gt;=70 years, who were registered in the Dutch Hip Fracture Audit database between January 1, 2017, and December 31, 2019, were included., METHODS: Patients were categorized into 3 discharge groups: home (n=7326), rehabilitation (n=11,738), and nursing home (n=2112). Age, gender, Pre-Fracture Mobility Score (PFMS), premorbid Katz index of independence in Activities of Daily Living (Katz-ADL), history of dementia, American Society of Anesthesiologists physical status classification (ASA score), type of anesthesia, fracture type, surgical treatment, and cotreatment by a geriatrician were gathered. Multinomial regression analysis was used to assess for early predictors., RESULTS: Higher age, poor premorbid mobility, lower premorbid Katz-ADL, no history of dementia, ASA score 3-5, general anesthesia, intramedullary implant, and cotreatment by a geriatrician were independent predictors for discharge to geriatric rehabilitation vs discharge home. Identical predictors were found for discharge to a nursing home vs discharge home. History of dementia and premorbid Katz-ADL were distinguishing factors; a higher premorbid Katz-ADL and a history of dementia were associated with a higher risk of discharge to a nursing home vs discharge home. The multinomial regression model correctly predicted 86%, 38.6%, and 2.4% of the patients in the rehabilitation group, home group, and nursing home group, respectively., CONCLUSIONS AND IMPLICATIONS: This study showed that age, PFMS, premorbid Katz-ADL, surgical treatment, ASA score, type of anesthesia, history of dementia, and cotreatment by a geriatrician were independent early predictors for discharge to geriatric rehabilitation vs discharge home in older patients after hip fracture surgery. Identical predictors were found as predictors for discharge to a nursing home vs discharge home, except for history of dementia and premorbid Katz-ADL. Copyright © 2021 The Authors. Published by Elsevier Inc. All rights reserved.","archive":"Ovid MEDLINE(R) &lt;2021&gt;","container-title":"Journal of the American Medical Directors Association","DOI":"10.1016/j.jamda.2021.03.026","ISSN":"1538-9375","issue":"12","journalAbbreviation":"J AM MED DIR ASSOC","page":"2454-2460","title":"Early Predictors for Discharge to Geriatric Rehabilitation after Hip Fracture Treatment of Older Patients.","volume":"22","author":[{"family":"Dartel","given":"Dieuwke","non-dropping-particle":"van"},{"family":"Vermeer","given":"Marloes"},{"family":"Folbert","given":"Ellis C"},{"family":"Arends","given":"Arend J"},{"family":"Vollenbroek-Hutten","given":"Miriam M R"},{"family":"Hegeman","given":"Johannes H"}],"editor":[{"family":"Arends AJ","given":"Blom BJ","suffix":"Calf AH, van Eijk M, Heetveld MJ, Hegeman JH, van Heijl M, Luyten MC, Schutte BG, Slee-Valentijn MS, Voeten SC, Wurdemann FS"},{"literal":"Dutch Hip Fracture Audit (DHFA) Group"}],"issued":{"date-parts":[["2021"]]}}}],"schema":"https://github.com/citation-style-language/schema/raw/master/csl-citation.json"}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[6]</w:t>
      </w:r>
      <w:r w:rsidRPr="00ED5246">
        <w:rPr>
          <w:rFonts w:ascii="Times New Roman" w:hAnsi="Times New Roman" w:cs="Times New Roman"/>
        </w:rPr>
        <w:fldChar w:fldCharType="end"/>
      </w:r>
      <w:r w:rsidRPr="00ED5246">
        <w:rPr>
          <w:rFonts w:ascii="Times New Roman" w:hAnsi="Times New Roman" w:cs="Times New Roman"/>
        </w:rPr>
        <w:t>.</w:t>
      </w:r>
    </w:p>
    <w:p w14:paraId="66DE2FDA" w14:textId="279D20B2" w:rsidR="004579D2" w:rsidRPr="00ED5246" w:rsidRDefault="004579D2" w:rsidP="00A04BF9">
      <w:pPr>
        <w:spacing w:after="0" w:line="480" w:lineRule="auto"/>
        <w:jc w:val="both"/>
        <w:rPr>
          <w:rFonts w:ascii="Times New Roman" w:hAnsi="Times New Roman" w:cs="Times New Roman"/>
        </w:rPr>
      </w:pPr>
      <w:bookmarkStart w:id="15" w:name="_Hlk184142615"/>
      <w:bookmarkEnd w:id="14"/>
      <w:r w:rsidRPr="00033286">
        <w:rPr>
          <w:rFonts w:ascii="Times New Roman" w:hAnsi="Times New Roman" w:cs="Times New Roman"/>
        </w:rPr>
        <w:t>Hospital operational efficiency was minimally investigated in relation to CCC transitions</w:t>
      </w:r>
      <w:r>
        <w:rPr>
          <w:rFonts w:ascii="Times New Roman" w:hAnsi="Times New Roman" w:cs="Times New Roman"/>
        </w:rPr>
        <w:t>, with a</w:t>
      </w:r>
      <w:r w:rsidRPr="00033286">
        <w:rPr>
          <w:rFonts w:ascii="Times New Roman" w:hAnsi="Times New Roman" w:cs="Times New Roman"/>
        </w:rPr>
        <w:t xml:space="preserve"> patient-to-nurse ratio of 7:1 </w:t>
      </w:r>
      <w:r>
        <w:rPr>
          <w:rFonts w:ascii="Times New Roman" w:hAnsi="Times New Roman" w:cs="Times New Roman"/>
        </w:rPr>
        <w:t xml:space="preserve">(n=1) </w:t>
      </w:r>
      <w:r>
        <w:rPr>
          <w:rFonts w:ascii="Times New Roman" w:hAnsi="Times New Roman" w:cs="Times New Roman"/>
        </w:rPr>
        <w:fldChar w:fldCharType="begin"/>
      </w:r>
      <w:r>
        <w:rPr>
          <w:rFonts w:ascii="Times New Roman" w:hAnsi="Times New Roman" w:cs="Times New Roman"/>
        </w:rPr>
        <w:instrText xml:space="preserve"> ADDIN ZOTERO_ITEM CSL_CITATION {"citationID":"Be1lR61v","properties":{"formattedCitation":"[4]","plainCitation":"[4]","noteIndex":0},"citationItems":[{"id":39310,"uris":["http://zotero.org/groups/5108666/items/DKV78FLY"],"itemData":{"id":39310,"type":"article-journal","abstract":"In Japan, the length of stay in acute care hospitals has been shortened, home medical care has been promoted following national policy. However, many issues remain in promoting home medical care. The aim of this study was to clarify the profiles of patients with hip fractures, aged &gt;= 65 years, who were hospitalized in acute care institutions at the time of discharge and the influence on nonhome discharge. This study used data from patients who satisfied all the following conditions: Patients aged &gt;= 65 years who were hospitalized and discharged between April 2018 and March 2019; Patients with hip fractures, and; Patients who were admitted from home. The patients were classified into the home discharge and nonhome discharge groups. Multivariate analysis was conducted by comparing socio-demographic status, patient background factors, patient status at discharge, and hospital function. This study included 31,752 patients (73.7%) and 11,312 patients (26.3%) in the nonhome discharge group and home discharge group, respectively. Overall, the proportions of males and females were 22.2% and 77.8%, respectively. The average (standard deviation) age of the patients was 84.1 years (7.4) and 81.3 years (8.5) in the nonhome discharge and home discharge groups, respectively (P &lt; .01). The following factors affected nonhome discharge: 75 to 84 years (odds ratio [OR] = 1.81, 95% confidence interval [CI] = 1.68-1.96), &gt;=85 years (OR = 2.17, 95% CI = 2.01-2.36), electrocardiography or respiratory treatment \"(Factor A3) (OR = 1.44, 95% CI = 1.23-1.68), level of assistance with activities of daily living \"(Factor B1)\" (OR = 4.56, 95% CI = 4.22-4.92), and hospital where the patient-to-nurse ratio is 7:1 (OR = 2.12, 95% CI = 1.91-2.35). The results suggested that support from activities of daily living caregivers and implementing medical treatments such as respiratory care are required to advance home medical care. This study's method enables analysis focusing on aspiration pneumonia and cerebral infarction, which are common among older adults. Furthermore, specific measures for promoting home medical care for patients who are highly dependent on medical and long-term care may be developed. Copyright © 2023 the Author(s). Published by Wolters Kluwer Health, Inc.","archive":"Ovid MEDLINE(R) Daily Update","container-title":"Medicine","DOI":"10.1097/MD.0000000000033138","ISSN":"1536-5964","issue":"9","journalAbbreviation":"Medicine (Baltimore)","page":"e33138","title":"Factors associated with non-home discharge of patients hospitalized for hip fracture: A nationwide retrospective study using the Japanese diagnostic procedure combination database.","volume":"102","author":[{"family":"Moriwaki","given":"Mutsuko"},{"family":"Hayashida","given":"Kenshi"},{"family":"Ogata","given":"Yasuko"}],"issued":{"date-parts":[["2023"]]}}}],"schema":"https://github.com/citation-style-language/schema/raw/master/csl-citation.json"} </w:instrText>
      </w:r>
      <w:r>
        <w:rPr>
          <w:rFonts w:ascii="Times New Roman" w:hAnsi="Times New Roman" w:cs="Times New Roman"/>
        </w:rPr>
        <w:fldChar w:fldCharType="separate"/>
      </w:r>
      <w:r w:rsidRPr="002A098C">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t xml:space="preserve"> identified as a factor</w:t>
      </w:r>
      <w:r w:rsidRPr="00033286">
        <w:rPr>
          <w:rFonts w:ascii="Times New Roman" w:hAnsi="Times New Roman" w:cs="Times New Roman"/>
        </w:rPr>
        <w:t xml:space="preserve"> </w:t>
      </w:r>
      <w:r>
        <w:rPr>
          <w:rFonts w:ascii="Times New Roman" w:hAnsi="Times New Roman" w:cs="Times New Roman"/>
        </w:rPr>
        <w:t>increasing</w:t>
      </w:r>
      <w:r w:rsidRPr="00033286">
        <w:rPr>
          <w:rFonts w:ascii="Times New Roman" w:hAnsi="Times New Roman" w:cs="Times New Roman"/>
        </w:rPr>
        <w:t xml:space="preserve"> </w:t>
      </w:r>
      <w:r>
        <w:rPr>
          <w:rFonts w:ascii="Times New Roman" w:hAnsi="Times New Roman" w:cs="Times New Roman"/>
        </w:rPr>
        <w:t>these transitions</w:t>
      </w:r>
      <w:r w:rsidRPr="00ED5246">
        <w:rPr>
          <w:rFonts w:ascii="Times New Roman" w:hAnsi="Times New Roman" w:cs="Times New Roman"/>
        </w:rPr>
        <w:t xml:space="preserve">. </w:t>
      </w:r>
      <w:bookmarkEnd w:id="15"/>
      <w:r w:rsidRPr="00ED5246">
        <w:rPr>
          <w:rFonts w:ascii="Times New Roman" w:eastAsia="Aptos" w:hAnsi="Times New Roman" w:cs="Times New Roman"/>
        </w:rPr>
        <w:t>Finally</w:t>
      </w:r>
      <w:r w:rsidRPr="00ED5246">
        <w:rPr>
          <w:rFonts w:ascii="Times New Roman" w:hAnsi="Times New Roman" w:cs="Times New Roman"/>
        </w:rPr>
        <w:t xml:space="preserve">, access to services was examined in systematic reviews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{"citationID":"hxfmiq47","properties":{"formattedCitation":"[34,50]","plainCitation":"[34,50]","noteIndex":0},"citationItems":[{"id":1532,"uris":["http://zotero.org/users/7655466/items/NYWMK3NE"],"itemData":{"id":1532,"type":"article-journal","abstract":"Some patients admitted to acute care hospital require supportive services after discharge. The objective of our review was to identify models and variables that predict the need for supportive services after discharge from acute care hospital.","container-title":"BMC Health Services Research","DOI":"10.1186/s12913-020-4972-6","ISSN":"1472-6963","issue":"1","journalAbbreviation":"BMC Health Services Research","page":"161","source":"BioMed Central","title":"Predicting the need for supportive services after discharged from hospital: a systematic review","title-short":"Predicting the need for supportive services after discharged from hospital","volume":"20","author":[{"family":"Kobewka","given":"Daniel M."},{"family":"Mulpuru","given":"Sunita"},{"family":"Chassé","given":"Michaël"},{"family":"Thavorn","given":"Kednapa"},{"family":"Lavallée","given":"Luke T."},{"family":"English","given":"Shane W."},{"family":"Neilipovitz","given":"Benjamin"},{"family":"Neilipovitz","given":"Jonathan"},{"family":"Forster","given":"Alan J."},{"family":"McIsaac","given":"Daniel I."}],"issued":{"date-parts":[["2020",3,4]]}}},{"id":67947,"uris":["http://zotero.org/groups/5108666/items/QIBGAIXU"],"itemData":{"id":67947,"type":"document","title":"Moving to a new home  in continuing care An information and decision-making guide for patients and families","URL":"chrome-extension://efaidnbmnnnibpcajpcglclefindmkaj/https://www.albertahealthservices.ca/assets/info/pf/cc/if-pf-cc-moving-to-a-new-home-in-continuing-care.pdf","author":[{"literal":"Alberta health services continuing care"}],"issued":{"date-parts":[["2019"]]}}}],"schema":"https://github.com/citation-style-language/schema/raw/master/csl-citation.json"}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[34,50]</w:t>
      </w:r>
      <w:r w:rsidRPr="00ED5246">
        <w:rPr>
          <w:rFonts w:ascii="Times New Roman" w:hAnsi="Times New Roman" w:cs="Times New Roman"/>
        </w:rPr>
        <w:fldChar w:fldCharType="end"/>
      </w:r>
      <w:r w:rsidRPr="00ED5246">
        <w:rPr>
          <w:rFonts w:ascii="Times New Roman" w:hAnsi="Times New Roman" w:cs="Times New Roman"/>
        </w:rPr>
        <w:t>, which underscored the impact of pre-admission supportive services and overall service availability on CCC transitions.</w:t>
      </w:r>
    </w:p>
    <w:p w14:paraId="74DEAEE2" w14:textId="797AEEFF" w:rsidR="004579D2" w:rsidRPr="00ED5246" w:rsidRDefault="00E51CB4" w:rsidP="00E51CB4">
      <w:pPr>
        <w:pStyle w:val="Heading3"/>
        <w:numPr>
          <w:ilvl w:val="0"/>
          <w:numId w:val="0"/>
        </w:numPr>
        <w:spacing w:before="0" w:line="480" w:lineRule="auto"/>
        <w:ind w:left="720" w:hanging="720"/>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lastRenderedPageBreak/>
        <w:t>S3.3</w:t>
      </w:r>
      <w:r w:rsidR="00A04BF9">
        <w:rPr>
          <w:rFonts w:ascii="Times New Roman" w:hAnsi="Times New Roman" w:cs="Times New Roman"/>
          <w:b/>
          <w:bCs/>
          <w:color w:val="000000" w:themeColor="text1"/>
          <w:sz w:val="22"/>
          <w:szCs w:val="22"/>
        </w:rPr>
        <w:t>.</w:t>
      </w:r>
      <w:r w:rsidR="004579D2" w:rsidRPr="00ED5246">
        <w:rPr>
          <w:rFonts w:ascii="Times New Roman" w:hAnsi="Times New Roman" w:cs="Times New Roman"/>
          <w:b/>
          <w:bCs/>
          <w:color w:val="000000" w:themeColor="text1"/>
          <w:sz w:val="22"/>
          <w:szCs w:val="22"/>
        </w:rPr>
        <w:t xml:space="preserve"> </w:t>
      </w:r>
      <w:r w:rsidR="00B61988">
        <w:rPr>
          <w:rFonts w:ascii="Times New Roman" w:hAnsi="Times New Roman" w:cs="Times New Roman"/>
          <w:b/>
          <w:bCs/>
          <w:color w:val="000000" w:themeColor="text1"/>
          <w:sz w:val="22"/>
          <w:szCs w:val="22"/>
        </w:rPr>
        <w:t xml:space="preserve">Factors </w:t>
      </w:r>
      <w:r w:rsidR="00C661AC">
        <w:rPr>
          <w:rFonts w:ascii="Times New Roman" w:hAnsi="Times New Roman" w:cs="Times New Roman"/>
          <w:b/>
          <w:bCs/>
          <w:color w:val="000000" w:themeColor="text1"/>
          <w:sz w:val="22"/>
          <w:szCs w:val="22"/>
        </w:rPr>
        <w:t>i</w:t>
      </w:r>
      <w:r w:rsidR="00B61988">
        <w:rPr>
          <w:rFonts w:ascii="Times New Roman" w:hAnsi="Times New Roman" w:cs="Times New Roman"/>
          <w:b/>
          <w:bCs/>
          <w:color w:val="000000" w:themeColor="text1"/>
          <w:sz w:val="22"/>
          <w:szCs w:val="22"/>
        </w:rPr>
        <w:t xml:space="preserve">nfluencing </w:t>
      </w:r>
      <w:r w:rsidR="00C661AC">
        <w:rPr>
          <w:rFonts w:ascii="Times New Roman" w:hAnsi="Times New Roman" w:cs="Times New Roman"/>
          <w:b/>
          <w:bCs/>
          <w:color w:val="000000" w:themeColor="text1"/>
          <w:sz w:val="22"/>
          <w:szCs w:val="22"/>
        </w:rPr>
        <w:t>t</w:t>
      </w:r>
      <w:r w:rsidR="004579D2" w:rsidRPr="00ED5246">
        <w:rPr>
          <w:rFonts w:ascii="Times New Roman" w:hAnsi="Times New Roman" w:cs="Times New Roman"/>
          <w:b/>
          <w:bCs/>
          <w:color w:val="000000" w:themeColor="text1"/>
          <w:sz w:val="22"/>
          <w:szCs w:val="22"/>
        </w:rPr>
        <w:t>ransitions from acute care to home care</w:t>
      </w:r>
    </w:p>
    <w:p w14:paraId="1DE81B80" w14:textId="1A3D5888"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b/>
          <w:bCs/>
        </w:rPr>
        <w:t>Socio-demographic characteristics.</w:t>
      </w:r>
      <w:r w:rsidRPr="00ED5246">
        <w:rPr>
          <w:rFonts w:ascii="Times New Roman" w:hAnsi="Times New Roman" w:cs="Times New Roman"/>
        </w:rPr>
        <w:t xml:space="preserve"> </w:t>
      </w:r>
      <w:r>
        <w:rPr>
          <w:rFonts w:ascii="Times New Roman" w:hAnsi="Times New Roman" w:cs="Times New Roman"/>
        </w:rPr>
        <w:t>In quantitative studies, ol</w:t>
      </w:r>
      <w:r w:rsidRPr="00ED5246">
        <w:rPr>
          <w:rFonts w:ascii="Times New Roman" w:hAnsi="Times New Roman" w:cs="Times New Roman"/>
        </w:rPr>
        <w:t>der age (n=</w:t>
      </w:r>
      <w:r>
        <w:rPr>
          <w:rFonts w:ascii="Times New Roman" w:hAnsi="Times New Roman" w:cs="Times New Roman"/>
        </w:rPr>
        <w:t>6</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iZFJoUtJ","properties":{"formattedCitation":"[5,55\\uc0\\u8211{}59]","plainCitation":"[5,55–59]","noteIndex":0},"citationItems":[{"id":50443,"uris":["http://zotero.org/groups/5108666/items/492BMIAT"],"itemData":{"id":50443,"type":"article-journal","archive":"Scopus","container-title":"Journal of Arthroplasty","DOI":"10.1016/j.arth.2016.05.027","issue":"12","page":"2700-2704","title":"Disparities in Discharge Destination After Lower Extremity Joint Arthroplasty: Analysis of 7924 Patients in an Urban Setting","volume":"31","author":[{"family":"Inneh","given":"I.A."},{"family":"Clair","given":"A.J."},{"family":"Slover","given":"J.D."},{"family":"Iorio","given":"R."}],"issued":{"date-parts":[["2016"]]}}},{"id":39776,"uris":["http://zotero.org/groups/5108666/items/WMHZ2YDB"],"itemData":{"id":39776,"type":"article-journal","abstract":"BACKGROUND: The ability to reliably predict outcomes after trauma in older adults (age &gt;= 65 y) is critical for clinical decision making. Using novel machine-learning techniques, we sought to design a nonlinear, competing risks paradigm for prediction of older adult discharge disposition following injury., MATERIALS AND METHODS: The National Trauma Databank (NTDB) was used to identify patients 65+ y between 2007 and 2014. Training was performed on an enriched cohort of diverse patients. Factors included age, comorbidities, length of stay, and physiologic parameters to predict in-hospital mortality and discharge disposition (home versus skilled nursing/long-term care facility). Length of stay and discharge status were analyzed via competing risks survival analysis with Bayesian additive regression trees and a multinomial mixed model., RESULTS: The resulting sample size was 47,037 patients. Admission GCS and age were important in predicting mortality and discharge disposition. As GCS decreased, patients were more likely to die (risk ratio increased by average of 1.4 per 2-point drop in GCS, P &lt; 0.001). As GCS decreased, patients were also more likely to be discharged to a skilled nursing or long-term care facility (risk ratio decreased by 0.08 per 2-point decrease in GCS, P&lt; 0.001). The area under curve for prediction of discharge home was improved in the competing risks model 0.73 versus 0.43 in the traditional multinomial mixed model., CONCLUSIONS: Predicting older adult discharge disposition after trauma is improved using machine learning over traditional regression analysis. We confirmed that a nonlinear, competing risks paradigm enhances prediction on any given hospital day post injury. Copyright © 2021 Elsevier Inc. All rights reserved.","archive":"Ovid MEDLINE(R) &lt;2022&gt;","container-title":"The Journal of surgical research","DOI":"10.1016/j.jss.2021.08.021","ISSN":"1095-8673","issue":"k7b, 0376340","journalAbbreviation":"J Surg Res","page":"39-48","title":"Improved Prediction of Older Adult Discharge After Trauma Using a Novel Machine Learning Paradigm.","volume":"270","author":[{"family":"Morris","given":"Rachel S"},{"family":"Tignanelli","given":"Christopher J"},{"family":"Cassini","given":"Terri","non-dropping-particle":"deRoon-"},{"family":"Laud","given":"Purushottam"},{"family":"Sparapani","given":"Rodney"}],"issued":{"date-parts":[["2022"]]}}},{"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id":36528,"uris":["http://zotero.org/groups/5108666/items/TVTYWWNR"],"itemData":{"id":36528,"type":"article-journal","abstract":"Background: An increasing number of older adults with traumatic brain injury (TBI) require hospitalization, but it is unknown whether they return to their community following discharge. We examined community residence following acute hospital discharge for TBI in Texas and identified factors associated with 90‐day community residence and readmission. Methods: We conducted a retrospective cohort study using 100% Texas Medicare claims data of patients older than 65 years hospitalized for a TBI from January 1, 2014, through December 31, 2017, and followed for 20 weeks after discharge. Discharges to short‐term and long‐term acute hospital, inpatient rehabilitation facility (IRF), skilled nursing facility (SNF), long‐term nursing home (NH), and hospice were identified. The primary outcome was 90‐day community residence. Our secondary outcome was 90‐day, all‐cause readmission. Results: In Texas, 26,985 Medicare fee‐for‐service patients were hospitalized for TBI (Racial and ethnic minorities: 21.1%; Females 57.3%). At 90 days and 20 weeks following discharge, 80% and 84% were living in the community respectively. Female sex (OR = 1.16 [1.08–1.25]), Hispanic ethnicity (OR = 2.01 [1.80–2.25]), \"other\" race (OR = 2.19 [1.73–2.77]), and prior primary care provider (PCP; OR = 1.51 [1.40–1.62]) were associated with increased likelihood of 90‐day community residence. Patients aged 75+, prior NH residence, dual eligibility, prior TBI diagnosis, and moderate‐to‐severe injury severity were associated with decreased likelihood of 90‐day community residence. Being non‐Hispanic Black (HR = 1.33 [1.20–1.46]), discharge to SNF (HR = 1.56 [1.48–1.65]) or IRF (HR = 1.49 [1.40–1.59]), having prior PCP (HR = 1.23 [1.17–1.30]), dual eligibility (HR = 1.11 [1.04–1.18]), and prior TBI diagnosis (HR = 1.05 [1.01–1.10]) were associated with increased risk of 90‐day readmission. Female sex and \"other\" race were associated with decreased risk of 90‐day readmission. Conclusions: Most older adults with TBI return to the community following hospital discharge. Disparities exist in returning to the community and in risk of 90‐day readmission following hospital discharge. Future studies should explore how having a PCP influences post‐hospital outcomes in chronic care management of older patients with TBI.","archive":"cin20","container-title":"Journal of the American Geriatrics Society","DOI":"10.1111/jgs.18308","ISSN":"0002-8614","issue":"6","journalAbbreviation":"Journal of the American Geriatrics Society","page":"1806-1818","source":"EBSCOhost","title":"Care patterns and predictors of community residence among older patients after hospital discharge for traumatic brain injury.","volume":"71","author":[{"family":"Pappadis","given":"Monique R."},{"family":"Malagaris","given":"Ioannis"},{"family":"Kuo","given":"Yong‐Fang"},{"family":"Leland","given":"Natalie"},{"family":"Freburger","given":"Janet"},{"family":"Goodwin","given":"James S."}],"issued":{"date-parts":[["2023",6]]}}},{"id":4279,"uris":["http://zotero.org/users/7655466/items/3Y4QKYJQ"],"itemData":{"id":4279,"type":"article-journal","archive":"Scopus","container-title":"PM and R","DOI":"10.1002/pmrj.12371","ISSN":"19341482 (ISSN)","issue":"1","note":"publisher: John Wiley and Sons Inc","page":"38-44","title":"Development of a Point System to Predict Discharge to Home for Acute Stroke Patients","volume":"13","author":[{"family":"Kubo","given":"K."},{"family":"Kamo","given":"T."},{"family":"Momosaki","given":"R."},{"family":"Mitsutomi","given":"K."}],"issued":{"date-parts":[["2021"]]}}},{"id":81837,"uris":["http://zotero.org/users/7655466/items/P3P8G9ZS"],"itemData":{"id":81837,"type":"article-journal","abstract":"INTRODUCTION: Older adults with cervical spinal cord injury (CSCI) often have a poor prognosis due to the high number of complications, decreased motivation to rehabilitation, and poor response to treatment. This study aimed to investigate the characteristics of CSCI in Japanese older adults and examined the factors influencing their discharge home.\nMETHODS: In this retrospective cohort study, we extracted data on consecutive cases with CSCI between 2005 and 2020 from the study hospital's database. Patients over 65 years old who were admitted to the hospital within 14 days of injury were selected. A univariate analysis was performed between the home discharge and out-of-home discharge groups. In addition, binary logistic regression analysis of admission findings and patient background was performed to examine independent factors influencing home discharge.\nRESULTS: Of the 219 patients included, 90 (41.1%) were eventually discharged to home. Comparing home discharge and out-of-home discharge groups revealed significant differences in age at injury, length of hospital stay, neurological level of injury (NLI), percentage of American Spinal Injury Association (ASIA) Impairment Scale (AIS: A), percentage of living alone, ASIA motor score (AMS), and Spinal Cord Independence Measure (SCIM) at initial visit and discharge. Binary logistic regression analysis revealed that old age (over 75 years old) at injury (odds ratio [OR]: 0.31, 95% CI: 0.16-0.60, P&lt;.001), living alone (OR: 0.22, 95% CI: 0.03-0.42, P&lt;.01), high level of injury (i.e., NLI: C1-4; OR: 0.22, 95% CI: 0.09-0.53, P&lt;.0001), and percentage of AIS: A at admission (OR: 0.09, 95% CI: 0.04-0.24, P&lt;.001) were independent factors that influenced home discharge.\nCONCLUSIONS: More than 50% older adults with CSCI were discharged to a place other than their own home. Age, percentage of AIS: A, living alone, and high level of injury at admission were independent factors that influenced home discharge.","container-title":"Spine Surgery and Related Research","DOI":"10.22603/ssrr.2023-0045","ISSN":"2432-261X","issue":"6","journalAbbreviation":"Spine Surg Relat Res","language":"eng","note":"PMID: 38084212\nPMCID: PMC10710894","page":"482-487","source":"PubMed","title":"Factors Affecting Home Discharge of Older Adults with Cervical Spinal Cord Injury in Japan Regional Population","volume":"7","author":[{"family":"Sasaki","given":"Sota"},{"family":"Hayashi","given":"Tetsuo"},{"family":"Masuda","given":"Muneaki"},{"family":"Kawano","given":"Osamu"},{"family":"Yamamoto","given":"Takuaki"},{"family":"Maeda","given":"Takeshi"}],"issued":{"date-parts":[["2023",11,27]]}}}],"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[5,55–59]</w:t>
      </w:r>
      <w:r w:rsidRPr="00ED5246">
        <w:rPr>
          <w:rFonts w:ascii="Times New Roman" w:hAnsi="Times New Roman" w:cs="Times New Roman"/>
        </w:rPr>
        <w:fldChar w:fldCharType="end"/>
      </w:r>
      <w:r>
        <w:rPr>
          <w:rFonts w:ascii="Times New Roman" w:hAnsi="Times New Roman" w:cs="Times New Roman"/>
        </w:rPr>
        <w:t>,</w:t>
      </w:r>
      <w:r w:rsidRPr="00ED5246">
        <w:rPr>
          <w:rFonts w:ascii="Times New Roman" w:hAnsi="Times New Roman" w:cs="Times New Roman"/>
        </w:rPr>
        <w:t xml:space="preserve"> was associated with a decreased likelihood of home care placement. Gender also </w:t>
      </w:r>
      <w:r>
        <w:rPr>
          <w:rFonts w:ascii="Times New Roman" w:hAnsi="Times New Roman" w:cs="Times New Roman"/>
        </w:rPr>
        <w:t>played a role</w:t>
      </w:r>
      <w:r w:rsidRPr="00ED5246">
        <w:rPr>
          <w:rFonts w:ascii="Times New Roman" w:hAnsi="Times New Roman" w:cs="Times New Roman"/>
        </w:rPr>
        <w:t xml:space="preserve">, with females </w:t>
      </w:r>
      <w:r w:rsidRPr="00ED5246">
        <w:rPr>
          <w:rFonts w:ascii="Times New Roman" w:eastAsia="Aptos" w:hAnsi="Times New Roman" w:cs="Times New Roman"/>
        </w:rPr>
        <w:t xml:space="preserve">being </w:t>
      </w:r>
      <w:r w:rsidRPr="00ED5246">
        <w:rPr>
          <w:rFonts w:ascii="Times New Roman" w:hAnsi="Times New Roman" w:cs="Times New Roman"/>
        </w:rPr>
        <w:t xml:space="preserve">more likely than males to transition to home care in </w:t>
      </w:r>
      <w:r>
        <w:rPr>
          <w:rFonts w:ascii="Times New Roman" w:hAnsi="Times New Roman" w:cs="Times New Roman"/>
        </w:rPr>
        <w:t>four</w:t>
      </w:r>
      <w:r w:rsidRPr="00ED5246">
        <w:rPr>
          <w:rFonts w:ascii="Times New Roman" w:hAnsi="Times New Roman" w:cs="Times New Roman"/>
        </w:rPr>
        <w:t xml:space="preserve"> studies (n=</w:t>
      </w:r>
      <w:r>
        <w:rPr>
          <w:rFonts w:ascii="Times New Roman" w:hAnsi="Times New Roman" w:cs="Times New Roman"/>
        </w:rPr>
        <w:t>4</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uNw07UxZ","properties":{"formattedCitation":"[56,57,60,61]","plainCitation":"[56,57,60,61]","noteIndex":0},"citationItems":[{"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id":36528,"uris":["http://zotero.org/groups/5108666/items/TVTYWWNR"],"itemData":{"id":36528,"type":"article-journal","abstract":"Background: An increasing number of older adults with traumatic brain injury (TBI) require hospitalization, but it is unknown whether they return to their community following discharge. We examined community residence following acute hospital discharge for TBI in Texas and identified factors associated with 90‐day community residence and readmission. Methods: We conducted a retrospective cohort study using 100% Texas Medicare claims data of patients older than 65 years hospitalized for a TBI from January 1, 2014, through December 31, 2017, and followed for 20 weeks after discharge. Discharges to short‐term and long‐term acute hospital, inpatient rehabilitation facility (IRF), skilled nursing facility (SNF), long‐term nursing home (NH), and hospice were identified. The primary outcome was 90‐day community residence. Our secondary outcome was 90‐day, all‐cause readmission. Results: In Texas, 26,985 Medicare fee‐for‐service patients were hospitalized for TBI (Racial and ethnic minorities: 21.1%; Females 57.3%). At 90 days and 20 weeks following discharge, 80% and 84% were living in the community respectively. Female sex (OR = 1.16 [1.08–1.25]), Hispanic ethnicity (OR = 2.01 [1.80–2.25]), \"other\" race (OR = 2.19 [1.73–2.77]), and prior primary care provider (PCP; OR = 1.51 [1.40–1.62]) were associated with increased likelihood of 90‐day community residence. Patients aged 75+, prior NH residence, dual eligibility, prior TBI diagnosis, and moderate‐to‐severe injury severity were associated with decreased likelihood of 90‐day community residence. Being non‐Hispanic Black (HR = 1.33 [1.20–1.46]), discharge to SNF (HR = 1.56 [1.48–1.65]) or IRF (HR = 1.49 [1.40–1.59]), having prior PCP (HR = 1.23 [1.17–1.30]), dual eligibility (HR = 1.11 [1.04–1.18]), and prior TBI diagnosis (HR = 1.05 [1.01–1.10]) were associated with increased risk of 90‐day readmission. Female sex and \"other\" race were associated with decreased risk of 90‐day readmission. Conclusions: Most older adults with TBI return to the community following hospital discharge. Disparities exist in returning to the community and in risk of 90‐day readmission following hospital discharge. Future studies should explore how having a PCP influences post‐hospital outcomes in chronic care management of older patients with TBI.","archive":"cin20","container-title":"Journal of the American Geriatrics Society","DOI":"10.1111/jgs.18308","ISSN":"0002-8614","issue":"6","journalAbbreviation":"Journal of the American Geriatrics Society","page":"1806-1818","source":"EBSCOhost","title":"Care patterns and predictors of community residence among older patients after hospital discharge for traumatic brain injury.","volume":"71","author":[{"family":"Pappadis","given":"Monique R."},{"family":"Malagaris","given":"Ioannis"},{"family":"Kuo","given":"Yong‐Fang"},{"family":"Leland","given":"Natalie"},{"family":"Freburger","given":"Janet"},{"family":"Goodwin","given":"James S."}],"issued":{"date-parts":[["2023",6]]}}},{"id":81840,"uris":["http://zotero.org/users/7655466/items/5IT9C9UV"],"itemData":{"id":81840,"type":"article-journal","abstract":"OBJECTIVE: We aimed to investigate the association of sociodemographic, clinical and functional characteristics with the volume of transitions and specific trajectories across living and care settings.\nMETHODS: Using data from the Swedish National Study on Aging and Care in Kungsholmen study, we identified transitions across home (with or without social care), nursing homes, hospitals and postacute care facilities among 3021 adults aged 60+. Poisson and multistate models were used to investigate the association between sociodemographic, clinical and functional characteristics and both the overall volume and hazard ratios (HRs) of specific transitions.\nRESULTS: Over 15 years, 720 (23.8%) participants experienced between 5 and 10 transitions, and 816 (26.7%) experienced &gt;10 transitions across living and care settings. A higher number of transitions was observed in older participants with multimorbidity and slower walking speed. In contrast, cognitive impairment and disability were associated with a lower number of transitions. After hospital and postacute discharge, each additional year of age (HR range 1.06-1.08) and being a woman compared with being a man (HR range 1.35-4.38) increased the likelihood of discharge to home care. Multimorbidity (HR range 1.14-1.23) and slow gait speed (HR range 1.11-1.50) increased the risk of hospitalisation and home care after hospital discharge. Cognitive impairment raised the hazard of nursing home placement (HR range 1.99-2.15). Disability was associated with a higher hazard of nursing home placement after hospital discharge (HR range 2.57-3.07).\nCONCLUSIONS: Accounting for older adults' whole journey across living and care settings, we identified transition-specific predictors and potential triggers that could be timely leveraged to better tailor care to older adults' needs.","container-title":"Age and Ageing","DOI":"10.1093/ageing/afaf006","ISSN":"1468-2834","issue":"1","journalAbbreviation":"Age Ageing","language":"eng","note":"PMID: 39864066\nPMCID: PMC11766743","page":"afaf006","source":"PubMed","title":"Predictors of 15-year transitions across living and care settings in a population of Swedish older adults","volume":"54","author":[{"family":"Gentili","given":"Susanna"},{"family":"Calderón-Larrañaga","given":"Amaia"},{"family":"Rizzuto","given":"Debora"},{"family":"Gordon","given":"Adam Lee"},{"family":"Agerholm","given":"Janne"},{"family":"Lennartsson","given":"Carin"},{"family":"Hedberg Rundgren","given":"Åsa"},{"family":"Fratiglioni","given":"Laura"},{"family":"Vetrano","given":"Davide Liborio"}],"issued":{"date-parts":[["2025",1,6]]}}},{"id":81843,"uris":["http://zotero.org/users/7655466/items/TZRCJMEY"],"itemData":{"id":81843,"type":"article-journal","abstract":"Objective:\nThe demand for long-term care in community and facilitybased settings in Canada is expected to increase with population growth. The Toronto Grace Health Center piloted an intervention program that aims to support return to the community of acute hospital patients designated for LTC placement. We investigated whether this program was effective in transitioning the program patients back to their homes in the community and the factors associated with transitioning patients to different destinations.\n\nMethod:\nWe performed a competing risk multi-state analysis of 111 patients enrolled into the Harbour Light (HL) transitional unit program between January 2020 and June 2023.\n\nResults:\nAt the time of the study, 92 enrolled patients had been discharged and of those these, 48.9% (45) were successfully transitioned back to their private home in the community. The remaining 51.1% (46) were discharged to other destinations. Being a female was the only positive predictor of transitioning back home. Higher CPS scores (HR 0.53, 95% CI 0.31-0.88), PADDRS scale of 1+, and higher ADL Hierarchy scale, strongly predicted lower odds of transitioning back to the community.\n\nConclusion:\nWithin the context of rising LTC bed demand and lengthy waiting time in Canada, with appropriate measures, this program successfully transitioned LTC home bound persons back to their homes. If replicable on a large scale, this could provide short and long-term solution to LTC bed demand in Canada.","container-title":"Journal of Primary Care &amp; Community Health","DOI":"10.1177/21501319231220742","ISSN":"2150-1319","journalAbbreviation":"J Prim Care Community Health","note":"PMID: 38131104\nPMCID: PMC10748573","page":"21501319231220742","source":"PubMed Central","title":"Multistate Competing Risk Analysis of Transition Back to the Community Among Long-Term Care Home (LTC) Destined Patients: A Brief Report","title-short":"Multistate Competing Risk Analysis of Transition Back to the Community Among Long-Term Care Home (LTC) Destined Patients","volume":"14","author":[{"family":"Egbujie","given":"Bonaventure A."},{"family":"Tran","given":"Jake"},{"family":"Hirdes","given":"John P."}],"issued":{"date-parts":[["2023",12,22]]}}}],"schema":"https://github.com/citation-style-language/schema/raw/master/csl-citation.json"}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[56,57,60,61]</w:t>
      </w:r>
      <w:r w:rsidRPr="00ED5246">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but less likely than males in one study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cMmR8Ji6","properties":{"formattedCitation":"[5]","plainCitation":"[5]","noteIndex":0},"citationItems":[{"id":50443,"uris":["http://zotero.org/groups/5108666/items/492BMIAT"],"itemData":{"id":50443,"type":"article-journal","archive":"Scopus","container-title":"Journal of Arthroplasty","DOI":"10.1016/j.arth.2016.05.027","issue":"12","page":"2700-2704","title":"Disparities in Discharge Destination After Lower Extremity Joint Arthroplasty: Analysis of 7924 Patients in an Urban Setting","volume":"31","author":[{"family":"Inneh","given":"I.A."},{"family":"Clair","given":"A.J."},{"family":"Slover","given":"J.D."},{"family":"Iorio","given":"R."}],"issued":{"date-parts":[["2016"]]}}}],"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[5]</w:t>
      </w:r>
      <w:r w:rsidRPr="00ED5246">
        <w:rPr>
          <w:rFonts w:ascii="Times New Roman" w:hAnsi="Times New Roman" w:cs="Times New Roman"/>
        </w:rPr>
        <w:fldChar w:fldCharType="end"/>
      </w:r>
      <w:r w:rsidRPr="00ED5246">
        <w:rPr>
          <w:rFonts w:ascii="Times New Roman" w:hAnsi="Times New Roman" w:cs="Times New Roman"/>
        </w:rPr>
        <w:t xml:space="preserve">. Race and ethnicity </w:t>
      </w:r>
      <w:r>
        <w:rPr>
          <w:rFonts w:ascii="Times New Roman" w:hAnsi="Times New Roman" w:cs="Times New Roman"/>
        </w:rPr>
        <w:t>influenced transitions as well</w:t>
      </w:r>
      <w:r w:rsidRPr="00ED5246">
        <w:rPr>
          <w:rFonts w:ascii="Times New Roman" w:hAnsi="Times New Roman" w:cs="Times New Roman"/>
        </w:rPr>
        <w:t xml:space="preserve">, with Hispanic ethnicity and non-Black </w:t>
      </w:r>
      <w:r>
        <w:rPr>
          <w:rFonts w:ascii="Times New Roman" w:hAnsi="Times New Roman" w:cs="Times New Roman"/>
        </w:rPr>
        <w:t>racial/ethnic groups linked to</w:t>
      </w:r>
      <w:r w:rsidRPr="00ED5246">
        <w:rPr>
          <w:rFonts w:ascii="Times New Roman" w:hAnsi="Times New Roman" w:cs="Times New Roman"/>
        </w:rPr>
        <w:t xml:space="preserve"> higher rates</w:t>
      </w:r>
      <w:r>
        <w:rPr>
          <w:rFonts w:ascii="Times New Roman" w:hAnsi="Times New Roman" w:cs="Times New Roman"/>
        </w:rPr>
        <w:t xml:space="preserve"> of transition</w:t>
      </w:r>
      <w:r w:rsidRPr="00ED5246">
        <w:rPr>
          <w:rFonts w:ascii="Times New Roman" w:hAnsi="Times New Roman" w:cs="Times New Roman"/>
        </w:rPr>
        <w:t xml:space="preserve"> to home care (n=2)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u4f2J1Wf","properties":{"formattedCitation":"[5,57]","plainCitation":"[5,57]","noteIndex":0},"citationItems":[{"id":50443,"uris":["http://zotero.org/groups/5108666/items/492BMIAT"],"itemData":{"id":50443,"type":"article-journal","archive":"Scopus","container-title":"Journal of Arthroplasty","DOI":"10.1016/j.arth.2016.05.027","issue":"12","page":"2700-2704","title":"Disparities in Discharge Destination After Lower Extremity Joint Arthroplasty: Analysis of 7924 Patients in an Urban Setting","volume":"31","author":[{"family":"Inneh","given":"I.A."},{"family":"Clair","given":"A.J."},{"family":"Slover","given":"J.D."},{"family":"Iorio","given":"R."}],"issued":{"date-parts":[["2016"]]}}},{"id":36528,"uris":["http://zotero.org/groups/5108666/items/TVTYWWNR"],"itemData":{"id":36528,"type":"article-journal","abstract":"Background: An increasing number of older adults with traumatic brain injury (TBI) require hospitalization, but it is unknown whether they return to their community following discharge. We examined community residence following acute hospital discharge for TBI in Texas and identified factors associated with 90‐day community residence and readmission. Methods: We conducted a retrospective cohort study using 100% Texas Medicare claims data of patients older than 65 years hospitalized for a TBI from January 1, 2014, through December 31, 2017, and followed for 20 weeks after discharge. Discharges to short‐term and long‐term acute hospital, inpatient rehabilitation facility (IRF), skilled nursing facility (SNF), long‐term nursing home (NH), and hospice were identified. The primary outcome was 90‐day community residence. Our secondary outcome was 90‐day, all‐cause readmission. Results: In Texas, 26,985 Medicare fee‐for‐service patients were hospitalized for TBI (Racial and ethnic minorities: 21.1%; Females 57.3%). At 90 days and 20 weeks following discharge, 80% and 84% were living in the community respectively. Female sex (OR = 1.16 [1.08–1.25]), Hispanic ethnicity (OR = 2.01 [1.80–2.25]), \"other\" race (OR = 2.19 [1.73–2.77]), and prior primary care provider (PCP; OR = 1.51 [1.40–1.62]) were associated with increased likelihood of 90‐day community residence. Patients aged 75+, prior NH residence, dual eligibility, prior TBI diagnosis, and moderate‐to‐severe injury severity were associated with decreased likelihood of 90‐day community residence. Being non‐Hispanic Black (HR = 1.33 [1.20–1.46]), discharge to SNF (HR = 1.56 [1.48–1.65]) or IRF (HR = 1.49 [1.40–1.59]), having prior PCP (HR = 1.23 [1.17–1.30]), dual eligibility (HR = 1.11 [1.04–1.18]), and prior TBI diagnosis (HR = 1.05 [1.01–1.10]) were associated with increased risk of 90‐day readmission. Female sex and \"other\" race were associated with decreased risk of 90‐day readmission. Conclusions: Most older adults with TBI return to the community following hospital discharge. Disparities exist in returning to the community and in risk of 90‐day readmission following hospital discharge. Future studies should explore how having a PCP influences post‐hospital outcomes in chronic care management of older patients with TBI.","archive":"cin20","container-title":"Journal of the American Geriatrics Society","DOI":"10.1111/jgs.18308","ISSN":"0002-8614","issue":"6","journalAbbreviation":"Journal of the American Geriatrics Society","page":"1806-1818","source":"EBSCOhost","title":"Care patterns and predictors of community residence among older patients after hospital discharge for traumatic brain injury.","volume":"71","author":[{"family":"Pappadis","given":"Monique R."},{"family":"Malagaris","given":"Ioannis"},{"family":"Kuo","given":"Yong‐Fang"},{"family":"Leland","given":"Natalie"},{"family":"Freburger","given":"Janet"},{"family":"Goodwin","given":"James S."}],"issued":{"date-parts":[["2023",6]]}}}],"schema":"https://github.com/citation-style-language/schema/raw/master/csl-citation.json"}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[5,57]</w:t>
      </w:r>
      <w:r w:rsidRPr="00ED5246">
        <w:rPr>
          <w:rFonts w:ascii="Times New Roman" w:hAnsi="Times New Roman" w:cs="Times New Roman"/>
        </w:rPr>
        <w:fldChar w:fldCharType="end"/>
      </w:r>
      <w:r w:rsidRPr="00ED5246">
        <w:rPr>
          <w:rFonts w:ascii="Times New Roman" w:hAnsi="Times New Roman" w:cs="Times New Roman"/>
        </w:rPr>
        <w:t>. Living alone was found to reduce the likelihood of home care placement (n=</w:t>
      </w:r>
      <w:r>
        <w:rPr>
          <w:rFonts w:ascii="Times New Roman" w:hAnsi="Times New Roman" w:cs="Times New Roman"/>
        </w:rPr>
        <w:t>4</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ITL1mvgg","properties":{"formattedCitation":"[31,59,62,63]","plainCitation":"[31,59,62,63]","noteIndex":0},"citationItems":[{"id":50901,"uris":["http://zotero.org/groups/5108666/items/DUTVJJMA"],"itemData":{"id":50901,"type":"article-journal","archive":"Scopus","container-title":"Psychogeriatrics","DOI":"10.1111/psyg.12114","issue":"4","page":"248-254","title":"Predictors of home discharge among patients hospitalized for behavioural and psychological symptoms of dementia","volume":"15","author":[{"family":"Tochimoto","given":"S."},{"family":"Kitamura","given":"M."},{"family":"Hino","given":"S."},{"family":"Kitamura","given":"T."}],"issued":{"date-parts":[["2015"]]}}},{"id":81837,"uris":["http://zotero.org/users/7655466/items/P3P8G9ZS"],"itemData":{"id":81837,"type":"article-journal","abstract":"INTRODUCTION: Older adults with cervical spinal cord injury (CSCI) often have a poor prognosis due to the high number of complications, decreased motivation to rehabilitation, and poor response to treatment. This study aimed to investigate the characteristics of CSCI in Japanese older adults and examined the factors influencing their discharge home.\nMETHODS: In this retrospective cohort study, we extracted data on consecutive cases with CSCI between 2005 and 2020 from the study hospital's database. Patients over 65 years old who were admitted to the hospital within 14 days of injury were selected. A univariate analysis was performed between the home discharge and out-of-home discharge groups. In addition, binary logistic regression analysis of admission findings and patient background was performed to examine independent factors influencing home discharge.\nRESULTS: Of the 219 patients included, 90 (41.1%) were eventually discharged to home. Comparing home discharge and out-of-home discharge groups revealed significant differences in age at injury, length of hospital stay, neurological level of injury (NLI), percentage of American Spinal Injury Association (ASIA) Impairment Scale (AIS: A), percentage of living alone, ASIA motor score (AMS), and Spinal Cord Independence Measure (SCIM) at initial visit and discharge. Binary logistic regression analysis revealed that old age (over 75 years old) at injury (odds ratio [OR]: 0.31, 95% CI: 0.16-0.60, P&lt;.001), living alone (OR: 0.22, 95% CI: 0.03-0.42, P&lt;.01), high level of injury (i.e., NLI: C1-4; OR: 0.22, 95% CI: 0.09-0.53, P&lt;.0001), and percentage of AIS: A at admission (OR: 0.09, 95% CI: 0.04-0.24, P&lt;.001) were independent factors that influenced home discharge.\nCONCLUSIONS: More than 50% older adults with CSCI were discharged to a place other than their own home. Age, percentage of AIS: A, living alone, and high level of injury at admission were independent factors that influenced home discharge.","container-title":"Spine Surgery and Related Research","DOI":"10.22603/ssrr.2023-0045","ISSN":"2432-261X","issue":"6","journalAbbreviation":"Spine Surg Relat Res","language":"eng","note":"PMID: 38084212\nPMCID: PMC10710894","page":"482-487","source":"PubMed","title":"Factors Affecting Home Discharge of Older Adults with Cervical Spinal Cord Injury in Japan Regional Population","volume":"7","author":[{"family":"Sasaki","given":"Sota"},{"family":"Hayashi","given":"Tetsuo"},{"family":"Masuda","given":"Muneaki"},{"family":"Kawano","given":"Osamu"},{"family":"Yamamoto","given":"Takuaki"},{"family":"Maeda","given":"Takeshi"}],"issued":{"date-parts":[["2023",11,27]]}}},{"id":81846,"uris":["http://zotero.org/users/7655466/items/G6MZQ7GI"],"itemData":{"id":81846,"type":"article-journal","abstract":"The purpose of this retrospective study was to identify factors that could predict the discharge destination of oldest-old patients (patients aged ≥90 years). Information on the nutritional status, activities of daily living (ADL), nursing care needs based on nursing need degree (NND), rehabilitation therapy, and discharge destination was obtained from the medical records of 90 oldest-old patients aged ≥90 years admitted to our hospital, excluding orthopedic inpatients and short-term (≤5 days) inpatients. Of these, 64 were discharged home while 4 died during hospitalization. More than half had moderately low total lymphocyte count (&lt;1200/μL). Home discharge was correlated with living with someone else and little need for assistance during eating and getting/standing-up at admission. The cutoff value for ability for basic movement scale (ABMS) at admission for home discharge was 18 points. Nutritional management and early mobilization are important aspects of clinical management of the oldest-olds.","container-title":"Geriatric Nursing","DOI":"10.1016/j.gerinurse.2024.08.021","ISSN":"0197-4572","journalAbbreviation":"Geriatric Nursing","page":"99-106","source":"ScienceDirect","title":"Factors influencing home discharge of hospitalized oldest-old patients (≥90 years): A retrospective quantitative case-control study","title-short":"Factors influencing home discharge of hospitalized oldest-old patients (≥90 years)","volume":"60","author":[{"family":"Takekawa","given":"Toru"},{"family":"Katagi","given":"Mako"},{"family":"Kobayashi","given":"Kazushige"},{"family":"Toyoda","given":"Shiori"},{"family":"Nakamura","given":"Takayoshi"},{"family":"Yoshida","given":"Hiroaki"},{"family":"Abo","given":"Masahiro"}],"issued":{"date-parts":[["2024",11,1]]}}},{"id":81849,"uris":["http://zotero.org/users/7655466/items/TFZPWD32"],"itemData":{"id":81849,"type":"article-journal","abstract":"BACKGROUND: The Geriatric Surgery Verification Program (GSV) was developed to address perioperative care for patients ≥75 years, with a goal of improving outcomes and functional abilities after surgery. We sought to evaluate preoperative factors that place patients at risk for inability to return home (ie, discharge to a facility).\nMETHODS: Retrospective review of patients ≥75 years old who underwent inpatient surgery from January 2018 to December 2022 at a referral Veterans Administration Medical Center enrolled in the GSV program. Preoperative factors included fall history, mobility aids, housing status, function, cognition, and nutritional status. Postoperative outcomes were discharge designations as home and home with services compared to a facility (skilled nursing facility and acute rehab). Exclusion criteria included preoperative facility residence, cardiac surgery, hospital transfer, postoperative complications, hospice discharge, or in-hospital mortality.\nRESULTS: 605 patients met inclusion criteria and 173 (29%) excluded as above. Of the remaining 432 patients, mean age was 79 ± 5 and the majority were male, 426 (99%). The majority of patients were discharged home, 388 (90%), compared to a facility, 44 (10%). Patients with a fall history (OR: 2.95, 95% CI: 1.56, 5.57), utilizing a mobility aid (OR: 6.0, 95% CI: 2.8, 12.83), were partial or totally dependent (OR: 4.83, 95% CI: 2.29, 10.17), or who lived alone (OR: 2.57, 95% CI: 1.08, 6.07) had higher rates of discharge to a facility.\nDISCUSSION: Preoperative mobility compromise and functional dependence are associated with higher rates of discharge to a facility. These preoperative factors are possibly modifiable with multidisciplinary care teams to decrease risks of facility placement.","container-title":"The American Surgeon","DOI":"10.1177/00031348241256056","ISSN":"1555-9823","issue":"9","journalAbbreviation":"Am Surg","language":"eng","note":"PMID: 38788760","page":"2222-2227","source":"PubMed","title":"Preoperative Risk Factors for Discharge to Facility After Surgery in Geriatric Patients","volume":"90","author":[{"family":"Abbitt","given":"Danielle"},{"family":"Choy","given":"Kevin"},{"family":"Robinson","given":"Thomas N."},{"family":"Jones","given":"Edward L."},{"family":"Horney","given":"Carolyn"},{"family":"Sommerville","given":"Shala"},{"family":"Jones","given":"Teresa S."}],"issued":{"date-parts":[["2024",9]]}}}],"schema":"https://github.com/citation-style-language/schema/raw/master/csl-citation.json"}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[31,59,62,63]</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r w:rsidRPr="00ED5246">
        <w:rPr>
          <w:rFonts w:ascii="Times New Roman" w:hAnsi="Times New Roman" w:cs="Times New Roman"/>
        </w:rPr>
        <w:t xml:space="preserve">Qualitative studies highlighted further barriers, including language difficulties </w:t>
      </w:r>
      <w:r>
        <w:rPr>
          <w:rFonts w:ascii="Times New Roman" w:hAnsi="Times New Roman" w:cs="Times New Roman"/>
        </w:rPr>
        <w:t>among</w:t>
      </w:r>
      <w:r w:rsidRPr="00ED5246">
        <w:rPr>
          <w:rFonts w:ascii="Times New Roman" w:hAnsi="Times New Roman" w:cs="Times New Roman"/>
        </w:rPr>
        <w:t xml:space="preserve"> ethnic minorities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{"citationID":"OngCtQ5X","properties":{"formattedCitation":"[64]","plainCitation":"[64]","noteIndex":0},"citationItems":[{"id":36566,"uris":["http://zotero.org/groups/5108666/items/A76W3W4M"],"itemData":{"id":36566,"type":"article-journal","abstract":"Hospital discharge of older people in need of both medical and social care following their hospital stay requires extensive coordination. This study aims to examine and compare the views of nurses in three Nordic cities on the influence of sociodemographic factors and having close relatives, for the hospital discharge and post hospital care of older people with complex health and social care needs. Thirty-five semi-structured interviews (Copenhagen n = 11, Tampere n = 8, Stockholm n = 16) with nurses were conducted. The nurses were identified through the researchers' networks, invitation and snowball sampling, and recruited from hospitals, primary care practices, home care units, home nursing units, and geriatric departments. The interviews were transcribed and analysed using thematic analysis. Interpretations were discussed and agreed within the team. Four main themes and 13 sub-themes were identified. Across the cities, informants reported that the patient's health status, rather than their gender or ethnicity, steered the discharge date and further care. Care costs, commonly reported in Tampere but also in Copenhagen and Stockholm including costs for medications and home help, were considered barriers for disadvantaged older people. Home situation, local arrangements and differences in collaboration between healthcare professionals at different sites also influenced the hospital discharge. Generally, the patient's health status steered the hospital discharge and post-hospital care. Close relatives were regarded important and a potential advantage. Some informants tried to compensate for the absence of close relatives, highlighting the importance of care systems that can compensate for this to minimise avoidable inequity.","archive":"cin20","container-title":"European Journal of Ageing","DOI":"10.1007/s10433-022-00701-6","ISSN":"1613-9372","issue":"2","journalAbbreviation":"European Journal of Ageing","page":"189-200","source":"EBSCOhost","title":"The influence of sociodemographic factors and close relatives at hospital discharge and post hospital care of older people with complex care needs: nurses' perceptions on health inequity in three Nordic cities.","volume":"19","author":[{"family":"Liljas","given":"A. E. M."},{"family":"Jensen","given":"N. K."},{"family":"Pulkki","given":"J."},{"family":"Andersen","given":"I."},{"family":"Keskimäki","given":"I."},{"family":"Burström","given":"B."},{"family":"Agerholm","given":"J."}],"issued":{"date-parts":[["2022",6]]}}}],"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[64]</w:t>
      </w:r>
      <w:r w:rsidRPr="00ED5246">
        <w:rPr>
          <w:rFonts w:ascii="Times New Roman" w:hAnsi="Times New Roman" w:cs="Times New Roman"/>
        </w:rPr>
        <w:fldChar w:fldCharType="end"/>
      </w:r>
      <w:r w:rsidRPr="00ED5246">
        <w:rPr>
          <w:rFonts w:ascii="Times New Roman" w:hAnsi="Times New Roman" w:cs="Times New Roman"/>
        </w:rPr>
        <w:t xml:space="preserve"> </w:t>
      </w:r>
      <w:r w:rsidRPr="00ED5246">
        <w:rPr>
          <w:rFonts w:ascii="Times New Roman" w:eastAsia="Aptos" w:hAnsi="Times New Roman" w:cs="Times New Roman"/>
        </w:rPr>
        <w:t xml:space="preserve">and </w:t>
      </w:r>
      <w:r w:rsidRPr="00ED5246">
        <w:rPr>
          <w:rFonts w:ascii="Times New Roman" w:hAnsi="Times New Roman" w:cs="Times New Roman"/>
        </w:rPr>
        <w:t xml:space="preserve">socioeconomic constraints such as unaffordable care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{"citationID":"2bBv4RIu","properties":{"formattedCitation":"[64]","plainCitation":"[64]","noteIndex":0},"citationItems":[{"id":36566,"uris":["http://zotero.org/groups/5108666/items/A76W3W4M"],"itemData":{"id":36566,"type":"article-journal","abstract":"Hospital discharge of older people in need of both medical and social care following their hospital stay requires extensive coordination. This study aims to examine and compare the views of nurses in three Nordic cities on the influence of sociodemographic factors and having close relatives, for the hospital discharge and post hospital care of older people with complex health and social care needs. Thirty-five semi-structured interviews (Copenhagen n = 11, Tampere n = 8, Stockholm n = 16) with nurses were conducted. The nurses were identified through the researchers' networks, invitation and snowball sampling, and recruited from hospitals, primary care practices, home care units, home nursing units, and geriatric departments. The interviews were transcribed and analysed using thematic analysis. Interpretations were discussed and agreed within the team. Four main themes and 13 sub-themes were identified. Across the cities, informants reported that the patient's health status, rather than their gender or ethnicity, steered the discharge date and further care. Care costs, commonly reported in Tampere but also in Copenhagen and Stockholm including costs for medications and home help, were considered barriers for disadvantaged older people. Home situation, local arrangements and differences in collaboration between healthcare professionals at different sites also influenced the hospital discharge. Generally, the patient's health status steered the hospital discharge and post-hospital care. Close relatives were regarded important and a potential advantage. Some informants tried to compensate for the absence of close relatives, highlighting the importance of care systems that can compensate for this to minimise avoidable inequity.","archive":"cin20","container-title":"European Journal of Ageing","DOI":"10.1007/s10433-022-00701-6","ISSN":"1613-9372","issue":"2","journalAbbreviation":"European Journal of Ageing","page":"189-200","source":"EBSCOhost","title":"The influence of sociodemographic factors and close relatives at hospital discharge and post hospital care of older people with complex care needs: nurses' perceptions on health inequity in three Nordic cities.","volume":"19","author":[{"family":"Liljas","given":"A. E. M."},{"family":"Jensen","given":"N. K."},{"family":"Pulkki","given":"J."},{"family":"Andersen","given":"I."},{"family":"Keskimäki","given":"I."},{"family":"Burström","given":"B."},{"family":"Agerholm","given":"J."}],"issued":{"date-parts":[["2022",6]]}}}],"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[64]</w:t>
      </w:r>
      <w:r w:rsidRPr="00ED5246">
        <w:rPr>
          <w:rFonts w:ascii="Times New Roman" w:hAnsi="Times New Roman" w:cs="Times New Roman"/>
        </w:rPr>
        <w:fldChar w:fldCharType="end"/>
      </w:r>
      <w:r w:rsidRPr="00ED5246">
        <w:rPr>
          <w:rFonts w:ascii="Times New Roman" w:hAnsi="Times New Roman" w:cs="Times New Roman"/>
        </w:rPr>
        <w:t xml:space="preserve"> an</w:t>
      </w:r>
      <w:r>
        <w:rPr>
          <w:rFonts w:ascii="Times New Roman" w:hAnsi="Times New Roman" w:cs="Times New Roman"/>
        </w:rPr>
        <w:t>d</w:t>
      </w:r>
      <w:r w:rsidRPr="00ED5246">
        <w:rPr>
          <w:rFonts w:ascii="Times New Roman" w:hAnsi="Times New Roman" w:cs="Times New Roman"/>
        </w:rPr>
        <w:t xml:space="preserve"> homelessness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{"citationID":"dcmEttnh","properties":{"formattedCitation":"[65]","plainCitation":"[65]","noteIndex":0},"citationItems":[{"id":40840,"uris":["http://zotero.org/groups/5108666/items/JQUQLFPP"],"itemData":{"id":40840,"type":"article-journal","abstract":"This study identifies factors U.S. Department of Veterans Affairs (VA) staff perceived to promote or impede home- and community-based services (HCBS) placement post-hospital discharge among Veterans cared for within the VA. Data derive from 35 semi-structured interviews with staff from 12 VA medical centers from around the country. VA staff reported that Veteran's care needs and social and financial resources influence HCBS placement. They also reported prerequisites for successful placement, including housing, unpaid informal care, and non-VA services funded privately and by public programs such as Medicaid and the Older Americans Act. Lack of staffing and failure to offer the specific types of services needed limit referral to and use of HCBS. Budgetary imperatives influence the relative availability of HCBS across VA medical centers. Findings highlight patient-, provider-, and system-level constraints that impede successful placement at home and in the community of Veterans in need of long-term services and supports after hospitalization.","archive":"Ovid MEDLINE(R) &lt;2019&gt;","container-title":"Journal of aging &amp; social policy","DOI":"10.1080/08959420.2018.1444889","ISSN":"1545-0821","issue":"1","journalAbbreviation":"J Aging Soc Policy","page":"1-29","title":"VA Staff Perceptions of Barriers and Facilitators to Home-and Community-Based Placement Post-Hospital Discharge.","volume":"31","author":[{"family":"Miller","given":"Edward Alan"},{"family":"Intrator","given":"Orna"},{"family":"Gadbois","given":"Emily"},{"family":"Gidmark","given":"Stefanie"},{"family":"Rudolph","given":"James L"}],"issued":{"date-parts":[["2019"]]}}}],"schema":"https://github.com/citation-style-language/schema/raw/master/csl-citation.json"}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[65]</w:t>
      </w:r>
      <w:r w:rsidRPr="00ED5246">
        <w:rPr>
          <w:rFonts w:ascii="Times New Roman" w:hAnsi="Times New Roman" w:cs="Times New Roman"/>
        </w:rPr>
        <w:fldChar w:fldCharType="end"/>
      </w:r>
      <w:r w:rsidRPr="00ED5246">
        <w:rPr>
          <w:rFonts w:ascii="Times New Roman" w:hAnsi="Times New Roman" w:cs="Times New Roman"/>
        </w:rPr>
        <w:t>.</w:t>
      </w:r>
    </w:p>
    <w:p w14:paraId="6C73B9AA" w14:textId="75ADF3BC" w:rsidR="004579D2" w:rsidRPr="00D05B14" w:rsidRDefault="004579D2" w:rsidP="00A04BF9">
      <w:pPr>
        <w:spacing w:after="0" w:line="480" w:lineRule="auto"/>
        <w:jc w:val="both"/>
        <w:rPr>
          <w:rFonts w:ascii="Times New Roman" w:hAnsi="Times New Roman" w:cs="Times New Roman"/>
          <w:i/>
          <w:iCs/>
          <w:color w:val="EE0000"/>
        </w:rPr>
      </w:pPr>
      <w:bookmarkStart w:id="16" w:name="_Hlk182828962"/>
      <w:r w:rsidRPr="00ED5246">
        <w:rPr>
          <w:rFonts w:ascii="Times New Roman" w:hAnsi="Times New Roman" w:cs="Times New Roman"/>
          <w:b/>
          <w:bCs/>
        </w:rPr>
        <w:t xml:space="preserve">Caregiver support. </w:t>
      </w:r>
      <w:r w:rsidRPr="00ED5246">
        <w:rPr>
          <w:rFonts w:ascii="Times New Roman" w:hAnsi="Times New Roman" w:cs="Times New Roman"/>
        </w:rPr>
        <w:t xml:space="preserve">Quantitative </w:t>
      </w:r>
      <w:r>
        <w:rPr>
          <w:rFonts w:ascii="Times New Roman" w:hAnsi="Times New Roman" w:cs="Times New Roman"/>
        </w:rPr>
        <w:t>evidence</w:t>
      </w:r>
      <w:r w:rsidRPr="00ED5246">
        <w:rPr>
          <w:rFonts w:ascii="Times New Roman" w:hAnsi="Times New Roman" w:cs="Times New Roman"/>
        </w:rPr>
        <w:t xml:space="preserve"> indicated that the availability of caregiver support facilitated transitions to home care (n=</w:t>
      </w:r>
      <w:r>
        <w:rPr>
          <w:rFonts w:ascii="Times New Roman" w:hAnsi="Times New Roman" w:cs="Times New Roman"/>
        </w:rPr>
        <w:t>1</w:t>
      </w:r>
      <w:r w:rsidRPr="00ED5246">
        <w:rPr>
          <w:rFonts w:ascii="Times New Roman" w:hAnsi="Times New Roman" w:cs="Times New Roman"/>
        </w:rPr>
        <w:t xml:space="preserve">)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smZQpihJ","properties":{"formattedCitation":"[28]","plainCitation":"[28]","noteIndex":0},"citationItems":[{"id":1415,"uris":["http://zotero.org/users/local/LM1vrYZg/items/XCTDBSK7","http://zotero.org/users/7655466/items/XCTDBSK7"],"itemData":{"id":1415,"type":"report","title":"Seniors in Transition - Exploring Pathways Across the Care Continuum","URL":"https://www.cihi.ca/sites/default/files/document/seniors-in-transition-report-2017-en.pdf","author":[{"literal":"Canadian Institute for Health Information,"}],"accessed":{"date-parts":[["2022",12,9]]},"issued":{"date-parts":[["2017"]]}}}],"schema":"https://github.com/citation-style-language/schema/raw/master/csl-citation.json"}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[28]</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color w:val="EE0000"/>
        </w:rPr>
        <w:t xml:space="preserve"> </w:t>
      </w:r>
      <w:r w:rsidRPr="00976D8A">
        <w:rPr>
          <w:rFonts w:ascii="Times New Roman" w:hAnsi="Times New Roman" w:cs="Times New Roman"/>
          <w:color w:val="000000" w:themeColor="text1"/>
        </w:rPr>
        <w:t xml:space="preserve">Qualitative studies further emphasized the </w:t>
      </w:r>
      <w:r>
        <w:rPr>
          <w:rFonts w:ascii="Times New Roman" w:hAnsi="Times New Roman" w:cs="Times New Roman"/>
          <w:color w:val="000000" w:themeColor="text1"/>
        </w:rPr>
        <w:t>critical</w:t>
      </w:r>
      <w:r w:rsidRPr="00976D8A">
        <w:rPr>
          <w:rFonts w:ascii="Times New Roman" w:hAnsi="Times New Roman" w:cs="Times New Roman"/>
          <w:color w:val="000000" w:themeColor="text1"/>
        </w:rPr>
        <w:t xml:space="preserve"> role of caregiver involvement. In particular, active participation of relatives and collaborative discharge planning</w:t>
      </w:r>
      <w:r>
        <w:rPr>
          <w:rFonts w:ascii="Times New Roman" w:hAnsi="Times New Roman" w:cs="Times New Roman"/>
          <w:color w:val="000000" w:themeColor="text1"/>
        </w:rPr>
        <w:t xml:space="preserve"> (n=1)</w:t>
      </w:r>
      <w:r w:rsidR="00A04BF9">
        <w:rPr>
          <w:rFonts w:ascii="Times New Roman" w:hAnsi="Times New Roman" w:cs="Times New Roman"/>
          <w:color w:val="000000" w:themeColor="text1"/>
        </w:rPr>
        <w:t xml:space="preserve"> </w:t>
      </w:r>
      <w:r w:rsidR="00A04BF9">
        <w:rPr>
          <w:rFonts w:ascii="Times New Roman" w:hAnsi="Times New Roman" w:cs="Times New Roman"/>
          <w:color w:val="000000" w:themeColor="text1"/>
        </w:rPr>
        <w:fldChar w:fldCharType="begin"/>
      </w:r>
      <w:r w:rsidR="00A04BF9">
        <w:rPr>
          <w:rFonts w:ascii="Times New Roman" w:hAnsi="Times New Roman" w:cs="Times New Roman"/>
          <w:color w:val="000000" w:themeColor="text1"/>
        </w:rPr>
        <w:instrText xml:space="preserve"> ADDIN ZOTERO_ITEM CSL_CITATION {"citationID":"f9BXFMQc","properties":{"formattedCitation":"[66]","plainCitation":"[66]","noteIndex":0},"citationItems":[{"id":81856,"uris":["http://zotero.org/users/7655466/items/PNI3NS9K"],"itemData":{"id":81856,"type":"article-journal","abstract":"BACKGROUND: Older people often have multiple health conditions and therefore extended care needs. The transition from the hospital back to their home requires careful planning. The fragmented healthcare system and rapid discharge from the hospital can result in limited involvement of the older patient in the discharge planning process. We aimed to explore how older hospitalised patients experienced the transition from hospital to home and how possibilities and constraints in interactions with relevant parties in the transition affected their everyday lives.\nMETHOD: An ethnographic participant observation study including interviews was conducted with 10 older hospitalised patients. The theoretical perspective in the study is critical psychology and data were analysed using the condition-, meaning- and reasoning analysis.\nRESULTS: Three themes were identified: (1) Lost in transition - the person's ability to act is limited, (2) In transition - the relatives become important, (3) At home - the home transforms into a workplace.\nCONCLUSION: Lack of involvement becomes a condition for older patients as some struggle to create meaning in their transition, affecting their everyday lives. The patients experienced their relatives as important as they ensured that the HCPs got to know their values and wishes. This knowledge is important for HCPs working closely with older people both at the hospital and at home ensuring active involvement of the older person with respect and acknowledgement of the older person's wishes, needs, resources and vulnerability.","container-title":"Scandinavian Journal of Caring Sciences","DOI":"10.1111/scs.13257","ISSN":"1471-6712","issue":"3","journalAbbreviation":"Scand J Caring Sci","language":"eng","note":"PMID: 38610099","page":"745-755","source":"PubMed","title":"In the footstep of the old patient from hospital to home: A qualitative field observation study","title-short":"In the footstep of the old patient from hospital to home","volume":"38","author":[{"family":"Beck","given":"Sanne Have"},{"family":"Eilertsen","given":"Grethe"},{"family":"Andersen-Ranberg","given":"Karen"},{"family":"Janssens","given":"Astrid"},{"family":"Nielsen","given":"Dorthe Susanne"}],"issued":{"date-parts":[["2024",9]]}}}],"schema":"https://github.com/citation-style-language/schema/raw/master/csl-citation.json"} </w:instrText>
      </w:r>
      <w:r w:rsidR="00A04BF9">
        <w:rPr>
          <w:rFonts w:ascii="Times New Roman" w:hAnsi="Times New Roman" w:cs="Times New Roman"/>
          <w:color w:val="000000" w:themeColor="text1"/>
        </w:rPr>
        <w:fldChar w:fldCharType="separate"/>
      </w:r>
      <w:r w:rsidR="00A04BF9" w:rsidRPr="00A04BF9">
        <w:rPr>
          <w:rFonts w:ascii="Times New Roman" w:hAnsi="Times New Roman" w:cs="Times New Roman"/>
        </w:rPr>
        <w:t>[66]</w:t>
      </w:r>
      <w:r w:rsidR="00A04BF9">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976D8A">
        <w:rPr>
          <w:rFonts w:ascii="Times New Roman" w:hAnsi="Times New Roman" w:cs="Times New Roman"/>
          <w:color w:val="000000" w:themeColor="text1"/>
        </w:rPr>
        <w:t>were found to promote successful transitions, while excluding carers from these processes led to stress and uncertainty (n=2)</w:t>
      </w:r>
      <w:r w:rsidR="00A04BF9">
        <w:rPr>
          <w:rFonts w:ascii="Times New Roman" w:hAnsi="Times New Roman" w:cs="Times New Roman"/>
          <w:color w:val="000000" w:themeColor="text1"/>
        </w:rPr>
        <w:t xml:space="preserve"> </w:t>
      </w:r>
      <w:r w:rsidR="00A04BF9">
        <w:rPr>
          <w:rFonts w:ascii="Times New Roman" w:hAnsi="Times New Roman" w:cs="Times New Roman"/>
          <w:color w:val="000000" w:themeColor="text1"/>
        </w:rPr>
        <w:fldChar w:fldCharType="begin"/>
      </w:r>
      <w:r w:rsidR="00A04BF9">
        <w:rPr>
          <w:rFonts w:ascii="Times New Roman" w:hAnsi="Times New Roman" w:cs="Times New Roman"/>
          <w:color w:val="000000" w:themeColor="text1"/>
        </w:rPr>
        <w:instrText xml:space="preserve"> ADDIN ZOTERO_ITEM CSL_CITATION {"citationID":"4cNW06Vs","properties":{"formattedCitation":"[66,67]","plainCitation":"[66,67]","noteIndex":0},"citationItems":[{"id":81856,"uris":["http://zotero.org/users/7655466/items/PNI3NS9K"],"itemData":{"id":81856,"type":"article-journal","abstract":"BACKGROUND: Older people often have multiple health conditions and therefore extended care needs. The transition from the hospital back to their home requires careful planning. The fragmented healthcare system and rapid discharge from the hospital can result in limited involvement of the older patient in the discharge planning process. We aimed to explore how older hospitalised patients experienced the transition from hospital to home and how possibilities and constraints in interactions with relevant parties in the transition affected their everyday lives.\nMETHOD: An ethnographic participant observation study including interviews was conducted with 10 older hospitalised patients. The theoretical perspective in the study is critical psychology and data were analysed using the condition-, meaning- and reasoning analysis.\nRESULTS: Three themes were identified: (1) Lost in transition - the person's ability to act is limited, (2) In transition - the relatives become important, (3) At home - the home transforms into a workplace.\nCONCLUSION: Lack of involvement becomes a condition for older patients as some struggle to create meaning in their transition, affecting their everyday lives. The patients experienced their relatives as important as they ensured that the HCPs got to know their values and wishes. This knowledge is important for HCPs working closely with older people both at the hospital and at home ensuring active involvement of the older person with respect and acknowledgement of the older person's wishes, needs, resources and vulnerability.","container-title":"Scandinavian Journal of Caring Sciences","DOI":"10.1111/scs.13257","ISSN":"1471-6712","issue":"3","journalAbbreviation":"Scand J Caring Sci","language":"eng","note":"PMID: 38610099","page":"745-755","source":"PubMed","title":"In the footstep of the old patient from hospital to home: A qualitative field observation study","title-short":"In the footstep of the old patient from hospital to home","volume":"38","author":[{"family":"Beck","given":"Sanne Have"},{"family":"Eilertsen","given":"Grethe"},{"family":"Andersen-Ranberg","given":"Karen"},{"family":"Janssens","given":"Astrid"},{"family":"Nielsen","given":"Dorthe Susanne"}],"issued":{"date-parts":[["2024",9]]}}},{"id":81853,"uris":["http://zotero.org/users/7655466/items/RYQ23GIG"],"itemData":{"id":81853,"type":"article-journal","abstract":"People post-hip fracture have reported experiences of fragmented care and poor discharge planning, therefore improvements in patient flow are required. This study reports the challenges people face during the discharge process and offers potential solutions for improving the transition from hospital to home from the perspectives of patients, carers, and health professionals.","container-title":"BMC Geriatrics","DOI":"10.1186/s12877-024-05390-7","ISSN":"1471-2318","issue":"1","journalAbbreviation":"BMC Geriatrics","page":"948","source":"BioMed Central","title":"Facilitating the transition from hospital to home after hip fracture surgery: a qualitative study from the HIP HELPER trial","title-short":"Facilitating the transition from hospital to home after hip fracture surgery","volume":"24","author":[{"family":"Welsh","given":"A."},{"family":"Hanson","given":"S."},{"family":"Pfeiffer","given":"K."},{"family":"Khoury","given":"R."},{"family":"Clark","given":"A."},{"family":"Grant","given":"K."},{"family":"Ashford","given":"P-A"},{"family":"Hopewell","given":"S."},{"family":"Logan","given":"PA"},{"family":"Crotty","given":"M."},{"family":"Costa","given":"ML"},{"family":"Lamb","given":"SE"},{"family":"Smith","given":"TO"},{"family":"Clifford","given":"Penny"},{"family":"Freeman","given":"Lis"},{"family":"Gray","given":"Rene"},{"family":"Paget","given":"James"},{"family":"Cunningham","given":"Yan"},{"family":"Langford","given":"Sarah"},{"family":"Baxter","given":"Mark"},{"family":"Pawson","given":"Jessica"},{"family":"Taylor","given":"Melissa"},{"family":"Mellows","given":"Anna"},{"family":"Lacey","given":"Kate"},{"family":"Herring","given":"Alex"},{"family":"Williams","given":"Diane"},{"family":"Cromie","given":"Anna"},{"family":"Menton","given":"Gail"},{"family":"Corbett","given":"Warren"},{"family":"Jowett","given":"Helen"},{"family":"Joshi","given":"Vishwanath"},{"family":"Matharu","given":"Maninderpal"},{"family":"Baggot","given":"Maria"},{"family":"Barker","given":"David"},{"family":"Dutton","given":"Susan"},{"family":"Sahota","given":"Opinder"},{"family":"Sheehan","given":"Katie"},{"literal":"on behalf of the HIP HELPER Study Collaborators"}],"issued":{"date-parts":[["2024",11,15]]}}}],"schema":"https://github.com/citation-style-language/schema/raw/master/csl-citation.json"} </w:instrText>
      </w:r>
      <w:r w:rsidR="00A04BF9">
        <w:rPr>
          <w:rFonts w:ascii="Times New Roman" w:hAnsi="Times New Roman" w:cs="Times New Roman"/>
          <w:color w:val="000000" w:themeColor="text1"/>
        </w:rPr>
        <w:fldChar w:fldCharType="separate"/>
      </w:r>
      <w:r w:rsidR="00A04BF9" w:rsidRPr="00A04BF9">
        <w:rPr>
          <w:rFonts w:ascii="Times New Roman" w:hAnsi="Times New Roman" w:cs="Times New Roman"/>
        </w:rPr>
        <w:t>[66,67]</w:t>
      </w:r>
      <w:r w:rsidR="00A04BF9">
        <w:rPr>
          <w:rFonts w:ascii="Times New Roman" w:hAnsi="Times New Roman" w:cs="Times New Roman"/>
          <w:color w:val="000000" w:themeColor="text1"/>
        </w:rPr>
        <w:fldChar w:fldCharType="end"/>
      </w:r>
      <w:r w:rsidRPr="00976D8A">
        <w:rPr>
          <w:rFonts w:ascii="Times New Roman" w:hAnsi="Times New Roman" w:cs="Times New Roman"/>
          <w:color w:val="000000" w:themeColor="text1"/>
        </w:rPr>
        <w:t>.</w:t>
      </w:r>
      <w:r>
        <w:rPr>
          <w:rFonts w:ascii="Times New Roman" w:hAnsi="Times New Roman" w:cs="Times New Roman"/>
          <w:color w:val="000000" w:themeColor="text1"/>
        </w:rPr>
        <w:t xml:space="preserve"> </w:t>
      </w:r>
      <w:r>
        <w:rPr>
          <w:rFonts w:ascii="Times New Roman" w:hAnsi="Times New Roman" w:cs="Times New Roman"/>
        </w:rPr>
        <w:t>Q</w:t>
      </w:r>
      <w:r w:rsidRPr="00ED5246">
        <w:rPr>
          <w:rFonts w:ascii="Times New Roman" w:hAnsi="Times New Roman" w:cs="Times New Roman"/>
        </w:rPr>
        <w:t xml:space="preserve">ualitative </w:t>
      </w:r>
      <w:r>
        <w:rPr>
          <w:rFonts w:ascii="Times New Roman" w:hAnsi="Times New Roman" w:cs="Times New Roman"/>
        </w:rPr>
        <w:t>findings also</w:t>
      </w:r>
      <w:r w:rsidRPr="00ED5246">
        <w:rPr>
          <w:rFonts w:ascii="Times New Roman" w:hAnsi="Times New Roman" w:cs="Times New Roman"/>
        </w:rPr>
        <w:t xml:space="preserve"> </w:t>
      </w:r>
      <w:r>
        <w:rPr>
          <w:rFonts w:ascii="Times New Roman" w:hAnsi="Times New Roman" w:cs="Times New Roman"/>
        </w:rPr>
        <w:t>highlighted</w:t>
      </w:r>
      <w:r w:rsidRPr="00ED5246">
        <w:rPr>
          <w:rFonts w:ascii="Times New Roman" w:hAnsi="Times New Roman" w:cs="Times New Roman"/>
        </w:rPr>
        <w:t xml:space="preserve"> several </w:t>
      </w:r>
      <w:r>
        <w:rPr>
          <w:rFonts w:ascii="Times New Roman" w:hAnsi="Times New Roman" w:cs="Times New Roman"/>
        </w:rPr>
        <w:t xml:space="preserve">barriers, including </w:t>
      </w:r>
      <w:r w:rsidRPr="00ED5246">
        <w:rPr>
          <w:rFonts w:ascii="Times New Roman" w:hAnsi="Times New Roman" w:cs="Times New Roman"/>
        </w:rPr>
        <w:t>caregiver unpreparedness</w:t>
      </w:r>
      <w:r>
        <w:rPr>
          <w:rFonts w:ascii="Times New Roman" w:hAnsi="Times New Roman" w:cs="Times New Roman"/>
        </w:rPr>
        <w:t xml:space="preserve"> (n=1)</w:t>
      </w:r>
      <w:r w:rsidRPr="00ED5246">
        <w:rPr>
          <w:rFonts w:ascii="Times New Roman" w:hAnsi="Times New Roman" w:cs="Times New Roman"/>
        </w:rPr>
        <w:t>, burnout and stress</w:t>
      </w:r>
      <w:r>
        <w:rPr>
          <w:rFonts w:ascii="Times New Roman" w:hAnsi="Times New Roman" w:cs="Times New Roman"/>
        </w:rPr>
        <w:t xml:space="preserve"> (n=1)</w:t>
      </w:r>
      <w:r w:rsidRPr="00ED5246">
        <w:rPr>
          <w:rFonts w:ascii="Times New Roman" w:hAnsi="Times New Roman" w:cs="Times New Roman"/>
        </w:rPr>
        <w:t>, insufficient informal support</w:t>
      </w:r>
      <w:r>
        <w:rPr>
          <w:rFonts w:ascii="Times New Roman" w:hAnsi="Times New Roman" w:cs="Times New Roman"/>
        </w:rPr>
        <w:t xml:space="preserve"> (n=1)</w:t>
      </w:r>
      <w:r w:rsidRPr="00ED5246">
        <w:rPr>
          <w:rFonts w:ascii="Times New Roman" w:hAnsi="Times New Roman" w:cs="Times New Roman"/>
        </w:rPr>
        <w:t>, and variations in family capacity</w:t>
      </w:r>
      <w:r>
        <w:rPr>
          <w:rFonts w:ascii="Times New Roman" w:hAnsi="Times New Roman" w:cs="Times New Roman"/>
        </w:rPr>
        <w:t xml:space="preserve"> to provide care </w:t>
      </w:r>
      <w:r w:rsidRPr="00ED5246">
        <w:rPr>
          <w:rFonts w:ascii="Times New Roman" w:hAnsi="Times New Roman" w:cs="Times New Roman"/>
        </w:rPr>
        <w:t>(n=</w:t>
      </w:r>
      <w:r>
        <w:rPr>
          <w:rFonts w:ascii="Times New Roman" w:hAnsi="Times New Roman" w:cs="Times New Roman"/>
        </w:rPr>
        <w:t>1</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{"citationID":"ZagokkUR","properties":{"formattedCitation":"[65,68,69]","plainCitation":"[65,68,69]","noteIndex":0},"citationItems":[{"id":36288,"uris":["http://zotero.org/groups/5108666/items/GHIJDXKF"],"itemData":{"id":36288,"type":"article-journal","abstract":"Background: An increasing proportion of older adults experience avoidable hospitalizations, and some are potentially entering long-term care homes earlier and often unnecessarily. Older adults often lack adequate support to transition from hospital to home, without access to appropriate health services when they are needed in the community and resources to live safely at home. Purpose: This study collaborated with an existing enhanced home care program called Home Again in Nova Scotia, to identify factors that contribute to older adult patients being assessed as requiring long-term care when they could potentially return home with enhanced supports. Methods: Using a case study design, this study examined in-depth experiences of multiple stakeholders, from December 2019 to February 2020, through analysis of nine interviews for three focal patient cases including older adult patients, their family or friend caregivers, and healthcare professionals. Results: Findings indicate home care services for older adults are being sought too late, after hospital readmission, or a rapid decline in health status when family caregivers are already experiencing caregiver burnout. Limitations in home care services led to barriers preventing family caregivers from continuing to care for older adults at home. Conclusions: This study contributes knowledge about gaps within home care and transitional care services, highlighting the importance of investing in additional home care services for rehabilitation and prevention of rapidly deteriorating health.","archive":"cin20","container-title":"Canadian Journal of Nursing Research","DOI":"10.1177/08445621211044333","ISSN":"0844-5621","issue":"4","journalAbbreviation":"Canadian Journal of Nursing Research","page":"483-496","source":"EBSCOhost","title":"Hospital to Home: Supporting the Transition From Hospital to Home for Older Adults.","volume":"54","author":[{"family":"Barber","given":"Brittany"},{"family":"Weeks","given":"Lori"},{"family":"Steeves-Dorey","given":"Lexie"},{"family":"McVeigh","given":"Wendy"},{"family":"Stevens","given":"Susan"},{"family":"Moody","given":"Elaine"},{"family":"Warner","given":"Grace"}],"issued":{"date-parts":[["2022",12]]}}},{"id":67892,"uris":["http://zotero.org/groups/5108666/items/JN5DIA9H"],"itemData":{"id":67892,"type":"article-journal","abstract":"This series of personal stories about hospital discharge experiences expose how fraught this transition can be. Not only do the authors reveal personal angst, feelings of endangerment, frank safety problems, lack of structural supports, but even more concerning are their perceptions of callous disregard, lack of adequate preparation and education, and unilateral decision-making by the health care teams. The \"invisible hand\" of our corporate health care system percolates, with some authors questioning whether the health professionals are advocating for their (i.e., the patient's) best interest or the best interest of their institution. There are also some shining examples though-moments when a health care team member takes the time, listens, problem-solves, advocates and expresses concern. In this commentary I will explore common themes in the narratives, and conclude with some suggestions-some simple, others aspirational, for how to make the discharge process more patient-centered and less traumatic for all moving forward.","container-title":"Narrative Inquiry in Bioethics","DOI":"10.1353/nib.2020.0067","ISSN":"2157-1740","issue":"3","journalAbbreviation":"Narrat Inq Bioeth","language":"eng","note":"PMID: 33583854","page":"223-230","source":"PubMed","title":"Drama and Trauma: Unpacking Moral Distress in the Context of Discharge Planning","title-short":"Drama and Trauma","volume":"10","author":[{"family":"Kirschner","given":"Kristi L."}],"issued":{"date-parts":[["2020"]]}}},{"id":40840,"uris":["http://zotero.org/groups/5108666/items/JQUQLFPP"],"itemData":{"id":40840,"type":"article-journal","abstract":"This study identifies factors U.S. Department of Veterans Affairs (VA) staff perceived to promote or impede home- and community-based services (HCBS) placement post-hospital discharge among Veterans cared for within the VA. Data derive from 35 semi-structured interviews with staff from 12 VA medical centers from around the country. VA staff reported that Veteran's care needs and social and financial resources influence HCBS placement. They also reported prerequisites for successful placement, including housing, unpaid informal care, and non-VA services funded privately and by public programs such as Medicaid and the Older Americans Act. Lack of staffing and failure to offer the specific types of services needed limit referral to and use of HCBS. Budgetary imperatives influence the relative availability of HCBS across VA medical centers. Findings highlight patient-, provider-, and system-level constraints that impede successful placement at home and in the community of Veterans in need of long-term services and supports after hospitalization.","archive":"Ovid MEDLINE(R) &lt;2019&gt;","container-title":"Journal of aging &amp; social policy","DOI":"10.1080/08959420.2018.1444889","ISSN":"1545-0821","issue":"1","journalAbbreviation":"J Aging Soc Policy","page":"1-29","title":"VA Staff Perceptions of Barriers and Facilitators to Home-and Community-Based Placement Post-Hospital Discharge.","volume":"31","author":[{"family":"Miller","given":"Edward Alan"},{"family":"Intrator","given":"Orna"},{"family":"Gadbois","given":"Emily"},{"family":"Gidmark","given":"Stefanie"},{"family":"Rudolph","given":"James L"}],"issued":{"date-parts":[["2019"]]}}}],"schema":"https://github.com/citation-style-language/schema/raw/master/csl-citation.json"}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[65,68,69]</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r w:rsidRPr="00084D61">
        <w:rPr>
          <w:rFonts w:ascii="Times New Roman" w:hAnsi="Times New Roman" w:cs="Times New Roman"/>
        </w:rPr>
        <w:t xml:space="preserve">Systematic reviews reinforced these </w:t>
      </w:r>
      <w:r>
        <w:rPr>
          <w:rFonts w:ascii="Times New Roman" w:hAnsi="Times New Roman" w:cs="Times New Roman"/>
        </w:rPr>
        <w:t>observations</w:t>
      </w:r>
      <w:r w:rsidRPr="00084D61">
        <w:rPr>
          <w:rFonts w:ascii="Times New Roman" w:hAnsi="Times New Roman" w:cs="Times New Roman"/>
        </w:rPr>
        <w:t xml:space="preserve">, </w:t>
      </w:r>
      <w:r>
        <w:rPr>
          <w:rFonts w:ascii="Times New Roman" w:hAnsi="Times New Roman" w:cs="Times New Roman"/>
        </w:rPr>
        <w:t>reporting</w:t>
      </w:r>
      <w:r w:rsidRPr="00084D61">
        <w:rPr>
          <w:rFonts w:ascii="Times New Roman" w:hAnsi="Times New Roman" w:cs="Times New Roman"/>
        </w:rPr>
        <w:t xml:space="preserve"> the negative impact of overwhelmed and unprepared caregivers on transitions</w:t>
      </w:r>
      <w:r>
        <w:rPr>
          <w:rFonts w:ascii="Times New Roman" w:hAnsi="Times New Roman" w:cs="Times New Roman"/>
        </w:rPr>
        <w:t xml:space="preserve"> </w:t>
      </w:r>
      <w:r w:rsidRPr="00ED5246">
        <w:rPr>
          <w:rFonts w:ascii="Times New Roman" w:hAnsi="Times New Roman" w:cs="Times New Roman"/>
        </w:rPr>
        <w:t xml:space="preserve">(n=3)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{"citationID":"Jm7jxgkR","properties":{"formattedCitation":"[38,70,71]","plainCitation":"[38,70,71]","noteIndex":0},"citationItems":[{"id":67849,"uris":["http://zotero.org/groups/5108666/items/J9ZNK6VX"],"itemData":{"id":67849,"type":"webpage","abstract":"The decision to transition yourself or a loved one to a long-term care facility is not an easy one. Luckily, research exists to help you learn about your long-term care options and support you through the decision-making process.","container-title":"Default","language":"en","title":"Evidence-based considerations around long-term care","URL":"https://www.mcmasteroptimalaging.org/blog/detail/blog/2022/08/31/evidence-based-considerations-around-long-term-care","author":[{"family":"University","given":"McMaster"}],"accessed":{"date-parts":[["2023",7,30]]}}},{"id":69673,"uris":["http://zotero.org/users/7655466/items/2MWYFBXI"],"itemData":{"id":69673,"type":"article-journal","abstract":"BACKGROUND: Chronic diseases are long-term, recurring and prolonged, requiring frequent travel to and from the hospital, community, and home settings to access different levels of care. Hospital-to-home transition is challenging travel for elderly patients with chronic diseases. Unhealthy care transition practices may be associated with an increased risk of adverse outcomes and readmission rates. The safety and quality of care transitions have gained global attention, and healthcare providers have a responsibility to help older adults make a smooth, safe, and healthy transition.\nOBJECTIVE: This study aims to provide a more comprehensive understanding of what may shape health transitions in older adults from multiple perspectives, including older chronic patients, caregivers, and healthcare providers.\nMETHODS: Six databases were searched during January 2022, including Pubmed, web of science, Cochrane, Embase, CINAHL (EBSCO), and PsycINFO (Ovid). The qualitative meta-synthesis was performed following the Preferred Reporting Items for Systematic Reviews and Meta-Analyses (PRISMA) recommendations. The quality of included studies was appraised using the Critical Appraisal Skills Programme (CASP) qualitative research appraisal tool. A narrative synthesis was conducted informed by Meleis's Theory of Transition.\nRESULTS: Seventeen studies identified individual and community-focused facilitators and inhibitors mapped to three themes, older adult resilience, relationships and connections, and uninterrupted care transfer supply chain.\nCONCLUSION: This study identified potential transition facilitators and inhibitors for incoming older adults transitioning from hospital to home, and these findings may inform the development of interventions to target resilience in adapting to a new home environment, and human relations and connections for building partnerships, as well as an uninterrupted supply chain of care transfer at hospital-home delivery.\nSYSTEMATIC REVIEW REGISTRATION: www.crd.york.ac.uk/prospero/, identifier: CRD42022350478.","container-title":"Frontiers in Public Health","DOI":"10.3389/fpubh.2023.1047723","ISSN":"2296-2565","journalAbbreviation":"Front Public Health","language":"eng","note":"PMID: 36860385\nPMCID: PMC9969141","page":"1047723","source":"PubMed","title":"Facilitators and inhibitors in hospital-to-home transitional care for elderly patients with chronic diseases: A meta-synthesis of qualitative studies","title-short":"Facilitators and inhibitors in hospital-to-home transitional care for elderly patients with chronic diseases","volume":"11","author":[{"family":"Sun","given":"Mengjie"},{"family":"Liu","given":"Lamei"},{"family":"Wang","given":"Jianan"},{"family":"Zhuansun","given":"Mengyao"},{"family":"Xu","given":"Tongyao"},{"family":"Qian","given":"Yumeng"},{"family":"Dela Rosa","given":"Ronnell"}],"issued":{"date-parts":[["2023"]]}}},{"id":67943,"uris":["http://zotero.org/groups/5108666/items/TAIRWP23"],"itemData":{"id":67943,"type":"article-journal","container-title":"Stroke","DOI":"10.1161/STROKEAHA.116.012095","issue":"11","note":"publisher: American Heart Association","page":"e246-e249","source":"ahajournals.org (Atypon)","title":"Nursing’s Role in Successful Transitions Across Settings","volume":"47","author":[{"family":"Camicia","given":"Michelle"},{"family":"Lutz","given":"Barbara J."}],"issued":{"date-parts":[["2016",11]]}}}],"schema":"https://github.com/citation-style-language/schema/raw/master/csl-citation.json"}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[38,70,71]</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p>
    <w:bookmarkEnd w:id="16"/>
    <w:p w14:paraId="2EA6A97E" w14:textId="1D3F1E12"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b/>
          <w:bCs/>
        </w:rPr>
        <w:t xml:space="preserve">Health conditions. </w:t>
      </w:r>
      <w:r w:rsidRPr="00ED5246">
        <w:rPr>
          <w:rFonts w:ascii="Times New Roman" w:eastAsia="Aptos" w:hAnsi="Times New Roman" w:cs="Times New Roman"/>
        </w:rPr>
        <w:t>An advanced</w:t>
      </w:r>
      <w:r w:rsidRPr="00ED5246">
        <w:rPr>
          <w:rFonts w:ascii="Times New Roman" w:hAnsi="Times New Roman" w:cs="Times New Roman"/>
        </w:rPr>
        <w:t xml:space="preserve"> comorbidity burden</w:t>
      </w:r>
      <w:r>
        <w:rPr>
          <w:rFonts w:ascii="Times New Roman" w:hAnsi="Times New Roman" w:cs="Times New Roman"/>
        </w:rPr>
        <w:t xml:space="preserve"> was associated with reduced likelihood of transition to home care, </w:t>
      </w:r>
      <w:r w:rsidRPr="00ED5246">
        <w:rPr>
          <w:rFonts w:ascii="Times New Roman" w:hAnsi="Times New Roman" w:cs="Times New Roman"/>
        </w:rPr>
        <w:t>particularly</w:t>
      </w:r>
      <w:r>
        <w:rPr>
          <w:rFonts w:ascii="Times New Roman" w:hAnsi="Times New Roman" w:cs="Times New Roman"/>
        </w:rPr>
        <w:t xml:space="preserve"> in cases of</w:t>
      </w:r>
      <w:r w:rsidRPr="00ED5246">
        <w:rPr>
          <w:rFonts w:ascii="Times New Roman" w:hAnsi="Times New Roman" w:cs="Times New Roman"/>
        </w:rPr>
        <w:t xml:space="preserve"> metastatic cancer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{"citationID":"970TExEW","properties":{"formattedCitation":"[56]","plainCitation":"[56]","noteIndex":0},"citationItems":[{"id":42168,"uris":["http://zotero.org/groups/5108666/items/H2MK6WWE"],"itemData":{"id":42168,"type":"article-journal","abstract":"BACKGROUND: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[56]</w:t>
      </w:r>
      <w:r w:rsidRPr="00ED5246">
        <w:rPr>
          <w:rFonts w:ascii="Times New Roman" w:hAnsi="Times New Roman" w:cs="Times New Roman"/>
        </w:rPr>
        <w:fldChar w:fldCharType="end"/>
      </w:r>
      <w:r>
        <w:rPr>
          <w:rFonts w:ascii="Times New Roman" w:hAnsi="Times New Roman" w:cs="Times New Roman"/>
        </w:rPr>
        <w:t xml:space="preserve"> and heart failure (n=1)</w:t>
      </w:r>
      <w:r w:rsidRPr="00ED524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{"citationID":"iMhLK0hf","properties":{"formattedCitation":"[61]","plainCitation":"[61]","noteIndex":0},"citationItems":[{"id":81843,"uris":["http://zotero.org/users/7655466/items/TZRCJMEY"],"itemData":{"id":81843,"type":"article-journal","abstract":"Objective:\nThe demand for long-term care in community and facilitybased settings in Canada is expected to increase with population growth. The Toronto Grace Health Center piloted an intervention program that aims to support return to the community of acute hospital patients designated for LTC placement. We investigated whether this program was effective in transitioning the program patients back to their homes in the community and the factors associated with transitioning patients to different destinations.\n\nMethod:\nWe performed a competing risk multi-state analysis of 111 patients enrolled into the Harbour Light (HL) transitional unit program between January 2020 and June 2023.\n\nResults:\nAt the time of the study, 92 enrolled patients had been discharged and of those these, 48.9% (45) were successfully transitioned back to their private home in the community. The remaining 51.1% (46) were discharged to other destinations. Being a female was the only positive predictor of transitioning back home. Higher CPS scores (HR 0.53, 95% CI 0.31-0.88), PADDRS scale of 1+, and higher ADL Hierarchy scale, strongly predicted lower odds of transitioning back to the community.\n\nConclusion:\nWithin the context of rising LTC bed demand and lengthy waiting time in Canada, with appropriate measures, this program successfully transitioned LTC home bound persons back to their homes. If replicable on a large scale, this could provide short and long-term solution to LTC bed demand in Canada.","container-title":"Journal of Primary Care &amp; Community Health","DOI":"10.1177/21501319231220742","ISSN":"2150-1319","journalAbbreviation":"J Prim Care Community Health","note":"PMID: 38131104\nPMCID: PMC10748573","page":"21501319231220742","source":"PubMed Central","title":"Multistate Competing Risk Analysis of Transition Back to the Community Among Long-Term Care Home (LTC) Destined Patients: A Brief Report","title-short":"Multistate Competing Risk Analysis of Transition Back to the Community Among Long-Term Care Home (LTC) Destined Patients","volume":"14","author":[{"family":"Egbujie","given":"Bonaventure A."},{"family":"Tran","given":"Jake"},{"family":"Hirdes","given":"John P."}],"issued":{"date-parts":[["2023",12,22]]}}}],"schema":"https://github.com/citation-style-language/schema/raw/master/csl-citation.json"} </w:instrText>
      </w:r>
      <w:r>
        <w:rPr>
          <w:rFonts w:ascii="Times New Roman" w:hAnsi="Times New Roman" w:cs="Times New Roman"/>
        </w:rPr>
        <w:fldChar w:fldCharType="separate"/>
      </w:r>
      <w:r w:rsidRPr="00DF28C8">
        <w:rPr>
          <w:rFonts w:ascii="Times New Roman" w:hAnsi="Times New Roman" w:cs="Times New Roman"/>
        </w:rPr>
        <w:t>[61]</w:t>
      </w:r>
      <w:r>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Regarding cognitive </w:t>
      </w:r>
      <w:r>
        <w:rPr>
          <w:rFonts w:ascii="Times New Roman" w:hAnsi="Times New Roman" w:cs="Times New Roman"/>
        </w:rPr>
        <w:t>health</w:t>
      </w:r>
      <w:r w:rsidRPr="00ED5246">
        <w:rPr>
          <w:rFonts w:ascii="Times New Roman" w:hAnsi="Times New Roman" w:cs="Times New Roman"/>
        </w:rPr>
        <w:t xml:space="preserve">, higher Mini-Mental State Examination (MMSE) scores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AFZZgAuB","properties":{"formattedCitation":"[31]","plainCitation":"[31]","noteIndex":0},"citationItems":[{"id":50901,"uris":["http://zotero.org/groups/5108666/items/DUTVJJMA"],"itemData":{"id":50901,"type":"article-journal","archive":"Scopus","container-title":"Psychogeriatrics","DOI":"10.1111/psyg.12114","issue":"4","page":"248-254","title":"Predictors of home discharge among patients hospitalized for behavioural and psychological symptoms of dementia","volume":"15","author":[{"family":"Tochimoto","given":"S."},{"family":"Kitamura","given":"M."},{"family":"Hino","given":"S."},{"family":"Kitamura","given":"T."}],"issued":{"date-parts":[["2015"]]}}}],"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[31]</w:t>
      </w:r>
      <w:r w:rsidRPr="00ED5246">
        <w:rPr>
          <w:rFonts w:ascii="Times New Roman" w:hAnsi="Times New Roman" w:cs="Times New Roman"/>
        </w:rPr>
        <w:fldChar w:fldCharType="end"/>
      </w:r>
      <w:r w:rsidRPr="00ED5246">
        <w:rPr>
          <w:rFonts w:ascii="Times New Roman" w:hAnsi="Times New Roman" w:cs="Times New Roman"/>
        </w:rPr>
        <w:t xml:space="preserve"> and better cognitive performance</w:t>
      </w:r>
      <w:r>
        <w:rPr>
          <w:rFonts w:ascii="Times New Roman" w:hAnsi="Times New Roman" w:cs="Times New Roman"/>
        </w:rPr>
        <w:t xml:space="preserve"> (n=1)</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{"citationID":"EuTOpjcX","properties":{"formattedCitation":"[72]","plainCitation":"[72]","noteIndex":0},"citationItems":[{"id":67871,"uris":["http://zotero.org/groups/5108666/items/56MDQRYV"],"itemData":{"id":67871,"type":"article-journal","abstract":"BACKGROUND AND PURPOSE: General medical patients often present to the hospital with medical, social, cognitive, and functional issues that may impact discharge destination. The aim of this study was to investigate the association between patient factors at hospital admission and discharge destination in general medical patients.\nMETHODS: This was a prospective, single-site observational study conducted on the general medical wards at a tertiary hospital. Inpatients admitted to the general medical unit and referred to physical therapy were included. Patients admitted from residential care were excluded.\nMAIN OUTCOME MEASURES: Data were collected a median of 2 days (interquartile range: 1-3) from hospital admission and included demographics, comorbidities (Charlson Comorbidity Index), premorbid physical function (Blaylock Risk Assessment Screening Score, BRASS), current function (de Morton Mobility Index, DEMMI and Alpha Functional Independence Measure, AlphaFIM), and cognition (Rowland Universal Dementia Assessment Scale, RUDAS).\nRESULTS: Between July 2016 and August 2017, 417 patients were recruited (53% female, median age: 81 years (interquartile range: 76-86). Of these, 245 patients were discharged directly home; 172 were not discharged home of whom 140 were discharged to a subacute temporary facility providing further opportunity for therapy and discharge planning. Patients discharged directly home had higher functional, mobility, and cognitive scores. Data were partitioned into training, validation, and test sets to provide unbiased estimates of sensitivity, specificity, receiver operating characteristic curve, and area under the curve. Models best associated with discharge were \"DEMMI and toilet transfers\" (sensitivity 82.1%, specificity 66.2%, area under the curve 83.8%, 95% confidence interval: 76.4-91.2) and \"AlphaFIM and walking independence\" (sensitivity: 66.7%, specificity: 83.1%, area under the curve: 81.5, 95% confidence interval: 73.2-89.7).\nCONCLUSION: Two models were created that differentiated between discharge home and not home and had similar statistical measures of validity. Although the models require further validation, clinicians should consider whether identification of patients likely to be discharged home or not home is of greater relevance for their clinical setting.","container-title":"Journal of Geriatric Physical Therapy (2001)","DOI":"10.1519/JPT.0000000000000272","ISSN":"2152-0895","issue":"2","journalAbbreviation":"J Geriatr Phys Ther","language":"eng","note":"PMID: 32366793","page":"94-100","source":"PubMed","title":"Factors Associated With Discharge Destination in Community-Dwelling Adults Admitted to Acute General Medical Units","volume":"44","author":[{"family":"D'Souza","given":"Aruska N."},{"family":"Granger","given":"Catherine L."},{"family":"Patrick","given":"Cameron J."},{"family":"Kay","given":"Jacqueline E."},{"family":"Said","given":"Catherine M."}],"issued":{"date-parts":[["2021",6,1]]}}}],"schema":"https://github.com/citation-style-language/schema/raw/master/csl-citation.json"}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[72]</w:t>
      </w:r>
      <w:r w:rsidRPr="00ED5246">
        <w:rPr>
          <w:rFonts w:ascii="Times New Roman" w:hAnsi="Times New Roman" w:cs="Times New Roman"/>
        </w:rPr>
        <w:fldChar w:fldCharType="end"/>
      </w:r>
      <w:r w:rsidRPr="00ED5246">
        <w:rPr>
          <w:rFonts w:ascii="Times New Roman" w:hAnsi="Times New Roman" w:cs="Times New Roman"/>
        </w:rPr>
        <w:t xml:space="preserve"> increased </w:t>
      </w:r>
      <w:r>
        <w:rPr>
          <w:rFonts w:ascii="Times New Roman" w:hAnsi="Times New Roman" w:cs="Times New Roman"/>
        </w:rPr>
        <w:t xml:space="preserve">the </w:t>
      </w:r>
      <w:r w:rsidRPr="00ED5246">
        <w:rPr>
          <w:rFonts w:ascii="Times New Roman" w:hAnsi="Times New Roman" w:cs="Times New Roman"/>
        </w:rPr>
        <w:t>probability of home transitions</w:t>
      </w:r>
      <w:r>
        <w:rPr>
          <w:rFonts w:ascii="Times New Roman" w:hAnsi="Times New Roman" w:cs="Times New Roman"/>
        </w:rPr>
        <w:t xml:space="preserve">, whereas cognitive impairment decreased it (n=2) </w:t>
      </w:r>
      <w:r>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{"citationID":"NjwdVoJc","properties":{"formattedCitation":"[60,61]","plainCitation":"[60,61]","noteIndex":0},"citationItems":[{"id":81840,"uris":["http://zotero.org/users/7655466/items/5IT9C9UV"],"itemData":{"id":81840,"type":"article-journal","abstract":"OBJECTIVE: We aimed to investigate the association of sociodemographic, clinical and functional characteristics with the volume of transitions and specific trajectories across living and care settings.\nMETHODS: Using data from the Swedish National Study on Aging and Care in Kungsholmen study, we identified transitions across home (with or without social care), nursing homes, hospitals and postacute care facilities among 3021 adults aged 60+. Poisson and multistate models were used to investigate the association between sociodemographic, clinical and functional characteristics and both the overall volume and hazard ratios (HRs) of specific transitions.\nRESULTS: Over 15 years, 720 (23.8%) participants experienced between 5 and 10 transitions, and 816 (26.7%) experienced &gt;10 transitions across living and care settings. A higher number of transitions was observed in older participants with multimorbidity and slower walking speed. In contrast, cognitive impairment and disability were associated with a lower number of transitions. After hospital and postacute discharge, each additional year of age (HR range 1.06-1.08) and being a woman compared with being a man (HR range 1.35-4.38) increased the likelihood of discharge to home care. Multimorbidity (HR range 1.14-1.23) and slow gait speed (HR range 1.11-1.50) increased the risk of hospitalisation and home care after hospital discharge. Cognitive impairment raised the hazard of nursing home placement (HR range 1.99-2.15). Disability was associated with a higher hazard of nursing home placement after hospital discharge (HR range 2.57-3.07).\nCONCLUSIONS: Accounting for older adults' whole journey across living and care settings, we identified transition-specific predictors and potential triggers that could be timely leveraged to better tailor care to older adults' needs.","container-title":"Age and Ageing","DOI":"10.1093/ageing/afaf006","ISSN":"1468-2834","issue":"1","journalAbbreviation":"Age Ageing","language":"eng","note":"PMID: 39864066\nPMCID: PMC11766743","page":"afaf006","source":"PubMed","title":"Predictors of 15-year transitions across living and care settings in a population of Swedish older adults","volume":"54","author":[{"family":"Gentili","given":"Susanna"},{"family":"Calderón-Larrañaga","given":"Amaia"},{"family":"Rizzuto","given":"Debora"},{"family":"Gordon","given":"Adam Lee"},{"family":"Agerholm","given":"Janne"},{"family":"Lennartsson","given":"Carin"},{"family":"Hedberg Rundgren","given":"Åsa"},{"family":"Fratiglioni","given":"Laura"},{"family":"Vetrano","given":"Davide Liborio"}],"issued":{"date-parts":[["2025",1,6]]}}},{"id":81843,"uris":["http://zotero.org/users/7655466/items/TZRCJMEY"],"itemData":{"id":81843,"type":"article-journal","abstract":"Objective:\nThe demand for long-term care in community and facilitybased settings in Canada is expected to increase with population growth. The Toronto Grace Health Center piloted an intervention program that aims to support return to the community of acute hospital patients designated for LTC placement. We investigated whether this program was effective in transitioning the program patients back to their homes in the community and the factors associated with transitioning patients to different destinations.\n\nMethod:\nWe performed a competing risk multi-state analysis of 111 patients enrolled into the Harbour Light (HL) transitional unit program between January 2020 and June 2023.\n\nResults:\nAt the time of the study, 92 enrolled patients had been discharged and of those these, 48.9% (45) were successfully transitioned back to their private home in the community. The remaining 51.1% (46) were discharged to other destinations. Being a female was the only positive predictor of transitioning back home. Higher CPS scores (HR 0.53, 95% CI 0.31-0.88), PADDRS scale of 1+, and higher ADL Hierarchy scale, strongly predicted lower odds of transitioning back to the community.\n\nConclusion:\nWithin the context of rising LTC bed demand and lengthy waiting time in Canada, with appropriate measures, this program successfully transitioned LTC home bound persons back to their homes. If replicable on a large scale, this could provide short and long-term solution to LTC bed demand in Canada.","container-title":"Journal of Primary Care &amp; Community Health","DOI":"10.1177/21501319231220742","ISSN":"2150-1319","journalAbbreviation":"J Prim Care Community Health","note":"PMID: 38131104\nPMCID: PMC10748573","page":"21501319231220742","source":"PubMed Central","title":"Multistate Competing Risk Analysis of Transition Back to the Community Among Long-Term Care Home (LTC) Destined Patients: A Brief Report","title-short":"Multistate Competing Risk Analysis of Transition Back to the Community Among Long-Term Care Home (LTC) Destined Patients","volume":"14","author":[{"family":"Egbujie","given":"Bonaventure A."},{"family":"Tran","given":"Jake"},{"family":"Hirdes","given":"John P."}],"issued":{"date-parts":[["2023",12,22]]}}}],"schema":"https://github.com/citation-style-language/schema/raw/master/csl-citation.json"} </w:instrText>
      </w:r>
      <w:r>
        <w:rPr>
          <w:rFonts w:ascii="Times New Roman" w:hAnsi="Times New Roman" w:cs="Times New Roman"/>
        </w:rPr>
        <w:fldChar w:fldCharType="separate"/>
      </w:r>
      <w:r w:rsidR="00A04BF9" w:rsidRPr="00A04BF9">
        <w:rPr>
          <w:rFonts w:ascii="Times New Roman" w:hAnsi="Times New Roman" w:cs="Times New Roman"/>
        </w:rPr>
        <w:t>[60,61]</w:t>
      </w:r>
      <w:r>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r w:rsidRPr="00ED5246">
        <w:rPr>
          <w:rFonts w:ascii="Times New Roman" w:hAnsi="Times New Roman" w:cs="Times New Roman"/>
        </w:rPr>
        <w:t xml:space="preserve">In the context of mental health, </w:t>
      </w:r>
      <w:r>
        <w:rPr>
          <w:rFonts w:ascii="Times New Roman" w:hAnsi="Times New Roman" w:cs="Times New Roman"/>
        </w:rPr>
        <w:t xml:space="preserve">depression (n=1) </w:t>
      </w:r>
      <w:r>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{"citationID":"WigPXAfq","properties":{"formattedCitation":"[70]","plainCitation":"[70]","noteIndex":0},"citationItems":[{"id":69673,"uris":["http://zotero.org/users/7655466/items/2MWYFBXI"],"itemData":{"id":69673,"type":"article-journal","abstract":"BACKGROUND: Chronic diseases are long-term, recurring and prolonged, requiring frequent travel to and from the hospital, community, and home settings to access different levels of care. Hospital-to-home transition is challenging travel for elderly patients with chronic diseases. Unhealthy care transition practices may be associated with an increased risk of adverse outcomes and readmission rates. The safety and quality of care transitions have gained global attention, and healthcare providers have a responsibility to help older adults make a smooth, safe, and healthy transition.\nOBJECTIVE: This study aims to provide a more comprehensive understanding of what may shape health transitions in older adults from multiple perspectives, including older chronic patients, caregivers, and healthcare providers.\nMETHODS: Six databases were searched during January 2022, including Pubmed, web of science, Cochrane, Embase, CINAHL (EBSCO), and PsycINFO (Ovid). The qualitative meta-synthesis was performed following the Preferred Reporting Items for Systematic Reviews and Meta-Analyses (PRISMA) recommendations. The quality of included studies was appraised using the Critical Appraisal Skills Programme (CASP) qualitative research appraisal tool. A narrative synthesis was conducted informed by Meleis's Theory of Transition.\nRESULTS: Seventeen studies identified individual and community-focused facilitators and inhibitors mapped to three themes, older adult resilience, relationships and connections, and uninterrupted care transfer supply chain.\nCONCLUSION: This study identified potential transition facilitators and inhibitors for incoming older adults transitioning from hospital to home, and these findings may inform the development of interventions to target resilience in adapting to a new home environment, and human relations and connections for building partnerships, as well as an uninterrupted supply chain of care transfer at hospital-home delivery.\nSYSTEMATIC REVIEW REGISTRATION: www.crd.york.ac.uk/prospero/, identifier: CRD42022350478.","container-title":"Frontiers in Public Health","DOI":"10.3389/fpubh.2023.1047723","ISSN":"2296-2565","journalAbbreviation":"Front Public Health","language":"eng","note":"PMID: 36860385\nPMCID: PMC9969141","page":"1047723","source":"PubMed","title":"Facilitators and inhibitors in hospital-to-home transitional care for elderly patients with chronic diseases: A meta-synthesis of qualitative studies","title-short":"Facilitators and inhibitors in hospital-to-home transitional care for elderly patients with chronic diseases","volume":"11","author":[{"family":"Sun","given":"Mengjie"},{"family":"Liu","given":"Lamei"},{"family":"Wang","given":"Jianan"},{"family":"Zhuansun","given":"Mengyao"},{"family":"Xu","given":"Tongyao"},{"family":"Qian","given":"Yumeng"},{"family":"Dela Rosa","given":"Ronnell"}],"issued":{"date-parts":[["2023"]]}}}],"schema":"https://github.com/citation-style-language/schema/raw/master/csl-citation.json"} </w:instrText>
      </w:r>
      <w:r>
        <w:rPr>
          <w:rFonts w:ascii="Times New Roman" w:hAnsi="Times New Roman" w:cs="Times New Roman"/>
        </w:rPr>
        <w:fldChar w:fldCharType="separate"/>
      </w:r>
      <w:r w:rsidR="00A04BF9" w:rsidRPr="00A04BF9">
        <w:rPr>
          <w:rFonts w:ascii="Times New Roman" w:hAnsi="Times New Roman" w:cs="Times New Roman"/>
        </w:rPr>
        <w:t>[70]</w:t>
      </w:r>
      <w:r>
        <w:rPr>
          <w:rFonts w:ascii="Times New Roman" w:hAnsi="Times New Roman" w:cs="Times New Roman"/>
        </w:rPr>
        <w:fldChar w:fldCharType="end"/>
      </w:r>
      <w:r>
        <w:rPr>
          <w:rFonts w:ascii="Times New Roman" w:hAnsi="Times New Roman" w:cs="Times New Roman"/>
        </w:rPr>
        <w:t xml:space="preserve"> and </w:t>
      </w:r>
      <w:r w:rsidRPr="00ED5246">
        <w:rPr>
          <w:rFonts w:ascii="Times New Roman" w:hAnsi="Times New Roman" w:cs="Times New Roman"/>
        </w:rPr>
        <w:t xml:space="preserve">behavioral issues, especially aggressiveness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xCweruJR","properties":{"formattedCitation":"[31]","plainCitation":"[31]","noteIndex":0},"citationItems":[{"id":50901,"uris":["http://zotero.org/groups/5108666/items/DUTVJJMA"],"itemData":{"id":50901,"type":"article-journal","archive":"Scopus","container-title":"Psychogeriatrics","DOI":"10.1111/psyg.12114","issue":"4","page":"248-254","title":"Predictors of home discharge among patients hospitalized for behavioural and psychological symptoms of dementia","volume":"15","author":[{"family":"Tochimoto","given":"S."},{"family":"Kitamura","given":"M."},{"family":"Hino","given":"S."},{"family":"Kitamura","given":"T."}],"issued":{"date-parts":[["2015"]]}}}],"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[31]</w:t>
      </w:r>
      <w:r w:rsidRPr="00ED5246">
        <w:rPr>
          <w:rFonts w:ascii="Times New Roman" w:hAnsi="Times New Roman" w:cs="Times New Roman"/>
        </w:rPr>
        <w:fldChar w:fldCharType="end"/>
      </w:r>
      <w:r w:rsidRPr="00ED5246">
        <w:rPr>
          <w:rFonts w:ascii="Times New Roman" w:hAnsi="Times New Roman" w:cs="Times New Roman"/>
        </w:rPr>
        <w:t xml:space="preserve">, were noted to </w:t>
      </w:r>
      <w:r>
        <w:rPr>
          <w:rFonts w:ascii="Times New Roman" w:hAnsi="Times New Roman" w:cs="Times New Roman"/>
        </w:rPr>
        <w:t>hinder home care transitions</w:t>
      </w:r>
      <w:r w:rsidRPr="00ED5246">
        <w:rPr>
          <w:rFonts w:ascii="Times New Roman" w:hAnsi="Times New Roman" w:cs="Times New Roman"/>
        </w:rPr>
        <w:t>.</w:t>
      </w:r>
    </w:p>
    <w:p w14:paraId="4AC10EA1" w14:textId="3BBDD344"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rPr>
        <w:t xml:space="preserve">Functional capacity was also a key determinant. Higher Barthel Index </w:t>
      </w:r>
      <w:r w:rsidRPr="00ED5246">
        <w:rPr>
          <w:rFonts w:ascii="Times New Roman" w:eastAsia="Aptos" w:hAnsi="Times New Roman" w:cs="Times New Roman"/>
        </w:rPr>
        <w:t xml:space="preserve">scores </w:t>
      </w:r>
      <w:r w:rsidRPr="00ED5246">
        <w:rPr>
          <w:rFonts w:ascii="Times New Roman" w:hAnsi="Times New Roman" w:cs="Times New Roman"/>
        </w:rPr>
        <w:t xml:space="preserve">and lower disability </w:t>
      </w:r>
      <w:r>
        <w:rPr>
          <w:rFonts w:ascii="Times New Roman" w:hAnsi="Times New Roman" w:cs="Times New Roman"/>
        </w:rPr>
        <w:t>levels</w:t>
      </w:r>
      <w:r w:rsidRPr="00ED5246">
        <w:rPr>
          <w:rFonts w:ascii="Times New Roman" w:hAnsi="Times New Roman" w:cs="Times New Roman"/>
        </w:rPr>
        <w:t xml:space="preserv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{"citationID":"BhSCIgKC","properties":{"formattedCitation":"[58]","plainCitation":"[58]","noteIndex":0},"citationItems":[{"id":4279,"uris":["http://zotero.org/users/7655466/items/3Y4QKYJQ"],"itemData":{"id":4279,"type":"article-journal","archive":"Scopus","container-title":"PM and R","DOI":"10.1002/pmrj.12371","ISSN":"19341482 (ISSN)","issue":"1","note":"publisher: John Wiley and Sons Inc","page":"38-44","title":"Development of a Point System to Predict Discharge to Home for Acute Stroke Patients","volume":"13","author":[{"family":"Kubo","given":"K."},{"family":"Kamo","given":"T."},{"family":"Momosaki","given":"R."},{"family":"Mitsutomi","given":"K."}],"issued":{"date-parts":[["2021"]]}}}],"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[58]</w:t>
      </w:r>
      <w:r w:rsidRPr="00ED5246">
        <w:rPr>
          <w:rFonts w:ascii="Times New Roman" w:hAnsi="Times New Roman" w:cs="Times New Roman"/>
        </w:rPr>
        <w:fldChar w:fldCharType="end"/>
      </w:r>
      <w:r w:rsidRPr="00ED5246">
        <w:rPr>
          <w:rFonts w:ascii="Times New Roman" w:hAnsi="Times New Roman" w:cs="Times New Roman"/>
        </w:rPr>
        <w:t>, superior mobility performance evidenced through 100</w:t>
      </w:r>
      <w:r>
        <w:rPr>
          <w:rFonts w:ascii="Times New Roman" w:hAnsi="Times New Roman" w:cs="Times New Roman"/>
        </w:rPr>
        <w:t>-</w:t>
      </w:r>
      <w:r w:rsidRPr="00ED5246">
        <w:rPr>
          <w:rFonts w:ascii="Times New Roman" w:hAnsi="Times New Roman" w:cs="Times New Roman"/>
        </w:rPr>
        <w:t xml:space="preserve">meter walk achievement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{"citationID":"GlF3dKmu","properties":{"formattedCitation":"[73]","plainCitation":"[73]","noteIndex":0},"citationItems":[{"id":67896,"uris":["http://zotero.org/groups/5108666/items/YLX4KL3V"],"itemData":{"id":67896,"type":"article-journal","abstract":"AIM: The present study aimed to investigate factors relating to discharge to home of elderly patients with heart failure.\nMETHOD: After applying exclusion criteria and excluding patients with missing data, 110 of 165 elderly patients with heart failure aged at least 75 years admitted to our institution were divided into discharge to home (n = 85) and non-discharge to home (n = 25) groups. Clinical characteristics, comorbidities, blood test data and echocardiographic data were retrospectively investigated and compared based on patients' medical records. Nutritional status was assessed using the Geriatric Nutritional Risk Index (GNRI) upon admission and at 2 weeks after admission (2-week GNRI). Correlations with discharge to home were investigated using multiple logistic regression analysis with discharge to home as the dependent variable and parameters for which significant intergroup differences were observed as explanatory variables, when considering multicollinearity. Ratio scales selected by multiple logistic regression analysis were analyzed using a receiver operating characteristic curve and cut-off values were calculated.\nRESULTS: Independent factors predicting discharge to home were 100-m walk achievement (P = 0.037; odds ratio [OR], 3.057; 95% confidence interval [CI], 2.418-8.751) and 2-week GNRI (P = 0.006; OR, 1.083; 95% CI, 1.023-1.146). Area under the receiver operating characteristic curve for 2-week GNRI was 0.735 (95% CI, 0.622-0.847) with a cut-off value for 2-week GNRI to determine discharge to home of 75.29 (sensitivity, 78.8%; specificity, 60.0%).\nCONCLUSION: The present findings suggest that 100-m walk achievement and 2-week GNRI may be predictors for discharge to home in elderly patients with heart failure. Geriatr Gerontol Int 2020; 20: 1029-1035..","container-title":"Geriatrics &amp; Gerontology International","DOI":"10.1111/ggi.14014","ISSN":"1447-0594","issue":"11","journalAbbreviation":"Geriatr Gerontol Int","language":"eng","note":"PMID: 32927503","page":"1029-1035","source":"PubMed","title":"Geriatric nutritional risk index and 100-m walk achievement predict discharge to home in elderly patients with heart failure","volume":"20","author":[{"family":"Shimoyama","given":"Shota"},{"family":"Ono","given":"Tsuyoshi"},{"family":"Ebihara","given":"Satoru"}],"issued":{"date-parts":[["2020",11]]}}}],"schema":"https://github.com/citation-style-language/schema/raw/master/csl-citation.json"}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[73]</w:t>
      </w:r>
      <w:r w:rsidRPr="00ED5246">
        <w:rPr>
          <w:rFonts w:ascii="Times New Roman" w:hAnsi="Times New Roman" w:cs="Times New Roman"/>
        </w:rPr>
        <w:fldChar w:fldCharType="end"/>
      </w:r>
      <w:r w:rsidRPr="00ED5246">
        <w:rPr>
          <w:rFonts w:ascii="Times New Roman" w:hAnsi="Times New Roman" w:cs="Times New Roman"/>
        </w:rPr>
        <w:t>, higher functional and mobility scores (n=</w:t>
      </w:r>
      <w:r>
        <w:rPr>
          <w:rFonts w:ascii="Times New Roman" w:hAnsi="Times New Roman" w:cs="Times New Roman"/>
        </w:rPr>
        <w:t>2</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{"citationID":"kdEahKxo","properties":{"formattedCitation":"[59,72]","plainCitation":"[59,72]","noteIndex":0},"citationItems":[{"id":81837,"uris":["http://zotero.org/users/7655466/items/P3P8G9ZS"],"itemData":{"id":81837,"type":"article-journal","abstract":"INTRODUCTION: Older adults with cervical spinal cord injury (CSCI) often have a poor prognosis due to the high number of complications, decreased motivation to rehabilitation, and poor response to treatment. This study aimed to investigate the characteristics of CSCI in Japanese older adults and examined the factors influencing their discharge home.\nMETHODS: In this retrospective cohort study, we extracted data on consecutive cases with CSCI between 2005 and 2020 from the study hospital's database. Patients over 65 years old who were admitted to the hospital within 14 days of injury were selected. A univariate analysis was performed between the home discharge and out-of-home discharge groups. In addition, binary logistic regression analysis of admission findings and patient background was performed to examine independent factors influencing home discharge.\nRESULTS: Of the 219 patients included, 90 (41.1%) were eventually discharged to home. Comparing home discharge and out-of-home discharge groups revealed significant differences in age at injury, length of hospital stay, neurological level of injury (NLI), percentage of American Spinal Injury Association (ASIA) Impairment Scale (AIS: A), percentage of living alone, ASIA motor score (AMS), and Spinal Cord Independence Measure (SCIM) at initial visit and discharge. Binary logistic regression analysis revealed that old age (over 75 years old) at injury (odds ratio [OR]: 0.31, 95% CI: 0.16-0.60, P&lt;.001), living alone (OR: 0.22, 95% CI: 0.03-0.42, P&lt;.01), high level of injury (i.e., NLI: C1-4; OR: 0.22, 95% CI: 0.09-0.53, P&lt;.0001), and percentage of AIS: A at admission (OR: 0.09, 95% CI: 0.04-0.24, P&lt;.001) were independent factors that influenced home discharge.\nCONCLUSIONS: More than 50% older adults with CSCI were discharged to a place other than their own home. Age, percentage of AIS: A, living alone, and high level of injury at admission were independent factors that influenced home discharge.","container-title":"Spine Surgery and Related Research","DOI":"10.22603/ssrr.2023-0045","ISSN":"2432-261X","issue":"6","journalAbbreviation":"Spine Surg Relat Res","language":"eng","note":"PMID: 38084212\nPMCID: PMC10710894","page":"482-487","source":"PubMed","title":"Factors Affecting Home Discharge of Older Adults with Cervical Spinal Cord Injury in Japan Regional Population","volume":"7","author":[{"family":"Sasaki","given":"Sota"},{"family":"Hayashi","given":"Tetsuo"},{"family":"Masuda","given":"Muneaki"},{"family":"Kawano","given":"Osamu"},{"family":"Yamamoto","given":"Takuaki"},{"family":"Maeda","given":"Takeshi"}],"issued":{"date-parts":[["2023",11,27]]}}},{"id":67871,"uris":["http://zotero.org/groups/5108666/items/56MDQRYV"],"itemData":{"id":67871,"type":"article-journal","abstract":"BACKGROUND AND PURPOSE: General medical patients often present to the hospital with medical, social, cognitive, and functional issues that may impact discharge destination. The aim of this study was to investigate the association between patient factors at hospital admission and discharge destination in general medical patients.\nMETHODS: This was a prospective, single-site observational study conducted on the general medical wards at a tertiary hospital. Inpatients admitted to the general medical unit and referred to physical therapy were included. Patients admitted from residential care were excluded.\nMAIN OUTCOME MEASURES: Data were collected a median of 2 days (interquartile range: 1-3) from hospital admission and included demographics, comorbidities (Charlson Comorbidity Index), premorbid physical function (Blaylock Risk Assessment Screening Score, BRASS), current function (de Morton Mobility Index, DEMMI and Alpha Functional Independence Measure, AlphaFIM), and cognition (Rowland Universal Dementia Assessment Scale, RUDAS).\nRESULTS: Between July 2016 and August 2017, 417 patients were recruited (53% female, median age: 81 years (interquartile range: 76-86). Of these, 245 patients were discharged directly home; 172 were not discharged home of whom 140 were discharged to a subacute temporary facility providing further opportunity for therapy and discharge planning. Patients discharged directly home had higher functional, mobility, and cognitive scores. Data were partitioned into training, validation, and test sets to provide unbiased estimates of sensitivity, specificity, receiver operating characteristic curve, and area under the curve. Models best associated with discharge were \"DEMMI and toilet transfers\" (sensitivity 82.1%, specificity 66.2%, area under the curve 83.8%, 95% confidence interval: 76.4-91.2) and \"AlphaFIM and walking independence\" (sensitivity: 66.7%, specificity: 83.1%, area under the curve: 81.5, 95% confidence interval: 73.2-89.7).\nCONCLUSION: Two models were created that differentiated between discharge home and not home and had similar statistical measures of validity. Although the models require further validation, clinicians should consider whether identification of patients likely to be discharged home or not home is of greater relevance for their clinical setting.","container-title":"Journal of Geriatric Physical Therapy (2001)","DOI":"10.1519/JPT.0000000000000272","ISSN":"2152-0895","issue":"2","journalAbbreviation":"J Geriatr Phys Ther","language":"eng","note":"PMID: 32366793","page":"94-100","source":"PubMed","title":"Factors Associated With Discharge Destination in Community-Dwelling Adults Admitted to Acute General Medical Units","volume":"44","author":[{"family":"D'Souza","given":"Aruska N."},{"family":"Granger","given":"Catherine L."},{"family":"Patrick","given":"Cameron J."},{"family":"Kay","given":"Jacqueline E."},{"family":"Said","given":"Catherine M."}],"issued":{"date-parts":[["2021",6,1]]}}}],"schema":"https://github.com/citation-style-language/schema/raw/master/csl-citation.json"}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[59,72]</w:t>
      </w:r>
      <w:r w:rsidRPr="00ED5246">
        <w:rPr>
          <w:rFonts w:ascii="Times New Roman" w:hAnsi="Times New Roman" w:cs="Times New Roman"/>
        </w:rPr>
        <w:fldChar w:fldCharType="end"/>
      </w:r>
      <w:r w:rsidRPr="00ED5246">
        <w:rPr>
          <w:rFonts w:ascii="Times New Roman" w:hAnsi="Times New Roman" w:cs="Times New Roman"/>
        </w:rPr>
        <w:t xml:space="preserve">, and enhanced ADL capability measured </w:t>
      </w:r>
      <w:r>
        <w:rPr>
          <w:rFonts w:ascii="Times New Roman" w:hAnsi="Times New Roman" w:cs="Times New Roman"/>
        </w:rPr>
        <w:t>using</w:t>
      </w:r>
      <w:r w:rsidRPr="00ED5246">
        <w:rPr>
          <w:rFonts w:ascii="Times New Roman" w:hAnsi="Times New Roman" w:cs="Times New Roman"/>
        </w:rPr>
        <w:t xml:space="preserve"> </w:t>
      </w:r>
      <w:r w:rsidRPr="00ED5246">
        <w:rPr>
          <w:rFonts w:ascii="Times New Roman" w:eastAsia="Aptos" w:hAnsi="Times New Roman" w:cs="Times New Roman"/>
        </w:rPr>
        <w:t xml:space="preserve">the </w:t>
      </w:r>
      <w:r w:rsidRPr="00ED5246">
        <w:rPr>
          <w:rFonts w:ascii="Times New Roman" w:hAnsi="Times New Roman" w:cs="Times New Roman"/>
        </w:rPr>
        <w:lastRenderedPageBreak/>
        <w:t xml:space="preserve">Nishimura-style scale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cp4sKdtp","properties":{"formattedCitation":"[31]","plainCitation":"[31]","noteIndex":0},"citationItems":[{"id":50901,"uris":["http://zotero.org/groups/5108666/items/DUTVJJMA"],"itemData":{"id":50901,"type":"article-journal","archive":"Scopus","container-title":"Psychogeriatrics","DOI":"10.1111/psyg.12114","issue":"4","page":"248-254","title":"Predictors of home discharge among patients hospitalized for behavioural and psychological symptoms of dementia","volume":"15","author":[{"family":"Tochimoto","given":"S."},{"family":"Kitamura","given":"M."},{"family":"Hino","given":"S."},{"family":"Kitamura","given":"T."}],"issued":{"date-parts":[["2015"]]}}}],"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[31]</w:t>
      </w:r>
      <w:r w:rsidRPr="00ED5246">
        <w:rPr>
          <w:rFonts w:ascii="Times New Roman" w:hAnsi="Times New Roman" w:cs="Times New Roman"/>
        </w:rPr>
        <w:fldChar w:fldCharType="end"/>
      </w:r>
      <w:r w:rsidRPr="00ED5246">
        <w:rPr>
          <w:rFonts w:ascii="Times New Roman" w:hAnsi="Times New Roman" w:cs="Times New Roman"/>
        </w:rPr>
        <w:t xml:space="preserve"> all increased </w:t>
      </w:r>
      <w:r w:rsidRPr="00ED5246">
        <w:rPr>
          <w:rFonts w:ascii="Times New Roman" w:eastAsia="Aptos" w:hAnsi="Times New Roman" w:cs="Times New Roman"/>
        </w:rPr>
        <w:t xml:space="preserve">the </w:t>
      </w:r>
      <w:r w:rsidRPr="00ED5246">
        <w:rPr>
          <w:rFonts w:ascii="Times New Roman" w:hAnsi="Times New Roman" w:cs="Times New Roman"/>
        </w:rPr>
        <w:t xml:space="preserve">likelihood of home transitions. </w:t>
      </w:r>
      <w:r>
        <w:rPr>
          <w:rFonts w:ascii="Times New Roman" w:hAnsi="Times New Roman" w:cs="Times New Roman"/>
        </w:rPr>
        <w:t xml:space="preserve">These findings were further supported by studies identifying better trunk-control performance (n=1) </w:t>
      </w:r>
      <w:r w:rsidRPr="00DF28C8">
        <w:rPr>
          <w:rFonts w:ascii="Times New Roman" w:hAnsi="Times New Roman" w:cs="Times New Roman"/>
          <w:color w:val="000000" w:themeColor="text1"/>
        </w:rPr>
        <w:fldChar w:fldCharType="begin"/>
      </w:r>
      <w:r w:rsidR="00A04BF9">
        <w:rPr>
          <w:rFonts w:ascii="Times New Roman" w:hAnsi="Times New Roman" w:cs="Times New Roman"/>
          <w:color w:val="000000" w:themeColor="text1"/>
        </w:rPr>
        <w:instrText xml:space="preserve"> ADDIN ZOTERO_ITEM CSL_CITATION {"citationID":"EhdKGE0B","properties":{"formattedCitation":"[74]","plainCitation":"[74]","noteIndex":0},"citationItems":[{"id":81851,"uris":["http://zotero.org/users/7655466/items/I5L9W5BX"],"itemData":{"id":81851,"type":"article-journal","abstract":"BACKGROUND &amp; AIMS: This study aimed to investigate the effects of low phase angle (PhA) on functional status and discharge disposition during the acute phase in older patients with acute stroke.\nMETHODS: We included consecutive patients who experienced acute stroke between October 2021 and December 2022. The exclusion criteria included: age&lt;65 years, admission from other than home, death during hospitalization, inability to measure bioelectrical impedance analysis owing to implantation, and missing data. We defined low PhA (&lt;5.28° for male and &lt;4.62° for female) and categorized them into the low PhA group and normal group. The clinical outcomes were functional independence by the modified Rankin Scale (mRS) score (0-2, independence; 3-5, nonindependence) and discharge disposition (home or others). We used multivariate logistic regression analysis to examine the effect of low PhA on the mRS score at discharge and discharge disposition.\nRESULTS: Ultimately, a total of 205 patients were included in this analysis. More patients in the low PhA group were unable to be independent (27.7% vs. 66.7%, P &lt; 0.001) and were unable to be discharged home (53.4% vs. 82.5%, P &lt; 0.001) than in the normal group. Logistic regression analysis of the mRS scores showed that baseline low PhA decreased the likelihood of functional independence (odds ratio [OR] = 0.275, P = 0.003) and home discharge (OR = 0.378, P = 0.044).\nCONCLUSIONS: Low PhA is a risk factor for low functional status at hospital discharge; it decreases the likelihood of home discharge in older patients with acute stroke.","container-title":"Clinical nutrition ESPEN","DOI":"10.1016/j.clnesp.2024.03.028","ISSN":"2405-4577","journalAbbreviation":"Clin Nutr ESPEN","language":"eng","note":"PMID: 38777433","page":"197-202","source":"PubMed","title":"Low phase angle: A predictor of functional status and discharge disposition in acute stroke older patients","title-short":"Low phase angle","volume":"61","author":[{"family":"Amakasu","given":"Kota"},{"family":"Inoue","given":"Tatsuro"},{"family":"Watanabe","given":"Yumiko"}],"issued":{"date-parts":[["2024",6]]}}}],"schema":"https://github.com/citation-style-language/schema/raw/master/csl-citation.json"} </w:instrText>
      </w:r>
      <w:r w:rsidRPr="00DF28C8">
        <w:rPr>
          <w:rFonts w:ascii="Times New Roman" w:hAnsi="Times New Roman" w:cs="Times New Roman"/>
          <w:color w:val="000000" w:themeColor="text1"/>
        </w:rPr>
        <w:fldChar w:fldCharType="separate"/>
      </w:r>
      <w:r w:rsidR="00A04BF9" w:rsidRPr="00A04BF9">
        <w:rPr>
          <w:rFonts w:ascii="Times New Roman" w:hAnsi="Times New Roman" w:cs="Times New Roman"/>
        </w:rPr>
        <w:t>[74]</w:t>
      </w:r>
      <w:r w:rsidRPr="00DF28C8">
        <w:rPr>
          <w:rFonts w:ascii="Times New Roman" w:hAnsi="Times New Roman" w:cs="Times New Roman"/>
          <w:color w:val="000000" w:themeColor="text1"/>
        </w:rPr>
        <w:fldChar w:fldCharType="end"/>
      </w:r>
      <w:r w:rsidRPr="00DF28C8">
        <w:rPr>
          <w:rFonts w:ascii="Times New Roman" w:hAnsi="Times New Roman" w:cs="Times New Roman"/>
          <w:color w:val="000000" w:themeColor="text1"/>
        </w:rPr>
        <w:t>,</w:t>
      </w:r>
      <w:r w:rsidRPr="00DF28C8">
        <w:rPr>
          <w:rFonts w:ascii="Times New Roman" w:hAnsi="Times New Roman" w:cs="Times New Roman"/>
          <w:i/>
          <w:iCs/>
          <w:color w:val="000000" w:themeColor="text1"/>
        </w:rPr>
        <w:t xml:space="preserve"> </w:t>
      </w:r>
      <w:r>
        <w:rPr>
          <w:rFonts w:ascii="Times New Roman" w:hAnsi="Times New Roman" w:cs="Times New Roman"/>
        </w:rPr>
        <w:t xml:space="preserve">and pre-illness functional status without the use of mobility aids (n=1) </w:t>
      </w:r>
      <w:r w:rsidRPr="00DF28C8">
        <w:rPr>
          <w:rFonts w:ascii="Times New Roman" w:hAnsi="Times New Roman" w:cs="Times New Roman"/>
          <w:color w:val="000000" w:themeColor="text1"/>
        </w:rPr>
        <w:fldChar w:fldCharType="begin"/>
      </w:r>
      <w:r w:rsidRPr="00DF28C8">
        <w:rPr>
          <w:rFonts w:ascii="Times New Roman" w:hAnsi="Times New Roman" w:cs="Times New Roman"/>
          <w:color w:val="000000" w:themeColor="text1"/>
        </w:rPr>
        <w:instrText xml:space="preserve"> ADDIN ZOTERO_ITEM CSL_CITATION {"citationID":"coYwuYJM","properties":{"formattedCitation":"[63]","plainCitation":"[63]","noteIndex":0},"citationItems":[{"id":81849,"uris":["http://zotero.org/users/7655466/items/TFZPWD32"],"itemData":{"id":81849,"type":"article-journal","abstract":"BACKGROUND: The Geriatric Surgery Verification Program (GSV) was developed to address perioperative care for patients ≥75 years, with a goal of improving outcomes and functional abilities after surgery. We sought to evaluate preoperative factors that place patients at risk for inability to return home (ie, discharge to a facility).\nMETHODS: Retrospective review of patients ≥75 years old who underwent inpatient surgery from January 2018 to December 2022 at a referral Veterans Administration Medical Center enrolled in the GSV program. Preoperative factors included fall history, mobility aids, housing status, function, cognition, and nutritional status. Postoperative outcomes were discharge designations as home and home with services compared to a facility (skilled nursing facility and acute rehab). Exclusion criteria included preoperative facility residence, cardiac surgery, hospital transfer, postoperative complications, hospice discharge, or in-hospital mortality.\nRESULTS: 605 patients met inclusion criteria and 173 (29%) excluded as above. Of the remaining 432 patients, mean age was 79 ± 5 and the majority were male, 426 (99%). The majority of patients were discharged home, 388 (90%), compared to a facility, 44 (10%). Patients with a fall history (OR: 2.95, 95% CI: 1.56, 5.57), utilizing a mobility aid (OR: 6.0, 95% CI: 2.8, 12.83), were partial or totally dependent (OR: 4.83, 95% CI: 2.29, 10.17), or who lived alone (OR: 2.57, 95% CI: 1.08, 6.07) had higher rates of discharge to a facility.\nDISCUSSION: Preoperative mobility compromise and functional dependence are associated with higher rates of discharge to a facility. These preoperative factors are possibly modifiable with multidisciplinary care teams to decrease risks of facility placement.","container-title":"The American Surgeon","DOI":"10.1177/00031348241256056","ISSN":"1555-9823","issue":"9","journalAbbreviation":"Am Surg","language":"eng","note":"PMID: 38788760","page":"2222-2227","source":"PubMed","title":"Preoperative Risk Factors for Discharge to Facility After Surgery in Geriatric Patients","volume":"90","author":[{"family":"Abbitt","given":"Danielle"},{"family":"Choy","given":"Kevin"},{"family":"Robinson","given":"Thomas N."},{"family":"Jones","given":"Edward L."},{"family":"Horney","given":"Carolyn"},{"family":"Sommerville","given":"Shala"},{"family":"Jones","given":"Teresa S."}],"issued":{"date-parts":[["2024",9]]}}}],"schema":"https://github.com/citation-style-language/schema/raw/master/csl-citation.json"} </w:instrText>
      </w:r>
      <w:r w:rsidRPr="00DF28C8">
        <w:rPr>
          <w:rFonts w:ascii="Times New Roman" w:hAnsi="Times New Roman" w:cs="Times New Roman"/>
          <w:color w:val="000000" w:themeColor="text1"/>
        </w:rPr>
        <w:fldChar w:fldCharType="separate"/>
      </w:r>
      <w:r w:rsidRPr="00DF28C8">
        <w:rPr>
          <w:rFonts w:ascii="Times New Roman" w:hAnsi="Times New Roman" w:cs="Times New Roman"/>
          <w:color w:val="000000" w:themeColor="text1"/>
        </w:rPr>
        <w:t>[63]</w:t>
      </w:r>
      <w:r w:rsidRPr="00DF28C8">
        <w:rPr>
          <w:rFonts w:ascii="Times New Roman" w:hAnsi="Times New Roman" w:cs="Times New Roman"/>
          <w:color w:val="000000" w:themeColor="text1"/>
        </w:rPr>
        <w:fldChar w:fldCharType="end"/>
      </w:r>
      <w:r w:rsidRPr="00DF28C8">
        <w:rPr>
          <w:rFonts w:ascii="Times New Roman" w:hAnsi="Times New Roman" w:cs="Times New Roman"/>
          <w:color w:val="000000" w:themeColor="text1"/>
        </w:rPr>
        <w:t xml:space="preserve"> as transition facilitators. </w:t>
      </w:r>
      <w:r w:rsidRPr="008213CF">
        <w:rPr>
          <w:rFonts w:ascii="Times New Roman" w:hAnsi="Times New Roman" w:cs="Times New Roman"/>
        </w:rPr>
        <w:t>Nutritional status also played a role</w:t>
      </w:r>
      <w:r w:rsidRPr="00ED5246">
        <w:rPr>
          <w:rFonts w:ascii="Times New Roman" w:hAnsi="Times New Roman" w:cs="Times New Roman"/>
        </w:rPr>
        <w:t xml:space="preserve">. Better nutritional indicators, including higher </w:t>
      </w:r>
      <w:r>
        <w:rPr>
          <w:rFonts w:ascii="Times New Roman" w:hAnsi="Times New Roman" w:cs="Times New Roman"/>
        </w:rPr>
        <w:t>body mass index (</w:t>
      </w:r>
      <w:r w:rsidRPr="00ED5246">
        <w:rPr>
          <w:rFonts w:ascii="Times New Roman" w:hAnsi="Times New Roman" w:cs="Times New Roman"/>
        </w:rPr>
        <w:t>BMI</w:t>
      </w:r>
      <w:r>
        <w:rPr>
          <w:rFonts w:ascii="Times New Roman" w:hAnsi="Times New Roman" w:cs="Times New Roman"/>
        </w:rPr>
        <w:t>)</w:t>
      </w:r>
      <w:r w:rsidRPr="00ED5246">
        <w:rPr>
          <w:rFonts w:ascii="Times New Roman" w:hAnsi="Times New Roman" w:cs="Times New Roman"/>
        </w:rPr>
        <w:t xml:space="preserve">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{"citationID":"d1aPPvXF","properties":{"formattedCitation":"[56]","plainCitation":"[56]","noteIndex":0},"citationItems":[{"id":42168,"uris":["http://zotero.org/groups/5108666/items/H2MK6WWE"],"itemData":{"id":42168,"type":"article-journal","abstract":"BACKGROUND: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[56]</w:t>
      </w:r>
      <w:r w:rsidRPr="00ED5246">
        <w:rPr>
          <w:rFonts w:ascii="Times New Roman" w:hAnsi="Times New Roman" w:cs="Times New Roman"/>
        </w:rPr>
        <w:fldChar w:fldCharType="end"/>
      </w:r>
      <w:r w:rsidRPr="00ED5246">
        <w:rPr>
          <w:rFonts w:ascii="Times New Roman" w:hAnsi="Times New Roman" w:cs="Times New Roman"/>
        </w:rPr>
        <w:t xml:space="preserve"> and superior geriatric nutritional risk index (GNRI) scores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{"citationID":"ArZnnrwv","properties":{"formattedCitation":"[73]","plainCitation":"[73]","noteIndex":0},"citationItems":[{"id":67896,"uris":["http://zotero.org/groups/5108666/items/YLX4KL3V"],"itemData":{"id":67896,"type":"article-journal","abstract":"AIM: The present study aimed to investigate factors relating to discharge to home of elderly patients with heart failure.\nMETHOD: After applying exclusion criteria and excluding patients with missing data, 110 of 165 elderly patients with heart failure aged at least 75 years admitted to our institution were divided into discharge to home (n = 85) and non-discharge to home (n = 25) groups. Clinical characteristics, comorbidities, blood test data and echocardiographic data were retrospectively investigated and compared based on patients' medical records. Nutritional status was assessed using the Geriatric Nutritional Risk Index (GNRI) upon admission and at 2 weeks after admission (2-week GNRI). Correlations with discharge to home were investigated using multiple logistic regression analysis with discharge to home as the dependent variable and parameters for which significant intergroup differences were observed as explanatory variables, when considering multicollinearity. Ratio scales selected by multiple logistic regression analysis were analyzed using a receiver operating characteristic curve and cut-off values were calculated.\nRESULTS: Independent factors predicting discharge to home were 100-m walk achievement (P = 0.037; odds ratio [OR], 3.057; 95% confidence interval [CI], 2.418-8.751) and 2-week GNRI (P = 0.006; OR, 1.083; 95% CI, 1.023-1.146). Area under the receiver operating characteristic curve for 2-week GNRI was 0.735 (95% CI, 0.622-0.847) with a cut-off value for 2-week GNRI to determine discharge to home of 75.29 (sensitivity, 78.8%; specificity, 60.0%).\nCONCLUSION: The present findings suggest that 100-m walk achievement and 2-week GNRI may be predictors for discharge to home in elderly patients with heart failure. Geriatr Gerontol Int 2020; 20: 1029-1035..","container-title":"Geriatrics &amp; Gerontology International","DOI":"10.1111/ggi.14014","ISSN":"1447-0594","issue":"11","journalAbbreviation":"Geriatr Gerontol Int","language":"eng","note":"PMID: 32927503","page":"1029-1035","source":"PubMed","title":"Geriatric nutritional risk index and 100-m walk achievement predict discharge to home in elderly patients with heart failure","volume":"20","author":[{"family":"Shimoyama","given":"Shota"},{"family":"Ono","given":"Tsuyoshi"},{"family":"Ebihara","given":"Satoru"}],"issued":{"date-parts":[["2020",11]]}}}],"schema":"https://github.com/citation-style-language/schema/raw/master/csl-citation.json"}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[73]</w:t>
      </w:r>
      <w:r w:rsidRPr="00ED5246">
        <w:rPr>
          <w:rFonts w:ascii="Times New Roman" w:hAnsi="Times New Roman" w:cs="Times New Roman"/>
        </w:rPr>
        <w:fldChar w:fldCharType="end"/>
      </w:r>
      <w:r w:rsidRPr="00ED5246">
        <w:rPr>
          <w:rFonts w:ascii="Times New Roman" w:hAnsi="Times New Roman" w:cs="Times New Roman"/>
        </w:rPr>
        <w:t xml:space="preserve">, facilitated home transitions, </w:t>
      </w:r>
      <w:r w:rsidRPr="00ED5246">
        <w:rPr>
          <w:rFonts w:ascii="Times New Roman" w:eastAsia="Aptos" w:hAnsi="Times New Roman" w:cs="Times New Roman"/>
        </w:rPr>
        <w:t>whereas</w:t>
      </w:r>
      <w:r w:rsidRPr="00ED5246">
        <w:rPr>
          <w:rFonts w:ascii="Times New Roman" w:hAnsi="Times New Roman" w:cs="Times New Roman"/>
        </w:rPr>
        <w:t xml:space="preserve"> malnutrition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{"citationID":"MSDwObs1","properties":{"formattedCitation":"[56]","plainCitation":"[56]","noteIndex":0},"citationItems":[{"id":42168,"uris":["http://zotero.org/groups/5108666/items/H2MK6WWE"],"itemData":{"id":42168,"type":"article-journal","abstract":"BACKGROUND: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[56]</w:t>
      </w:r>
      <w:r w:rsidRPr="00ED5246">
        <w:rPr>
          <w:rFonts w:ascii="Times New Roman" w:hAnsi="Times New Roman" w:cs="Times New Roman"/>
        </w:rPr>
        <w:fldChar w:fldCharType="end"/>
      </w:r>
      <w:r w:rsidRPr="00ED5246">
        <w:rPr>
          <w:rFonts w:ascii="Times New Roman" w:hAnsi="Times New Roman" w:cs="Times New Roman"/>
        </w:rPr>
        <w:t xml:space="preserve"> decreased its likelihood</w:t>
      </w:r>
      <w:r>
        <w:rPr>
          <w:rFonts w:ascii="Times New Roman" w:hAnsi="Times New Roman" w:cs="Times New Roman"/>
        </w:rPr>
        <w:t>.</w:t>
      </w:r>
    </w:p>
    <w:p w14:paraId="6B5B17BE" w14:textId="77777777" w:rsidR="004579D2" w:rsidRPr="00ED5246" w:rsidRDefault="004579D2" w:rsidP="004579D2">
      <w:pPr>
        <w:spacing w:after="0" w:line="480" w:lineRule="auto"/>
        <w:jc w:val="both"/>
        <w:rPr>
          <w:rFonts w:ascii="Times New Roman" w:hAnsi="Times New Roman" w:cs="Times New Roman"/>
        </w:rPr>
      </w:pPr>
      <w:r w:rsidRPr="00ED5246">
        <w:rPr>
          <w:rFonts w:ascii="Times New Roman" w:hAnsi="Times New Roman" w:cs="Times New Roman"/>
        </w:rPr>
        <w:t xml:space="preserve">Specific health conditions </w:t>
      </w:r>
      <w:r>
        <w:rPr>
          <w:rFonts w:ascii="Times New Roman" w:hAnsi="Times New Roman" w:cs="Times New Roman"/>
        </w:rPr>
        <w:t>further influenced transitions</w:t>
      </w:r>
      <w:r w:rsidRPr="00ED5246">
        <w:rPr>
          <w:rFonts w:ascii="Times New Roman" w:hAnsi="Times New Roman" w:cs="Times New Roman"/>
        </w:rPr>
        <w:t xml:space="preserve">. </w:t>
      </w:r>
      <w:r w:rsidRPr="008213CF">
        <w:rPr>
          <w:rFonts w:ascii="Times New Roman" w:eastAsia="Aptos" w:hAnsi="Times New Roman" w:cs="Times New Roman"/>
        </w:rPr>
        <w:t>A higher likelihood of home care transition was reported among individuals without</w:t>
      </w:r>
      <w:r>
        <w:rPr>
          <w:rFonts w:ascii="Times New Roman" w:eastAsia="Aptos" w:hAnsi="Times New Roman" w:cs="Times New Roman"/>
        </w:rPr>
        <w:t xml:space="preserve"> </w:t>
      </w:r>
      <w:r w:rsidRPr="00ED5246">
        <w:rPr>
          <w:rFonts w:ascii="Times New Roman" w:hAnsi="Times New Roman" w:cs="Times New Roman"/>
        </w:rPr>
        <w:t xml:space="preserve">musculoskeletal conditions, </w:t>
      </w:r>
      <w:r>
        <w:rPr>
          <w:rFonts w:ascii="Times New Roman" w:hAnsi="Times New Roman" w:cs="Times New Roman"/>
        </w:rPr>
        <w:t>such as</w:t>
      </w:r>
      <w:r w:rsidRPr="00ED5246">
        <w:rPr>
          <w:rFonts w:ascii="Times New Roman" w:hAnsi="Times New Roman" w:cs="Times New Roman"/>
        </w:rPr>
        <w:t xml:space="preserve"> cervical spine, pelvic, </w:t>
      </w:r>
      <w:r>
        <w:rPr>
          <w:rFonts w:ascii="Times New Roman" w:hAnsi="Times New Roman" w:cs="Times New Roman"/>
        </w:rPr>
        <w:t>or</w:t>
      </w:r>
      <w:r w:rsidRPr="00ED5246">
        <w:rPr>
          <w:rFonts w:ascii="Times New Roman" w:hAnsi="Times New Roman" w:cs="Times New Roman"/>
        </w:rPr>
        <w:t xml:space="preserve"> hip fractures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{"citationID":"5zDxHQSt","properties":{"formattedCitation":"[55]","plainCitation":"[55]","noteIndex":0},"citationItems":[{"id":39776,"uris":["http://zotero.org/groups/5108666/items/WMHZ2YDB"],"itemData":{"id":39776,"type":"article-journal","abstract":"BACKGROUND: The ability to reliably predict outcomes after trauma in older adults (age &gt;= 65 y) is critical for clinical decision making. Using novel machine-learning techniques, we sought to design a nonlinear, competing risks paradigm for prediction of older adult discharge disposition following injury., MATERIALS AND METHODS: The National Trauma Databank (NTDB) was used to identify patients 65+ y between 2007 and 2014. Training was performed on an enriched cohort of diverse patients. Factors included age, comorbidities, length of stay, and physiologic parameters to predict in-hospital mortality and discharge disposition (home versus skilled nursing/long-term care facility). Length of stay and discharge status were analyzed via competing risks survival analysis with Bayesian additive regression trees and a multinomial mixed model., RESULTS: The resulting sample size was 47,037 patients. Admission GCS and age were important in predicting mortality and discharge disposition. As GCS decreased, patients were more likely to die (risk ratio increased by average of 1.4 per 2-point drop in GCS, P &lt; 0.001). As GCS decreased, patients were also more likely to be discharged to a skilled nursing or long-term care facility (risk ratio decreased by 0.08 per 2-point decrease in GCS, P&lt; 0.001). The area under curve for prediction of discharge home was improved in the competing risks model 0.73 versus 0.43 in the traditional multinomial mixed model., CONCLUSIONS: Predicting older adult discharge disposition after trauma is improved using machine learning over traditional regression analysis. We confirmed that a nonlinear, competing risks paradigm enhances prediction on any given hospital day post injury. Copyright © 2021 Elsevier Inc. All rights reserved.","archive":"Ovid MEDLINE(R) &lt;2022&gt;","container-title":"The Journal of surgical research","DOI":"10.1016/j.jss.2021.08.021","ISSN":"1095-8673","issue":"k7b, 0376340","journalAbbreviation":"J Surg Res","page":"39-48","title":"Improved Prediction of Older Adult Discharge After Trauma Using a Novel Machine Learning Paradigm.","volume":"270","author":[{"family":"Morris","given":"Rachel S"},{"family":"Tignanelli","given":"Christopher J"},{"family":"Cassini","given":"Terri","non-dropping-particle":"deRoon-"},{"family":"Laud","given":"Purushottam"},{"family":"Sparapani","given":"Rodney"}],"issued":{"date-parts":[["2022"]]}}}],"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[55]</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 xml:space="preserve">those with </w:t>
      </w:r>
      <w:r w:rsidRPr="00ED5246">
        <w:rPr>
          <w:rFonts w:ascii="Times New Roman" w:hAnsi="Times New Roman" w:cs="Times New Roman"/>
        </w:rPr>
        <w:t xml:space="preserve">lower stroke severity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{"citationID":"3Mlm5GfI","properties":{"formattedCitation":"[58]","plainCitation":"[58]","noteIndex":0},"citationItems":[{"id":4279,"uris":["http://zotero.org/users/7655466/items/3Y4QKYJQ"],"itemData":{"id":4279,"type":"article-journal","archive":"Scopus","container-title":"PM and R","DOI":"10.1002/pmrj.12371","ISSN":"19341482 (ISSN)","issue":"1","note":"publisher: John Wiley and Sons Inc","page":"38-44","title":"Development of a Point System to Predict Discharge to Home for Acute Stroke Patients","volume":"13","author":[{"family":"Kubo","given":"K."},{"family":"Kamo","given":"T."},{"family":"Momosaki","given":"R."},{"family":"Mitsutomi","given":"K."}],"issued":{"date-parts":[["2021"]]}}}],"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[58]</w:t>
      </w:r>
      <w:r w:rsidRPr="00ED5246">
        <w:rPr>
          <w:rFonts w:ascii="Times New Roman" w:hAnsi="Times New Roman" w:cs="Times New Roman"/>
        </w:rPr>
        <w:fldChar w:fldCharType="end"/>
      </w:r>
      <w:r>
        <w:rPr>
          <w:rFonts w:ascii="Times New Roman" w:hAnsi="Times New Roman" w:cs="Times New Roman"/>
        </w:rPr>
        <w:t xml:space="preserve">, incomplete cervical spinal cord injuries (n=1) </w:t>
      </w:r>
      <w:r>
        <w:rPr>
          <w:rFonts w:ascii="Times New Roman" w:hAnsi="Times New Roman" w:cs="Times New Roman"/>
        </w:rPr>
        <w:fldChar w:fldCharType="begin"/>
      </w:r>
      <w:r>
        <w:rPr>
          <w:rFonts w:ascii="Times New Roman" w:hAnsi="Times New Roman" w:cs="Times New Roman"/>
        </w:rPr>
        <w:instrText xml:space="preserve"> ADDIN ZOTERO_ITEM CSL_CITATION {"citationID":"VmbpZ7tR","properties":{"formattedCitation":"[59]","plainCitation":"[59]","noteIndex":0},"citationItems":[{"id":81837,"uris":["http://zotero.org/users/7655466/items/P3P8G9ZS"],"itemData":{"id":81837,"type":"article-journal","abstract":"INTRODUCTION: Older adults with cervical spinal cord injury (CSCI) often have a poor prognosis due to the high number of complications, decreased motivation to rehabilitation, and poor response to treatment. This study aimed to investigate the characteristics of CSCI in Japanese older adults and examined the factors influencing their discharge home.\nMETHODS: In this retrospective cohort study, we extracted data on consecutive cases with CSCI between 2005 and 2020 from the study hospital's database. Patients over 65 years old who were admitted to the hospital within 14 days of injury were selected. A univariate analysis was performed between the home discharge and out-of-home discharge groups. In addition, binary logistic regression analysis of admission findings and patient background was performed to examine independent factors influencing home discharge.\nRESULTS: Of the 219 patients included, 90 (41.1%) were eventually discharged to home. Comparing home discharge and out-of-home discharge groups revealed significant differences in age at injury, length of hospital stay, neurological level of injury (NLI), percentage of American Spinal Injury Association (ASIA) Impairment Scale (AIS: A), percentage of living alone, ASIA motor score (AMS), and Spinal Cord Independence Measure (SCIM) at initial visit and discharge. Binary logistic regression analysis revealed that old age (over 75 years old) at injury (odds ratio [OR]: 0.31, 95% CI: 0.16-0.60, P&lt;.001), living alone (OR: 0.22, 95% CI: 0.03-0.42, P&lt;.01), high level of injury (i.e., NLI: C1-4; OR: 0.22, 95% CI: 0.09-0.53, P&lt;.0001), and percentage of AIS: A at admission (OR: 0.09, 95% CI: 0.04-0.24, P&lt;.001) were independent factors that influenced home discharge.\nCONCLUSIONS: More than 50% older adults with CSCI were discharged to a place other than their own home. Age, percentage of AIS: A, living alone, and high level of injury at admission were independent factors that influenced home discharge.","container-title":"Spine Surgery and Related Research","DOI":"10.22603/ssrr.2023-0045","ISSN":"2432-261X","issue":"6","journalAbbreviation":"Spine Surg Relat Res","language":"eng","note":"PMID: 38084212\nPMCID: PMC10710894","page":"482-487","source":"PubMed","title":"Factors Affecting Home Discharge of Older Adults with Cervical Spinal Cord Injury in Japan Regional Population","volume":"7","author":[{"family":"Sasaki","given":"Sota"},{"family":"Hayashi","given":"Tetsuo"},{"family":"Masuda","given":"Muneaki"},{"family":"Kawano","given":"Osamu"},{"family":"Yamamoto","given":"Takuaki"},{"family":"Maeda","given":"Takeshi"}],"issued":{"date-parts":[["2023",11,27]]}}}],"schema":"https://github.com/citation-style-language/schema/raw/master/csl-citation.json"} </w:instrText>
      </w:r>
      <w:r>
        <w:rPr>
          <w:rFonts w:ascii="Times New Roman" w:hAnsi="Times New Roman" w:cs="Times New Roman"/>
        </w:rPr>
        <w:fldChar w:fldCharType="separate"/>
      </w:r>
      <w:r w:rsidRPr="00DF28C8">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t xml:space="preserve">, lower neurological-level lesions (n=1) </w:t>
      </w:r>
      <w:r>
        <w:rPr>
          <w:rFonts w:ascii="Times New Roman" w:hAnsi="Times New Roman" w:cs="Times New Roman"/>
        </w:rPr>
        <w:fldChar w:fldCharType="begin"/>
      </w:r>
      <w:r>
        <w:rPr>
          <w:rFonts w:ascii="Times New Roman" w:hAnsi="Times New Roman" w:cs="Times New Roman"/>
        </w:rPr>
        <w:instrText xml:space="preserve"> ADDIN ZOTERO_ITEM CSL_CITATION {"citationID":"70cmE2an","properties":{"formattedCitation":"[59]","plainCitation":"[59]","noteIndex":0},"citationItems":[{"id":81837,"uris":["http://zotero.org/users/7655466/items/P3P8G9ZS"],"itemData":{"id":81837,"type":"article-journal","abstract":"INTRODUCTION: Older adults with cervical spinal cord injury (CSCI) often have a poor prognosis due to the high number of complications, decreased motivation to rehabilitation, and poor response to treatment. This study aimed to investigate the characteristics of CSCI in Japanese older adults and examined the factors influencing their discharge home.\nMETHODS: In this retrospective cohort study, we extracted data on consecutive cases with CSCI between 2005 and 2020 from the study hospital's database. Patients over 65 years old who were admitted to the hospital within 14 days of injury were selected. A univariate analysis was performed between the home discharge and out-of-home discharge groups. In addition, binary logistic regression analysis of admission findings and patient background was performed to examine independent factors influencing home discharge.\nRESULTS: Of the 219 patients included, 90 (41.1%) were eventually discharged to home. Comparing home discharge and out-of-home discharge groups revealed significant differences in age at injury, length of hospital stay, neurological level of injury (NLI), percentage of American Spinal Injury Association (ASIA) Impairment Scale (AIS: A), percentage of living alone, ASIA motor score (AMS), and Spinal Cord Independence Measure (SCIM) at initial visit and discharge. Binary logistic regression analysis revealed that old age (over 75 years old) at injury (odds ratio [OR]: 0.31, 95% CI: 0.16-0.60, P&lt;.001), living alone (OR: 0.22, 95% CI: 0.03-0.42, P&lt;.01), high level of injury (i.e., NLI: C1-4; OR: 0.22, 95% CI: 0.09-0.53, P&lt;.0001), and percentage of AIS: A at admission (OR: 0.09, 95% CI: 0.04-0.24, P&lt;.001) were independent factors that influenced home discharge.\nCONCLUSIONS: More than 50% older adults with CSCI were discharged to a place other than their own home. Age, percentage of AIS: A, living alone, and high level of injury at admission were independent factors that influenced home discharge.","container-title":"Spine Surgery and Related Research","DOI":"10.22603/ssrr.2023-0045","ISSN":"2432-261X","issue":"6","journalAbbreviation":"Spine Surg Relat Res","language":"eng","note":"PMID: 38084212\nPMCID: PMC10710894","page":"482-487","source":"PubMed","title":"Factors Affecting Home Discharge of Older Adults with Cervical Spinal Cord Injury in Japan Regional Population","volume":"7","author":[{"family":"Sasaki","given":"Sota"},{"family":"Hayashi","given":"Tetsuo"},{"family":"Masuda","given":"Muneaki"},{"family":"Kawano","given":"Osamu"},{"family":"Yamamoto","given":"Takuaki"},{"family":"Maeda","given":"Takeshi"}],"issued":{"date-parts":[["2023",11,27]]}}}],"schema":"https://github.com/citation-style-language/schema/raw/master/csl-citation.json"} </w:instrText>
      </w:r>
      <w:r>
        <w:rPr>
          <w:rFonts w:ascii="Times New Roman" w:hAnsi="Times New Roman" w:cs="Times New Roman"/>
        </w:rPr>
        <w:fldChar w:fldCharType="separate"/>
      </w:r>
      <w:r w:rsidRPr="00DF28C8">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t xml:space="preserve">, and no recent history of falls (n=1) </w:t>
      </w:r>
      <w:r>
        <w:rPr>
          <w:rFonts w:ascii="Times New Roman" w:hAnsi="Times New Roman" w:cs="Times New Roman"/>
        </w:rPr>
        <w:fldChar w:fldCharType="begin"/>
      </w:r>
      <w:r>
        <w:rPr>
          <w:rFonts w:ascii="Times New Roman" w:hAnsi="Times New Roman" w:cs="Times New Roman"/>
        </w:rPr>
        <w:instrText xml:space="preserve"> ADDIN ZOTERO_ITEM CSL_CITATION {"citationID":"MVuVkatz","properties":{"formattedCitation":"[63]","plainCitation":"[63]","noteIndex":0},"citationItems":[{"id":81849,"uris":["http://zotero.org/users/7655466/items/TFZPWD32"],"itemData":{"id":81849,"type":"article-journal","abstract":"BACKGROUND: The Geriatric Surgery Verification Program (GSV) was developed to address perioperative care for patients ≥75 years, with a goal of improving outcomes and functional abilities after surgery. We sought to evaluate preoperative factors that place patients at risk for inability to return home (ie, discharge to a facility).\nMETHODS: Retrospective review of patients ≥75 years old who underwent inpatient surgery from January 2018 to December 2022 at a referral Veterans Administration Medical Center enrolled in the GSV program. Preoperative factors included fall history, mobility aids, housing status, function, cognition, and nutritional status. Postoperative outcomes were discharge designations as home and home with services compared to a facility (skilled nursing facility and acute rehab). Exclusion criteria included preoperative facility residence, cardiac surgery, hospital transfer, postoperative complications, hospice discharge, or in-hospital mortality.\nRESULTS: 605 patients met inclusion criteria and 173 (29%) excluded as above. Of the remaining 432 patients, mean age was 79 ± 5 and the majority were male, 426 (99%). The majority of patients were discharged home, 388 (90%), compared to a facility, 44 (10%). Patients with a fall history (OR: 2.95, 95% CI: 1.56, 5.57), utilizing a mobility aid (OR: 6.0, 95% CI: 2.8, 12.83), were partial or totally dependent (OR: 4.83, 95% CI: 2.29, 10.17), or who lived alone (OR: 2.57, 95% CI: 1.08, 6.07) had higher rates of discharge to a facility.\nDISCUSSION: Preoperative mobility compromise and functional dependence are associated with higher rates of discharge to a facility. These preoperative factors are possibly modifiable with multidisciplinary care teams to decrease risks of facility placement.","container-title":"The American Surgeon","DOI":"10.1177/00031348241256056","ISSN":"1555-9823","issue":"9","journalAbbreviation":"Am Surg","language":"eng","note":"PMID: 38788760","page":"2222-2227","source":"PubMed","title":"Preoperative Risk Factors for Discharge to Facility After Surgery in Geriatric Patients","volume":"90","author":[{"family":"Abbitt","given":"Danielle"},{"family":"Choy","given":"Kevin"},{"family":"Robinson","given":"Thomas N."},{"family":"Jones","given":"Edward L."},{"family":"Horney","given":"Carolyn"},{"family":"Sommerville","given":"Shala"},{"family":"Jones","given":"Teresa S."}],"issued":{"date-parts":[["2024",9]]}}}],"schema":"https://github.com/citation-style-language/schema/raw/master/csl-citation.json"} </w:instrText>
      </w:r>
      <w:r>
        <w:rPr>
          <w:rFonts w:ascii="Times New Roman" w:hAnsi="Times New Roman" w:cs="Times New Roman"/>
        </w:rPr>
        <w:fldChar w:fldCharType="separate"/>
      </w:r>
      <w:r w:rsidRPr="00DF28C8">
        <w:rPr>
          <w:rFonts w:ascii="Times New Roman" w:hAnsi="Times New Roman" w:cs="Times New Roman"/>
        </w:rPr>
        <w:t>[63]</w:t>
      </w:r>
      <w:r>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In contrast</w:t>
      </w:r>
      <w:r w:rsidRPr="00ED5246">
        <w:rPr>
          <w:rFonts w:ascii="Times New Roman" w:hAnsi="Times New Roman" w:cs="Times New Roman"/>
        </w:rPr>
        <w:t xml:space="preserve">, prior traumatic brain injury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{"citationID":"gol8KyRY","properties":{"formattedCitation":"[57]","plainCitation":"[57]","noteIndex":0},"citationItems":[{"id":36528,"uris":["http://zotero.org/groups/5108666/items/TVTYWWNR"],"itemData":{"id":36528,"type":"article-journal","abstract":"Background: An increasing number of older adults with traumatic brain injury (TBI) require hospitalization, but it is unknown whether they return to their community following discharge. We examined community residence following acute hospital discharge for TBI in Texas and identified factors associated with 90‐day community residence and readmission. Methods: We conducted a retrospective cohort study using 100% Texas Medicare claims data of patients older than 65 years hospitalized for a TBI from January 1, 2014, through December 31, 2017, and followed for 20 weeks after discharge. Discharges to short‐term and long‐term acute hospital, inpatient rehabilitation facility (IRF), skilled nursing facility (SNF), long‐term nursing home (NH), and hospice were identified. The primary outcome was 90‐day community residence. Our secondary outcome was 90‐day, all‐cause readmission. Results: In Texas, 26,985 Medicare fee‐for‐service patients were hospitalized for TBI (Racial and ethnic minorities: 21.1%; Females 57.3%). At 90 days and 20 weeks following discharge, 80% and 84% were living in the community respectively. Female sex (OR = 1.16 [1.08–1.25]), Hispanic ethnicity (OR = 2.01 [1.80–2.25]), \"other\" race (OR = 2.19 [1.73–2.77]), and prior primary care provider (PCP; OR = 1.51 [1.40–1.62]) were associated with increased likelihood of 90‐day community residence. Patients aged 75+, prior NH residence, dual eligibility, prior TBI diagnosis, and moderate‐to‐severe injury severity were associated with decreased likelihood of 90‐day community residence. Being non‐Hispanic Black (HR = 1.33 [1.20–1.46]), discharge to SNF (HR = 1.56 [1.48–1.65]) or IRF (HR = 1.49 [1.40–1.59]), having prior PCP (HR = 1.23 [1.17–1.30]), dual eligibility (HR = 1.11 [1.04–1.18]), and prior TBI diagnosis (HR = 1.05 [1.01–1.10]) were associated with increased risk of 90‐day readmission. Female sex and \"other\" race were associated with decreased risk of 90‐day readmission. Conclusions: Most older adults with TBI return to the community following hospital discharge. Disparities exist in returning to the community and in risk of 90‐day readmission following hospital discharge. Future studies should explore how having a PCP influences post‐hospital outcomes in chronic care management of older patients with TBI.","archive":"cin20","container-title":"Journal of the American Geriatrics Society","DOI":"10.1111/jgs.18308","ISSN":"0002-8614","issue":"6","journalAbbreviation":"Journal of the American Geriatrics Society","page":"1806-1818","source":"EBSCOhost","title":"Care patterns and predictors of community residence among older patients after hospital discharge for traumatic brain injury.","volume":"71","author":[{"family":"Pappadis","given":"Monique R."},{"family":"Malagaris","given":"Ioannis"},{"family":"Kuo","given":"Yong‐Fang"},{"family":"Leland","given":"Natalie"},{"family":"Freburger","given":"Janet"},{"family":"Goodwin","given":"James S."}],"issued":{"date-parts":[["2023",6]]}}}],"schema":"https://github.com/citation-style-language/schema/raw/master/csl-citation.json"}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[57]</w:t>
      </w:r>
      <w:r w:rsidRPr="00ED5246">
        <w:rPr>
          <w:rFonts w:ascii="Times New Roman" w:hAnsi="Times New Roman" w:cs="Times New Roman"/>
        </w:rPr>
        <w:fldChar w:fldCharType="end"/>
      </w:r>
      <w:r w:rsidRPr="00ED5246">
        <w:rPr>
          <w:rFonts w:ascii="Times New Roman" w:hAnsi="Times New Roman" w:cs="Times New Roman"/>
        </w:rPr>
        <w:t xml:space="preserve">, pressure ulcers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{"citationID":"gaMiHWUw","properties":{"formattedCitation":"[56]","plainCitation":"[56]","noteIndex":0},"citationItems":[{"id":42168,"uris":["http://zotero.org/groups/5108666/items/H2MK6WWE"],"itemData":{"id":42168,"type":"article-journal","abstract":"BACKGROUND: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[56]</w:t>
      </w:r>
      <w:r w:rsidRPr="00ED5246">
        <w:rPr>
          <w:rFonts w:ascii="Times New Roman" w:hAnsi="Times New Roman" w:cs="Times New Roman"/>
        </w:rPr>
        <w:fldChar w:fldCharType="end"/>
      </w:r>
      <w:r w:rsidRPr="00ED5246">
        <w:rPr>
          <w:rFonts w:ascii="Times New Roman" w:hAnsi="Times New Roman" w:cs="Times New Roman"/>
        </w:rPr>
        <w:t xml:space="preserve">, and pleural effusion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{"citationID":"Q3a7zsdH","properties":{"formattedCitation":"[56]","plainCitation":"[56]","noteIndex":0},"citationItems":[{"id":42168,"uris":["http://zotero.org/groups/5108666/items/H2MK6WWE"],"itemData":{"id":42168,"type":"article-journal","abstract":"BACKGROUND: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[56]</w:t>
      </w:r>
      <w:r w:rsidRPr="00ED5246">
        <w:rPr>
          <w:rFonts w:ascii="Times New Roman" w:hAnsi="Times New Roman" w:cs="Times New Roman"/>
        </w:rPr>
        <w:fldChar w:fldCharType="end"/>
      </w:r>
      <w:r w:rsidRPr="00ED5246">
        <w:rPr>
          <w:rFonts w:ascii="Times New Roman" w:hAnsi="Times New Roman" w:cs="Times New Roman"/>
        </w:rPr>
        <w:t xml:space="preserve"> negatively influenced these transitions.</w:t>
      </w:r>
    </w:p>
    <w:p w14:paraId="20AACB63" w14:textId="77777777" w:rsidR="004579D2" w:rsidRPr="00ED5246" w:rsidRDefault="004579D2" w:rsidP="004579D2">
      <w:pPr>
        <w:spacing w:after="0" w:line="480" w:lineRule="auto"/>
        <w:jc w:val="both"/>
        <w:rPr>
          <w:rFonts w:ascii="Times New Roman" w:hAnsi="Times New Roman" w:cs="Times New Roman"/>
        </w:rPr>
      </w:pPr>
      <w:r w:rsidRPr="00ED5246">
        <w:rPr>
          <w:rFonts w:ascii="Times New Roman" w:hAnsi="Times New Roman" w:cs="Times New Roman"/>
          <w:b/>
          <w:bCs/>
        </w:rPr>
        <w:t xml:space="preserve">Healthcare system. </w:t>
      </w:r>
      <w:bookmarkStart w:id="17" w:name="_Hlk184142042"/>
      <w:r w:rsidRPr="00ED5246">
        <w:rPr>
          <w:rFonts w:ascii="Times New Roman" w:hAnsi="Times New Roman" w:cs="Times New Roman"/>
        </w:rPr>
        <w:t xml:space="preserve">Clinical interventions significantly influenced transitions from acute care to home care. For instance, total knee arthroplasty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iC470e6V","properties":{"formattedCitation":"[5]","plainCitation":"[5]","noteIndex":0},"citationItems":[{"id":50443,"uris":["http://zotero.org/groups/5108666/items/492BMIAT"],"itemData":{"id":50443,"type":"article-journal","archive":"Scopus","container-title":"Journal of Arthroplasty","DOI":"10.1016/j.arth.2016.05.027","issue":"12","page":"2700-2704","title":"Disparities in Discharge Destination After Lower Extremity Joint Arthroplasty: Analysis of 7924 Patients in an Urban Setting","volume":"31","author":[{"family":"Inneh","given":"I.A."},{"family":"Clair","given":"A.J."},{"family":"Slover","given":"J.D."},{"family":"Iorio","given":"R."}],"issued":{"date-parts":[["2016"]]}}}],"schema":"https://github.com/citation-style-language/schema/raw/master/csl-citation.json"} </w:instrText>
      </w:r>
      <w:r w:rsidRPr="00ED5246">
        <w:rPr>
          <w:rFonts w:ascii="Times New Roman" w:hAnsi="Times New Roman" w:cs="Times New Roman"/>
        </w:rPr>
        <w:fldChar w:fldCharType="separate"/>
      </w:r>
      <w:r w:rsidRPr="002A098C">
        <w:rPr>
          <w:rFonts w:ascii="Times New Roman" w:hAnsi="Times New Roman" w:cs="Times New Roman"/>
        </w:rPr>
        <w:t>[5]</w:t>
      </w:r>
      <w:r w:rsidRPr="00ED5246">
        <w:rPr>
          <w:rFonts w:ascii="Times New Roman" w:hAnsi="Times New Roman" w:cs="Times New Roman"/>
        </w:rPr>
        <w:fldChar w:fldCharType="end"/>
      </w:r>
      <w:r w:rsidRPr="00ED5246">
        <w:rPr>
          <w:rFonts w:ascii="Times New Roman" w:hAnsi="Times New Roman" w:cs="Times New Roman"/>
        </w:rPr>
        <w:t xml:space="preserve"> and complex medical treatments such as respiratory support, vasopressor administration, and oxygen therapy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{"citationID":"Oj95nRx9","properties":{"formattedCitation":"[56]","plainCitation":"[56]","noteIndex":0},"citationItems":[{"id":42168,"uris":["http://zotero.org/groups/5108666/items/H2MK6WWE"],"itemData":{"id":42168,"type":"article-journal","abstract":"BACKGROUND: Discharge planning enhances the safe and timely transfer of inpatients between facilities. Predicting the discharge destination of inpatients  with aspiration pneumonia is important for discharge planning. We aimed to  develop and validate prediction models for the discharge destination of elderly  patients with aspiration pneumonia. METHODS: Using a nationwide inpatient  database, we identified aspiration pneumonia cases for patients aged ≥65 years  who had been admitted to hospital from their home or from a nursing home between  April 2020 and March 2021. We divided the cases into derivation and validation  cohorts according to the location of the admitting hospital. We developed two  prediction models by dividing the cases based on the patient's place of residence  prior to admission, one model to predict the home discharge of cases admitted  from home and the other to predict the home or to a nursing home discharge of  cases admitted from a nursing home. The models were internally validated with  bootstrapping and internal-externally validated using a validation cohort.  Nomograms that could be used easily in clinical practice were also created.  RESULTS: The derivation cohort included 19,746 cases admitted from home and  14,359 cases admitted from a nursing home. Of the former, 10,760 (54.5%) cases  were discharged home; from the latter, 7,071 (49.2%) were discharged to either  home or a nursing home. The validation cohort included 6,262 cases admitted from  home and 6,352 cases admitted from a nursing home. In the internal-external  validation, the C-statistics of the final model for the cases admitted from home  and the cases admitted from a nursing home were 0.71 and 0.67, respectively.  CONCLUSIONS: We developed and validated new prediction models for the discharge  of elderly patients with aspiration pneumonia either to home or to a nursing  home. Our models and nomograms could facilitate the early implementation of  discharge planning.","container-title":"PloS one","DOI":"10.1371/journal.pone.0282272","ISSN":"1932-6203","issue":"2","journalAbbreviation":"PLoS One","language":"eng","page":"e0282272","title":"Development and validation of prediction models for the discharge destination of elderly patients with aspiration pneumonia.","volume":"18","author":[{"family":"Hirota","given":"Yoshito"},{"family":"Shin","given":"Jung-Ho"},{"family":"Sasaki","given":"Noriko"},{"family":"Kunisawa","given":"Susumu"},{"family":"Fushimi","given":"Kiyohide"},{"family":"Imanaka","given":"Yuichi"}],"issued":{"date-parts":[["2023"]]}}}],"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[56]</w:t>
      </w:r>
      <w:r w:rsidRPr="00ED5246">
        <w:rPr>
          <w:rFonts w:ascii="Times New Roman" w:hAnsi="Times New Roman" w:cs="Times New Roman"/>
        </w:rPr>
        <w:fldChar w:fldCharType="end"/>
      </w:r>
      <w:r w:rsidRPr="00ED5246">
        <w:rPr>
          <w:rFonts w:ascii="Times New Roman" w:hAnsi="Times New Roman" w:cs="Times New Roman"/>
        </w:rPr>
        <w:t xml:space="preserve"> were associated with a decreased likelihood of home care transitions. Conversely, pre-hospitalization physiotherapy </w:t>
      </w:r>
      <w:r>
        <w:rPr>
          <w:rFonts w:ascii="Times New Roman" w:hAnsi="Times New Roman" w:cs="Times New Roman"/>
        </w:rPr>
        <w:t>was found to increase</w:t>
      </w:r>
      <w:r w:rsidRPr="00ED5246">
        <w:rPr>
          <w:rFonts w:ascii="Times New Roman" w:hAnsi="Times New Roman" w:cs="Times New Roman"/>
        </w:rPr>
        <w:t xml:space="preserve"> the likelihood of home care placement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dC7LDKL1","properties":{"formattedCitation":"[30]","plainCitation":"[30]","noteIndex":0},"citationItems":[{"id":4913,"uris":["http://zotero.org/users/7655466/items/NKEDP6UA"],"itemData":{"id":4913,"type":"article-journal","archive":"Scopus","container-title":"Aging Clinical and Experimental Research","DOI":"10.1007/s40520-019-01310-7","ISSN":"15940667 (ISSN)","issue":"7","note":"publisher: Springer","page":"1271-1277","title":"Previous in-home physiotherapy prevents institutionalization after short-term hospitalization in community-dwelling older dependent people","volume":"32","author":[{"family":"Sebban","given":"A."},{"family":"Lesclide","given":"E."},{"family":"Bonin-Guillaume","given":"S."},{"family":"Campana","given":"M."},{"family":"Grino","given":"M."},{"family":"Franqui","given":"C."}],"issued":{"date-parts":[["2020"]]}}}],"schema":"https://github.com/citation-style-language/schema/raw/master/csl-citation.json"} </w:instrText>
      </w:r>
      <w:r w:rsidRPr="00ED5246">
        <w:rPr>
          <w:rFonts w:ascii="Times New Roman" w:hAnsi="Times New Roman" w:cs="Times New Roman"/>
        </w:rPr>
        <w:fldChar w:fldCharType="separate"/>
      </w:r>
      <w:r w:rsidRPr="00620C46">
        <w:rPr>
          <w:rFonts w:ascii="Times New Roman" w:hAnsi="Times New Roman" w:cs="Times New Roman"/>
        </w:rPr>
        <w:t>[30]</w:t>
      </w:r>
      <w:r w:rsidRPr="00ED5246">
        <w:rPr>
          <w:rFonts w:ascii="Times New Roman" w:hAnsi="Times New Roman" w:cs="Times New Roman"/>
        </w:rPr>
        <w:fldChar w:fldCharType="end"/>
      </w:r>
      <w:r w:rsidRPr="00ED5246">
        <w:rPr>
          <w:rFonts w:ascii="Times New Roman" w:hAnsi="Times New Roman" w:cs="Times New Roman"/>
        </w:rPr>
        <w:t>.</w:t>
      </w:r>
    </w:p>
    <w:p w14:paraId="53495614" w14:textId="4F7A94D6" w:rsidR="004579D2" w:rsidRPr="00ED5246" w:rsidRDefault="004579D2" w:rsidP="00A04BF9">
      <w:pPr>
        <w:spacing w:after="0" w:line="480" w:lineRule="auto"/>
        <w:jc w:val="both"/>
        <w:rPr>
          <w:rFonts w:ascii="Times New Roman" w:hAnsi="Times New Roman" w:cs="Times New Roman"/>
        </w:rPr>
      </w:pPr>
      <w:bookmarkStart w:id="18" w:name="_Hlk184142651"/>
      <w:bookmarkStart w:id="19" w:name="_Hlk184142854"/>
      <w:bookmarkEnd w:id="17"/>
      <w:r w:rsidRPr="00ED5246">
        <w:rPr>
          <w:rFonts w:ascii="Times New Roman" w:hAnsi="Times New Roman" w:cs="Times New Roman"/>
        </w:rPr>
        <w:t xml:space="preserve">Regarding hospital operational efficiency, integrated care systems </w:t>
      </w:r>
      <w:r>
        <w:rPr>
          <w:rFonts w:ascii="Times New Roman" w:hAnsi="Times New Roman" w:cs="Times New Roman"/>
        </w:rPr>
        <w:t>incorporating</w:t>
      </w:r>
      <w:r w:rsidRPr="00ED5246">
        <w:rPr>
          <w:rFonts w:ascii="Times New Roman" w:hAnsi="Times New Roman" w:cs="Times New Roman"/>
        </w:rPr>
        <w:t xml:space="preserve"> Lean Six Sigma</w:t>
      </w:r>
      <w:r>
        <w:rPr>
          <w:rFonts w:ascii="Times New Roman" w:hAnsi="Times New Roman" w:cs="Times New Roman"/>
        </w:rPr>
        <w:t xml:space="preserve"> principles</w:t>
      </w:r>
      <w:r w:rsidRPr="00ED5246">
        <w:rPr>
          <w:rFonts w:ascii="Times New Roman" w:hAnsi="Times New Roman" w:cs="Times New Roman"/>
        </w:rPr>
        <w:t xml:space="preserve"> and person-centered approaches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{"citationID":"t6gUOMQE","properties":{"formattedCitation":"[75]","plainCitation":"[75]","noteIndex":0},"citationItems":[{"id":36344,"uris":["http://zotero.org/groups/5108666/items/P6XV7X9P"],"itemData":{"id":36344,"type":"article-journal","abstract":"Background: A practice development project was undertaken with nurses from acute, older persons, primary care and rehabilitation services across two counties in the north east of the Republic of Ireland over a 12-month period in 2018-19. For acute hospital patients aged over 65 years, the average length of stay in 2017 was 44.44 days; for medical patients it was 55.69 days. The average length of stay on the pre-discharge unit was 36.5 days, after which 54% of patients transferred to nursing homes, 14% to rehabilitation services and 18% to home. Aims and objectives: The objectives were to provide a more person-centred, integrated approach to care across the services, to facilitate patient and family involvement in care planning and to understand why so few patients transferred home, with the aims of reducing lengths of stay in the acute hospital and increasing the number of patients going home. Methods: Person-centred and Lean Six Sigma approaches were combined. Lean Six Sigma provided the framework for data collection, analysis, planning and scheduling, while engagement within the team and with other colleagues, patients and their families was underpinned by person-centred principles. Results: The project resulted in an average reduction in length of stay on the pre-discharge unit of 16 days. More than 47% of patients are now being discharged home compared with 18% in 2017. Conclusion: A combination of Lean Six Sigma and person-centred approaches was used to shift from the status quo and transform care by implementing process changes that promoted better communication and facilitated a smoother transition for patients through the services. This combination was effective in promoting a culture that supports patients and their families to determine and achieve their preferred health outcomes. Implications for practice: • Understanding culture and context within healthcare organisations is an essential part of practice development, especially in cross-service initiatives • Creating a shared vision across all services that puts the patient at the centre of care supports patients and families to choose and achieve their care preferences • Lean Six Sigma and person-centredness can be used in combination to design person-centred improvements that benefit staff, patients and their families.","archive":"cin20","container-title":"International Practice Development Journal","DOI":"10.19043/ipdj.111.004","ISSN":"2046-9292","issue":"1","journalAbbreviation":"International Practice Development Journal","page":"1-14","source":"EBSCOhost","title":"Calling time on the 'dance of the blind reflex': how collaborative working reduced older persons' length of stay in acute care and increased home discharge.","volume":"11","author":[{"family":"Donegan","given":"Dolores"},{"family":"Teeling","given":"Seán Paul"},{"family":"McNamara","given":"Martin"},{"family":"McAweeney","given":"Edel"},{"family":"McGrory","given":"Lynda"},{"family":"Mooney","given":"Rose"}],"issued":{"date-parts":[["2021",5]]}}}],"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[75]</w:t>
      </w:r>
      <w:r w:rsidRPr="00ED5246">
        <w:rPr>
          <w:rFonts w:ascii="Times New Roman" w:hAnsi="Times New Roman" w:cs="Times New Roman"/>
        </w:rPr>
        <w:fldChar w:fldCharType="end"/>
      </w:r>
      <w:r>
        <w:rPr>
          <w:rFonts w:ascii="Times New Roman" w:hAnsi="Times New Roman" w:cs="Times New Roman"/>
        </w:rPr>
        <w:t>,</w:t>
      </w:r>
      <w:r w:rsidRPr="00ED5246">
        <w:rPr>
          <w:rFonts w:ascii="Times New Roman" w:hAnsi="Times New Roman" w:cs="Times New Roman"/>
        </w:rPr>
        <w:t xml:space="preserve"> </w:t>
      </w:r>
      <w:bookmarkEnd w:id="18"/>
      <w:r>
        <w:rPr>
          <w:rFonts w:ascii="Times New Roman" w:hAnsi="Times New Roman" w:cs="Times New Roman"/>
        </w:rPr>
        <w:t>along with</w:t>
      </w:r>
      <w:r w:rsidRPr="00ED5246">
        <w:rPr>
          <w:rFonts w:ascii="Times New Roman" w:hAnsi="Times New Roman" w:cs="Times New Roman"/>
        </w:rPr>
        <w:t xml:space="preserve"> clearly defined roles among healthcare providers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{"citationID":"w9pZNARz","properties":{"formattedCitation":"[75]","plainCitation":"[75]","noteIndex":0},"citationItems":[{"id":36344,"uris":["http://zotero.org/groups/5108666/items/P6XV7X9P"],"itemData":{"id":36344,"type":"article-journal","abstract":"Background: A practice development project was undertaken with nurses from acute, older persons, primary care and rehabilitation services across two counties in the north east of the Republic of Ireland over a 12-month period in 2018-19. For acute hospital patients aged over 65 years, the average length of stay in 2017 was 44.44 days; for medical patients it was 55.69 days. The average length of stay on the pre-discharge unit was 36.5 days, after which 54% of patients transferred to nursing homes, 14% to rehabilitation services and 18% to home. Aims and objectives: The objectives were to provide a more person-centred, integrated approach to care across the services, to facilitate patient and family involvement in care planning and to understand why so few patients transferred home, with the aims of reducing lengths of stay in the acute hospital and increasing the number of patients going home. Methods: Person-centred and Lean Six Sigma approaches were combined. Lean Six Sigma provided the framework for data collection, analysis, planning and scheduling, while engagement within the team and with other colleagues, patients and their families was underpinned by person-centred principles. Results: The project resulted in an average reduction in length of stay on the pre-discharge unit of 16 days. More than 47% of patients are now being discharged home compared with 18% in 2017. Conclusion: A combination of Lean Six Sigma and person-centred approaches was used to shift from the status quo and transform care by implementing process changes that promoted better communication and facilitated a smoother transition for patients through the services. This combination was effective in promoting a culture that supports patients and their families to determine and achieve their preferred health outcomes. Implications for practice: • Understanding culture and context within healthcare organisations is an essential part of practice development, especially in cross-service initiatives • Creating a shared vision across all services that puts the patient at the centre of care supports patients and families to choose and achieve their care preferences • Lean Six Sigma and person-centredness can be used in combination to design person-centred improvements that benefit staff, patients and their families.","archive":"cin20","container-title":"International Practice Development Journal","DOI":"10.19043/ipdj.111.004","ISSN":"2046-9292","issue":"1","journalAbbreviation":"International Practice Development Journal","page":"1-14","source":"EBSCOhost","title":"Calling time on the 'dance of the blind reflex': how collaborative working reduced older persons' length of stay in acute care and increased home discharge.","volume":"11","author":[{"family":"Donegan","given":"Dolores"},{"family":"Teeling","given":"Seán Paul"},{"family":"McNamara","given":"Martin"},{"family":"McAweeney","given":"Edel"},{"family":"McGrory","given":"Lynda"},{"family":"Mooney","given":"Rose"}],"issued":{"date-parts":[["2021",5]]}}}],"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[75]</w:t>
      </w:r>
      <w:r w:rsidRPr="00ED5246">
        <w:rPr>
          <w:rFonts w:ascii="Times New Roman" w:hAnsi="Times New Roman" w:cs="Times New Roman"/>
        </w:rPr>
        <w:fldChar w:fldCharType="end"/>
      </w:r>
      <w:r>
        <w:rPr>
          <w:rFonts w:ascii="Times New Roman" w:hAnsi="Times New Roman" w:cs="Times New Roman"/>
        </w:rPr>
        <w:t>,</w:t>
      </w:r>
      <w:r w:rsidRPr="00ED5246">
        <w:rPr>
          <w:rFonts w:ascii="Times New Roman" w:hAnsi="Times New Roman" w:cs="Times New Roman"/>
        </w:rPr>
        <w:t xml:space="preserve"> </w:t>
      </w:r>
      <w:r>
        <w:rPr>
          <w:rFonts w:ascii="Times New Roman" w:hAnsi="Times New Roman" w:cs="Times New Roman"/>
        </w:rPr>
        <w:t xml:space="preserve">were found to </w:t>
      </w:r>
      <w:r w:rsidRPr="00ED5246">
        <w:rPr>
          <w:rFonts w:ascii="Times New Roman" w:hAnsi="Times New Roman" w:cs="Times New Roman"/>
        </w:rPr>
        <w:t xml:space="preserve">facilitate home transitions. </w:t>
      </w:r>
      <w:r>
        <w:rPr>
          <w:rFonts w:ascii="Times New Roman" w:hAnsi="Times New Roman" w:cs="Times New Roman"/>
        </w:rPr>
        <w:t xml:space="preserve">Qualitative studies further emphasized the importance of collaborative planning and early adaptation of the home environment to support daily activities (n=2) </w:t>
      </w:r>
      <w:r>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{"citationID":"mJ3ePHaR","properties":{"formattedCitation":"[66,67]","plainCitation":"[66,67]","noteIndex":0},"citationItems":[{"id":81853,"uris":["http://zotero.org/users/7655466/items/RYQ23GIG"],"itemData":{"id":81853,"type":"article-journal","abstract":"People post-hip fracture have reported experiences of fragmented care and poor discharge planning, therefore improvements in patient flow are required. This study reports the challenges people face during the discharge process and offers potential solutions for improving the transition from hospital to home from the perspectives of patients, carers, and health professionals.","container-title":"BMC Geriatrics","DOI":"10.1186/s12877-024-05390-7","ISSN":"1471-2318","issue":"1","journalAbbreviation":"BMC Geriatrics","page":"948","source":"BioMed Central","title":"Facilitating the transition from hospital to home after hip fracture surgery: a qualitative study from the HIP HELPER trial","title-short":"Facilitating the transition from hospital to home after hip fracture surgery","volume":"24","author":[{"family":"Welsh","given":"A."},{"family":"Hanson","given":"S."},{"family":"Pfeiffer","given":"K."},{"family":"Khoury","given":"R."},{"family":"Clark","given":"A."},{"family":"Grant","given":"K."},{"family":"Ashford","given":"P-A"},{"family":"Hopewell","given":"S."},{"family":"Logan","given":"PA"},{"family":"Crotty","given":"M."},{"family":"Costa","given":"ML"},{"family":"Lamb","given":"SE"},{"family":"Smith","given":"TO"},{"family":"Clifford","given":"Penny"},{"family":"Freeman","given":"Lis"},{"family":"Gray","given":"Rene"},{"family":"Paget","given":"James"},{"family":"Cunningham","given":"Yan"},{"family":"Langford","given":"Sarah"},{"family":"Baxter","given":"Mark"},{"family":"Pawson","given":"Jessica"},{"family":"Taylor","given":"Melissa"},{"family":"Mellows","given":"Anna"},{"family":"Lacey","given":"Kate"},{"family":"Herring","given":"Alex"},{"family":"Williams","given":"Diane"},{"family":"Cromie","given":"Anna"},{"family":"Menton","given":"Gail"},{"family":"Corbett","given":"Warren"},{"family":"Jowett","given":"Helen"},{"family":"Joshi","given":"Vishwanath"},{"family":"Matharu","given":"Maninderpal"},{"family":"Baggot","given":"Maria"},{"family":"Barker","given":"David"},{"family":"Dutton","given":"Susan"},{"family":"Sahota","given":"Opinder"},{"family":"Sheehan","given":"Katie"},{"literal":"on behalf of the HIP HELPER Study Collaborators"}],"issued":{"date-parts":[["2024",11,15]]}}},{"id":81856,"uris":["http://zotero.org/users/7655466/items/PNI3NS9K"],"itemData":{"id":81856,"type":"article-journal","abstract":"BACKGROUND: Older people often have multiple health conditions and therefore extended care needs. The transition from the hospital back to their home requires careful planning. The fragmented healthcare system and rapid discharge from the hospital can result in limited involvement of the older patient in the discharge planning process. We aimed to explore how older hospitalised patients experienced the transition from hospital to home and how possibilities and constraints in interactions with relevant parties in the transition affected their everyday lives.\nMETHOD: An ethnographic participant observation study including interviews was conducted with 10 older hospitalised patients. The theoretical perspective in the study is critical psychology and data were analysed using the condition-, meaning- and reasoning analysis.\nRESULTS: Three themes were identified: (1) Lost in transition - the person's ability to act is limited, (2) In transition - the relatives become important, (3) At home - the home transforms into a workplace.\nCONCLUSION: Lack of involvement becomes a condition for older patients as some struggle to create meaning in their transition, affecting their everyday lives. The patients experienced their relatives as important as they ensured that the HCPs got to know their values and wishes. This knowledge is important for HCPs working closely with older people both at the hospital and at home ensuring active involvement of the older person with respect and acknowledgement of the older person's wishes, needs, resources and vulnerability.","container-title":"Scandinavian Journal of Caring Sciences","DOI":"10.1111/scs.13257","ISSN":"1471-6712","issue":"3","journalAbbreviation":"Scand J Caring Sci","language":"eng","note":"PMID: 38610099","page":"745-755","source":"PubMed","title":"In the footstep of the old patient from hospital to home: A qualitative field observation study","title-short":"In the footstep of the old patient from hospital to home","volume":"38","author":[{"family":"Beck","given":"Sanne Have"},{"family":"Eilertsen","given":"Grethe"},{"family":"Andersen-Ranberg","given":"Karen"},{"family":"Janssens","given":"Astrid"},{"family":"Nielsen","given":"Dorthe Susanne"}],"issued":{"date-parts":[["2024",9]]}}}],"schema":"https://github.com/citation-style-language/schema/raw/master/csl-citation.json"} </w:instrText>
      </w:r>
      <w:r>
        <w:rPr>
          <w:rFonts w:ascii="Times New Roman" w:hAnsi="Times New Roman" w:cs="Times New Roman"/>
        </w:rPr>
        <w:fldChar w:fldCharType="separate"/>
      </w:r>
      <w:r w:rsidR="00A04BF9" w:rsidRPr="00A04BF9">
        <w:rPr>
          <w:rFonts w:ascii="Times New Roman" w:hAnsi="Times New Roman" w:cs="Times New Roman"/>
        </w:rPr>
        <w:t>[66,67]</w:t>
      </w:r>
      <w:r>
        <w:rPr>
          <w:rFonts w:ascii="Times New Roman" w:hAnsi="Times New Roman" w:cs="Times New Roman"/>
        </w:rPr>
        <w:fldChar w:fldCharType="end"/>
      </w:r>
      <w:r>
        <w:rPr>
          <w:rFonts w:ascii="Times New Roman" w:hAnsi="Times New Roman" w:cs="Times New Roman"/>
        </w:rPr>
        <w:t>. However, several barriers were also identified. H</w:t>
      </w:r>
      <w:r w:rsidRPr="00ED5246">
        <w:rPr>
          <w:rFonts w:ascii="Times New Roman" w:hAnsi="Times New Roman" w:cs="Times New Roman"/>
        </w:rPr>
        <w:t>igh staff workload and poor inter-professional communication (n=</w:t>
      </w:r>
      <w:r>
        <w:rPr>
          <w:rFonts w:ascii="Times New Roman" w:hAnsi="Times New Roman" w:cs="Times New Roman"/>
        </w:rPr>
        <w:t>4</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99qywnvr","properties":{"formattedCitation":"[66,67,70,76]","plainCitation":"[66,67,70,76]","noteIndex":0},"citationItems":[{"id":69673,"uris":["http://zotero.org/users/7655466/items/2MWYFBXI"],"itemData":{"id":69673,"type":"article-journal","abstract":"BACKGROUND: Chronic diseases are long-term, recurring and prolonged, requiring frequent travel to and from the hospital, community, and home settings to access different levels of care. Hospital-to-home transition is challenging travel for elderly patients with chronic diseases. Unhealthy care transition practices may be associated with an increased risk of adverse outcomes and readmission rates. The safety and quality of care transitions have gained global attention, and healthcare providers have a responsibility to help older adults make a smooth, safe, and healthy transition.\nOBJECTIVE: This study aims to provide a more comprehensive understanding of what may shape health transitions in older adults from multiple perspectives, including older chronic patients, caregivers, and healthcare providers.\nMETHODS: Six databases were searched during January 2022, including Pubmed, web of science, Cochrane, Embase, CINAHL (EBSCO), and PsycINFO (Ovid). The qualitative meta-synthesis was performed following the Preferred Reporting Items for Systematic Reviews and Meta-Analyses (PRISMA) recommendations. The quality of included studies was appraised using the Critical Appraisal Skills Programme (CASP) qualitative research appraisal tool. A narrative synthesis was conducted informed by Meleis's Theory of Transition.\nRESULTS: Seventeen studies identified individual and community-focused facilitators and inhibitors mapped to three themes, older adult resilience, relationships and connections, and uninterrupted care transfer supply chain.\nCONCLUSION: This study identified potential transition facilitators and inhibitors for incoming older adults transitioning from hospital to home, and these findings may inform the development of interventions to target resilience in adapting to a new home environment, and human relations and connections for building partnerships, as well as an uninterrupted supply chain of care transfer at hospital-home delivery.\nSYSTEMATIC REVIEW REGISTRATION: www.crd.york.ac.uk/prospero/, identifier: CRD42022350478.","container-title":"Frontiers in Public Health","DOI":"10.3389/fpubh.2023.1047723","ISSN":"2296-2565","journalAbbreviation":"Front Public Health","language":"eng","note":"PMID: 36860385\nPMCID: PMC9969141","page":"1047723","source":"PubMed","title":"Facilitators and inhibitors in hospital-to-home transitional care for elderly patients with chronic diseases: A meta-synthesis of qualitative studies","title-short":"Facilitators and inhibitors in hospital-to-home transitional care for elderly patients with chronic diseases","volume":"11","author":[{"family":"Sun","given":"Mengjie"},{"family":"Liu","given":"Lamei"},{"family":"Wang","given":"Jianan"},{"family":"Zhuansun","given":"Mengyao"},{"family":"Xu","given":"Tongyao"},{"family":"Qian","given":"Yumeng"},{"family":"Dela Rosa","given":"Ronnell"}],"issued":{"date-parts":[["2023"]]}}},{"id":81853,"uris":["http://zotero.org/users/7655466/items/RYQ23GIG"],"itemData":{"id":81853,"type":"article-journal","abstract":"People post-hip fracture have reported experiences of fragmented care and poor discharge planning, therefore improvements in patient flow are required. This study reports the challenges people face during the discharge process and offers potential solutions for improving the transition from hospital to home from the perspectives of patients, carers, and health professionals.","container-title":"BMC Geriatrics","DOI":"10.1186/s12877-024-05390-7","ISSN":"1471-2318","issue":"1","journalAbbreviation":"BMC Geriatrics","page":"948","source":"BioMed Central","title":"Facilitating the transition from hospital to home after hip fracture surgery: a qualitative study from the HIP HELPER trial","title-short":"Facilitating the transition from hospital to home after hip fracture surgery","volume":"24","author":[{"family":"Welsh","given":"A."},{"family":"Hanson","given":"S."},{"family":"Pfeiffer","given":"K."},{"family":"Khoury","given":"R."},{"family":"Clark","given":"A."},{"family":"Grant","given":"K."},{"family":"Ashford","given":"P-A"},{"family":"Hopewell","given":"S."},{"family":"Logan","given":"PA"},{"family":"Crotty","given":"M."},{"family":"Costa","given":"ML"},{"family":"Lamb","given":"SE"},{"family":"Smith","given":"TO"},{"family":"Clifford","given":"Penny"},{"family":"Freeman","given":"Lis"},{"family":"Gray","given":"Rene"},{"family":"Paget","given":"James"},{"family":"Cunningham","given":"Yan"},{"family":"Langford","given":"Sarah"},{"family":"Baxter","given":"Mark"},{"family":"Pawson","given":"Jessica"},{"family":"Taylor","given":"Melissa"},{"family":"Mellows","given":"Anna"},{"family":"Lacey","given":"Kate"},{"family":"Herring","given":"Alex"},{"family":"Williams","given":"Diane"},{"family":"Cromie","given":"Anna"},{"family":"Menton","given":"Gail"},{"family":"Corbett","given":"Warren"},{"family":"Jowett","given":"Helen"},{"family":"Joshi","given":"Vishwanath"},{"family":"Matharu","given":"Maninderpal"},{"family":"Baggot","given":"Maria"},{"family":"Barker","given":"David"},{"family":"Dutton","given":"Susan"},{"family":"Sahota","given":"Opinder"},{"family":"Sheehan","given":"Katie"},{"literal":"on behalf of the HIP HELPER Study Collaborators"}],"issued":{"date-parts":[["2024",11,15]]}}},{"id":81856,"uris":["http://zotero.org/users/7655466/items/PNI3NS9K"],"itemData":{"id":81856,"type":"article-journal","abstract":"BACKGROUND: Older people often have multiple health conditions and therefore extended care needs. The transition from the hospital back to their home requires careful planning. The fragmented healthcare system and rapid discharge from the hospital can result in limited involvement of the older patient in the discharge planning process. We aimed to explore how older hospitalised patients experienced the transition from hospital to home and how possibilities and constraints in interactions with relevant parties in the transition affected their everyday lives.\nMETHOD: An ethnographic participant observation study including interviews was conducted with 10 older hospitalised patients. The theoretical perspective in the study is critical psychology and data were analysed using the condition-, meaning- and reasoning analysis.\nRESULTS: Three themes were identified: (1) Lost in transition - the person's ability to act is limited, (2) In transition - the relatives become important, (3) At home - the home transforms into a workplace.\nCONCLUSION: Lack of involvement becomes a condition for older patients as some struggle to create meaning in their transition, affecting their everyday lives. The patients experienced their relatives as important as they ensured that the HCPs got to know their values and wishes. This knowledge is important for HCPs working closely with older people both at the hospital and at home ensuring active involvement of the older person with respect and acknowledgement of the older person's wishes, needs, resources and vulnerability.","container-title":"Scandinavian Journal of Caring Sciences","DOI":"10.1111/scs.13257","ISSN":"1471-6712","issue":"3","journalAbbreviation":"Scand J Caring Sci","language":"eng","note":"PMID: 38610099","page":"745-755","source":"PubMed","title":"In the footstep of the old patient from hospital to home: A qualitative field observation study","title-short":"In the footstep of the old patient from hospital to home","volume":"38","author":[{"family":"Beck","given":"Sanne Have"},{"family":"Eilertsen","given":"Grethe"},{"family":"Andersen-Ranberg","given":"Karen"},{"family":"Janssens","given":"Astrid"},{"family":"Nielsen","given":"Dorthe Susanne"}],"issued":{"date-parts":[["2024",9]]}}},{"id":39472,"uris":["http://zotero.org/groups/5108666/items/YK5FP9VB"],"itemData":{"id":39472,"type":"article-journal","abstract":"BACKGROUND: The handover of older adults with complex health and social care from hospital admissions to homebased healthcare requires coordination between multiple care providers. Providing insight to the care coordination from healthcare professionals' views is crucial to show what efforts are needed to manage patient handovers from hospitals to home care, and to identify strengths and weaknesses of the care systems in which they operate., OBJECTIVE: This is a comparative study aiming to examine healthcare professionals' perceptions on barriers and facilitators for care coordination for older patients with complex health and social care needs being discharged from hospital in two capital cities Copenhagen (DK) and Stockholm (SE)., METHOD: Semi-structured interviews were conducted with 25 nurses and 2 assistant nurses involved in the coordination of the discharge process at hospitals or in the home healthcare services (Copenhagen n = 11, Stockholm n = 16). The interview guide included questions on the participants' contributions, responsibilities, and influence on decisions during the discharge process. They were also asked about collaboration and interaction with other professionals involved in the process. The data was analysed using thematic analysis., RESULTS: Main themes were communication ways, organisational structures, and supplementary work by staff. We found that there were differences in the organisational structure of the two care systems in relation to integration between different actors and differences in accessibility to patient information, which influenced the coordination. Municipal discharge coordinators visiting patients at the hospital before discharge and the follow-home nurse were seen as facilitators in Copenhagen. In Stockholm the shared information system with access to patient records were lifted as a facilitator for coordination. Difficulties accessing collaborators were experienced in both settings. We also found that participants in both settings to a high degree engage in work tasks outside of their responsibilities to ensure patient safety., CONCLUSIONS: There are lessons to be learned from both care systems. The written e-communication between hospitals and home health care runs more smoothly in Stockholm, whereas it is perceived as a one-way communication in Copenhagen. In Copenhagen there are more sector-overlapping work which might secure a safer transition from hospital to home. Participants in both settings initiated own actions to weigh out imperfections of the system. Copyright © 2023. The Author(s).","archive":"Ovid MEDLINE(R)","container-title":"BMC geriatrics","DOI":"10.1186/s12877-023-03754-z","ISSN":"1471-2318","issue":"1","journalAbbreviation":"BMC geriatr.","page":"32","title":"Healthcare professionals' perception of barriers and facilitators for care coordination of older adults with complex care needs being discharged from hospital: A qualitative comparative study of two Nordic capitals.","volume":"23","author":[{"family":"Agerholm","given":"Janne"},{"family":"Jensen","given":"Natasja Koitzsch"},{"family":"Liljas","given":"Ann"}],"issued":{"date-parts":[["2023"]]}}}],"schema":"https://github.com/citation-style-language/schema/raw/master/csl-citation.json"}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[66,67,70,76]</w:t>
      </w:r>
      <w:r w:rsidRPr="00ED5246">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unclear role</w:t>
      </w:r>
      <w:r>
        <w:rPr>
          <w:rFonts w:ascii="Times New Roman" w:hAnsi="Times New Roman" w:cs="Times New Roman"/>
        </w:rPr>
        <w:t xml:space="preserve"> definitions </w:t>
      </w:r>
      <w:r w:rsidRPr="00ED5246">
        <w:rPr>
          <w:rFonts w:ascii="Times New Roman" w:hAnsi="Times New Roman" w:cs="Times New Roman"/>
        </w:rPr>
        <w:t>(n=</w:t>
      </w:r>
      <w:r>
        <w:rPr>
          <w:rFonts w:ascii="Times New Roman" w:hAnsi="Times New Roman" w:cs="Times New Roman"/>
        </w:rPr>
        <w:t>1</w:t>
      </w:r>
      <w:r w:rsidRPr="00ED5246">
        <w:rPr>
          <w:rFonts w:ascii="Times New Roman" w:hAnsi="Times New Roman" w:cs="Times New Roman"/>
        </w:rPr>
        <w:t xml:space="preserve">)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{"citationID":"j9Mk5NVE","properties":{"formattedCitation":"[76]","plainCitation":"[76]","noteIndex":0},"citationItems":[{"id":39472,"uris":["http://zotero.org/groups/5108666/items/YK5FP9VB"],"itemData":{"id":39472,"type":"article-journal","abstract":"BACKGROUND: The handover of older adults with complex health and social care from hospital admissions to homebased healthcare requires coordination between multiple care providers. Providing insight to the care coordination from healthcare professionals' views is crucial to show what efforts are needed to manage patient handovers from hospitals to home care, and to identify strengths and weaknesses of the care systems in which they operate., OBJECTIVE: This is a comparative study aiming to examine healthcare professionals' perceptions on barriers and facilitators for care coordination for older patients with complex health and social care needs being discharged from hospital in two capital cities Copenhagen (DK) and Stockholm (SE)., METHOD: Semi-structured interviews were conducted with 25 nurses and 2 assistant nurses involved in the coordination of the discharge process at hospitals or in the home healthcare services (Copenhagen n = 11, Stockholm n = 16). The interview guide included questions on the participants' contributions, responsibilities, and influence on decisions during the discharge process. They were also asked about collaboration and interaction with other professionals involved in the process. The data was analysed using thematic analysis., RESULTS: Main themes were communication ways, organisational structures, and supplementary work by staff. We found that there were differences in the organisational structure of the two care systems in relation to integration between different actors and differences in accessibility to patient information, which influenced the coordination. Municipal discharge coordinators visiting patients at the hospital before discharge and the follow-home nurse were seen as facilitators in Copenhagen. In Stockholm the shared information system with access to patient records were lifted as a facilitator for coordination. Difficulties accessing collaborators were experienced in both settings. We also found that participants in both settings to a high degree engage in work tasks outside of their responsibilities to ensure patient safety., CONCLUSIONS: There are lessons to be learned from both care systems. The written e-communication between hospitals and home health care runs more smoothly in Stockholm, whereas it is perceived as a one-way communication in Copenhagen. In Copenhagen there are more sector-overlapping work which might secure a safer transition from hospital to home. Participants in both settings initiated own actions to weigh out imperfections of the system. Copyright © 2023. The Author(s).","archive":"Ovid MEDLINE(R)","container-title":"BMC geriatrics","DOI":"10.1186/s12877-023-03754-z","ISSN":"1471-2318","issue":"1","journalAbbreviation":"BMC geriatr.","page":"32","title":"Healthcare professionals' perception of barriers and facilitators for care coordination of older adults with complex care needs being discharged from hospital: A qualitative comparative study of two Nordic capitals.","volume":"23","author":[{"family":"Agerholm","given":"Janne"},{"family":"Jensen","given":"Natasja Koitzsch"},{"family":"Liljas","given":"Ann"}],"issued":{"date-parts":[["2023"]]}}}],"schema":"https://github.com/citation-style-language/schema/raw/master/csl-citation.json"} </w:instrText>
      </w:r>
      <w:r w:rsidRPr="00ED5246">
        <w:rPr>
          <w:rFonts w:ascii="Times New Roman" w:hAnsi="Times New Roman" w:cs="Times New Roman"/>
        </w:rPr>
        <w:fldChar w:fldCharType="separate"/>
      </w:r>
      <w:r w:rsidRPr="002868F9">
        <w:rPr>
          <w:rFonts w:ascii="Times New Roman" w:hAnsi="Times New Roman" w:cs="Times New Roman"/>
        </w:rPr>
        <w:t>[76]</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and difficulty</w:t>
      </w:r>
      <w:r w:rsidRPr="0001429E">
        <w:rPr>
          <w:rFonts w:ascii="Times New Roman" w:hAnsi="Times New Roman" w:cs="Times New Roman"/>
        </w:rPr>
        <w:t xml:space="preserve"> incorporating family preferences into healthcare decision</w:t>
      </w:r>
      <w:r>
        <w:rPr>
          <w:rFonts w:ascii="Times New Roman" w:hAnsi="Times New Roman" w:cs="Times New Roman"/>
        </w:rPr>
        <w:t>-making</w:t>
      </w:r>
      <w:r w:rsidRPr="00ED5246">
        <w:rPr>
          <w:rFonts w:ascii="Times New Roman" w:hAnsi="Times New Roman" w:cs="Times New Roman"/>
        </w:rPr>
        <w:t xml:space="preserve"> (n=</w:t>
      </w:r>
      <w:r>
        <w:rPr>
          <w:rFonts w:ascii="Times New Roman" w:hAnsi="Times New Roman" w:cs="Times New Roman"/>
        </w:rPr>
        <w:t>5</w:t>
      </w:r>
      <w:r w:rsidRPr="00ED5246">
        <w:rPr>
          <w:rFonts w:ascii="Times New Roman" w:hAnsi="Times New Roman" w:cs="Times New Roman"/>
        </w:rPr>
        <w:t xml:space="preserve">)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8J2LkhMp","properties":{"formattedCitation":"[66\\uc0\\u8211{}69,75]","plainCitation":"[66–69,75]","noteIndex":0},"citationItems":[{"id":36288,"uris":["http://zotero.org/groups/5108666/items/GHIJDXKF"],"itemData":{"id":36288,"type":"article-journal","abstract":"Background: An increasing proportion of older adults experience avoidable hospitalizations, and some are potentially entering long-term care homes earlier and often unnecessarily. Older adults often lack adequate support to transition from hospital to home, without access to appropriate health services when they are needed in the community and resources to live safely at home. Purpose: This study collaborated with an existing enhanced home care program called Home Again in Nova Scotia, to identify factors that contribute to older adult patients being assessed as requiring long-term care when they could potentially return home with enhanced supports. Methods: Using a case study design, this study examined in-depth experiences of multiple stakeholders, from December 2019 to February 2020, through analysis of nine interviews for three focal patient cases including older adult patients, their family or friend caregivers, and healthcare professionals. Results: Findings indicate home care services for older adults are being sought too late, after hospital readmission, or a rapid decline in health status when family caregivers are already experiencing caregiver burnout. Limitations in home care services led to barriers preventing family caregivers from continuing to care for older adults at home. Conclusions: This study contributes knowledge about gaps within home care and transitional care services, highlighting the importance of investing in additional home care services for rehabilitation and prevention of rapidly deteriorating health.","archive":"cin20","container-title":"Canadian Journal of Nursing Research","DOI":"10.1177/08445621211044333","ISSN":"0844-5621","issue":"4","journalAbbreviation":"Canadian Journal of Nursing Research","page":"483-496","source":"EBSCOhost","title":"Hospital to Home: Supporting the Transition From Hospital to Home for Older Adults.","volume":"54","author":[{"family":"Barber","given":"Brittany"},{"family":"Weeks","given":"Lori"},{"family":"Steeves-Dorey","given":"Lexie"},{"family":"McVeigh","given":"Wendy"},{"family":"Stevens","given":"Susan"},{"family":"Moody","given":"Elaine"},{"family":"Warner","given":"Grace"}],"issued":{"date-parts":[["2022",12]]}}},{"id":67892,"uris":["http://zotero.org/groups/5108666/items/JN5DIA9H"],"itemData":{"id":67892,"type":"article-journal","abstract":"This series of personal stories about hospital discharge experiences expose how fraught this transition can be. Not only do the authors reveal personal angst, feelings of endangerment, frank safety problems, lack of structural supports, but even more concerning are their perceptions of callous disregard, lack of adequate preparation and education, and unilateral decision-making by the health care teams. The \"invisible hand\" of our corporate health care system percolates, with some authors questioning whether the health professionals are advocating for their (i.e., the patient's) best interest or the best interest of their institution. There are also some shining examples though-moments when a health care team member takes the time, listens, problem-solves, advocates and expresses concern. In this commentary I will explore common themes in the narratives, and conclude with some suggestions-some simple, others aspirational, for how to make the discharge process more patient-centered and less traumatic for all moving forward.","container-title":"Narrative Inquiry in Bioethics","DOI":"10.1353/nib.2020.0067","ISSN":"2157-1740","issue":"3","journalAbbreviation":"Narrat Inq Bioeth","language":"eng","note":"PMID: 33583854","page":"223-230","source":"PubMed","title":"Drama and Trauma: Unpacking Moral Distress in the Context of Discharge Planning","title-short":"Drama and Trauma","volume":"10","author":[{"family":"Kirschner","given":"Kristi L."}],"issued":{"date-parts":[["2020"]]}}},{"id":36344,"uris":["http://zotero.org/groups/5108666/items/P6XV7X9P"],"itemData":{"id":36344,"type":"article-journal","abstract":"Background: A practice development project was undertaken with nurses from acute, older persons, primary care and rehabilitation services across two counties in the north east of the Republic of Ireland over a 12-month period in 2018-19. For acute hospital patients aged over 65 years, the average length of stay in 2017 was 44.44 days; for medical patients it was 55.69 days. The average length of stay on the pre-discharge unit was 36.5 days, after which 54% of patients transferred to nursing homes, 14% to rehabilitation services and 18% to home. Aims and objectives: The objectives were to provide a more person-centred, integrated approach to care across the services, to facilitate patient and family involvement in care planning and to understand why so few patients transferred home, with the aims of reducing lengths of stay in the acute hospital and increasing the number of patients going home. Methods: Person-centred and Lean Six Sigma approaches were combined. Lean Six Sigma provided the framework for data collection, analysis, planning and scheduling, while engagement within the team and with other colleagues, patients and their families was underpinned by person-centred principles. Results: The project resulted in an average reduction in length of stay on the pre-discharge unit of 16 days. More than 47% of patients are now being discharged home compared with 18% in 2017. Conclusion: A combination of Lean Six Sigma and person-centred approaches was used to shift from the status quo and transform care by implementing process changes that promoted better communication and facilitated a smoother transition for patients through the services. This combination was effective in promoting a culture that supports patients and their families to determine and achieve their preferred health outcomes. Implications for practice: • Understanding culture and context within healthcare organisations is an essential part of practice development, especially in cross-service initiatives • Creating a shared vision across all services that puts the patient at the centre of care supports patients and families to choose and achieve their care preferences • Lean Six Sigma and person-centredness can be used in combination to design person-centred improvements that benefit staff, patients and their families.","archive":"cin20","container-title":"International Practice Development Journal","DOI":"10.19043/ipdj.111.004","ISSN":"2046-9292","issue":"1","journalAbbreviation":"International Practice Development Journal","page":"1-14","source":"EBSCOhost","title":"Calling time on the 'dance of the blind reflex': how collaborative working reduced older persons' length of stay in acute care and increased home discharge.","volume":"11","author":[{"family":"Donegan","given":"Dolores"},{"family":"Teeling","given":"Seán Paul"},{"family":"McNamara","given":"Martin"},{"family":"McAweeney","given":"Edel"},{"family":"McGrory","given":"Lynda"},{"family":"Mooney","given":"Rose"}],"issued":{"date-parts":[["2021",5]]}}},{"id":81853,"uris":["http://zotero.org/users/7655466/items/RYQ23GIG"],"itemData":{"id":81853,"type":"article-journal","abstract":"People post-hip fracture have reported experiences of fragmented care and poor discharge planning, therefore improvements in patient flow are required. This study reports the challenges people face during the discharge process and offers potential solutions for improving the transition from hospital to home from the perspectives of patients, carers, and health professionals.","container-title":"BMC Geriatrics","DOI":"10.1186/s12877-024-05390-7","ISSN":"1471-2318","issue":"1","journalAbbreviation":"BMC Geriatrics","page":"948","source":"BioMed Central","title":"Facilitating the transition from hospital to home after hip fracture surgery: a qualitative study from the HIP HELPER trial","title-short":"Facilitating the transition from hospital to home after hip fracture surgery","volume":"24","author":[{"family":"Welsh","given":"A."},{"family":"Hanson","given":"S."},{"family":"Pfeiffer","given":"K."},{"family":"Khoury","given":"R."},{"family":"Clark","given":"A."},{"family":"Grant","given":"K."},{"family":"Ashford","given":"P-A"},{"family":"Hopewell","given":"S."},{"family":"Logan","given":"PA"},{"family":"Crotty","given":"M."},{"family":"Costa","given":"ML"},{"family":"Lamb","given":"SE"},{"family":"Smith","given":"TO"},{"family":"Clifford","given":"Penny"},{"family":"Freeman","given":"Lis"},{"family":"Gray","given":"Rene"},{"family":"Paget","given":"James"},{"family":"Cunningham","given":"Yan"},{"family":"Langford","given":"Sarah"},{"family":"Baxter","given":"Mark"},{"family":"Pawson","given":"Jessica"},{"family":"Taylor","given":"Melissa"},{"family":"Mellows","given":"Anna"},{"family":"Lacey","given":"Kate"},{"family":"Herring","given":"Alex"},{"family":"Williams","given":"Diane"},{"family":"Cromie","given":"Anna"},{"family":"Menton","given":"Gail"},{"family":"Corbett","given":"Warren"},{"family":"Jowett","given":"Helen"},{"family":"Joshi","given":"Vishwanath"},{"family":"Matharu","given":"Maninderpal"},{"family":"Baggot","given":"Maria"},{"family":"Barker","given":"David"},{"family":"Dutton","given":"Susan"},{"family":"Sahota","given":"Opinder"},{"family":"Sheehan","given":"Katie"},{"literal":"on behalf of the HIP HELPER Study Collaborators"}],"issued":{"date-parts":[["2024",11,15]]}}},{"id":81856,"uris":["http://zotero.org/users/7655466/items/PNI3NS9K"],"itemData":{"id":81856,"type":"article-journal","abstract":"BACKGROUND: Older people often have multiple health conditions and therefore extended care needs. The transition from the hospital back to their home requires careful planning. The fragmented healthcare system and rapid discharge from the hospital can result in limited involvement of the older patient in the discharge planning process. We aimed to explore how older hospitalised patients experienced the transition from hospital to home and how possibilities and constraints in interactions with relevant parties in the transition affected their everyday lives.\nMETHOD: An ethnographic participant observation study including interviews was conducted with 10 older hospitalised patients. The theoretical perspective in the study is critical psychology and data were analysed using the condition-, meaning- and reasoning analysis.\nRESULTS: Three themes were identified: (1) Lost in transition - the person's ability to act is limited, (2) In transition - the relatives become important, (3) At home - the home transforms into a workplace.\nCONCLUSION: Lack of involvement becomes a condition for older patients as some struggle to create meaning in their transition, affecting their everyday lives. The patients experienced their relatives as important as they ensured that the HCPs got to know their values and wishes. This knowledge is important for HCPs working closely with older people both at the hospital and at home ensuring active involvement of the older person with respect and acknowledgement of the older person's wishes, needs, resources and vulnerability.","container-title":"Scandinavian Journal of Caring Sciences","DOI":"10.1111/scs.13257","ISSN":"1471-6712","issue":"3","journalAbbreviation":"Scand J Caring Sci","language":"eng","note":"PMID: 38610099","page":"745-755","source":"PubMed","title":"In the footstep of the old patient from hospital to home: A qualitative field observation study","title-short":"In the footstep of the old patient from hospital to home","volume":"38","author":[{"family":"Beck","given":"Sanne Have"},{"family":"Eilertsen","given":"Grethe"},{"family":"Andersen-Ranberg","given":"Karen"},{"family":"Janssens","given":"Astrid"},{"family":"Nielsen","given":"Dorthe Susanne"}],"issued":{"date-parts":[["2024",9]]}}}],"schema":"https://github.com/citation-style-language/schema/raw/master/csl-citation.json"}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[66–69,75]</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r w:rsidRPr="00492F16">
        <w:rPr>
          <w:rFonts w:ascii="Times New Roman" w:hAnsi="Times New Roman" w:cs="Times New Roman"/>
          <w:color w:val="000000" w:themeColor="text1"/>
        </w:rPr>
        <w:t>were all found to hinder transitions</w:t>
      </w:r>
      <w:r>
        <w:rPr>
          <w:rFonts w:ascii="Times New Roman" w:hAnsi="Times New Roman" w:cs="Times New Roman"/>
          <w:i/>
          <w:iCs/>
          <w:color w:val="EE0000"/>
        </w:rPr>
        <w:t xml:space="preserve">. </w:t>
      </w:r>
      <w:r w:rsidRPr="00492F16">
        <w:rPr>
          <w:rFonts w:ascii="Times New Roman" w:hAnsi="Times New Roman" w:cs="Times New Roman"/>
          <w:color w:val="000000" w:themeColor="text1"/>
        </w:rPr>
        <w:t xml:space="preserve">Additional challenges included </w:t>
      </w:r>
      <w:bookmarkStart w:id="20" w:name="_Hlk184142678"/>
      <w:r>
        <w:rPr>
          <w:rFonts w:ascii="Times New Roman" w:hAnsi="Times New Roman" w:cs="Times New Roman"/>
        </w:rPr>
        <w:t xml:space="preserve">disjointed care systems leading to service delays (n=1) </w:t>
      </w:r>
      <w:r>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{"citationID":"sGm4T2z6","properties":{"formattedCitation":"[67]","plainCitation":"[67]","noteIndex":0},"citationItems":[{"id":81853,"uris":["http://zotero.org/users/7655466/items/RYQ23GIG"],"itemData":{"id":81853,"type":"article-journal","abstract":"People post-hip fracture have reported experiences of fragmented care and poor discharge planning, therefore improvements in patient flow are required. This study reports the challenges people face during the discharge process and offers potential solutions for improving the transition from hospital to home from the perspectives of patients, carers, and health professionals.","container-title":"BMC Geriatrics","DOI":"10.1186/s12877-024-05390-7","ISSN":"1471-2318","issue":"1","journalAbbreviation":"BMC Geriatrics","page":"948","source":"BioMed Central","title":"Facilitating the transition from hospital to home after hip fracture surgery: a qualitative study from the HIP HELPER trial","title-short":"Facilitating the transition from hospital to home after hip fracture surgery","volume":"24","author":[{"family":"Welsh","given":"A."},{"family":"Hanson","given":"S."},{"family":"Pfeiffer","given":"K."},{"family":"Khoury","given":"R."},{"family":"Clark","given":"A."},{"family":"Grant","given":"K."},{"family":"Ashford","given":"P-A"},{"family":"Hopewell","given":"S."},{"family":"Logan","given":"PA"},{"family":"Crotty","given":"M."},{"family":"Costa","given":"ML"},{"family":"Lamb","given":"SE"},{"family":"Smith","given":"TO"},{"family":"Clifford","given":"Penny"},{"family":"Freeman","given":"Lis"},{"family":"Gray","given":"Rene"},{"family":"Paget","given":"James"},{"family":"Cunningham","given":"Yan"},{"family":"Langford","given":"Sarah"},{"family":"Baxter","given":"Mark"},{"family":"Pawson","given":"Jessica"},{"family":"Taylor","given":"Melissa"},{"family":"Mellows","given":"Anna"},{"family":"Lacey","given":"Kate"},{"family":"Herring","given":"Alex"},{"family":"Williams","given":"Diane"},{"family":"Cromie","given":"Anna"},{"family":"Menton","given":"Gail"},{"family":"Corbett","given":"Warren"},{"family":"Jowett","given":"Helen"},{"family":"Joshi","given":"Vishwanath"},{"family":"Matharu","given":"Maninderpal"},{"family":"Baggot","given":"Maria"},{"family":"Barker","given":"David"},{"family":"Dutton","given":"Susan"},{"family":"Sahota","given":"Opinder"},{"family":"Sheehan","given":"Katie"},{"literal":"on behalf of the HIP HELPER Study Collaborators"}],"issued":{"date-parts":[["2024",11,15]]}}}],"schema":"https://github.com/citation-style-language/schema/raw/master/csl-citation.json"} </w:instrText>
      </w:r>
      <w:r>
        <w:rPr>
          <w:rFonts w:ascii="Times New Roman" w:hAnsi="Times New Roman" w:cs="Times New Roman"/>
        </w:rPr>
        <w:fldChar w:fldCharType="separate"/>
      </w:r>
      <w:r w:rsidR="00A04BF9" w:rsidRPr="00A04BF9">
        <w:rPr>
          <w:rFonts w:ascii="Times New Roman" w:hAnsi="Times New Roman" w:cs="Times New Roman"/>
        </w:rPr>
        <w:t>[67]</w:t>
      </w:r>
      <w:r>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care demands </w:t>
      </w:r>
      <w:r w:rsidRPr="00ED5246">
        <w:rPr>
          <w:rFonts w:ascii="Times New Roman" w:hAnsi="Times New Roman" w:cs="Times New Roman"/>
        </w:rPr>
        <w:lastRenderedPageBreak/>
        <w:t xml:space="preserve">exceeding available resources (n=1) </w:t>
      </w:r>
      <w:bookmarkEnd w:id="20"/>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{"citationID":"Gp69kLnH","properties":{"formattedCitation":"[65]","plainCitation":"[65]","noteIndex":0},"citationItems":[{"id":40840,"uris":["http://zotero.org/groups/5108666/items/JQUQLFPP"],"itemData":{"id":40840,"type":"article-journal","abstract":"This study identifies factors U.S. Department of Veterans Affairs (VA) staff perceived to promote or impede home- and community-based services (HCBS) placement post-hospital discharge among Veterans cared for within the VA. Data derive from 35 semi-structured interviews with staff from 12 VA medical centers from around the country. VA staff reported that Veteran's care needs and social and financial resources influence HCBS placement. They also reported prerequisites for successful placement, including housing, unpaid informal care, and non-VA services funded privately and by public programs such as Medicaid and the Older Americans Act. Lack of staffing and failure to offer the specific types of services needed limit referral to and use of HCBS. Budgetary imperatives influence the relative availability of HCBS across VA medical centers. Findings highlight patient-, provider-, and system-level constraints that impede successful placement at home and in the community of Veterans in need of long-term services and supports after hospitalization.","archive":"Ovid MEDLINE(R) &lt;2019&gt;","container-title":"Journal of aging &amp; social policy","DOI":"10.1080/08959420.2018.1444889","ISSN":"1545-0821","issue":"1","journalAbbreviation":"J Aging Soc Policy","page":"1-29","title":"VA Staff Perceptions of Barriers and Facilitators to Home-and Community-Based Placement Post-Hospital Discharge.","volume":"31","author":[{"family":"Miller","given":"Edward Alan"},{"family":"Intrator","given":"Orna"},{"family":"Gadbois","given":"Emily"},{"family":"Gidmark","given":"Stefanie"},{"family":"Rudolph","given":"James L"}],"issued":{"date-parts":[["2019"]]}}}],"schema":"https://github.com/citation-style-language/schema/raw/master/csl-citation.json"}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[65]</w:t>
      </w:r>
      <w:r w:rsidRPr="00ED5246">
        <w:rPr>
          <w:rFonts w:ascii="Times New Roman" w:hAnsi="Times New Roman" w:cs="Times New Roman"/>
        </w:rPr>
        <w:fldChar w:fldCharType="end"/>
      </w:r>
      <w:r>
        <w:rPr>
          <w:rFonts w:ascii="Times New Roman" w:hAnsi="Times New Roman" w:cs="Times New Roman"/>
        </w:rPr>
        <w:t xml:space="preserve">, </w:t>
      </w:r>
      <w:bookmarkStart w:id="21" w:name="_Hlk184142688"/>
      <w:r w:rsidRPr="00ED5246">
        <w:rPr>
          <w:rFonts w:ascii="Times New Roman" w:hAnsi="Times New Roman" w:cs="Times New Roman"/>
        </w:rPr>
        <w:t xml:space="preserve">lack of standardized processes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{"citationID":"6cMmJzqL","properties":{"formattedCitation":"[70]","plainCitation":"[70]","noteIndex":0},"citationItems":[{"id":69673,"uris":["http://zotero.org/users/7655466/items/2MWYFBXI"],"itemData":{"id":69673,"type":"article-journal","abstract":"BACKGROUND: Chronic diseases are long-term, recurring and prolonged, requiring frequent travel to and from the hospital, community, and home settings to access different levels of care. Hospital-to-home transition is challenging travel for elderly patients with chronic diseases. Unhealthy care transition practices may be associated with an increased risk of adverse outcomes and readmission rates. The safety and quality of care transitions have gained global attention, and healthcare providers have a responsibility to help older adults make a smooth, safe, and healthy transition.\nOBJECTIVE: This study aims to provide a more comprehensive understanding of what may shape health transitions in older adults from multiple perspectives, including older chronic patients, caregivers, and healthcare providers.\nMETHODS: Six databases were searched during January 2022, including Pubmed, web of science, Cochrane, Embase, CINAHL (EBSCO), and PsycINFO (Ovid). The qualitative meta-synthesis was performed following the Preferred Reporting Items for Systematic Reviews and Meta-Analyses (PRISMA) recommendations. The quality of included studies was appraised using the Critical Appraisal Skills Programme (CASP) qualitative research appraisal tool. A narrative synthesis was conducted informed by Meleis's Theory of Transition.\nRESULTS: Seventeen studies identified individual and community-focused facilitators and inhibitors mapped to three themes, older adult resilience, relationships and connections, and uninterrupted care transfer supply chain.\nCONCLUSION: This study identified potential transition facilitators and inhibitors for incoming older adults transitioning from hospital to home, and these findings may inform the development of interventions to target resilience in adapting to a new home environment, and human relations and connections for building partnerships, as well as an uninterrupted supply chain of care transfer at hospital-home delivery.\nSYSTEMATIC REVIEW REGISTRATION: www.crd.york.ac.uk/prospero/, identifier: CRD42022350478.","container-title":"Frontiers in Public Health","DOI":"10.3389/fpubh.2023.1047723","ISSN":"2296-2565","journalAbbreviation":"Front Public Health","language":"eng","note":"PMID: 36860385\nPMCID: PMC9969141","page":"1047723","source":"PubMed","title":"Facilitators and inhibitors in hospital-to-home transitional care for elderly patients with chronic diseases: A meta-synthesis of qualitative studies","title-short":"Facilitators and inhibitors in hospital-to-home transitional care for elderly patients with chronic diseases","volume":"11","author":[{"family":"Sun","given":"Mengjie"},{"family":"Liu","given":"Lamei"},{"family":"Wang","given":"Jianan"},{"family":"Zhuansun","given":"Mengyao"},{"family":"Xu","given":"Tongyao"},{"family":"Qian","given":"Yumeng"},{"family":"Dela Rosa","given":"Ronnell"}],"issued":{"date-parts":[["2023"]]}}}],"schema":"https://github.com/citation-style-language/schema/raw/master/csl-citation.json"}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[70]</w:t>
      </w:r>
      <w:r w:rsidRPr="00ED5246">
        <w:rPr>
          <w:rFonts w:ascii="Times New Roman" w:hAnsi="Times New Roman" w:cs="Times New Roman"/>
        </w:rPr>
        <w:fldChar w:fldCharType="end"/>
      </w:r>
      <w:r>
        <w:rPr>
          <w:rFonts w:ascii="Times New Roman" w:hAnsi="Times New Roman" w:cs="Times New Roman"/>
        </w:rPr>
        <w:t xml:space="preserve">, and shortened hospital stay for complex patients (n=1) </w:t>
      </w:r>
      <w:r>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HAa2nCXn","properties":{"formattedCitation":"[71]","plainCitation":"[71]","noteIndex":0},"citationItems":[{"id":67943,"uris":["http://zotero.org/groups/5108666/items/TAIRWP23"],"itemData":{"id":67943,"type":"article-journal","container-title":"Stroke","DOI":"10.1161/STROKEAHA.116.012095","issue":"11","note":"publisher: American Heart Association","page":"e246-e249","source":"ahajournals.org (Atypon)","title":"Nursing’s Role in Successful Transitions Across Settings","volume":"47","author":[{"family":"Camicia","given":"Michelle"},{"family":"Lutz","given":"Barbara J."}],"issued":{"date-parts":[["2016",11]]}}}],"schema":"https://github.com/citation-style-language/schema/raw/master/csl-citation.json"} </w:instrText>
      </w:r>
      <w:r>
        <w:rPr>
          <w:rFonts w:ascii="Times New Roman" w:hAnsi="Times New Roman" w:cs="Times New Roman"/>
        </w:rPr>
        <w:fldChar w:fldCharType="separate"/>
      </w:r>
      <w:r w:rsidR="00A04BF9" w:rsidRPr="00A04BF9">
        <w:rPr>
          <w:rFonts w:ascii="Times New Roman" w:hAnsi="Times New Roman" w:cs="Times New Roman"/>
        </w:rPr>
        <w:t>[71]</w:t>
      </w:r>
      <w:r>
        <w:rPr>
          <w:rFonts w:ascii="Times New Roman" w:hAnsi="Times New Roman" w:cs="Times New Roman"/>
        </w:rPr>
        <w:fldChar w:fldCharType="end"/>
      </w:r>
      <w:r>
        <w:rPr>
          <w:rFonts w:ascii="Times New Roman" w:hAnsi="Times New Roman" w:cs="Times New Roman"/>
        </w:rPr>
        <w:t>.</w:t>
      </w:r>
    </w:p>
    <w:bookmarkEnd w:id="19"/>
    <w:bookmarkEnd w:id="21"/>
    <w:p w14:paraId="3F781130" w14:textId="03D9F530" w:rsidR="004579D2" w:rsidRPr="00ED5246" w:rsidRDefault="004579D2" w:rsidP="00A04BF9">
      <w:pPr>
        <w:spacing w:after="0" w:line="480" w:lineRule="auto"/>
        <w:jc w:val="both"/>
        <w:rPr>
          <w:rFonts w:ascii="Times New Roman" w:hAnsi="Times New Roman" w:cs="Times New Roman"/>
        </w:rPr>
      </w:pPr>
      <w:r w:rsidRPr="00ED5246">
        <w:rPr>
          <w:rFonts w:ascii="Times New Roman" w:hAnsi="Times New Roman" w:cs="Times New Roman"/>
        </w:rPr>
        <w:t xml:space="preserve">Information technology was also reported as a key enabler of successful transitions. Health </w:t>
      </w:r>
      <w:r w:rsidRPr="00ED5246">
        <w:rPr>
          <w:rFonts w:ascii="Times New Roman" w:eastAsia="Aptos" w:hAnsi="Times New Roman" w:cs="Times New Roman"/>
        </w:rPr>
        <w:t xml:space="preserve">information exchange </w:t>
      </w:r>
      <w:r w:rsidRPr="00ED5246">
        <w:rPr>
          <w:rFonts w:ascii="Times New Roman" w:hAnsi="Times New Roman" w:cs="Times New Roman"/>
        </w:rPr>
        <w:t xml:space="preserve">(n=1)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{"citationID":"QFvMB6o7","properties":{"formattedCitation":"[77]","plainCitation":"[77]","noteIndex":0},"citationItems":[{"id":67922,"uris":["http://zotero.org/groups/5108666/items/2ZECRI9T"],"itemData":{"id":67922,"type":"article-journal","abstract":"When an older adult is hospitalized, where they are discharged is of utmost importance. Fragmented readmissions, defined as readmissions to a different hospital than a patient was previously discharged from, may increase the risk of a nonhome discharge for older adults. However, this risk may be mitigated via electronic information exchange between the admission and readmission hospitals.To determine the association of fragmented hospital readmissions and electronic information sharing with discharge destination among Medicare beneficiaries.This cohort study retrospectively examined data from Medicare beneficiaries hospitalized for acute myocardial infarction, congestive heart failure, chronic obstructive pulmonary disease, syncope, urinary tract infection, dehydration, or behavioral issues in 2018 and their 30-day readmission for any reason. The data analysis was completed between November 1, 2021, and October 31, 2022.Same hospital vs fragmented readmissions and presence of the same health information exchange (HIE) at the admission and readmission hospitals vs no information shared between the admission and readmission hospitals.The main outcome was discharge destination following the readmission, including home, home with home health, skilled nursing facility (SNF), hospice, leaving against medical advice, or dying. Outcomes were examined for beneficiaries with and without Alzheimer disease using logistic regressions.The cohort included 275 189 admission-readmission pairs, representing 268 768 unique patients (mean [SD] age, 78.9 [9.0] years; 54.1% female and 45.9% male; 12.2% Black, 82.1% White, and 5.7% other race and ethnicity). Of the 31.6% fragmented readmissions in the cohort, 14.3% occurred at hospitals that shared an HIE with the admission hospital. Beneficiaries with same hospital/nonfragmented readmissions tended to be older (mean [SD] age, 78.9 [9.0] vs 77.9 [8.8] for fragmented with same HIE and 78.3 [8.7] years for fragmented without HIE; P &amp;lt; .001). Fragmented readmissions were associated with 10% higher odds of discharge to an SNF (adjusted odds ratio [AOR], 1.10; 95% CI, 1.07-1.12) and 22% lower odds of discharge home with home health (AOR, 0.78; 95% CI, 0.76-0.80) compared with same hospital/nonfragmented readmissions. When the admission and readmission hospital shared an HIE, beneficiaries had 9% to 15% higher odds of discharge home with home health (patients without Alzheimer disease: AOR, 1.09 [95% CI, 1.04-1.16]; patients with Alzheimer disease: AOR, 1.15 [95% CI, 1.01-1.32]) compared with fragmented readmissions where information sharing was not available.In this cohort study of Medicare beneficiaries with 30-day readmissions, whether a readmission is fragmented was associated with discharge destination. Among fragmented readmissions, shared HIE across admission and readmission hospitals was associated with higher odds of discharge home with home health. Efforts to study the utility of HIE for care coordination for older adults should be pursued.","container-title":"JAMA Network Open","DOI":"10.1001/jamanetworkopen.2023.13592","ISSN":"2574-3805","issue":"5","journalAbbreviation":"JAMA Network Open","page":"e2313592","source":"Silverchair","title":"Association of Fragmented Readmissions and Electronic Information Sharing With Discharge Destination Among Older Adults","volume":"6","author":[{"family":"Turbow","given":"Sara D."},{"family":"Ali","given":"Mohammed K."},{"family":"Culler","given":"Steven D."},{"family":"Rask","given":"Kimberly J."},{"family":"Perkins","given":"Molly M."},{"family":"Clevenger","given":"Carolyn K."},{"family":"Vaughan","given":"Camille P."}],"issued":{"date-parts":[["2023",5,16]]}}}],"schema":"https://github.com/citation-style-language/schema/raw/master/csl-citation.json"} </w:instrText>
      </w:r>
      <w:r w:rsidRPr="00ED5246">
        <w:rPr>
          <w:rFonts w:ascii="Times New Roman" w:hAnsi="Times New Roman" w:cs="Times New Roman"/>
        </w:rPr>
        <w:fldChar w:fldCharType="separate"/>
      </w:r>
      <w:r w:rsidRPr="002868F9">
        <w:rPr>
          <w:rFonts w:ascii="Times New Roman" w:hAnsi="Times New Roman" w:cs="Times New Roman"/>
        </w:rPr>
        <w:t>[77]</w:t>
      </w:r>
      <w:r w:rsidRPr="00ED5246">
        <w:rPr>
          <w:rFonts w:ascii="Times New Roman" w:hAnsi="Times New Roman" w:cs="Times New Roman"/>
        </w:rPr>
        <w:fldChar w:fldCharType="end"/>
      </w:r>
      <w:r w:rsidRPr="00ED5246">
        <w:rPr>
          <w:rFonts w:ascii="Times New Roman" w:hAnsi="Times New Roman" w:cs="Times New Roman"/>
        </w:rPr>
        <w:t xml:space="preserve">, shared information systems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{"citationID":"pNrzbP3B","properties":{"formattedCitation":"[76]","plainCitation":"[76]","noteIndex":0},"citationItems":[{"id":39472,"uris":["http://zotero.org/groups/5108666/items/YK5FP9VB"],"itemData":{"id":39472,"type":"article-journal","abstract":"BACKGROUND: The handover of older adults with complex health and social care from hospital admissions to homebased healthcare requires coordination between multiple care providers. Providing insight to the care coordination from healthcare professionals' views is crucial to show what efforts are needed to manage patient handovers from hospitals to home care, and to identify strengths and weaknesses of the care systems in which they operate., OBJECTIVE: This is a comparative study aiming to examine healthcare professionals' perceptions on barriers and facilitators for care coordination for older patients with complex health and social care needs being discharged from hospital in two capital cities Copenhagen (DK) and Stockholm (SE)., METHOD: Semi-structured interviews were conducted with 25 nurses and 2 assistant nurses involved in the coordination of the discharge process at hospitals or in the home healthcare services (Copenhagen n = 11, Stockholm n = 16). The interview guide included questions on the participants' contributions, responsibilities, and influence on decisions during the discharge process. They were also asked about collaboration and interaction with other professionals involved in the process. The data was analysed using thematic analysis., RESULTS: Main themes were communication ways, organisational structures, and supplementary work by staff. We found that there were differences in the organisational structure of the two care systems in relation to integration between different actors and differences in accessibility to patient information, which influenced the coordination. Municipal discharge coordinators visiting patients at the hospital before discharge and the follow-home nurse were seen as facilitators in Copenhagen. In Stockholm the shared information system with access to patient records were lifted as a facilitator for coordination. Difficulties accessing collaborators were experienced in both settings. We also found that participants in both settings to a high degree engage in work tasks outside of their responsibilities to ensure patient safety., CONCLUSIONS: There are lessons to be learned from both care systems. The written e-communication between hospitals and home health care runs more smoothly in Stockholm, whereas it is perceived as a one-way communication in Copenhagen. In Copenhagen there are more sector-overlapping work which might secure a safer transition from hospital to home. Participants in both settings initiated own actions to weigh out imperfections of the system. Copyright © 2023. The Author(s).","archive":"Ovid MEDLINE(R)","container-title":"BMC geriatrics","DOI":"10.1186/s12877-023-03754-z","ISSN":"1471-2318","issue":"1","journalAbbreviation":"BMC geriatr.","page":"32","title":"Healthcare professionals' perception of barriers and facilitators for care coordination of older adults with complex care needs being discharged from hospital: A qualitative comparative study of two Nordic capitals.","volume":"23","author":[{"family":"Agerholm","given":"Janne"},{"family":"Jensen","given":"Natasja Koitzsch"},{"family":"Liljas","given":"Ann"}],"issued":{"date-parts":[["2023"]]}}}],"schema":"https://github.com/citation-style-language/schema/raw/master/csl-citation.json"} </w:instrText>
      </w:r>
      <w:r w:rsidRPr="00ED5246">
        <w:rPr>
          <w:rFonts w:ascii="Times New Roman" w:hAnsi="Times New Roman" w:cs="Times New Roman"/>
        </w:rPr>
        <w:fldChar w:fldCharType="separate"/>
      </w:r>
      <w:r w:rsidRPr="002868F9">
        <w:rPr>
          <w:rFonts w:ascii="Times New Roman" w:hAnsi="Times New Roman" w:cs="Times New Roman"/>
        </w:rPr>
        <w:t>[76]</w:t>
      </w:r>
      <w:r w:rsidRPr="00ED5246">
        <w:rPr>
          <w:rFonts w:ascii="Times New Roman" w:hAnsi="Times New Roman" w:cs="Times New Roman"/>
        </w:rPr>
        <w:fldChar w:fldCharType="end"/>
      </w:r>
      <w:r w:rsidRPr="00ED5246">
        <w:rPr>
          <w:rFonts w:ascii="Times New Roman" w:hAnsi="Times New Roman" w:cs="Times New Roman"/>
        </w:rPr>
        <w:t xml:space="preserve">, and telehealth services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{"citationID":"59op3uGH","properties":{"formattedCitation":"[78]","plainCitation":"[78]","noteIndex":0},"citationItems":[{"id":69546,"uris":["http://zotero.org/users/7655466/items/KR5CB9EL"],"itemData":{"id":69546,"type":"webpage","title":"From facility to home: How healthcare could shift by 2025 | McKinsey","URL":"https://www.mckinsey.com/industries/healthcare/our-insights/from-facility-to-home-how-healthcare-could-shift-by-2025","author":[{"family":"Bestsennyy","given":"Oleg"},{"family":"Chmielewski","given":"Michelle"},{"family":"Koffel","given":"Anne"}],"accessed":{"date-parts":[["2024",9,14]]},"issued":{"date-parts":[["2022"]]}}}],"schema":"https://github.com/citation-style-language/schema/raw/master/csl-citation.json"} </w:instrText>
      </w:r>
      <w:r w:rsidRPr="00ED5246">
        <w:rPr>
          <w:rFonts w:ascii="Times New Roman" w:hAnsi="Times New Roman" w:cs="Times New Roman"/>
        </w:rPr>
        <w:fldChar w:fldCharType="separate"/>
      </w:r>
      <w:r w:rsidRPr="002868F9">
        <w:rPr>
          <w:rFonts w:ascii="Times New Roman" w:hAnsi="Times New Roman" w:cs="Times New Roman"/>
        </w:rPr>
        <w:t>[78]</w:t>
      </w:r>
      <w:r w:rsidRPr="00ED5246">
        <w:rPr>
          <w:rFonts w:ascii="Times New Roman" w:hAnsi="Times New Roman" w:cs="Times New Roman"/>
        </w:rPr>
        <w:fldChar w:fldCharType="end"/>
      </w:r>
      <w:r w:rsidRPr="00ED5246">
        <w:rPr>
          <w:rFonts w:ascii="Times New Roman" w:hAnsi="Times New Roman" w:cs="Times New Roman"/>
        </w:rPr>
        <w:t xml:space="preserve"> increased the likelihood of home care placement. Systematic reviews further emphasized the importance of robust electronic systems for information sharing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{"citationID":"T9Gpqq0K","properties":{"formattedCitation":"[70]","plainCitation":"[70]","noteIndex":0},"citationItems":[{"id":69673,"uris":["http://zotero.org/users/7655466/items/2MWYFBXI"],"itemData":{"id":69673,"type":"article-journal","abstract":"BACKGROUND: Chronic diseases are long-term, recurring and prolonged, requiring frequent travel to and from the hospital, community, and home settings to access different levels of care. Hospital-to-home transition is challenging travel for elderly patients with chronic diseases. Unhealthy care transition practices may be associated with an increased risk of adverse outcomes and readmission rates. The safety and quality of care transitions have gained global attention, and healthcare providers have a responsibility to help older adults make a smooth, safe, and healthy transition.\nOBJECTIVE: This study aims to provide a more comprehensive understanding of what may shape health transitions in older adults from multiple perspectives, including older chronic patients, caregivers, and healthcare providers.\nMETHODS: Six databases were searched during January 2022, including Pubmed, web of science, Cochrane, Embase, CINAHL (EBSCO), and PsycINFO (Ovid). The qualitative meta-synthesis was performed following the Preferred Reporting Items for Systematic Reviews and Meta-Analyses (PRISMA) recommendations. The quality of included studies was appraised using the Critical Appraisal Skills Programme (CASP) qualitative research appraisal tool. A narrative synthesis was conducted informed by Meleis's Theory of Transition.\nRESULTS: Seventeen studies identified individual and community-focused facilitators and inhibitors mapped to three themes, older adult resilience, relationships and connections, and uninterrupted care transfer supply chain.\nCONCLUSION: This study identified potential transition facilitators and inhibitors for incoming older adults transitioning from hospital to home, and these findings may inform the development of interventions to target resilience in adapting to a new home environment, and human relations and connections for building partnerships, as well as an uninterrupted supply chain of care transfer at hospital-home delivery.\nSYSTEMATIC REVIEW REGISTRATION: www.crd.york.ac.uk/prospero/, identifier: CRD42022350478.","container-title":"Frontiers in Public Health","DOI":"10.3389/fpubh.2023.1047723","ISSN":"2296-2565","journalAbbreviation":"Front Public Health","language":"eng","note":"PMID: 36860385\nPMCID: PMC9969141","page":"1047723","source":"PubMed","title":"Facilitators and inhibitors in hospital-to-home transitional care for elderly patients with chronic diseases: A meta-synthesis of qualitative studies","title-short":"Facilitators and inhibitors in hospital-to-home transitional care for elderly patients with chronic diseases","volume":"11","author":[{"family":"Sun","given":"Mengjie"},{"family":"Liu","given":"Lamei"},{"family":"Wang","given":"Jianan"},{"family":"Zhuansun","given":"Mengyao"},{"family":"Xu","given":"Tongyao"},{"family":"Qian","given":"Yumeng"},{"family":"Dela Rosa","given":"Ronnell"}],"issued":{"date-parts":[["2023"]]}}}],"schema":"https://github.com/citation-style-language/schema/raw/master/csl-citation.json"}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[70]</w:t>
      </w:r>
      <w:r w:rsidRPr="00ED5246">
        <w:rPr>
          <w:rFonts w:ascii="Times New Roman" w:hAnsi="Times New Roman" w:cs="Times New Roman"/>
        </w:rPr>
        <w:fldChar w:fldCharType="end"/>
      </w:r>
      <w:r w:rsidRPr="00ED5246">
        <w:rPr>
          <w:rFonts w:ascii="Times New Roman" w:hAnsi="Times New Roman" w:cs="Times New Roman"/>
        </w:rPr>
        <w:t xml:space="preserve">, as well as standardized medication reconciliation through EHR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LkPrUlJp","properties":{"formattedCitation":"[71]","plainCitation":"[71]","noteIndex":0},"citationItems":[{"id":67943,"uris":["http://zotero.org/groups/5108666/items/TAIRWP23"],"itemData":{"id":67943,"type":"article-journal","container-title":"Stroke","DOI":"10.1161/STROKEAHA.116.012095","issue":"11","note":"publisher: American Heart Association","page":"e246-e249","source":"ahajournals.org (Atypon)","title":"Nursing’s Role in Successful Transitions Across Settings","volume":"47","author":[{"family":"Camicia","given":"Michelle"},{"family":"Lutz","given":"Barbara J."}],"issued":{"date-parts":[["2016",11]]}}}],"schema":"https://github.com/citation-style-language/schema/raw/master/csl-citation.json"}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[71]</w:t>
      </w:r>
      <w:r w:rsidRPr="00ED5246">
        <w:rPr>
          <w:rFonts w:ascii="Times New Roman" w:hAnsi="Times New Roman" w:cs="Times New Roman"/>
        </w:rPr>
        <w:fldChar w:fldCharType="end"/>
      </w:r>
      <w:r w:rsidRPr="00ED5246">
        <w:rPr>
          <w:rFonts w:ascii="Times New Roman" w:hAnsi="Times New Roman" w:cs="Times New Roman"/>
        </w:rPr>
        <w:t xml:space="preserve"> in transitions. On the other hand, delays in accessing timely information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{"citationID":"yqYTwOiV","properties":{"formattedCitation":"[68]","plainCitation":"[68]","noteIndex":0},"citationItems":[{"id":36288,"uris":["http://zotero.org/groups/5108666/items/GHIJDXKF"],"itemData":{"id":36288,"type":"article-journal","abstract":"Background: An increasing proportion of older adults experience avoidable hospitalizations, and some are potentially entering long-term care homes earlier and often unnecessarily. Older adults often lack adequate support to transition from hospital to home, without access to appropriate health services when they are needed in the community and resources to live safely at home. Purpose: This study collaborated with an existing enhanced home care program called Home Again in Nova Scotia, to identify factors that contribute to older adult patients being assessed as requiring long-term care when they could potentially return home with enhanced supports. Methods: Using a case study design, this study examined in-depth experiences of multiple stakeholders, from December 2019 to February 2020, through analysis of nine interviews for three focal patient cases including older adult patients, their family or friend caregivers, and healthcare professionals. Results: Findings indicate home care services for older adults are being sought too late, after hospital readmission, or a rapid decline in health status when family caregivers are already experiencing caregiver burnout. Limitations in home care services led to barriers preventing family caregivers from continuing to care for older adults at home. Conclusions: This study contributes knowledge about gaps within home care and transitional care services, highlighting the importance of investing in additional home care services for rehabilitation and prevention of rapidly deteriorating health.","archive":"cin20","container-title":"Canadian Journal of Nursing Research","DOI":"10.1177/08445621211044333","ISSN":"0844-5621","issue":"4","journalAbbreviation":"Canadian Journal of Nursing Research","page":"483-496","source":"EBSCOhost","title":"Hospital to Home: Supporting the Transition From Hospital to Home for Older Adults.","volume":"54","author":[{"family":"Barber","given":"Brittany"},{"family":"Weeks","given":"Lori"},{"family":"Steeves-Dorey","given":"Lexie"},{"family":"McVeigh","given":"Wendy"},{"family":"Stevens","given":"Susan"},{"family":"Moody","given":"Elaine"},{"family":"Warner","given":"Grace"}],"issued":{"date-parts":[["2022",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[68]</w:t>
      </w:r>
      <w:r w:rsidRPr="00ED5246">
        <w:rPr>
          <w:rFonts w:ascii="Times New Roman" w:hAnsi="Times New Roman" w:cs="Times New Roman"/>
        </w:rPr>
        <w:fldChar w:fldCharType="end"/>
      </w:r>
      <w:r w:rsidRPr="00ED5246">
        <w:rPr>
          <w:rFonts w:ascii="Times New Roman" w:hAnsi="Times New Roman" w:cs="Times New Roman"/>
        </w:rPr>
        <w:t xml:space="preserve"> were highlighted as an impediment to these transitions.</w:t>
      </w:r>
    </w:p>
    <w:p w14:paraId="1DB658D8" w14:textId="3E056C8C" w:rsidR="00861415" w:rsidRPr="00435A97" w:rsidRDefault="004579D2" w:rsidP="00435A97">
      <w:pPr>
        <w:spacing w:after="0" w:line="480" w:lineRule="auto"/>
        <w:jc w:val="both"/>
        <w:rPr>
          <w:rFonts w:ascii="Times New Roman" w:hAnsi="Times New Roman" w:cs="Times New Roman"/>
        </w:rPr>
      </w:pPr>
      <w:r w:rsidRPr="00ED5246">
        <w:rPr>
          <w:rFonts w:ascii="Times New Roman" w:hAnsi="Times New Roman" w:cs="Times New Roman"/>
        </w:rPr>
        <w:t xml:space="preserve">Access to </w:t>
      </w:r>
      <w:r>
        <w:rPr>
          <w:rFonts w:ascii="Times New Roman" w:hAnsi="Times New Roman" w:cs="Times New Roman"/>
        </w:rPr>
        <w:t xml:space="preserve">post-discharge </w:t>
      </w:r>
      <w:r w:rsidRPr="00ED5246">
        <w:rPr>
          <w:rFonts w:ascii="Times New Roman" w:hAnsi="Times New Roman" w:cs="Times New Roman"/>
        </w:rPr>
        <w:t xml:space="preserve">services </w:t>
      </w:r>
      <w:r>
        <w:rPr>
          <w:rFonts w:ascii="Times New Roman" w:hAnsi="Times New Roman" w:cs="Times New Roman"/>
        </w:rPr>
        <w:t>posed continuing challenges</w:t>
      </w:r>
      <w:r w:rsidRPr="00ED5246">
        <w:rPr>
          <w:rFonts w:ascii="Times New Roman" w:hAnsi="Times New Roman" w:cs="Times New Roman"/>
        </w:rPr>
        <w:t xml:space="preserve">. </w:t>
      </w:r>
      <w:r>
        <w:rPr>
          <w:rFonts w:ascii="Times New Roman" w:hAnsi="Times New Roman" w:cs="Times New Roman"/>
        </w:rPr>
        <w:t>Barriers included i</w:t>
      </w:r>
      <w:r w:rsidRPr="00ED5246">
        <w:rPr>
          <w:rFonts w:ascii="Times New Roman" w:hAnsi="Times New Roman" w:cs="Times New Roman"/>
        </w:rPr>
        <w:t xml:space="preserve">nsufficient home care services, especially for overnight support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{"citationID":"kYOPp6hy","properties":{"formattedCitation":"[68]","plainCitation":"[68]","noteIndex":0},"citationItems":[{"id":36288,"uris":["http://zotero.org/groups/5108666/items/GHIJDXKF"],"itemData":{"id":36288,"type":"article-journal","abstract":"Background: An increasing proportion of older adults experience avoidable hospitalizations, and some are potentially entering long-term care homes earlier and often unnecessarily. Older adults often lack adequate support to transition from hospital to home, without access to appropriate health services when they are needed in the community and resources to live safely at home. Purpose: This study collaborated with an existing enhanced home care program called Home Again in Nova Scotia, to identify factors that contribute to older adult patients being assessed as requiring long-term care when they could potentially return home with enhanced supports. Methods: Using a case study design, this study examined in-depth experiences of multiple stakeholders, from December 2019 to February 2020, through analysis of nine interviews for three focal patient cases including older adult patients, their family or friend caregivers, and healthcare professionals. Results: Findings indicate home care services for older adults are being sought too late, after hospital readmission, or a rapid decline in health status when family caregivers are already experiencing caregiver burnout. Limitations in home care services led to barriers preventing family caregivers from continuing to care for older adults at home. Conclusions: This study contributes knowledge about gaps within home care and transitional care services, highlighting the importance of investing in additional home care services for rehabilitation and prevention of rapidly deteriorating health.","archive":"cin20","container-title":"Canadian Journal of Nursing Research","DOI":"10.1177/08445621211044333","ISSN":"0844-5621","issue":"4","journalAbbreviation":"Canadian Journal of Nursing Research","page":"483-496","source":"EBSCOhost","title":"Hospital to Home: Supporting the Transition From Hospital to Home for Older Adults.","volume":"54","author":[{"family":"Barber","given":"Brittany"},{"family":"Weeks","given":"Lori"},{"family":"Steeves-Dorey","given":"Lexie"},{"family":"McVeigh","given":"Wendy"},{"family":"Stevens","given":"Susan"},{"family":"Moody","given":"Elaine"},{"family":"Warner","given":"Grace"}],"issued":{"date-parts":[["2022",12]]}}}],"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[68]</w:t>
      </w:r>
      <w:r w:rsidRPr="00ED5246">
        <w:rPr>
          <w:rFonts w:ascii="Times New Roman" w:hAnsi="Times New Roman" w:cs="Times New Roman"/>
        </w:rPr>
        <w:fldChar w:fldCharType="end"/>
      </w:r>
      <w:r w:rsidRPr="00ED5246">
        <w:rPr>
          <w:rFonts w:ascii="Times New Roman" w:hAnsi="Times New Roman" w:cs="Times New Roman"/>
        </w:rPr>
        <w:t xml:space="preserve">, geographic disparities in service availability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{"citationID":"yL6Z9TlM","properties":{"formattedCitation":"[65]","plainCitation":"[65]","noteIndex":0},"citationItems":[{"id":40840,"uris":["http://zotero.org/groups/5108666/items/JQUQLFPP"],"itemData":{"id":40840,"type":"article-journal","abstract":"This study identifies factors U.S. Department of Veterans Affairs (VA) staff perceived to promote or impede home- and community-based services (HCBS) placement post-hospital discharge among Veterans cared for within the VA. Data derive from 35 semi-structured interviews with staff from 12 VA medical centers from around the country. VA staff reported that Veteran's care needs and social and financial resources influence HCBS placement. They also reported prerequisites for successful placement, including housing, unpaid informal care, and non-VA services funded privately and by public programs such as Medicaid and the Older Americans Act. Lack of staffing and failure to offer the specific types of services needed limit referral to and use of HCBS. Budgetary imperatives influence the relative availability of HCBS across VA medical centers. Findings highlight patient-, provider-, and system-level constraints that impede successful placement at home and in the community of Veterans in need of long-term services and supports after hospitalization.","archive":"Ovid MEDLINE(R) &lt;2019&gt;","container-title":"Journal of aging &amp; social policy","DOI":"10.1080/08959420.2018.1444889","ISSN":"1545-0821","issue":"1","journalAbbreviation":"J Aging Soc Policy","page":"1-29","title":"VA Staff Perceptions of Barriers and Facilitators to Home-and Community-Based Placement Post-Hospital Discharge.","volume":"31","author":[{"family":"Miller","given":"Edward Alan"},{"family":"Intrator","given":"Orna"},{"family":"Gadbois","given":"Emily"},{"family":"Gidmark","given":"Stefanie"},{"family":"Rudolph","given":"James L"}],"issued":{"date-parts":[["2019"]]}}}],"schema":"https://github.com/citation-style-language/schema/raw/master/csl-citation.json"}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[65]</w:t>
      </w:r>
      <w:r w:rsidRPr="00ED5246">
        <w:rPr>
          <w:rFonts w:ascii="Times New Roman" w:hAnsi="Times New Roman" w:cs="Times New Roman"/>
        </w:rPr>
        <w:fldChar w:fldCharType="end"/>
      </w:r>
      <w:r w:rsidRPr="00ED5246">
        <w:rPr>
          <w:rFonts w:ascii="Times New Roman" w:hAnsi="Times New Roman" w:cs="Times New Roman"/>
        </w:rPr>
        <w:t xml:space="preserve">, and inequities in local healthcare resources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{"citationID":"o8bOL1Bw","properties":{"formattedCitation":"[64]","plainCitation":"[64]","noteIndex":0},"citationItems":[{"id":36566,"uris":["http://zotero.org/groups/5108666/items/A76W3W4M"],"itemData":{"id":36566,"type":"article-journal","abstract":"Hospital discharge of older people in need of both medical and social care following their hospital stay requires extensive coordination. This study aims to examine and compare the views of nurses in three Nordic cities on the influence of sociodemographic factors and having close relatives, for the hospital discharge and post hospital care of older people with complex health and social care needs. Thirty-five semi-structured interviews (Copenhagen n = 11, Tampere n = 8, Stockholm n = 16) with nurses were conducted. The nurses were identified through the researchers' networks, invitation and snowball sampling, and recruited from hospitals, primary care practices, home care units, home nursing units, and geriatric departments. The interviews were transcribed and analysed using thematic analysis. Interpretations were discussed and agreed within the team. Four main themes and 13 sub-themes were identified. Across the cities, informants reported that the patient's health status, rather than their gender or ethnicity, steered the discharge date and further care. Care costs, commonly reported in Tampere but also in Copenhagen and Stockholm including costs for medications and home help, were considered barriers for disadvantaged older people. Home situation, local arrangements and differences in collaboration between healthcare professionals at different sites also influenced the hospital discharge. Generally, the patient's health status steered the hospital discharge and post-hospital care. Close relatives were regarded important and a potential advantage. Some informants tried to compensate for the absence of close relatives, highlighting the importance of care systems that can compensate for this to minimise avoidable inequity.","archive":"cin20","container-title":"European Journal of Ageing","DOI":"10.1007/s10433-022-00701-6","ISSN":"1613-9372","issue":"2","journalAbbreviation":"European Journal of Ageing","page":"189-200","source":"EBSCOhost","title":"The influence of sociodemographic factors and close relatives at hospital discharge and post hospital care of older people with complex care needs: nurses' perceptions on health inequity in three Nordic cities.","volume":"19","author":[{"family":"Liljas","given":"A. E. M."},{"family":"Jensen","given":"N. K."},{"family":"Pulkki","given":"J."},{"family":"Andersen","given":"I."},{"family":"Keskimäki","given":"I."},{"family":"Burström","given":"B."},{"family":"Agerholm","given":"J."}],"issued":{"date-parts":[["2022",6]]}}}],"schema":"https://github.com/citation-style-language/schema/raw/master/csl-citation.json"} </w:instrText>
      </w:r>
      <w:r w:rsidRPr="00ED5246">
        <w:rPr>
          <w:rFonts w:ascii="Times New Roman" w:hAnsi="Times New Roman" w:cs="Times New Roman"/>
        </w:rPr>
        <w:fldChar w:fldCharType="separate"/>
      </w:r>
      <w:r w:rsidRPr="00DF28C8">
        <w:rPr>
          <w:rFonts w:ascii="Times New Roman" w:hAnsi="Times New Roman" w:cs="Times New Roman"/>
        </w:rPr>
        <w:t>[64]</w:t>
      </w:r>
      <w:r w:rsidRPr="00ED5246">
        <w:rPr>
          <w:rFonts w:ascii="Times New Roman" w:hAnsi="Times New Roman" w:cs="Times New Roman"/>
        </w:rPr>
        <w:fldChar w:fldCharType="end"/>
      </w:r>
      <w:r w:rsidRPr="00ED5246">
        <w:rPr>
          <w:rFonts w:ascii="Times New Roman" w:hAnsi="Times New Roman" w:cs="Times New Roman"/>
        </w:rPr>
        <w:t xml:space="preserve">. Systematic reviews reinforced these findings, noting insufficient support for older adults with complex health needs during hospital-to-home transitions (n=1) </w:t>
      </w:r>
      <w:r w:rsidRPr="00ED5246">
        <w:rPr>
          <w:rFonts w:ascii="Times New Roman" w:hAnsi="Times New Roman" w:cs="Times New Roman"/>
        </w:rPr>
        <w:fldChar w:fldCharType="begin"/>
      </w:r>
      <w:r>
        <w:rPr>
          <w:rFonts w:ascii="Times New Roman" w:hAnsi="Times New Roman" w:cs="Times New Roman"/>
        </w:rPr>
        <w:instrText xml:space="preserve"> ADDIN ZOTERO_ITEM CSL_CITATION {"citationID":"8bSKpten","properties":{"formattedCitation":"[38]","plainCitation":"[38]","noteIndex":0},"citationItems":[{"id":67849,"uris":["http://zotero.org/groups/5108666/items/J9ZNK6VX"],"itemData":{"id":67849,"type":"webpage","abstract":"The decision to transition yourself or a loved one to a long-term care facility is not an easy one. Luckily, research exists to help you learn about your long-term care options and support you through the decision-making process.","container-title":"Default","language":"en","title":"Evidence-based considerations around long-term care","URL":"https://www.mcmasteroptimalaging.org/blog/detail/blog/2022/08/31/evidence-based-considerations-around-long-term-care","author":[{"family":"University","given":"McMaster"}],"accessed":{"date-parts":[["2023",7,30]]}}}],"schema":"https://github.com/citation-style-language/schema/raw/master/csl-citation.json"} </w:instrText>
      </w:r>
      <w:r w:rsidRPr="00ED5246">
        <w:rPr>
          <w:rFonts w:ascii="Times New Roman" w:hAnsi="Times New Roman" w:cs="Times New Roman"/>
        </w:rPr>
        <w:fldChar w:fldCharType="separate"/>
      </w:r>
      <w:r w:rsidRPr="00084D63">
        <w:rPr>
          <w:rFonts w:ascii="Times New Roman" w:hAnsi="Times New Roman" w:cs="Times New Roman"/>
        </w:rPr>
        <w:t>[38]</w:t>
      </w:r>
      <w:r w:rsidRPr="00ED5246">
        <w:rPr>
          <w:rFonts w:ascii="Times New Roman" w:hAnsi="Times New Roman" w:cs="Times New Roman"/>
        </w:rPr>
        <w:fldChar w:fldCharType="end"/>
      </w:r>
      <w:r>
        <w:rPr>
          <w:rFonts w:ascii="Times New Roman" w:hAnsi="Times New Roman" w:cs="Times New Roman"/>
        </w:rPr>
        <w:t>,</w:t>
      </w:r>
      <w:r w:rsidRPr="00ED5246">
        <w:rPr>
          <w:rFonts w:ascii="Times New Roman" w:hAnsi="Times New Roman" w:cs="Times New Roman"/>
        </w:rPr>
        <w:t xml:space="preserve"> </w:t>
      </w:r>
      <w:r>
        <w:rPr>
          <w:rFonts w:ascii="Times New Roman" w:hAnsi="Times New Roman" w:cs="Times New Roman"/>
        </w:rPr>
        <w:t>as well as</w:t>
      </w:r>
      <w:r w:rsidRPr="00ED5246">
        <w:rPr>
          <w:rFonts w:ascii="Times New Roman" w:hAnsi="Times New Roman" w:cs="Times New Roman"/>
        </w:rPr>
        <w:t xml:space="preserve"> limitations in human resources (n=1) </w:t>
      </w:r>
      <w:r w:rsidRPr="00ED5246">
        <w:rPr>
          <w:rFonts w:ascii="Times New Roman" w:hAnsi="Times New Roman" w:cs="Times New Roman"/>
        </w:rPr>
        <w:fldChar w:fldCharType="begin"/>
      </w:r>
      <w:r w:rsidR="00A04BF9">
        <w:rPr>
          <w:rFonts w:ascii="Times New Roman" w:hAnsi="Times New Roman" w:cs="Times New Roman"/>
        </w:rPr>
        <w:instrText xml:space="preserve"> ADDIN ZOTERO_ITEM CSL_CITATION {"citationID":"TFmoibr1","properties":{"formattedCitation":"[70]","plainCitation":"[70]","noteIndex":0},"citationItems":[{"id":69673,"uris":["http://zotero.org/users/7655466/items/2MWYFBXI"],"itemData":{"id":69673,"type":"article-journal","abstract":"BACKGROUND: Chronic diseases are long-term, recurring and prolonged, requiring frequent travel to and from the hospital, community, and home settings to access different levels of care. Hospital-to-home transition is challenging travel for elderly patients with chronic diseases. Unhealthy care transition practices may be associated with an increased risk of adverse outcomes and readmission rates. The safety and quality of care transitions have gained global attention, and healthcare providers have a responsibility to help older adults make a smooth, safe, and healthy transition.\nOBJECTIVE: This study aims to provide a more comprehensive understanding of what may shape health transitions in older adults from multiple perspectives, including older chronic patients, caregivers, and healthcare providers.\nMETHODS: Six databases were searched during January 2022, including Pubmed, web of science, Cochrane, Embase, CINAHL (EBSCO), and PsycINFO (Ovid). The qualitative meta-synthesis was performed following the Preferred Reporting Items for Systematic Reviews and Meta-Analyses (PRISMA) recommendations. The quality of included studies was appraised using the Critical Appraisal Skills Programme (CASP) qualitative research appraisal tool. A narrative synthesis was conducted informed by Meleis's Theory of Transition.\nRESULTS: Seventeen studies identified individual and community-focused facilitators and inhibitors mapped to three themes, older adult resilience, relationships and connections, and uninterrupted care transfer supply chain.\nCONCLUSION: This study identified potential transition facilitators and inhibitors for incoming older adults transitioning from hospital to home, and these findings may inform the development of interventions to target resilience in adapting to a new home environment, and human relations and connections for building partnerships, as well as an uninterrupted supply chain of care transfer at hospital-home delivery.\nSYSTEMATIC REVIEW REGISTRATION: www.crd.york.ac.uk/prospero/, identifier: CRD42022350478.","container-title":"Frontiers in Public Health","DOI":"10.3389/fpubh.2023.1047723","ISSN":"2296-2565","journalAbbreviation":"Front Public Health","language":"eng","note":"PMID: 36860385\nPMCID: PMC9969141","page":"1047723","source":"PubMed","title":"Facilitators and inhibitors in hospital-to-home transitional care for elderly patients with chronic diseases: A meta-synthesis of qualitative studies","title-short":"Facilitators and inhibitors in hospital-to-home transitional care for elderly patients with chronic diseases","volume":"11","author":[{"family":"Sun","given":"Mengjie"},{"family":"Liu","given":"Lamei"},{"family":"Wang","given":"Jianan"},{"family":"Zhuansun","given":"Mengyao"},{"family":"Xu","given":"Tongyao"},{"family":"Qian","given":"Yumeng"},{"family":"Dela Rosa","given":"Ronnell"}],"issued":{"date-parts":[["2023"]]}}}],"schema":"https://github.com/citation-style-language/schema/raw/master/csl-citation.json"} </w:instrText>
      </w:r>
      <w:r w:rsidRPr="00ED5246">
        <w:rPr>
          <w:rFonts w:ascii="Times New Roman" w:hAnsi="Times New Roman" w:cs="Times New Roman"/>
        </w:rPr>
        <w:fldChar w:fldCharType="separate"/>
      </w:r>
      <w:r w:rsidR="00A04BF9" w:rsidRPr="00A04BF9">
        <w:rPr>
          <w:rFonts w:ascii="Times New Roman" w:hAnsi="Times New Roman" w:cs="Times New Roman"/>
        </w:rPr>
        <w:t>[70]</w:t>
      </w:r>
      <w:r w:rsidRPr="00ED5246">
        <w:rPr>
          <w:rFonts w:ascii="Times New Roman" w:hAnsi="Times New Roman" w:cs="Times New Roman"/>
        </w:rPr>
        <w:fldChar w:fldCharType="end"/>
      </w:r>
      <w:bookmarkEnd w:id="2"/>
      <w:bookmarkEnd w:id="3"/>
      <w:r w:rsidR="00435A97">
        <w:rPr>
          <w:rFonts w:ascii="Times New Roman" w:hAnsi="Times New Roman" w:cs="Times New Roman"/>
        </w:rPr>
        <w:t>.</w:t>
      </w:r>
    </w:p>
    <w:p w14:paraId="0CE525A9" w14:textId="77777777" w:rsidR="00435A97" w:rsidRDefault="00435A97">
      <w:pPr>
        <w:rPr>
          <w:rFonts w:ascii="Times New Roman" w:eastAsiaTheme="majorEastAsia"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3952A415" w14:textId="7D4B068D" w:rsidR="00821A3C" w:rsidRPr="00CC2419" w:rsidRDefault="00821A3C" w:rsidP="001A05AC">
      <w:pPr>
        <w:pStyle w:val="Heading2"/>
        <w:numPr>
          <w:ilvl w:val="0"/>
          <w:numId w:val="0"/>
        </w:numPr>
        <w:spacing w:before="0" w:line="480" w:lineRule="auto"/>
        <w:rPr>
          <w:rFonts w:ascii="Times New Roman" w:hAnsi="Times New Roman" w:cs="Times New Roman"/>
          <w:b/>
          <w:bCs/>
          <w:color w:val="000000" w:themeColor="text1"/>
          <w:sz w:val="24"/>
          <w:szCs w:val="24"/>
        </w:rPr>
      </w:pPr>
      <w:r w:rsidRPr="00CC2419">
        <w:rPr>
          <w:rFonts w:ascii="Times New Roman" w:hAnsi="Times New Roman" w:cs="Times New Roman"/>
          <w:b/>
          <w:bCs/>
          <w:color w:val="000000" w:themeColor="text1"/>
          <w:sz w:val="24"/>
          <w:szCs w:val="24"/>
        </w:rPr>
        <w:lastRenderedPageBreak/>
        <w:t>S</w:t>
      </w:r>
      <w:r w:rsidR="00F31BFC">
        <w:rPr>
          <w:rFonts w:ascii="Times New Roman" w:hAnsi="Times New Roman" w:cs="Times New Roman"/>
          <w:b/>
          <w:bCs/>
          <w:color w:val="000000" w:themeColor="text1"/>
          <w:sz w:val="24"/>
          <w:szCs w:val="24"/>
        </w:rPr>
        <w:t>4</w:t>
      </w:r>
      <w:r w:rsidR="00F26468">
        <w:rPr>
          <w:rFonts w:ascii="Times New Roman" w:hAnsi="Times New Roman" w:cs="Times New Roman"/>
          <w:b/>
          <w:bCs/>
          <w:color w:val="000000" w:themeColor="text1"/>
          <w:sz w:val="24"/>
          <w:szCs w:val="24"/>
        </w:rPr>
        <w:t>.</w:t>
      </w:r>
      <w:r w:rsidRPr="00CC2419">
        <w:rPr>
          <w:rFonts w:ascii="Times New Roman" w:hAnsi="Times New Roman" w:cs="Times New Roman"/>
          <w:b/>
          <w:bCs/>
          <w:color w:val="000000" w:themeColor="text1"/>
          <w:sz w:val="24"/>
          <w:szCs w:val="24"/>
        </w:rPr>
        <w:t xml:space="preserve"> </w:t>
      </w:r>
      <w:r w:rsidR="00B7434F" w:rsidRPr="00B7434F">
        <w:rPr>
          <w:rFonts w:ascii="Times New Roman" w:hAnsi="Times New Roman" w:cs="Times New Roman"/>
          <w:b/>
          <w:bCs/>
          <w:color w:val="000000" w:themeColor="text1"/>
          <w:sz w:val="24"/>
          <w:szCs w:val="24"/>
        </w:rPr>
        <w:t xml:space="preserve">Frequency of </w:t>
      </w:r>
      <w:r w:rsidR="00B7434F">
        <w:rPr>
          <w:rFonts w:ascii="Times New Roman" w:hAnsi="Times New Roman" w:cs="Times New Roman"/>
          <w:b/>
          <w:bCs/>
          <w:color w:val="000000" w:themeColor="text1"/>
          <w:sz w:val="24"/>
          <w:szCs w:val="24"/>
        </w:rPr>
        <w:t>i</w:t>
      </w:r>
      <w:r w:rsidR="00B7434F" w:rsidRPr="00B7434F">
        <w:rPr>
          <w:rFonts w:ascii="Times New Roman" w:hAnsi="Times New Roman" w:cs="Times New Roman"/>
          <w:b/>
          <w:bCs/>
          <w:color w:val="000000" w:themeColor="text1"/>
          <w:sz w:val="24"/>
          <w:szCs w:val="24"/>
        </w:rPr>
        <w:t xml:space="preserve">nfluential </w:t>
      </w:r>
      <w:r w:rsidR="00B7434F">
        <w:rPr>
          <w:rFonts w:ascii="Times New Roman" w:hAnsi="Times New Roman" w:cs="Times New Roman"/>
          <w:b/>
          <w:bCs/>
          <w:color w:val="000000" w:themeColor="text1"/>
          <w:sz w:val="24"/>
          <w:szCs w:val="24"/>
        </w:rPr>
        <w:t>f</w:t>
      </w:r>
      <w:r w:rsidR="00B7434F" w:rsidRPr="00B7434F">
        <w:rPr>
          <w:rFonts w:ascii="Times New Roman" w:hAnsi="Times New Roman" w:cs="Times New Roman"/>
          <w:b/>
          <w:bCs/>
          <w:color w:val="000000" w:themeColor="text1"/>
          <w:sz w:val="24"/>
          <w:szCs w:val="24"/>
        </w:rPr>
        <w:t xml:space="preserve">actors in PAC </w:t>
      </w:r>
      <w:r w:rsidR="00B7434F">
        <w:rPr>
          <w:rFonts w:ascii="Times New Roman" w:hAnsi="Times New Roman" w:cs="Times New Roman"/>
          <w:b/>
          <w:bCs/>
          <w:color w:val="000000" w:themeColor="text1"/>
          <w:sz w:val="24"/>
          <w:szCs w:val="24"/>
        </w:rPr>
        <w:t>t</w:t>
      </w:r>
      <w:r w:rsidR="00B7434F" w:rsidRPr="00B7434F">
        <w:rPr>
          <w:rFonts w:ascii="Times New Roman" w:hAnsi="Times New Roman" w:cs="Times New Roman"/>
          <w:b/>
          <w:bCs/>
          <w:color w:val="000000" w:themeColor="text1"/>
          <w:sz w:val="24"/>
          <w:szCs w:val="24"/>
        </w:rPr>
        <w:t>ransitions</w:t>
      </w:r>
    </w:p>
    <w:p w14:paraId="1AFD8E1D" w14:textId="51F73AF3" w:rsidR="00821A3C" w:rsidRPr="00E71D07" w:rsidRDefault="00821A3C" w:rsidP="001A05AC">
      <w:pPr>
        <w:spacing w:after="0" w:line="480" w:lineRule="auto"/>
        <w:rPr>
          <w:rFonts w:ascii="Times New Roman" w:hAnsi="Times New Roman" w:cs="Times New Roman"/>
          <w:color w:val="000000" w:themeColor="text1"/>
        </w:rPr>
      </w:pPr>
      <w:r w:rsidRPr="00E71D07">
        <w:rPr>
          <w:rFonts w:ascii="Times New Roman" w:hAnsi="Times New Roman" w:cs="Times New Roman"/>
          <w:color w:val="000000" w:themeColor="text1"/>
        </w:rPr>
        <w:t xml:space="preserve">Table S3 presents the complete list of factors influencing the transition of </w:t>
      </w:r>
      <w:r w:rsidR="00E71D07">
        <w:rPr>
          <w:rFonts w:ascii="Times New Roman" w:hAnsi="Times New Roman" w:cs="Times New Roman"/>
          <w:color w:val="000000" w:themeColor="text1"/>
        </w:rPr>
        <w:t>older adults</w:t>
      </w:r>
      <w:r w:rsidRPr="00E71D07">
        <w:rPr>
          <w:rFonts w:ascii="Times New Roman" w:hAnsi="Times New Roman" w:cs="Times New Roman"/>
          <w:color w:val="000000" w:themeColor="text1"/>
        </w:rPr>
        <w:t xml:space="preserve"> </w:t>
      </w:r>
      <w:r w:rsidR="00120A86" w:rsidRPr="00E71D07">
        <w:rPr>
          <w:rFonts w:ascii="Times New Roman" w:hAnsi="Times New Roman" w:cs="Times New Roman"/>
          <w:color w:val="000000" w:themeColor="text1"/>
        </w:rPr>
        <w:t>from acute care to LTC, CCC, and home care</w:t>
      </w:r>
      <w:r w:rsidRPr="00E71D07">
        <w:rPr>
          <w:rFonts w:ascii="Times New Roman" w:hAnsi="Times New Roman" w:cs="Times New Roman"/>
          <w:color w:val="000000" w:themeColor="text1"/>
        </w:rPr>
        <w:t xml:space="preserve"> and their frequency.</w:t>
      </w:r>
    </w:p>
    <w:p w14:paraId="0AFB5542" w14:textId="065DBB18" w:rsidR="00821A3C" w:rsidRPr="00CC2419" w:rsidRDefault="00821A3C" w:rsidP="00821A3C">
      <w:pPr>
        <w:pStyle w:val="Caption"/>
        <w:keepNext/>
        <w:spacing w:after="0"/>
        <w:jc w:val="center"/>
        <w:rPr>
          <w:rFonts w:ascii="Times New Roman" w:hAnsi="Times New Roman" w:cs="Times New Roman"/>
          <w:i w:val="0"/>
          <w:iCs w:val="0"/>
          <w:color w:val="000000" w:themeColor="text1"/>
          <w:sz w:val="20"/>
          <w:szCs w:val="20"/>
        </w:rPr>
      </w:pPr>
      <w:r w:rsidRPr="00CC2419">
        <w:rPr>
          <w:rFonts w:ascii="Times New Roman" w:hAnsi="Times New Roman" w:cs="Times New Roman"/>
          <w:b/>
          <w:bCs/>
          <w:i w:val="0"/>
          <w:iCs w:val="0"/>
          <w:color w:val="000000" w:themeColor="text1"/>
          <w:sz w:val="20"/>
          <w:szCs w:val="20"/>
        </w:rPr>
        <w:t>Table S</w:t>
      </w:r>
      <w:r w:rsidRPr="00CC2419">
        <w:rPr>
          <w:rFonts w:ascii="Times New Roman" w:hAnsi="Times New Roman" w:cs="Times New Roman"/>
          <w:b/>
          <w:bCs/>
          <w:i w:val="0"/>
          <w:iCs w:val="0"/>
          <w:color w:val="000000" w:themeColor="text1"/>
          <w:sz w:val="20"/>
          <w:szCs w:val="20"/>
        </w:rPr>
        <w:fldChar w:fldCharType="begin"/>
      </w:r>
      <w:r w:rsidRPr="00CC2419">
        <w:rPr>
          <w:rFonts w:ascii="Times New Roman" w:hAnsi="Times New Roman" w:cs="Times New Roman"/>
          <w:b/>
          <w:bCs/>
          <w:i w:val="0"/>
          <w:iCs w:val="0"/>
          <w:color w:val="000000" w:themeColor="text1"/>
          <w:sz w:val="20"/>
          <w:szCs w:val="20"/>
        </w:rPr>
        <w:instrText xml:space="preserve"> SEQ Table \* ARABIC </w:instrText>
      </w:r>
      <w:r w:rsidRPr="00CC2419">
        <w:rPr>
          <w:rFonts w:ascii="Times New Roman" w:hAnsi="Times New Roman" w:cs="Times New Roman"/>
          <w:b/>
          <w:bCs/>
          <w:i w:val="0"/>
          <w:iCs w:val="0"/>
          <w:color w:val="000000" w:themeColor="text1"/>
          <w:sz w:val="20"/>
          <w:szCs w:val="20"/>
        </w:rPr>
        <w:fldChar w:fldCharType="separate"/>
      </w:r>
      <w:r w:rsidRPr="00CC2419">
        <w:rPr>
          <w:rFonts w:ascii="Times New Roman" w:hAnsi="Times New Roman" w:cs="Times New Roman"/>
          <w:b/>
          <w:bCs/>
          <w:i w:val="0"/>
          <w:iCs w:val="0"/>
          <w:color w:val="000000" w:themeColor="text1"/>
          <w:sz w:val="20"/>
          <w:szCs w:val="20"/>
        </w:rPr>
        <w:t>3</w:t>
      </w:r>
      <w:r w:rsidRPr="00CC2419">
        <w:rPr>
          <w:rFonts w:ascii="Times New Roman" w:hAnsi="Times New Roman" w:cs="Times New Roman"/>
          <w:b/>
          <w:bCs/>
          <w:i w:val="0"/>
          <w:iCs w:val="0"/>
          <w:color w:val="000000" w:themeColor="text1"/>
          <w:sz w:val="20"/>
          <w:szCs w:val="20"/>
        </w:rPr>
        <w:fldChar w:fldCharType="end"/>
      </w:r>
      <w:r w:rsidRPr="00CC2419">
        <w:rPr>
          <w:rFonts w:ascii="Times New Roman" w:hAnsi="Times New Roman" w:cs="Times New Roman"/>
          <w:i w:val="0"/>
          <w:iCs w:val="0"/>
          <w:color w:val="000000" w:themeColor="text1"/>
          <w:sz w:val="20"/>
          <w:szCs w:val="20"/>
        </w:rPr>
        <w:t xml:space="preserve">. Full list of </w:t>
      </w:r>
      <w:r w:rsidR="00435A97">
        <w:rPr>
          <w:rFonts w:ascii="Times New Roman" w:hAnsi="Times New Roman" w:cs="Times New Roman"/>
          <w:i w:val="0"/>
          <w:iCs w:val="0"/>
          <w:color w:val="000000" w:themeColor="text1"/>
          <w:sz w:val="20"/>
          <w:szCs w:val="20"/>
        </w:rPr>
        <w:t>PAC</w:t>
      </w:r>
      <w:r w:rsidR="00120A86">
        <w:rPr>
          <w:rFonts w:ascii="Times New Roman" w:hAnsi="Times New Roman" w:cs="Times New Roman"/>
          <w:i w:val="0"/>
          <w:iCs w:val="0"/>
          <w:color w:val="000000" w:themeColor="text1"/>
          <w:sz w:val="20"/>
          <w:szCs w:val="20"/>
        </w:rPr>
        <w:t xml:space="preserve"> transitions’</w:t>
      </w:r>
      <w:r w:rsidRPr="00CC2419">
        <w:rPr>
          <w:rFonts w:ascii="Times New Roman" w:hAnsi="Times New Roman" w:cs="Times New Roman"/>
          <w:i w:val="0"/>
          <w:iCs w:val="0"/>
          <w:color w:val="000000" w:themeColor="text1"/>
          <w:sz w:val="20"/>
          <w:szCs w:val="20"/>
        </w:rPr>
        <w:t xml:space="preserve"> influential factors</w:t>
      </w:r>
    </w:p>
    <w:tbl>
      <w:tblPr>
        <w:tblStyle w:val="PlainTable1"/>
        <w:tblW w:w="5000" w:type="pct"/>
        <w:shd w:val="clear" w:color="auto" w:fill="FFFFFF" w:themeFill="background1"/>
        <w:tblLook w:val="04A0" w:firstRow="1" w:lastRow="0" w:firstColumn="1" w:lastColumn="0" w:noHBand="0" w:noVBand="1"/>
      </w:tblPr>
      <w:tblGrid>
        <w:gridCol w:w="470"/>
        <w:gridCol w:w="2455"/>
        <w:gridCol w:w="426"/>
        <w:gridCol w:w="434"/>
        <w:gridCol w:w="426"/>
        <w:gridCol w:w="426"/>
        <w:gridCol w:w="432"/>
        <w:gridCol w:w="426"/>
        <w:gridCol w:w="426"/>
        <w:gridCol w:w="426"/>
        <w:gridCol w:w="426"/>
        <w:gridCol w:w="426"/>
        <w:gridCol w:w="426"/>
        <w:gridCol w:w="426"/>
        <w:gridCol w:w="426"/>
        <w:gridCol w:w="462"/>
        <w:gridCol w:w="411"/>
      </w:tblGrid>
      <w:tr w:rsidR="004515F4" w:rsidRPr="008923BA" w14:paraId="5B83308E" w14:textId="77777777" w:rsidTr="00861415">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64" w:type="pct"/>
            <w:gridSpan w:val="2"/>
            <w:vMerge w:val="restart"/>
            <w:shd w:val="clear" w:color="auto" w:fill="FFFFFF" w:themeFill="background1"/>
            <w:vAlign w:val="center"/>
          </w:tcPr>
          <w:p w14:paraId="4FAFC3C9" w14:textId="7F2DED63" w:rsidR="004515F4" w:rsidRPr="008923BA" w:rsidRDefault="004515F4" w:rsidP="009C1DDF">
            <w:pPr>
              <w:jc w:val="center"/>
              <w:rPr>
                <w:rFonts w:ascii="Times New Roman" w:hAnsi="Times New Roman" w:cs="Times New Roman"/>
                <w:b w:val="0"/>
                <w:bCs w:val="0"/>
                <w:iCs/>
                <w:sz w:val="16"/>
                <w:szCs w:val="16"/>
              </w:rPr>
            </w:pPr>
            <w:r w:rsidRPr="008923BA">
              <w:rPr>
                <w:rFonts w:ascii="Times New Roman" w:hAnsi="Times New Roman" w:cs="Times New Roman"/>
                <w:iCs/>
                <w:sz w:val="16"/>
                <w:szCs w:val="16"/>
              </w:rPr>
              <w:t xml:space="preserve">Factors associated with </w:t>
            </w:r>
            <w:r w:rsidR="00CA7CB9">
              <w:rPr>
                <w:rFonts w:ascii="Times New Roman" w:hAnsi="Times New Roman" w:cs="Times New Roman"/>
                <w:iCs/>
                <w:sz w:val="16"/>
                <w:szCs w:val="16"/>
              </w:rPr>
              <w:t>older adults’</w:t>
            </w:r>
            <w:r w:rsidRPr="008923BA">
              <w:rPr>
                <w:rFonts w:ascii="Times New Roman" w:hAnsi="Times New Roman" w:cs="Times New Roman"/>
                <w:iCs/>
                <w:sz w:val="16"/>
                <w:szCs w:val="16"/>
              </w:rPr>
              <w:t xml:space="preserve"> post-acute care transitions </w:t>
            </w:r>
          </w:p>
        </w:tc>
        <w:tc>
          <w:tcPr>
            <w:tcW w:w="1147" w:type="pct"/>
            <w:gridSpan w:val="5"/>
            <w:shd w:val="clear" w:color="auto" w:fill="FFF2CC" w:themeFill="accent4" w:themeFillTint="33"/>
            <w:vAlign w:val="center"/>
          </w:tcPr>
          <w:p w14:paraId="24F6CC0A" w14:textId="77777777" w:rsidR="004515F4" w:rsidRPr="008923BA" w:rsidRDefault="004515F4"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Acute care to LTC</w:t>
            </w:r>
          </w:p>
        </w:tc>
        <w:tc>
          <w:tcPr>
            <w:tcW w:w="1139" w:type="pct"/>
            <w:gridSpan w:val="5"/>
            <w:shd w:val="clear" w:color="auto" w:fill="FBE4D5" w:themeFill="accent2" w:themeFillTint="33"/>
            <w:vAlign w:val="center"/>
          </w:tcPr>
          <w:p w14:paraId="2AFE6331" w14:textId="77777777" w:rsidR="004515F4" w:rsidRPr="008923BA" w:rsidRDefault="004515F4"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Acute care to CCC</w:t>
            </w:r>
          </w:p>
        </w:tc>
        <w:tc>
          <w:tcPr>
            <w:tcW w:w="1150" w:type="pct"/>
            <w:gridSpan w:val="5"/>
            <w:shd w:val="clear" w:color="auto" w:fill="DEEAF6" w:themeFill="accent5" w:themeFillTint="33"/>
            <w:vAlign w:val="center"/>
          </w:tcPr>
          <w:p w14:paraId="7C30142E"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Acute care to home care</w:t>
            </w:r>
          </w:p>
        </w:tc>
      </w:tr>
      <w:tr w:rsidR="00861415" w:rsidRPr="008923BA" w14:paraId="357A3A47" w14:textId="77777777" w:rsidTr="00861415">
        <w:trPr>
          <w:cnfStyle w:val="100000000000" w:firstRow="1" w:lastRow="0" w:firstColumn="0" w:lastColumn="0" w:oddVBand="0" w:evenVBand="0" w:oddHBand="0" w:evenHBand="0" w:firstRowFirstColumn="0" w:firstRowLastColumn="0" w:lastRowFirstColumn="0" w:lastRowLastColumn="0"/>
          <w:trHeight w:val="1043"/>
          <w:tblHeader/>
        </w:trPr>
        <w:tc>
          <w:tcPr>
            <w:cnfStyle w:val="001000000000" w:firstRow="0" w:lastRow="0" w:firstColumn="1" w:lastColumn="0" w:oddVBand="0" w:evenVBand="0" w:oddHBand="0" w:evenHBand="0" w:firstRowFirstColumn="0" w:firstRowLastColumn="0" w:lastRowFirstColumn="0" w:lastRowLastColumn="0"/>
            <w:tcW w:w="1564" w:type="pct"/>
            <w:gridSpan w:val="2"/>
            <w:vMerge/>
            <w:shd w:val="clear" w:color="auto" w:fill="FFFFFF" w:themeFill="background1"/>
            <w:vAlign w:val="center"/>
          </w:tcPr>
          <w:p w14:paraId="52EA9D90" w14:textId="77777777" w:rsidR="004515F4" w:rsidRPr="008923BA" w:rsidRDefault="004515F4" w:rsidP="009C1DDF">
            <w:pPr>
              <w:jc w:val="center"/>
              <w:rPr>
                <w:rFonts w:ascii="Times New Roman" w:hAnsi="Times New Roman" w:cs="Times New Roman"/>
                <w:iCs/>
                <w:sz w:val="16"/>
                <w:szCs w:val="16"/>
              </w:rPr>
            </w:pPr>
          </w:p>
        </w:tc>
        <w:tc>
          <w:tcPr>
            <w:tcW w:w="460" w:type="pct"/>
            <w:gridSpan w:val="2"/>
            <w:shd w:val="clear" w:color="auto" w:fill="FFF2CC" w:themeFill="accent4" w:themeFillTint="33"/>
            <w:textDirection w:val="btLr"/>
            <w:vAlign w:val="center"/>
          </w:tcPr>
          <w:p w14:paraId="0DAB7F52"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Quantitative</w:t>
            </w:r>
          </w:p>
        </w:tc>
        <w:tc>
          <w:tcPr>
            <w:tcW w:w="687" w:type="pct"/>
            <w:gridSpan w:val="3"/>
            <w:shd w:val="clear" w:color="auto" w:fill="FFF2CC" w:themeFill="accent4" w:themeFillTint="33"/>
            <w:textDirection w:val="btLr"/>
            <w:vAlign w:val="center"/>
          </w:tcPr>
          <w:p w14:paraId="074036BF" w14:textId="77777777" w:rsidR="004515F4" w:rsidRPr="008923BA" w:rsidRDefault="004515F4"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Qualitative</w:t>
            </w:r>
          </w:p>
        </w:tc>
        <w:tc>
          <w:tcPr>
            <w:tcW w:w="456" w:type="pct"/>
            <w:gridSpan w:val="2"/>
            <w:shd w:val="clear" w:color="auto" w:fill="FBE4D5" w:themeFill="accent2" w:themeFillTint="33"/>
            <w:textDirection w:val="btLr"/>
            <w:vAlign w:val="center"/>
          </w:tcPr>
          <w:p w14:paraId="4580FB94"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Quantitative</w:t>
            </w:r>
          </w:p>
        </w:tc>
        <w:tc>
          <w:tcPr>
            <w:tcW w:w="683" w:type="pct"/>
            <w:gridSpan w:val="3"/>
            <w:shd w:val="clear" w:color="auto" w:fill="FBE4D5" w:themeFill="accent2" w:themeFillTint="33"/>
            <w:textDirection w:val="btLr"/>
            <w:vAlign w:val="center"/>
          </w:tcPr>
          <w:p w14:paraId="00402D78" w14:textId="77777777" w:rsidR="004515F4" w:rsidRPr="008923BA" w:rsidRDefault="004515F4"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Qualitative</w:t>
            </w:r>
          </w:p>
        </w:tc>
        <w:tc>
          <w:tcPr>
            <w:tcW w:w="456" w:type="pct"/>
            <w:gridSpan w:val="2"/>
            <w:shd w:val="clear" w:color="auto" w:fill="DEEAF6" w:themeFill="accent5" w:themeFillTint="33"/>
            <w:textDirection w:val="btLr"/>
            <w:vAlign w:val="center"/>
          </w:tcPr>
          <w:p w14:paraId="391CF9C2"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Quantitative</w:t>
            </w:r>
          </w:p>
        </w:tc>
        <w:tc>
          <w:tcPr>
            <w:tcW w:w="695" w:type="pct"/>
            <w:gridSpan w:val="3"/>
            <w:shd w:val="clear" w:color="auto" w:fill="DEEAF6" w:themeFill="accent5" w:themeFillTint="33"/>
            <w:textDirection w:val="btLr"/>
            <w:vAlign w:val="center"/>
          </w:tcPr>
          <w:p w14:paraId="27A664EA"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Qualitative</w:t>
            </w:r>
          </w:p>
        </w:tc>
      </w:tr>
      <w:tr w:rsidR="00E5461C" w:rsidRPr="008923BA" w14:paraId="139555B7" w14:textId="77777777" w:rsidTr="00861415">
        <w:trPr>
          <w:cnfStyle w:val="100000000000" w:firstRow="1" w:lastRow="0" w:firstColumn="0" w:lastColumn="0" w:oddVBand="0" w:evenVBand="0" w:oddHBand="0" w:evenHBand="0" w:firstRowFirstColumn="0" w:firstRowLastColumn="0" w:lastRowFirstColumn="0" w:lastRowLastColumn="0"/>
          <w:trHeight w:val="1304"/>
          <w:tblHeader/>
        </w:trPr>
        <w:tc>
          <w:tcPr>
            <w:cnfStyle w:val="001000000000" w:firstRow="0" w:lastRow="0" w:firstColumn="1" w:lastColumn="0" w:oddVBand="0" w:evenVBand="0" w:oddHBand="0" w:evenHBand="0" w:firstRowFirstColumn="0" w:firstRowLastColumn="0" w:lastRowFirstColumn="0" w:lastRowLastColumn="0"/>
            <w:tcW w:w="1564" w:type="pct"/>
            <w:gridSpan w:val="2"/>
            <w:vMerge/>
            <w:shd w:val="clear" w:color="auto" w:fill="FFFFFF" w:themeFill="background1"/>
            <w:vAlign w:val="center"/>
          </w:tcPr>
          <w:p w14:paraId="2D1A8465" w14:textId="77777777" w:rsidR="004515F4" w:rsidRPr="008923BA" w:rsidRDefault="004515F4" w:rsidP="009C1DDF">
            <w:pPr>
              <w:jc w:val="center"/>
              <w:rPr>
                <w:rFonts w:ascii="Times New Roman" w:hAnsi="Times New Roman" w:cs="Times New Roman"/>
                <w:iCs/>
                <w:sz w:val="16"/>
                <w:szCs w:val="16"/>
              </w:rPr>
            </w:pPr>
          </w:p>
        </w:tc>
        <w:tc>
          <w:tcPr>
            <w:tcW w:w="228" w:type="pct"/>
            <w:shd w:val="clear" w:color="auto" w:fill="FFF2CC" w:themeFill="accent4" w:themeFillTint="33"/>
            <w:textDirection w:val="btLr"/>
            <w:vAlign w:val="center"/>
          </w:tcPr>
          <w:p w14:paraId="6D55DEEB"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Positive</w:t>
            </w:r>
          </w:p>
        </w:tc>
        <w:tc>
          <w:tcPr>
            <w:tcW w:w="232" w:type="pct"/>
            <w:shd w:val="clear" w:color="auto" w:fill="FFF2CC" w:themeFill="accent4" w:themeFillTint="33"/>
            <w:textDirection w:val="btLr"/>
            <w:vAlign w:val="center"/>
          </w:tcPr>
          <w:p w14:paraId="1255E179"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Negative</w:t>
            </w:r>
          </w:p>
        </w:tc>
        <w:tc>
          <w:tcPr>
            <w:tcW w:w="228" w:type="pct"/>
            <w:shd w:val="clear" w:color="auto" w:fill="FFF2CC" w:themeFill="accent4" w:themeFillTint="33"/>
            <w:textDirection w:val="btLr"/>
            <w:vAlign w:val="center"/>
          </w:tcPr>
          <w:p w14:paraId="03B79B6E"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Positive</w:t>
            </w:r>
          </w:p>
        </w:tc>
        <w:tc>
          <w:tcPr>
            <w:tcW w:w="228" w:type="pct"/>
            <w:shd w:val="clear" w:color="auto" w:fill="FFF2CC" w:themeFill="accent4" w:themeFillTint="33"/>
            <w:textDirection w:val="btLr"/>
            <w:vAlign w:val="center"/>
          </w:tcPr>
          <w:p w14:paraId="35D26E7A"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Negative</w:t>
            </w:r>
          </w:p>
        </w:tc>
        <w:tc>
          <w:tcPr>
            <w:tcW w:w="231" w:type="pct"/>
            <w:shd w:val="clear" w:color="auto" w:fill="FFF2CC" w:themeFill="accent4" w:themeFillTint="33"/>
            <w:textDirection w:val="btLr"/>
            <w:vAlign w:val="center"/>
          </w:tcPr>
          <w:p w14:paraId="64E51BE7" w14:textId="77777777" w:rsidR="004515F4" w:rsidRPr="008923BA" w:rsidRDefault="004515F4"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Not Specified</w:t>
            </w:r>
          </w:p>
        </w:tc>
        <w:tc>
          <w:tcPr>
            <w:tcW w:w="228" w:type="pct"/>
            <w:shd w:val="clear" w:color="auto" w:fill="FBE4D5" w:themeFill="accent2" w:themeFillTint="33"/>
            <w:textDirection w:val="btLr"/>
            <w:vAlign w:val="center"/>
          </w:tcPr>
          <w:p w14:paraId="446C681A"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Positive</w:t>
            </w:r>
          </w:p>
        </w:tc>
        <w:tc>
          <w:tcPr>
            <w:tcW w:w="228" w:type="pct"/>
            <w:shd w:val="clear" w:color="auto" w:fill="FBE4D5" w:themeFill="accent2" w:themeFillTint="33"/>
            <w:textDirection w:val="btLr"/>
            <w:vAlign w:val="center"/>
          </w:tcPr>
          <w:p w14:paraId="0DE2789A"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Negative</w:t>
            </w:r>
          </w:p>
        </w:tc>
        <w:tc>
          <w:tcPr>
            <w:tcW w:w="228" w:type="pct"/>
            <w:shd w:val="clear" w:color="auto" w:fill="FBE4D5" w:themeFill="accent2" w:themeFillTint="33"/>
            <w:textDirection w:val="btLr"/>
            <w:vAlign w:val="center"/>
          </w:tcPr>
          <w:p w14:paraId="4439668A"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Positive</w:t>
            </w:r>
          </w:p>
        </w:tc>
        <w:tc>
          <w:tcPr>
            <w:tcW w:w="228" w:type="pct"/>
            <w:shd w:val="clear" w:color="auto" w:fill="FBE4D5" w:themeFill="accent2" w:themeFillTint="33"/>
            <w:textDirection w:val="btLr"/>
            <w:vAlign w:val="center"/>
          </w:tcPr>
          <w:p w14:paraId="691F979E"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Negative</w:t>
            </w:r>
          </w:p>
        </w:tc>
        <w:tc>
          <w:tcPr>
            <w:tcW w:w="228" w:type="pct"/>
            <w:shd w:val="clear" w:color="auto" w:fill="FBE4D5" w:themeFill="accent2" w:themeFillTint="33"/>
            <w:textDirection w:val="btLr"/>
            <w:vAlign w:val="center"/>
          </w:tcPr>
          <w:p w14:paraId="7C088048" w14:textId="77777777" w:rsidR="004515F4" w:rsidRPr="008923BA" w:rsidRDefault="004515F4"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Not Specified</w:t>
            </w:r>
          </w:p>
        </w:tc>
        <w:tc>
          <w:tcPr>
            <w:tcW w:w="228" w:type="pct"/>
            <w:shd w:val="clear" w:color="auto" w:fill="DEEAF6" w:themeFill="accent5" w:themeFillTint="33"/>
            <w:textDirection w:val="btLr"/>
            <w:vAlign w:val="center"/>
          </w:tcPr>
          <w:p w14:paraId="6D2E3BF8"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Positive</w:t>
            </w:r>
          </w:p>
        </w:tc>
        <w:tc>
          <w:tcPr>
            <w:tcW w:w="228" w:type="pct"/>
            <w:shd w:val="clear" w:color="auto" w:fill="DEEAF6" w:themeFill="accent5" w:themeFillTint="33"/>
            <w:textDirection w:val="btLr"/>
            <w:vAlign w:val="center"/>
          </w:tcPr>
          <w:p w14:paraId="21BF9600"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Negative</w:t>
            </w:r>
          </w:p>
        </w:tc>
        <w:tc>
          <w:tcPr>
            <w:tcW w:w="228" w:type="pct"/>
            <w:shd w:val="clear" w:color="auto" w:fill="DEEAF6" w:themeFill="accent5" w:themeFillTint="33"/>
            <w:textDirection w:val="btLr"/>
            <w:vAlign w:val="center"/>
          </w:tcPr>
          <w:p w14:paraId="4DEA500C"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Positive</w:t>
            </w:r>
          </w:p>
        </w:tc>
        <w:tc>
          <w:tcPr>
            <w:tcW w:w="247" w:type="pct"/>
            <w:shd w:val="clear" w:color="auto" w:fill="DEEAF6" w:themeFill="accent5" w:themeFillTint="33"/>
            <w:textDirection w:val="btLr"/>
            <w:vAlign w:val="center"/>
          </w:tcPr>
          <w:p w14:paraId="310DB23A"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Negative</w:t>
            </w:r>
          </w:p>
        </w:tc>
        <w:tc>
          <w:tcPr>
            <w:tcW w:w="220" w:type="pct"/>
            <w:shd w:val="clear" w:color="auto" w:fill="DEEAF6" w:themeFill="accent5" w:themeFillTint="33"/>
            <w:textDirection w:val="btLr"/>
            <w:vAlign w:val="center"/>
          </w:tcPr>
          <w:p w14:paraId="757B3B0D" w14:textId="77777777" w:rsidR="004515F4" w:rsidRPr="008923BA" w:rsidRDefault="004515F4"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Not Specified</w:t>
            </w:r>
          </w:p>
        </w:tc>
      </w:tr>
      <w:tr w:rsidR="004515F4" w:rsidRPr="008923BA" w14:paraId="7967FCC6" w14:textId="77777777" w:rsidTr="00E407B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000" w:type="pct"/>
            <w:gridSpan w:val="17"/>
            <w:shd w:val="clear" w:color="auto" w:fill="FFFFFF" w:themeFill="background1"/>
            <w:vAlign w:val="center"/>
          </w:tcPr>
          <w:p w14:paraId="630607D9" w14:textId="77777777" w:rsidR="004515F4" w:rsidRPr="008923BA" w:rsidRDefault="004515F4" w:rsidP="009C1DDF">
            <w:pPr>
              <w:rPr>
                <w:rFonts w:ascii="Times New Roman" w:hAnsi="Times New Roman" w:cs="Times New Roman"/>
                <w:b w:val="0"/>
                <w:bCs w:val="0"/>
                <w:iCs/>
                <w:sz w:val="16"/>
                <w:szCs w:val="16"/>
              </w:rPr>
            </w:pPr>
            <w:r w:rsidRPr="008923BA">
              <w:rPr>
                <w:rFonts w:ascii="Times New Roman" w:hAnsi="Times New Roman" w:cs="Times New Roman"/>
                <w:iCs/>
                <w:sz w:val="16"/>
                <w:szCs w:val="16"/>
              </w:rPr>
              <w:t>Socio-demographic characteristics</w:t>
            </w:r>
          </w:p>
        </w:tc>
      </w:tr>
      <w:tr w:rsidR="00E5461C" w:rsidRPr="008923BA" w14:paraId="5CF2C876"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5593C2E" w14:textId="77777777" w:rsidR="004515F4" w:rsidRPr="008923BA" w:rsidRDefault="004515F4" w:rsidP="004515F4">
            <w:pPr>
              <w:pStyle w:val="ListParagraph"/>
              <w:numPr>
                <w:ilvl w:val="0"/>
                <w:numId w:val="2"/>
              </w:numPr>
              <w:ind w:left="0" w:firstLine="0"/>
              <w:jc w:val="center"/>
              <w:rPr>
                <w:rFonts w:ascii="Times New Roman" w:hAnsi="Times New Roman" w:cs="Times New Roman"/>
                <w:iCs/>
                <w:sz w:val="16"/>
                <w:szCs w:val="16"/>
              </w:rPr>
            </w:pPr>
            <w:bookmarkStart w:id="22" w:name="_Hlk141611519"/>
          </w:p>
        </w:tc>
        <w:tc>
          <w:tcPr>
            <w:tcW w:w="1313" w:type="pct"/>
            <w:shd w:val="clear" w:color="auto" w:fill="FFFFFF" w:themeFill="background1"/>
            <w:vAlign w:val="center"/>
          </w:tcPr>
          <w:p w14:paraId="6B667B1D"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Age</w:t>
            </w:r>
          </w:p>
        </w:tc>
        <w:tc>
          <w:tcPr>
            <w:tcW w:w="228" w:type="pct"/>
            <w:shd w:val="clear" w:color="auto" w:fill="FFFFFF" w:themeFill="background1"/>
            <w:vAlign w:val="center"/>
          </w:tcPr>
          <w:p w14:paraId="558DEF89" w14:textId="62F1BDD8" w:rsidR="004515F4" w:rsidRPr="008923BA" w:rsidRDefault="00DD06EA"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21</w:t>
            </w:r>
          </w:p>
        </w:tc>
        <w:tc>
          <w:tcPr>
            <w:tcW w:w="232" w:type="pct"/>
            <w:shd w:val="clear" w:color="auto" w:fill="FFFFFF" w:themeFill="background1"/>
            <w:vAlign w:val="center"/>
          </w:tcPr>
          <w:p w14:paraId="412B39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3A8E96" w14:textId="5F17C3BF" w:rsidR="004515F4" w:rsidRPr="008923BA" w:rsidRDefault="00DD06EA"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2</w:t>
            </w:r>
          </w:p>
        </w:tc>
        <w:tc>
          <w:tcPr>
            <w:tcW w:w="228" w:type="pct"/>
            <w:shd w:val="clear" w:color="auto" w:fill="FFFFFF" w:themeFill="background1"/>
            <w:vAlign w:val="center"/>
          </w:tcPr>
          <w:p w14:paraId="0B7CD8C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F95EED0"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F78032" w14:textId="4902E736" w:rsidR="004515F4" w:rsidRPr="008923BA" w:rsidRDefault="00E5461C"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9</w:t>
            </w:r>
          </w:p>
        </w:tc>
        <w:tc>
          <w:tcPr>
            <w:tcW w:w="228" w:type="pct"/>
            <w:shd w:val="clear" w:color="auto" w:fill="FFFFFF" w:themeFill="background1"/>
            <w:vAlign w:val="center"/>
          </w:tcPr>
          <w:p w14:paraId="42FDE7D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B2F4C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64299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29C5667"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AB916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F4CF31" w14:textId="15C7A89C" w:rsidR="004515F4" w:rsidRPr="008923BA" w:rsidRDefault="00E5461C"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6</w:t>
            </w:r>
          </w:p>
        </w:tc>
        <w:tc>
          <w:tcPr>
            <w:tcW w:w="228" w:type="pct"/>
            <w:shd w:val="clear" w:color="auto" w:fill="FFFFFF" w:themeFill="background1"/>
            <w:vAlign w:val="center"/>
          </w:tcPr>
          <w:p w14:paraId="6CBD50E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5D6D24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D4CF8D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42FD0B8" w14:textId="77777777" w:rsidTr="000D251E">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90142D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06E0220"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Gender (Female)</w:t>
            </w:r>
          </w:p>
        </w:tc>
        <w:tc>
          <w:tcPr>
            <w:tcW w:w="228" w:type="pct"/>
            <w:shd w:val="clear" w:color="auto" w:fill="FFFFFF" w:themeFill="background1"/>
            <w:vAlign w:val="center"/>
          </w:tcPr>
          <w:p w14:paraId="47548587" w14:textId="2CE6CD2B" w:rsidR="004515F4" w:rsidRPr="008923BA" w:rsidRDefault="00AB2C2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8</w:t>
            </w:r>
          </w:p>
        </w:tc>
        <w:tc>
          <w:tcPr>
            <w:tcW w:w="232" w:type="pct"/>
            <w:shd w:val="clear" w:color="auto" w:fill="FFFFFF" w:themeFill="background1"/>
            <w:vAlign w:val="center"/>
          </w:tcPr>
          <w:p w14:paraId="10936848" w14:textId="4195FD6A" w:rsidR="004515F4" w:rsidRPr="008923BA" w:rsidRDefault="00954F33"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28" w:type="pct"/>
            <w:shd w:val="clear" w:color="auto" w:fill="FFFFFF" w:themeFill="background1"/>
            <w:vAlign w:val="center"/>
          </w:tcPr>
          <w:p w14:paraId="02145CA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28" w:type="pct"/>
            <w:shd w:val="clear" w:color="auto" w:fill="FFFFFF" w:themeFill="background1"/>
            <w:vAlign w:val="center"/>
          </w:tcPr>
          <w:p w14:paraId="6232A1D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B76CF8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036D05" w14:textId="3397F4AE" w:rsidR="004515F4" w:rsidRPr="008923BA" w:rsidRDefault="00954F33"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5</w:t>
            </w:r>
          </w:p>
        </w:tc>
        <w:tc>
          <w:tcPr>
            <w:tcW w:w="228" w:type="pct"/>
            <w:shd w:val="clear" w:color="auto" w:fill="FFFFFF" w:themeFill="background1"/>
            <w:vAlign w:val="center"/>
          </w:tcPr>
          <w:p w14:paraId="267A148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729CB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F212B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C58760"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E70F85" w14:textId="7CB0F2F1" w:rsidR="004515F4" w:rsidRPr="008923BA" w:rsidRDefault="00954F33"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4</w:t>
            </w:r>
          </w:p>
        </w:tc>
        <w:tc>
          <w:tcPr>
            <w:tcW w:w="228" w:type="pct"/>
            <w:shd w:val="clear" w:color="auto" w:fill="FFFFFF" w:themeFill="background1"/>
            <w:vAlign w:val="center"/>
          </w:tcPr>
          <w:p w14:paraId="1F4B2A26" w14:textId="67D87447" w:rsidR="004515F4" w:rsidRPr="008923BA" w:rsidRDefault="00AB2C2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28" w:type="pct"/>
            <w:shd w:val="clear" w:color="auto" w:fill="FFFFFF" w:themeFill="background1"/>
            <w:vAlign w:val="center"/>
          </w:tcPr>
          <w:p w14:paraId="219CC81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6B3DE4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D62039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9A3F5A7"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966E86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BEF0A3B"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Higher income</w:t>
            </w:r>
          </w:p>
        </w:tc>
        <w:tc>
          <w:tcPr>
            <w:tcW w:w="228" w:type="pct"/>
            <w:shd w:val="clear" w:color="auto" w:fill="FFFFFF" w:themeFill="background1"/>
            <w:vAlign w:val="center"/>
          </w:tcPr>
          <w:p w14:paraId="5C6841D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6B1B43C" w14:textId="41E498B6" w:rsidR="004515F4" w:rsidRPr="008923BA" w:rsidRDefault="00DD001A"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3</w:t>
            </w:r>
          </w:p>
        </w:tc>
        <w:tc>
          <w:tcPr>
            <w:tcW w:w="228" w:type="pct"/>
            <w:shd w:val="clear" w:color="auto" w:fill="FFFFFF" w:themeFill="background1"/>
            <w:vAlign w:val="center"/>
          </w:tcPr>
          <w:p w14:paraId="0A5C3C5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828C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E5D6FDF"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1998F9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27261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ED391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B3182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B2FF0A"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EEFF2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BFFAF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0C00F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68CF94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94365C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38E9550"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214059F"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5288B90"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Homeownership</w:t>
            </w:r>
          </w:p>
        </w:tc>
        <w:tc>
          <w:tcPr>
            <w:tcW w:w="228" w:type="pct"/>
            <w:shd w:val="clear" w:color="auto" w:fill="FFFFFF" w:themeFill="background1"/>
            <w:vAlign w:val="center"/>
          </w:tcPr>
          <w:p w14:paraId="5F7EF53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49334E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E6037B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452B4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4997863"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EAC600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5EBF1B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A59E4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B6C41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8E8C11"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CA0217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31DD4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01D17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ACDADA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F8CB1D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2A43988"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002F79B"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CE1AB1C"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Homelessness</w:t>
            </w:r>
          </w:p>
        </w:tc>
        <w:tc>
          <w:tcPr>
            <w:tcW w:w="228" w:type="pct"/>
            <w:shd w:val="clear" w:color="auto" w:fill="FFFFFF" w:themeFill="background1"/>
            <w:vAlign w:val="center"/>
          </w:tcPr>
          <w:p w14:paraId="686E14A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621C4A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5B45C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920E3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838ED57"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AF5D86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7BD14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18F6F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C788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C49D48"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7D2AC8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32451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9128B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AD4F37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668BF78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E35B18F"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13FEC6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C5DD927"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Less than high school education</w:t>
            </w:r>
          </w:p>
        </w:tc>
        <w:tc>
          <w:tcPr>
            <w:tcW w:w="228" w:type="pct"/>
            <w:shd w:val="clear" w:color="auto" w:fill="FFFFFF" w:themeFill="background1"/>
            <w:vAlign w:val="center"/>
          </w:tcPr>
          <w:p w14:paraId="176098E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6FD72A7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C85E35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6E4F1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DDD6685"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B2E07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5B3C5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274F3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15E65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33566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8768D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CCEE8E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8C916F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5820A8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8DA6A8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601A39C"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CE97FB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4D61F64"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Language barriers</w:t>
            </w:r>
          </w:p>
        </w:tc>
        <w:tc>
          <w:tcPr>
            <w:tcW w:w="228" w:type="pct"/>
            <w:shd w:val="clear" w:color="auto" w:fill="FFFFFF" w:themeFill="background1"/>
            <w:vAlign w:val="center"/>
          </w:tcPr>
          <w:p w14:paraId="557F463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0EB4EA9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D97A6E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DEB9B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2B1C491"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8CEE89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BD8A4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6E79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405CF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3B3065"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8BC632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351F3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FC775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E7A70E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2A4A789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6F28F34" w14:textId="77777777" w:rsidTr="000D251E">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7EE4E3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C3B9D2C"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Living alone</w:t>
            </w:r>
          </w:p>
        </w:tc>
        <w:tc>
          <w:tcPr>
            <w:tcW w:w="228" w:type="pct"/>
            <w:shd w:val="clear" w:color="auto" w:fill="FFFFFF" w:themeFill="background1"/>
            <w:vAlign w:val="center"/>
          </w:tcPr>
          <w:p w14:paraId="76099139" w14:textId="78BD6265" w:rsidR="004515F4" w:rsidRPr="008923BA" w:rsidRDefault="005B7B5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7</w:t>
            </w:r>
          </w:p>
        </w:tc>
        <w:tc>
          <w:tcPr>
            <w:tcW w:w="232" w:type="pct"/>
            <w:shd w:val="clear" w:color="auto" w:fill="FFFFFF" w:themeFill="background1"/>
            <w:vAlign w:val="center"/>
          </w:tcPr>
          <w:p w14:paraId="68153BA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9E70E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65F063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67E6F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7C139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2207BC6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DD398A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99330D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C514C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BACF0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EA49343" w14:textId="322F822D" w:rsidR="004515F4" w:rsidRPr="008923BA" w:rsidRDefault="00DD001A"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4</w:t>
            </w:r>
          </w:p>
        </w:tc>
        <w:tc>
          <w:tcPr>
            <w:tcW w:w="228" w:type="pct"/>
            <w:shd w:val="clear" w:color="auto" w:fill="FFFFFF" w:themeFill="background1"/>
            <w:vAlign w:val="center"/>
          </w:tcPr>
          <w:p w14:paraId="4AB23DC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2F86C8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F687F8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97AB37D"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26C9A4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B676E36"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Lower income</w:t>
            </w:r>
          </w:p>
        </w:tc>
        <w:tc>
          <w:tcPr>
            <w:tcW w:w="228" w:type="pct"/>
            <w:shd w:val="clear" w:color="auto" w:fill="FFFFFF" w:themeFill="background1"/>
            <w:vAlign w:val="center"/>
          </w:tcPr>
          <w:p w14:paraId="69FBCDF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7C1A082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B77E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71A06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9227D02"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B22926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57BA7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980A9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DA392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CED31A"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8548C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45432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2DC8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168D33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D7B97C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044009A" w14:textId="77777777" w:rsidTr="000D251E">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344A877"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BFF9FD8"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Low to middle socioeconomic status</w:t>
            </w:r>
          </w:p>
        </w:tc>
        <w:tc>
          <w:tcPr>
            <w:tcW w:w="228" w:type="pct"/>
            <w:shd w:val="clear" w:color="auto" w:fill="FFFFFF" w:themeFill="background1"/>
            <w:vAlign w:val="center"/>
          </w:tcPr>
          <w:p w14:paraId="38A3E74D" w14:textId="54C3C3CD" w:rsidR="004515F4" w:rsidRPr="008923BA" w:rsidRDefault="00AB2C2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32" w:type="pct"/>
            <w:shd w:val="clear" w:color="auto" w:fill="FFFFFF" w:themeFill="background1"/>
            <w:vAlign w:val="center"/>
          </w:tcPr>
          <w:p w14:paraId="02ED59E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9EC01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3C360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7F0BAAC"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36517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3E136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1E2699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F863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510C2F8"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F144FE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4B1AE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53E7A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AEB0CD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46589B2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F8E5FC6" w14:textId="77777777" w:rsidTr="000D251E">
        <w:trPr>
          <w:trHeight w:val="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BD7F5F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7035B99"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Not married</w:t>
            </w:r>
          </w:p>
        </w:tc>
        <w:tc>
          <w:tcPr>
            <w:tcW w:w="228" w:type="pct"/>
            <w:shd w:val="clear" w:color="auto" w:fill="FFFFFF" w:themeFill="background1"/>
            <w:vAlign w:val="center"/>
          </w:tcPr>
          <w:p w14:paraId="26DDBA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6</w:t>
            </w:r>
          </w:p>
        </w:tc>
        <w:tc>
          <w:tcPr>
            <w:tcW w:w="232" w:type="pct"/>
            <w:shd w:val="clear" w:color="auto" w:fill="FFFFFF" w:themeFill="background1"/>
            <w:vAlign w:val="center"/>
          </w:tcPr>
          <w:p w14:paraId="23530EA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4650204" w14:textId="5644E24F" w:rsidR="004515F4" w:rsidRPr="008923BA" w:rsidRDefault="00AB2C2D"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28" w:type="pct"/>
            <w:shd w:val="clear" w:color="auto" w:fill="FFFFFF" w:themeFill="background1"/>
            <w:vAlign w:val="center"/>
          </w:tcPr>
          <w:p w14:paraId="720B30E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25F61B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3456A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2ED7F8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42AB6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B7235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D41AB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11FBA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F11F3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46AB0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B1C6B6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C5262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F8DC910" w14:textId="77777777" w:rsidTr="000D251E">
        <w:trPr>
          <w:cnfStyle w:val="000000100000" w:firstRow="0" w:lastRow="0" w:firstColumn="0" w:lastColumn="0" w:oddVBand="0" w:evenVBand="0" w:oddHBand="1" w:evenHBand="0" w:firstRowFirstColumn="0" w:firstRowLastColumn="0" w:lastRowFirstColumn="0" w:lastRowLastColumn="0"/>
          <w:trHeight w:val="2555"/>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3FD049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CA5467C"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Race</w:t>
            </w:r>
          </w:p>
        </w:tc>
        <w:tc>
          <w:tcPr>
            <w:tcW w:w="228" w:type="pct"/>
            <w:shd w:val="clear" w:color="auto" w:fill="FFFFFF" w:themeFill="background1"/>
            <w:textDirection w:val="btLr"/>
            <w:vAlign w:val="center"/>
          </w:tcPr>
          <w:p w14:paraId="3B8DB6AC" w14:textId="18E078A6" w:rsidR="004515F4" w:rsidRPr="008923BA" w:rsidRDefault="00435A97"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3</w:t>
            </w:r>
            <w:r w:rsidR="004515F4" w:rsidRPr="008923BA">
              <w:rPr>
                <w:rFonts w:ascii="Times New Roman" w:hAnsi="Times New Roman" w:cs="Times New Roman"/>
                <w:iCs/>
                <w:sz w:val="16"/>
                <w:szCs w:val="16"/>
              </w:rPr>
              <w:t xml:space="preserve"> Black,  1 non-Hispanic</w:t>
            </w:r>
          </w:p>
        </w:tc>
        <w:tc>
          <w:tcPr>
            <w:tcW w:w="232" w:type="pct"/>
            <w:shd w:val="clear" w:color="auto" w:fill="FFFFFF" w:themeFill="background1"/>
            <w:textDirection w:val="btLr"/>
            <w:vAlign w:val="center"/>
          </w:tcPr>
          <w:p w14:paraId="46A5C418" w14:textId="7ABFF659"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 xml:space="preserve">1 </w:t>
            </w:r>
            <w:r w:rsidR="00435A97">
              <w:rPr>
                <w:rFonts w:ascii="Times New Roman" w:hAnsi="Times New Roman" w:cs="Times New Roman"/>
                <w:iCs/>
                <w:sz w:val="16"/>
                <w:szCs w:val="16"/>
              </w:rPr>
              <w:t>Asian/Pacific Islander</w:t>
            </w:r>
            <w:r w:rsidRPr="008923BA">
              <w:rPr>
                <w:rFonts w:ascii="Times New Roman" w:hAnsi="Times New Roman" w:cs="Times New Roman"/>
                <w:iCs/>
                <w:sz w:val="16"/>
                <w:szCs w:val="16"/>
              </w:rPr>
              <w:t xml:space="preserve">, </w:t>
            </w:r>
            <w:r w:rsidR="00435A97">
              <w:rPr>
                <w:rFonts w:ascii="Times New Roman" w:hAnsi="Times New Roman" w:cs="Times New Roman"/>
                <w:iCs/>
                <w:sz w:val="16"/>
                <w:szCs w:val="16"/>
              </w:rPr>
              <w:t>2</w:t>
            </w:r>
            <w:r w:rsidRPr="008923BA">
              <w:rPr>
                <w:rFonts w:ascii="Times New Roman" w:hAnsi="Times New Roman" w:cs="Times New Roman"/>
                <w:iCs/>
                <w:sz w:val="16"/>
                <w:szCs w:val="16"/>
              </w:rPr>
              <w:t xml:space="preserve"> Hispanic</w:t>
            </w:r>
          </w:p>
        </w:tc>
        <w:tc>
          <w:tcPr>
            <w:tcW w:w="228" w:type="pct"/>
            <w:shd w:val="clear" w:color="auto" w:fill="FFFFFF" w:themeFill="background1"/>
            <w:vAlign w:val="center"/>
          </w:tcPr>
          <w:p w14:paraId="60609DD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951C9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477EAD5"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778DCF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extDirection w:val="btLr"/>
            <w:vAlign w:val="center"/>
          </w:tcPr>
          <w:p w14:paraId="32C11B96" w14:textId="24FC1ACB"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 Asian, 1 African American</w:t>
            </w:r>
          </w:p>
        </w:tc>
        <w:tc>
          <w:tcPr>
            <w:tcW w:w="228" w:type="pct"/>
            <w:shd w:val="clear" w:color="auto" w:fill="FFFFFF" w:themeFill="background1"/>
            <w:vAlign w:val="center"/>
          </w:tcPr>
          <w:p w14:paraId="354C240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0E246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A96C4A1"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extDirection w:val="btLr"/>
            <w:vAlign w:val="center"/>
          </w:tcPr>
          <w:p w14:paraId="15022617" w14:textId="5D204E3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 Hispanic</w:t>
            </w:r>
            <w:r w:rsidR="00110B52" w:rsidRPr="008923BA">
              <w:rPr>
                <w:rFonts w:ascii="Times New Roman" w:hAnsi="Times New Roman" w:cs="Times New Roman"/>
                <w:iCs/>
                <w:sz w:val="16"/>
                <w:szCs w:val="16"/>
              </w:rPr>
              <w:t>, 1 non-Black</w:t>
            </w:r>
          </w:p>
        </w:tc>
        <w:tc>
          <w:tcPr>
            <w:tcW w:w="228" w:type="pct"/>
            <w:shd w:val="clear" w:color="auto" w:fill="FFFFFF" w:themeFill="background1"/>
            <w:vAlign w:val="center"/>
          </w:tcPr>
          <w:p w14:paraId="0E7BEC6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2970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7DB4CF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32362B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4515F4" w:rsidRPr="008923BA" w14:paraId="1CAD98C2" w14:textId="77777777" w:rsidTr="00E407BF">
        <w:trPr>
          <w:trHeight w:val="62"/>
        </w:trPr>
        <w:tc>
          <w:tcPr>
            <w:cnfStyle w:val="001000000000" w:firstRow="0" w:lastRow="0" w:firstColumn="1" w:lastColumn="0" w:oddVBand="0" w:evenVBand="0" w:oddHBand="0" w:evenHBand="0" w:firstRowFirstColumn="0" w:firstRowLastColumn="0" w:lastRowFirstColumn="0" w:lastRowLastColumn="0"/>
            <w:tcW w:w="5000" w:type="pct"/>
            <w:gridSpan w:val="17"/>
            <w:shd w:val="clear" w:color="auto" w:fill="FFFFFF" w:themeFill="background1"/>
            <w:vAlign w:val="center"/>
          </w:tcPr>
          <w:p w14:paraId="1D673D76" w14:textId="5DEF0D18" w:rsidR="004515F4" w:rsidRPr="008923BA" w:rsidRDefault="004515F4" w:rsidP="009C1DDF">
            <w:pPr>
              <w:rPr>
                <w:rFonts w:ascii="Times New Roman" w:hAnsi="Times New Roman" w:cs="Times New Roman"/>
                <w:iCs/>
                <w:sz w:val="16"/>
                <w:szCs w:val="16"/>
              </w:rPr>
            </w:pPr>
            <w:r w:rsidRPr="008923BA">
              <w:rPr>
                <w:rFonts w:ascii="Times New Roman" w:hAnsi="Times New Roman" w:cs="Times New Roman"/>
                <w:iCs/>
                <w:sz w:val="16"/>
                <w:szCs w:val="16"/>
              </w:rPr>
              <w:t xml:space="preserve">Caregiver </w:t>
            </w:r>
            <w:r w:rsidR="000D251E" w:rsidRPr="008923BA">
              <w:rPr>
                <w:rFonts w:ascii="Times New Roman" w:hAnsi="Times New Roman" w:cs="Times New Roman"/>
                <w:iCs/>
                <w:sz w:val="16"/>
                <w:szCs w:val="16"/>
              </w:rPr>
              <w:t>s</w:t>
            </w:r>
            <w:r w:rsidRPr="008923BA">
              <w:rPr>
                <w:rFonts w:ascii="Times New Roman" w:hAnsi="Times New Roman" w:cs="Times New Roman"/>
                <w:iCs/>
                <w:sz w:val="16"/>
                <w:szCs w:val="16"/>
              </w:rPr>
              <w:t>upport</w:t>
            </w:r>
          </w:p>
        </w:tc>
      </w:tr>
      <w:tr w:rsidR="00E5461C" w:rsidRPr="008923BA" w14:paraId="57D2E29C" w14:textId="77777777" w:rsidTr="000D251E">
        <w:trPr>
          <w:cnfStyle w:val="000000100000" w:firstRow="0" w:lastRow="0" w:firstColumn="0" w:lastColumn="0" w:oddVBand="0" w:evenVBand="0" w:oddHBand="1" w:evenHBand="0" w:firstRowFirstColumn="0" w:firstRowLastColumn="0" w:lastRowFirstColumn="0" w:lastRowLastColumn="0"/>
          <w:cantSplit/>
          <w:trHeight w:val="259"/>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ACA097E"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3DAF765"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Caregiver distress</w:t>
            </w:r>
            <w:r w:rsidRPr="008923BA">
              <w:rPr>
                <w:rFonts w:ascii="Times New Roman" w:hAnsi="Times New Roman" w:cs="Times New Roman"/>
                <w:iCs/>
              </w:rPr>
              <w:t xml:space="preserve">               </w:t>
            </w:r>
          </w:p>
        </w:tc>
        <w:tc>
          <w:tcPr>
            <w:tcW w:w="228" w:type="pct"/>
            <w:shd w:val="clear" w:color="auto" w:fill="FFFFFF" w:themeFill="background1"/>
            <w:vAlign w:val="center"/>
          </w:tcPr>
          <w:p w14:paraId="4251C89D" w14:textId="5C58B0F0" w:rsidR="004515F4" w:rsidRPr="008923BA" w:rsidRDefault="00DD001A"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3</w:t>
            </w:r>
          </w:p>
        </w:tc>
        <w:tc>
          <w:tcPr>
            <w:tcW w:w="232" w:type="pct"/>
            <w:shd w:val="clear" w:color="auto" w:fill="FFFFFF" w:themeFill="background1"/>
            <w:vAlign w:val="center"/>
          </w:tcPr>
          <w:p w14:paraId="568A109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AB5DBB" w14:textId="43BDBBD7" w:rsidR="004515F4" w:rsidRPr="008923BA" w:rsidRDefault="004E0FD5"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28" w:type="pct"/>
            <w:shd w:val="clear" w:color="auto" w:fill="FFFFFF" w:themeFill="background1"/>
            <w:vAlign w:val="center"/>
          </w:tcPr>
          <w:p w14:paraId="0E377F7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0222ACD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74E549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30F97B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83D4D0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2C0B72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63EE9BA"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6992B8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D27EBA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F87568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61061F9" w14:textId="73FFEEA3" w:rsidR="004515F4" w:rsidRPr="008923BA" w:rsidRDefault="00DD001A"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2</w:t>
            </w:r>
          </w:p>
        </w:tc>
        <w:tc>
          <w:tcPr>
            <w:tcW w:w="220" w:type="pct"/>
            <w:shd w:val="clear" w:color="auto" w:fill="FFFFFF" w:themeFill="background1"/>
            <w:vAlign w:val="center"/>
          </w:tcPr>
          <w:p w14:paraId="2D8B65F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71AC008" w14:textId="77777777" w:rsidTr="000D251E">
        <w:trPr>
          <w:cantSplit/>
          <w:trHeight w:val="135"/>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04C518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ADFFC70"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Caregiver capacity/experience</w:t>
            </w:r>
            <w:r w:rsidRPr="008923BA">
              <w:rPr>
                <w:rFonts w:ascii="Times New Roman" w:hAnsi="Times New Roman" w:cs="Times New Roman"/>
                <w:iCs/>
              </w:rPr>
              <w:t xml:space="preserve">    </w:t>
            </w:r>
          </w:p>
        </w:tc>
        <w:tc>
          <w:tcPr>
            <w:tcW w:w="228" w:type="pct"/>
            <w:shd w:val="clear" w:color="auto" w:fill="FFFFFF" w:themeFill="background1"/>
          </w:tcPr>
          <w:p w14:paraId="1DE413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51BDB20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5645BE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625F2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18C2B30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05A43F9" w14:textId="701B8E4D" w:rsidR="004515F4" w:rsidRPr="008923BA" w:rsidRDefault="004E0FD5"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28" w:type="pct"/>
            <w:shd w:val="clear" w:color="auto" w:fill="FFFFFF" w:themeFill="background1"/>
          </w:tcPr>
          <w:p w14:paraId="21EE5EA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0B30E0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02E227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4EC4B94"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81C304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C74EEE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CFD85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tcPr>
          <w:p w14:paraId="04F5B140" w14:textId="4172372F" w:rsidR="004515F4" w:rsidRPr="008923BA" w:rsidRDefault="000D251E"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609D8C4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B38AB77" w14:textId="77777777" w:rsidTr="000D251E">
        <w:trPr>
          <w:cnfStyle w:val="000000100000" w:firstRow="0" w:lastRow="0" w:firstColumn="0" w:lastColumn="0" w:oddVBand="0" w:evenVBand="0" w:oddHBand="1" w:evenHBand="0" w:firstRowFirstColumn="0" w:firstRowLastColumn="0" w:lastRowFirstColumn="0" w:lastRowLastColumn="0"/>
          <w:cantSplit/>
          <w:trHeight w:val="56"/>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845B6A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57C9336"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Family support networks</w:t>
            </w:r>
            <w:r w:rsidRPr="008923BA">
              <w:rPr>
                <w:rFonts w:ascii="Times New Roman" w:hAnsi="Times New Roman" w:cs="Times New Roman"/>
                <w:iCs/>
              </w:rPr>
              <w:t xml:space="preserve">          </w:t>
            </w:r>
          </w:p>
        </w:tc>
        <w:tc>
          <w:tcPr>
            <w:tcW w:w="228" w:type="pct"/>
            <w:shd w:val="clear" w:color="auto" w:fill="FFFFFF" w:themeFill="background1"/>
          </w:tcPr>
          <w:p w14:paraId="37284C2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tcPr>
          <w:p w14:paraId="1FFEE76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0FF8BA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369DFCA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65F1A0B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1AEE8AB" w14:textId="41560163" w:rsidR="004515F4" w:rsidRPr="008923BA" w:rsidRDefault="004E0FD5"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28" w:type="pct"/>
            <w:shd w:val="clear" w:color="auto" w:fill="FFFFFF" w:themeFill="background1"/>
          </w:tcPr>
          <w:p w14:paraId="2E20A25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500C29E" w14:textId="63B3758B" w:rsidR="004515F4" w:rsidRPr="008923BA" w:rsidRDefault="004E0FD5"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28" w:type="pct"/>
            <w:shd w:val="clear" w:color="auto" w:fill="FFFFFF" w:themeFill="background1"/>
          </w:tcPr>
          <w:p w14:paraId="7936FE2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DC17822"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22A995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0748F15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45FC843" w14:textId="044F9737" w:rsidR="004515F4" w:rsidRPr="008923BA" w:rsidRDefault="00711A1F"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47" w:type="pct"/>
            <w:shd w:val="clear" w:color="auto" w:fill="FFFFFF" w:themeFill="background1"/>
          </w:tcPr>
          <w:p w14:paraId="39927F84" w14:textId="20B2A667" w:rsidR="004515F4" w:rsidRPr="008923BA" w:rsidRDefault="000D251E"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4432C83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47045F9" w14:textId="77777777" w:rsidTr="000D251E">
        <w:trPr>
          <w:cantSplit/>
          <w:trHeight w:val="56"/>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816F63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3F114F8"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 xml:space="preserve">Caregiver unpreparedness        </w:t>
            </w:r>
          </w:p>
        </w:tc>
        <w:tc>
          <w:tcPr>
            <w:tcW w:w="228" w:type="pct"/>
            <w:shd w:val="clear" w:color="auto" w:fill="FFFFFF" w:themeFill="background1"/>
          </w:tcPr>
          <w:p w14:paraId="72BE385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0684886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571716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C18F0D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33DC08D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B4C5523" w14:textId="18B1E0F2" w:rsidR="004515F4" w:rsidRPr="008923BA" w:rsidRDefault="004E0FD5"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28" w:type="pct"/>
            <w:shd w:val="clear" w:color="auto" w:fill="FFFFFF" w:themeFill="background1"/>
          </w:tcPr>
          <w:p w14:paraId="5A6ACD3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E4EDAD1" w14:textId="08BC2D89" w:rsidR="004515F4" w:rsidRPr="008923BA" w:rsidRDefault="004E0FD5"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28" w:type="pct"/>
            <w:shd w:val="clear" w:color="auto" w:fill="FFFFFF" w:themeFill="background1"/>
          </w:tcPr>
          <w:p w14:paraId="422D741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4CB9355"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0E0232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1B28CD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9D26BD4" w14:textId="72463B24" w:rsidR="004515F4" w:rsidRPr="008923BA" w:rsidRDefault="000D251E"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387F5552" w14:textId="52796756" w:rsidR="004515F4" w:rsidRPr="008923BA" w:rsidRDefault="00711A1F"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4</w:t>
            </w:r>
          </w:p>
        </w:tc>
        <w:tc>
          <w:tcPr>
            <w:tcW w:w="220" w:type="pct"/>
            <w:shd w:val="clear" w:color="auto" w:fill="FFFFFF" w:themeFill="background1"/>
          </w:tcPr>
          <w:p w14:paraId="07F8F23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4515F4" w:rsidRPr="008923BA" w14:paraId="3B0608F1" w14:textId="77777777" w:rsidTr="00E407B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000" w:type="pct"/>
            <w:gridSpan w:val="17"/>
            <w:shd w:val="clear" w:color="auto" w:fill="FFFFFF" w:themeFill="background1"/>
            <w:vAlign w:val="center"/>
          </w:tcPr>
          <w:p w14:paraId="12394B2F" w14:textId="77777777" w:rsidR="004515F4" w:rsidRPr="008923BA" w:rsidRDefault="004515F4" w:rsidP="009C1DDF">
            <w:pPr>
              <w:ind w:right="29"/>
              <w:rPr>
                <w:rFonts w:ascii="Times New Roman" w:hAnsi="Times New Roman" w:cs="Times New Roman"/>
                <w:b w:val="0"/>
                <w:bCs w:val="0"/>
                <w:iCs/>
                <w:sz w:val="16"/>
                <w:szCs w:val="16"/>
              </w:rPr>
            </w:pPr>
            <w:r w:rsidRPr="008923BA">
              <w:rPr>
                <w:rFonts w:ascii="Times New Roman" w:hAnsi="Times New Roman" w:cs="Times New Roman"/>
                <w:iCs/>
                <w:sz w:val="16"/>
                <w:szCs w:val="16"/>
              </w:rPr>
              <w:t>Health conditions</w:t>
            </w:r>
          </w:p>
        </w:tc>
      </w:tr>
      <w:tr w:rsidR="00E5461C" w:rsidRPr="008923BA" w14:paraId="783300BA"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191C83C"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0BB98F7"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100 m walk achievement</w:t>
            </w:r>
          </w:p>
        </w:tc>
        <w:tc>
          <w:tcPr>
            <w:tcW w:w="228" w:type="pct"/>
            <w:shd w:val="clear" w:color="auto" w:fill="FFFFFF" w:themeFill="background1"/>
            <w:vAlign w:val="center"/>
          </w:tcPr>
          <w:p w14:paraId="37E7F64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8DEC9C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EF6BA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D028EE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63149FF"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F0B54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6604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0BA5D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89A4CF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8721C2"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26BF4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A8502A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C394D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930C8B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F91674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22F7D3C"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7AFD0C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EE99A8C"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Admission Glasgow Coma Scale</w:t>
            </w:r>
          </w:p>
        </w:tc>
        <w:tc>
          <w:tcPr>
            <w:tcW w:w="228" w:type="pct"/>
            <w:shd w:val="clear" w:color="auto" w:fill="FFFFFF" w:themeFill="background1"/>
            <w:vAlign w:val="center"/>
          </w:tcPr>
          <w:p w14:paraId="32DA931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06490BC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B56B7C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D4196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BDEE699"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414A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C7B54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834F1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07D484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4B5A0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C9622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C806C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EB9D7F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A9FE5D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342512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3B0952F" w14:textId="77777777" w:rsidTr="000D251E">
        <w:trPr>
          <w:trHeight w:val="1223"/>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F0374BA" w14:textId="77777777" w:rsidR="004515F4" w:rsidRPr="00E5461C" w:rsidRDefault="004515F4" w:rsidP="00E5461C">
            <w:pPr>
              <w:rPr>
                <w:rFonts w:ascii="Times New Roman" w:hAnsi="Times New Roman" w:cs="Times New Roman"/>
                <w:iCs/>
                <w:sz w:val="16"/>
                <w:szCs w:val="16"/>
              </w:rPr>
            </w:pPr>
          </w:p>
        </w:tc>
        <w:tc>
          <w:tcPr>
            <w:tcW w:w="1313" w:type="pct"/>
            <w:shd w:val="clear" w:color="auto" w:fill="FFFFFF" w:themeFill="background1"/>
            <w:vAlign w:val="center"/>
          </w:tcPr>
          <w:p w14:paraId="32A1E20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BMI</w:t>
            </w:r>
          </w:p>
        </w:tc>
        <w:tc>
          <w:tcPr>
            <w:tcW w:w="228" w:type="pct"/>
            <w:shd w:val="clear" w:color="auto" w:fill="FFFFFF" w:themeFill="background1"/>
            <w:textDirection w:val="btLr"/>
            <w:vAlign w:val="center"/>
          </w:tcPr>
          <w:p w14:paraId="076A0ECD" w14:textId="77777777" w:rsidR="004515F4" w:rsidRPr="008923BA" w:rsidRDefault="004515F4" w:rsidP="009C1DDF">
            <w:pPr>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 (high BMI)</w:t>
            </w:r>
          </w:p>
        </w:tc>
        <w:tc>
          <w:tcPr>
            <w:tcW w:w="232" w:type="pct"/>
            <w:shd w:val="clear" w:color="auto" w:fill="FFFFFF" w:themeFill="background1"/>
            <w:vAlign w:val="center"/>
          </w:tcPr>
          <w:p w14:paraId="0AC68E8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57033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23794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AF13F7C"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extDirection w:val="btLr"/>
            <w:vAlign w:val="center"/>
          </w:tcPr>
          <w:p w14:paraId="241D6106" w14:textId="77777777" w:rsidR="004515F4" w:rsidRPr="008923BA" w:rsidRDefault="004515F4" w:rsidP="009C1DDF">
            <w:pPr>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 (high BMI)</w:t>
            </w:r>
          </w:p>
        </w:tc>
        <w:tc>
          <w:tcPr>
            <w:tcW w:w="228" w:type="pct"/>
            <w:shd w:val="clear" w:color="auto" w:fill="FFFFFF" w:themeFill="background1"/>
            <w:vAlign w:val="center"/>
          </w:tcPr>
          <w:p w14:paraId="161FE9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13AFD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0975F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006E90"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extDirection w:val="btLr"/>
            <w:vAlign w:val="center"/>
          </w:tcPr>
          <w:p w14:paraId="409E4342" w14:textId="77777777" w:rsidR="004515F4" w:rsidRPr="008923BA" w:rsidRDefault="004515F4" w:rsidP="009C1DDF">
            <w:pPr>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 (low BMI)</w:t>
            </w:r>
          </w:p>
        </w:tc>
        <w:tc>
          <w:tcPr>
            <w:tcW w:w="228" w:type="pct"/>
            <w:shd w:val="clear" w:color="auto" w:fill="FFFFFF" w:themeFill="background1"/>
            <w:vAlign w:val="center"/>
          </w:tcPr>
          <w:p w14:paraId="1287169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7B647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FCB1F5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E7E708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FA442D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857FC5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277C43C"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Cancer diagnosis</w:t>
            </w:r>
          </w:p>
        </w:tc>
        <w:tc>
          <w:tcPr>
            <w:tcW w:w="228" w:type="pct"/>
            <w:shd w:val="clear" w:color="auto" w:fill="FFFFFF" w:themeFill="background1"/>
            <w:vAlign w:val="center"/>
          </w:tcPr>
          <w:p w14:paraId="67B0019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663A0F3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66998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71BD29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16BA85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25697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84B06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43EB1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9E550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30C390"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7CB32D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6B5A6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677B6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9949BF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5300E6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A58B733"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BA4A39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623E8BC"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Cardiovascular</w:t>
            </w:r>
          </w:p>
        </w:tc>
        <w:tc>
          <w:tcPr>
            <w:tcW w:w="228" w:type="pct"/>
            <w:shd w:val="clear" w:color="auto" w:fill="FFFFFF" w:themeFill="background1"/>
            <w:vAlign w:val="center"/>
          </w:tcPr>
          <w:p w14:paraId="0AA4663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5FF11CD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ED844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F7AB6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9763BB8"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DDE46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068F0B4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AF379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F4958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19A860"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5D2B2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4DBE4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888ED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CDCB60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A40285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0E196C7"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878E35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0B642D8"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Chronic liver disease</w:t>
            </w:r>
          </w:p>
        </w:tc>
        <w:tc>
          <w:tcPr>
            <w:tcW w:w="228" w:type="pct"/>
            <w:shd w:val="clear" w:color="auto" w:fill="FFFFFF" w:themeFill="background1"/>
            <w:vAlign w:val="center"/>
          </w:tcPr>
          <w:p w14:paraId="5B2F21D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3A316ED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755FF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EF028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641150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D00CB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84FFF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5D13E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7D0747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107E8D"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AD3BD1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809FB5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1FC063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C87E62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495C63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5708EA5"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9621AA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3A426CC"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Cognitive impairment</w:t>
            </w:r>
          </w:p>
        </w:tc>
        <w:tc>
          <w:tcPr>
            <w:tcW w:w="228" w:type="pct"/>
            <w:shd w:val="clear" w:color="auto" w:fill="FFFFFF" w:themeFill="background1"/>
            <w:vAlign w:val="center"/>
          </w:tcPr>
          <w:p w14:paraId="1B711C3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32" w:type="pct"/>
            <w:shd w:val="clear" w:color="auto" w:fill="FFFFFF" w:themeFill="background1"/>
            <w:vAlign w:val="center"/>
          </w:tcPr>
          <w:p w14:paraId="5D53C44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19E3D1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99D4D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E8765AB"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542CF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274E8D8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9911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30B7E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0B1280"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D1713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2EF15E7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CC0DA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D8B95A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EF9EFC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3D67D9B"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A1D124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85217EF"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Comorbidities</w:t>
            </w:r>
          </w:p>
        </w:tc>
        <w:tc>
          <w:tcPr>
            <w:tcW w:w="228" w:type="pct"/>
            <w:shd w:val="clear" w:color="auto" w:fill="FFFFFF" w:themeFill="background1"/>
            <w:vAlign w:val="center"/>
          </w:tcPr>
          <w:p w14:paraId="306D213D" w14:textId="75A42D84" w:rsidR="004515F4" w:rsidRPr="008923BA" w:rsidRDefault="009C49C2"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5</w:t>
            </w:r>
          </w:p>
        </w:tc>
        <w:tc>
          <w:tcPr>
            <w:tcW w:w="232" w:type="pct"/>
            <w:shd w:val="clear" w:color="auto" w:fill="FFFFFF" w:themeFill="background1"/>
            <w:vAlign w:val="center"/>
          </w:tcPr>
          <w:p w14:paraId="65A0ECD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AAB91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58C728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812EC48"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8FF38F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28" w:type="pct"/>
            <w:shd w:val="clear" w:color="auto" w:fill="FFFFFF" w:themeFill="background1"/>
            <w:vAlign w:val="center"/>
          </w:tcPr>
          <w:p w14:paraId="5238EEB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29AE0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0719F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7AF7B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7DCDC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F4BD183" w14:textId="7A83C4FF" w:rsidR="004515F4" w:rsidRPr="008923BA" w:rsidRDefault="009C49C2"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2</w:t>
            </w:r>
          </w:p>
        </w:tc>
        <w:tc>
          <w:tcPr>
            <w:tcW w:w="228" w:type="pct"/>
            <w:shd w:val="clear" w:color="auto" w:fill="FFFFFF" w:themeFill="background1"/>
            <w:vAlign w:val="center"/>
          </w:tcPr>
          <w:p w14:paraId="7AB16B6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37310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04B4D0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163C3F0"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69D4D3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BA73F3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Dementia</w:t>
            </w:r>
          </w:p>
        </w:tc>
        <w:tc>
          <w:tcPr>
            <w:tcW w:w="228" w:type="pct"/>
            <w:shd w:val="clear" w:color="auto" w:fill="FFFFFF" w:themeFill="background1"/>
            <w:vAlign w:val="center"/>
          </w:tcPr>
          <w:p w14:paraId="5A3223AF" w14:textId="38A67046"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r w:rsidR="00902204">
              <w:rPr>
                <w:rFonts w:ascii="Times New Roman" w:hAnsi="Times New Roman" w:cs="Times New Roman"/>
                <w:iCs/>
                <w:sz w:val="16"/>
                <w:szCs w:val="16"/>
              </w:rPr>
              <w:t>1</w:t>
            </w:r>
          </w:p>
        </w:tc>
        <w:tc>
          <w:tcPr>
            <w:tcW w:w="232" w:type="pct"/>
            <w:shd w:val="clear" w:color="auto" w:fill="FFFFFF" w:themeFill="background1"/>
            <w:vAlign w:val="center"/>
          </w:tcPr>
          <w:p w14:paraId="508FDBA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EA386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83DEF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30D0E50"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EAB41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0C4DA0" w14:textId="550D7169" w:rsidR="004515F4" w:rsidRPr="008923BA" w:rsidRDefault="0090220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2</w:t>
            </w:r>
          </w:p>
        </w:tc>
        <w:tc>
          <w:tcPr>
            <w:tcW w:w="228" w:type="pct"/>
            <w:shd w:val="clear" w:color="auto" w:fill="FFFFFF" w:themeFill="background1"/>
            <w:vAlign w:val="center"/>
          </w:tcPr>
          <w:p w14:paraId="140AA72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BA52B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03F306"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8EFE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4B42C03" w14:textId="7CFB6A61" w:rsidR="004515F4" w:rsidRPr="008923BA" w:rsidRDefault="0090220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2</w:t>
            </w:r>
          </w:p>
        </w:tc>
        <w:tc>
          <w:tcPr>
            <w:tcW w:w="228" w:type="pct"/>
            <w:shd w:val="clear" w:color="auto" w:fill="FFFFFF" w:themeFill="background1"/>
            <w:vAlign w:val="center"/>
          </w:tcPr>
          <w:p w14:paraId="0F091DE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BCDAE5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CA7188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3E8887B"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B60951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343A6EF"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Dependence in ADL</w:t>
            </w:r>
          </w:p>
        </w:tc>
        <w:tc>
          <w:tcPr>
            <w:tcW w:w="228" w:type="pct"/>
            <w:shd w:val="clear" w:color="auto" w:fill="FFFFFF" w:themeFill="background1"/>
            <w:vAlign w:val="center"/>
          </w:tcPr>
          <w:p w14:paraId="4567FF0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6</w:t>
            </w:r>
          </w:p>
        </w:tc>
        <w:tc>
          <w:tcPr>
            <w:tcW w:w="232" w:type="pct"/>
            <w:shd w:val="clear" w:color="auto" w:fill="FFFFFF" w:themeFill="background1"/>
            <w:vAlign w:val="center"/>
          </w:tcPr>
          <w:p w14:paraId="41AFB87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43750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6FEE882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CEA39DA"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0BA3970" w14:textId="64A2533A" w:rsidR="004515F4" w:rsidRPr="008923BA" w:rsidRDefault="00A832D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5</w:t>
            </w:r>
          </w:p>
        </w:tc>
        <w:tc>
          <w:tcPr>
            <w:tcW w:w="228" w:type="pct"/>
            <w:shd w:val="clear" w:color="auto" w:fill="FFFFFF" w:themeFill="background1"/>
            <w:vAlign w:val="center"/>
          </w:tcPr>
          <w:p w14:paraId="733A3DF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6873D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2FE43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E5373F7"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949DF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A7D521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4C3272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DC0F09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DDB5F6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51E3892"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AC88CDB"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AD093E9"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Depression</w:t>
            </w:r>
          </w:p>
        </w:tc>
        <w:tc>
          <w:tcPr>
            <w:tcW w:w="228" w:type="pct"/>
            <w:shd w:val="clear" w:color="auto" w:fill="FFFFFF" w:themeFill="background1"/>
            <w:vAlign w:val="center"/>
          </w:tcPr>
          <w:p w14:paraId="0EC7302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0A8E3DB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E1E2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B9619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BE1DBCF"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BA7B0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0D90E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7DE3C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9964E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BFB5B2"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AA63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A7C20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CB05D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EACFD8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D85E7E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D284A1A"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36D26F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D7C70C1"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Dyslipidemia</w:t>
            </w:r>
          </w:p>
        </w:tc>
        <w:tc>
          <w:tcPr>
            <w:tcW w:w="228" w:type="pct"/>
            <w:shd w:val="clear" w:color="auto" w:fill="FFFFFF" w:themeFill="background1"/>
            <w:vAlign w:val="center"/>
          </w:tcPr>
          <w:p w14:paraId="79FE573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2D65585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3FAB64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2FB63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56ED99E"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89F304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E0B0DB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1B33F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A4C9E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E311A4"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288F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099FF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049BE4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815D94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93D3BB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4E03976"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DAF758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F3C8AB8"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Dysphagia</w:t>
            </w:r>
          </w:p>
        </w:tc>
        <w:tc>
          <w:tcPr>
            <w:tcW w:w="228" w:type="pct"/>
            <w:shd w:val="clear" w:color="auto" w:fill="FFFFFF" w:themeFill="background1"/>
            <w:vAlign w:val="center"/>
          </w:tcPr>
          <w:p w14:paraId="40A2840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35B0739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D500AC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BB403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49BBE2C"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5DB74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F09916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1BF7A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4F9B13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0F7C9D"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2C8EB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6CE4A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8D3F3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4BE618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6AFE49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7DB0A0A"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90932D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0F04D2E"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Functional impairment</w:t>
            </w:r>
          </w:p>
        </w:tc>
        <w:tc>
          <w:tcPr>
            <w:tcW w:w="228" w:type="pct"/>
            <w:shd w:val="clear" w:color="auto" w:fill="FFFFFF" w:themeFill="background1"/>
            <w:vAlign w:val="center"/>
          </w:tcPr>
          <w:p w14:paraId="6DCDA6D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6</w:t>
            </w:r>
          </w:p>
        </w:tc>
        <w:tc>
          <w:tcPr>
            <w:tcW w:w="232" w:type="pct"/>
            <w:shd w:val="clear" w:color="auto" w:fill="FFFFFF" w:themeFill="background1"/>
            <w:vAlign w:val="center"/>
          </w:tcPr>
          <w:p w14:paraId="05866AB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B9860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28" w:type="pct"/>
            <w:shd w:val="clear" w:color="auto" w:fill="FFFFFF" w:themeFill="background1"/>
            <w:vAlign w:val="center"/>
          </w:tcPr>
          <w:p w14:paraId="3857FC0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26BB26B"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A8769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4</w:t>
            </w:r>
          </w:p>
        </w:tc>
        <w:tc>
          <w:tcPr>
            <w:tcW w:w="228" w:type="pct"/>
            <w:shd w:val="clear" w:color="auto" w:fill="FFFFFF" w:themeFill="background1"/>
            <w:vAlign w:val="center"/>
          </w:tcPr>
          <w:p w14:paraId="11DAF9F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B3600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77BF5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F43B6D"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98C81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41388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227DE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7446E6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74CC98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8CFA3E3"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91D19F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C7A0E24"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Falls</w:t>
            </w:r>
          </w:p>
        </w:tc>
        <w:tc>
          <w:tcPr>
            <w:tcW w:w="228" w:type="pct"/>
            <w:shd w:val="clear" w:color="auto" w:fill="FFFFFF" w:themeFill="background1"/>
            <w:vAlign w:val="center"/>
          </w:tcPr>
          <w:p w14:paraId="517D6D1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5</w:t>
            </w:r>
          </w:p>
        </w:tc>
        <w:tc>
          <w:tcPr>
            <w:tcW w:w="232" w:type="pct"/>
            <w:shd w:val="clear" w:color="auto" w:fill="FFFFFF" w:themeFill="background1"/>
            <w:vAlign w:val="center"/>
          </w:tcPr>
          <w:p w14:paraId="53D003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1A531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2F1ADB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CA0EBD1"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83713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9B35F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72446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B5C77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4B2055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C83F2B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02FF9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151F9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06A0A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F18E32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0F5A6EB"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0CF2F4F"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7569622"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Frailty</w:t>
            </w:r>
          </w:p>
        </w:tc>
        <w:tc>
          <w:tcPr>
            <w:tcW w:w="228" w:type="pct"/>
            <w:shd w:val="clear" w:color="auto" w:fill="FFFFFF" w:themeFill="background1"/>
            <w:vAlign w:val="center"/>
          </w:tcPr>
          <w:p w14:paraId="3FCA652D" w14:textId="6A063E5B" w:rsidR="004515F4" w:rsidRPr="008923BA" w:rsidRDefault="00A832D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9</w:t>
            </w:r>
          </w:p>
        </w:tc>
        <w:tc>
          <w:tcPr>
            <w:tcW w:w="232" w:type="pct"/>
            <w:shd w:val="clear" w:color="auto" w:fill="FFFFFF" w:themeFill="background1"/>
            <w:vAlign w:val="center"/>
          </w:tcPr>
          <w:p w14:paraId="529857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743E9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B9294E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1673E89"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D6AE5C" w14:textId="021EDDFC" w:rsidR="004515F4" w:rsidRPr="008923BA" w:rsidRDefault="00A832D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4</w:t>
            </w:r>
          </w:p>
        </w:tc>
        <w:tc>
          <w:tcPr>
            <w:tcW w:w="228" w:type="pct"/>
            <w:shd w:val="clear" w:color="auto" w:fill="FFFFFF" w:themeFill="background1"/>
            <w:vAlign w:val="center"/>
          </w:tcPr>
          <w:p w14:paraId="76EC002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CE996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E0F2E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D2FE2E"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6DED0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F2ACF8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86756E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F7E1AB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3D296F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54BEB8B"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B11598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3A3F61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Goal-attainment</w:t>
            </w:r>
          </w:p>
        </w:tc>
        <w:tc>
          <w:tcPr>
            <w:tcW w:w="228" w:type="pct"/>
            <w:shd w:val="clear" w:color="auto" w:fill="FFFFFF" w:themeFill="background1"/>
            <w:vAlign w:val="center"/>
          </w:tcPr>
          <w:p w14:paraId="3425BC9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6C0783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0D1D3B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B4E5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2C628C8"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1750A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7EFCB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B32DE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F52DA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E5D3C8"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FA979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9975AE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86DC9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6C90E5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A3884C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FB6A5D6"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C97EE0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B92E3FA"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Higher injury severity score</w:t>
            </w:r>
          </w:p>
        </w:tc>
        <w:tc>
          <w:tcPr>
            <w:tcW w:w="228" w:type="pct"/>
            <w:shd w:val="clear" w:color="auto" w:fill="FFFFFF" w:themeFill="background1"/>
            <w:vAlign w:val="center"/>
          </w:tcPr>
          <w:p w14:paraId="1D409D1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2D7B98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8F523A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6636B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F4E751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FEE759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22802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89BC8C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71C4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836654"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F9877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CFEAF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7567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E23041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061B70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74AD909"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D04E1F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F5E16E1"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Have markers of increased Traumatic Brain Injury severity</w:t>
            </w:r>
          </w:p>
        </w:tc>
        <w:tc>
          <w:tcPr>
            <w:tcW w:w="228" w:type="pct"/>
            <w:shd w:val="clear" w:color="auto" w:fill="FFFFFF" w:themeFill="background1"/>
            <w:vAlign w:val="center"/>
          </w:tcPr>
          <w:p w14:paraId="77A06E2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60AEEC1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1A510D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83EF0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476DBF3"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EE100C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8E688C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F1B5CD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C596A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3213FC"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3579A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898E2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1E6F3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E9E5C8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C50EAC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9A00AF9"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D750FD4"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EECFE86"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High Mini-Mental State Examination and Nishimura-style senile ADL scores</w:t>
            </w:r>
          </w:p>
        </w:tc>
        <w:tc>
          <w:tcPr>
            <w:tcW w:w="228" w:type="pct"/>
            <w:shd w:val="clear" w:color="auto" w:fill="FFFFFF" w:themeFill="background1"/>
            <w:vAlign w:val="center"/>
          </w:tcPr>
          <w:p w14:paraId="74ED319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4A94890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59D8A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D8D22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D034CC8"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A55F0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D3CAA7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63DC1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00125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ACB4F8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B66D9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597369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16E91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AF82EA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E23AC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744AEE2"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BD1B33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6D45C9C"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High scores in post-acute care discharge tool</w:t>
            </w:r>
          </w:p>
        </w:tc>
        <w:tc>
          <w:tcPr>
            <w:tcW w:w="228" w:type="pct"/>
            <w:shd w:val="clear" w:color="auto" w:fill="FFFFFF" w:themeFill="background1"/>
            <w:vAlign w:val="center"/>
          </w:tcPr>
          <w:p w14:paraId="6BF17F2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2AA8A5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D4D83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A77399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AE8B1D1"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FA6A9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D8815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E5E56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9F811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28C1F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AA64D4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EFF5F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8BABAC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E9D104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A87654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FB3E8D1"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0F5CB07"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07A847D"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Higher Cognitive scores</w:t>
            </w:r>
          </w:p>
        </w:tc>
        <w:tc>
          <w:tcPr>
            <w:tcW w:w="228" w:type="pct"/>
            <w:shd w:val="clear" w:color="auto" w:fill="FFFFFF" w:themeFill="background1"/>
            <w:vAlign w:val="center"/>
          </w:tcPr>
          <w:p w14:paraId="37398B0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35982AD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AF7D8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6E6EB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39A4CCE"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814B0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27733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7B65D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FDA0D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0F8456"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54AE6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AB2C8F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7D4334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2C0D1B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A3A0A8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05D3588"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3F75DB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3D3DDE6"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Higher functional independence</w:t>
            </w:r>
          </w:p>
        </w:tc>
        <w:tc>
          <w:tcPr>
            <w:tcW w:w="228" w:type="pct"/>
            <w:shd w:val="clear" w:color="auto" w:fill="FFFFFF" w:themeFill="background1"/>
            <w:vAlign w:val="center"/>
          </w:tcPr>
          <w:p w14:paraId="31F489E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0D5B82D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B657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3D3AF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80BE8FB"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F5911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6CC0A2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AD679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6C9A6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86CF766"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75BFFE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5F75712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782A10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968B52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0F98B2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9451761"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2DB89BC"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B3FB75A"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Hip fracture</w:t>
            </w:r>
          </w:p>
        </w:tc>
        <w:tc>
          <w:tcPr>
            <w:tcW w:w="228" w:type="pct"/>
            <w:shd w:val="clear" w:color="auto" w:fill="FFFFFF" w:themeFill="background1"/>
            <w:vAlign w:val="center"/>
          </w:tcPr>
          <w:p w14:paraId="5669F18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3963AF5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04B957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B2F5A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286598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24D4A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FDD66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16931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16C92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D30B71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0ED9F5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0785B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A233B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7A6088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7A3281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454C936"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A9E99B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17CB5A8"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History of CABG</w:t>
            </w:r>
          </w:p>
        </w:tc>
        <w:tc>
          <w:tcPr>
            <w:tcW w:w="228" w:type="pct"/>
            <w:shd w:val="clear" w:color="auto" w:fill="FFFFFF" w:themeFill="background1"/>
            <w:vAlign w:val="center"/>
          </w:tcPr>
          <w:p w14:paraId="5851F19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5AAE9FA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2F830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C3DBE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1D7CD5C"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EE353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37C3CF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3AF21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65746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F307C46"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1C5AE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D73C9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03D027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F94683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B700AA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98F7D26"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3B7E6E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120D313"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History of pacemaker</w:t>
            </w:r>
          </w:p>
        </w:tc>
        <w:tc>
          <w:tcPr>
            <w:tcW w:w="228" w:type="pct"/>
            <w:shd w:val="clear" w:color="auto" w:fill="FFFFFF" w:themeFill="background1"/>
            <w:vAlign w:val="center"/>
          </w:tcPr>
          <w:p w14:paraId="234E667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11BE49B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1E9A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D18AEC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6F6098B"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7D8FFF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AE1C61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7800E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0C81E8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48BF4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9DE8EC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A1985B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2CD5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306115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AD4320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1001BE7"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0C0EF8C"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4B2B869"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Impaired bathing</w:t>
            </w:r>
          </w:p>
        </w:tc>
        <w:tc>
          <w:tcPr>
            <w:tcW w:w="228" w:type="pct"/>
            <w:shd w:val="clear" w:color="auto" w:fill="FFFFFF" w:themeFill="background1"/>
            <w:vAlign w:val="center"/>
          </w:tcPr>
          <w:p w14:paraId="275952D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28CC9D0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B1375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A3D81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9A6F1DB"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993B2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7FCDF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0C70E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F549D1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1B84A0"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BBBEF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B9A2FE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2D45E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4E0831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411FC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5214104"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C3B2CD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533BEE6"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Impaired consciousness level on the Japan coma scale</w:t>
            </w:r>
          </w:p>
        </w:tc>
        <w:tc>
          <w:tcPr>
            <w:tcW w:w="228" w:type="pct"/>
            <w:shd w:val="clear" w:color="auto" w:fill="FFFFFF" w:themeFill="background1"/>
            <w:vAlign w:val="center"/>
          </w:tcPr>
          <w:p w14:paraId="7D2F370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175EC73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A0E0B8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DE40B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465AF88"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C0BC26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2DECF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E9A49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5CFAC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0E1CFB"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E7A9D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0697C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4F9702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04F7CB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470C42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BF928EC"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7C8094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017AB14"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Impaired mobility</w:t>
            </w:r>
          </w:p>
        </w:tc>
        <w:tc>
          <w:tcPr>
            <w:tcW w:w="228" w:type="pct"/>
            <w:shd w:val="clear" w:color="auto" w:fill="FFFFFF" w:themeFill="background1"/>
            <w:vAlign w:val="center"/>
          </w:tcPr>
          <w:p w14:paraId="470AD50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32" w:type="pct"/>
            <w:shd w:val="clear" w:color="auto" w:fill="FFFFFF" w:themeFill="background1"/>
            <w:vAlign w:val="center"/>
          </w:tcPr>
          <w:p w14:paraId="059BB20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08B43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5F78D3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4F2010E"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1F29C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28" w:type="pct"/>
            <w:shd w:val="clear" w:color="auto" w:fill="FFFFFF" w:themeFill="background1"/>
            <w:vAlign w:val="center"/>
          </w:tcPr>
          <w:p w14:paraId="6D92EA9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3EBC9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9D67C0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60B35F"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CDF80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B157C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2810CF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BDC196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5C6856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70008FC"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0A3B16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2D9F484"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Incontinence</w:t>
            </w:r>
          </w:p>
        </w:tc>
        <w:tc>
          <w:tcPr>
            <w:tcW w:w="228" w:type="pct"/>
            <w:shd w:val="clear" w:color="auto" w:fill="FFFFFF" w:themeFill="background1"/>
            <w:vAlign w:val="center"/>
          </w:tcPr>
          <w:p w14:paraId="5E8650F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32" w:type="pct"/>
            <w:shd w:val="clear" w:color="auto" w:fill="FFFFFF" w:themeFill="background1"/>
            <w:vAlign w:val="center"/>
          </w:tcPr>
          <w:p w14:paraId="61DC9B2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738D9F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0EDEC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4855068"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6A970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2FA01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31D319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04B0F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05F3A1"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606A0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1CFDF1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EAF364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2C1F3F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5BA4BF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DEA227C"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7657A5F"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B146BA6"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Level of obesity</w:t>
            </w:r>
          </w:p>
        </w:tc>
        <w:tc>
          <w:tcPr>
            <w:tcW w:w="228" w:type="pct"/>
            <w:shd w:val="clear" w:color="auto" w:fill="FFFFFF" w:themeFill="background1"/>
            <w:vAlign w:val="center"/>
          </w:tcPr>
          <w:p w14:paraId="797290A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3B2520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655E5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E19A4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2E8921A"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F39B00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2312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94171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477D9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A8E8D6"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F9266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B42C39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5541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0AF81D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8144D6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F28EE1A"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A39E67B"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A4BEB0E"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Lower premorbid Katz-ADL</w:t>
            </w:r>
          </w:p>
        </w:tc>
        <w:tc>
          <w:tcPr>
            <w:tcW w:w="228" w:type="pct"/>
            <w:shd w:val="clear" w:color="auto" w:fill="FFFFFF" w:themeFill="background1"/>
            <w:vAlign w:val="center"/>
          </w:tcPr>
          <w:p w14:paraId="6D8540F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C1B200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A75DA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AC12F6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0446ACB"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C1C89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437F57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D1603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65645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C649B2"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061C9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83880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07213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492AB5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9C46A2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CD9868B"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0431B1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971F075"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Manifestation of aggressiveness at the time of admission</w:t>
            </w:r>
          </w:p>
        </w:tc>
        <w:tc>
          <w:tcPr>
            <w:tcW w:w="228" w:type="pct"/>
            <w:shd w:val="clear" w:color="auto" w:fill="FFFFFF" w:themeFill="background1"/>
            <w:vAlign w:val="center"/>
          </w:tcPr>
          <w:p w14:paraId="432282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1DF3A70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5CBB2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846C5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23CD651"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F6A84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A3B21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F422E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ECC0A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A6B4DB"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7523A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4E4AAE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37C804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A53393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5C760C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BBF737D"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00B55D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DE80C2B"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Medical instability</w:t>
            </w:r>
          </w:p>
        </w:tc>
        <w:tc>
          <w:tcPr>
            <w:tcW w:w="228" w:type="pct"/>
            <w:shd w:val="clear" w:color="auto" w:fill="FFFFFF" w:themeFill="background1"/>
            <w:vAlign w:val="center"/>
          </w:tcPr>
          <w:p w14:paraId="3A278DE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1A7BF7A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0D819C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D62DBC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4959F3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09862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6C4E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FFDD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D4F6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F001B61"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27500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36C74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87F6C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C1370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0DD7AD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413A5A0"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ABE37E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E73B3A6" w14:textId="518E3BE8"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 xml:space="preserve">Mental and </w:t>
            </w:r>
            <w:r w:rsidR="000D251E" w:rsidRPr="008923BA">
              <w:rPr>
                <w:rFonts w:ascii="Times New Roman" w:hAnsi="Times New Roman" w:cs="Times New Roman"/>
                <w:iCs/>
                <w:sz w:val="16"/>
                <w:szCs w:val="16"/>
              </w:rPr>
              <w:t>behavioral</w:t>
            </w:r>
            <w:r w:rsidRPr="008923BA">
              <w:rPr>
                <w:rFonts w:ascii="Times New Roman" w:hAnsi="Times New Roman" w:cs="Times New Roman"/>
                <w:iCs/>
                <w:sz w:val="16"/>
                <w:szCs w:val="16"/>
              </w:rPr>
              <w:t xml:space="preserve"> issues</w:t>
            </w:r>
          </w:p>
        </w:tc>
        <w:tc>
          <w:tcPr>
            <w:tcW w:w="228" w:type="pct"/>
            <w:shd w:val="clear" w:color="auto" w:fill="FFFFFF" w:themeFill="background1"/>
            <w:vAlign w:val="center"/>
          </w:tcPr>
          <w:p w14:paraId="07BF9E28" w14:textId="449DEDBD" w:rsidR="004515F4" w:rsidRPr="008923BA" w:rsidRDefault="00A832DD"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5</w:t>
            </w:r>
          </w:p>
        </w:tc>
        <w:tc>
          <w:tcPr>
            <w:tcW w:w="232" w:type="pct"/>
            <w:shd w:val="clear" w:color="auto" w:fill="FFFFFF" w:themeFill="background1"/>
            <w:vAlign w:val="center"/>
          </w:tcPr>
          <w:p w14:paraId="5D2316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2358F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199AA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24DFF96"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52E2F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7D96CB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2CFD8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80600D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5B6D82"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84E48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40C44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B67D1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2EA602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4478A9B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C9EF15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0C5C44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E082A92"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More pre-injury chronic conditions</w:t>
            </w:r>
          </w:p>
        </w:tc>
        <w:tc>
          <w:tcPr>
            <w:tcW w:w="228" w:type="pct"/>
            <w:shd w:val="clear" w:color="auto" w:fill="FFFFFF" w:themeFill="background1"/>
            <w:vAlign w:val="center"/>
          </w:tcPr>
          <w:p w14:paraId="3A55D4C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09D13A9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AC1EB0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C62578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3C432FB"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E47A5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036F79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7C4F90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A91681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7531431"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3A93D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46522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C9B0A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78AC96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25CC9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1F821A8"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89D1AE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vAlign w:val="center"/>
          </w:tcPr>
          <w:p w14:paraId="5E1CEAC6"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Multiple non-head injuries</w:t>
            </w:r>
          </w:p>
        </w:tc>
        <w:tc>
          <w:tcPr>
            <w:tcW w:w="228" w:type="pct"/>
            <w:shd w:val="clear" w:color="auto" w:fill="FFFFFF" w:themeFill="background1"/>
            <w:vAlign w:val="center"/>
          </w:tcPr>
          <w:p w14:paraId="1667A13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0A1B6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6DA3A5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FE4F6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33872F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A02E9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7278EF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A5C56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993929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6B2982"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242F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47C1B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DE9C5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41F69F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43074A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9184394"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72FEE9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vAlign w:val="center"/>
          </w:tcPr>
          <w:p w14:paraId="24E0F86A"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Musculoskeletal</w:t>
            </w:r>
          </w:p>
        </w:tc>
        <w:tc>
          <w:tcPr>
            <w:tcW w:w="228" w:type="pct"/>
            <w:shd w:val="clear" w:color="auto" w:fill="FFFFFF" w:themeFill="background1"/>
          </w:tcPr>
          <w:p w14:paraId="65A6C10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tcPr>
          <w:p w14:paraId="49478D5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90743F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6C7150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1E7E6D29"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32E798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8F96D1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3DAC99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B75B06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CFE3384"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F0B3AB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CD7C68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4CE74F2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60D380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2CE35A9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74BF75A"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2E558F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3939BA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Not being ambulatory before surgery</w:t>
            </w:r>
          </w:p>
        </w:tc>
        <w:tc>
          <w:tcPr>
            <w:tcW w:w="228" w:type="pct"/>
            <w:shd w:val="clear" w:color="auto" w:fill="FFFFFF" w:themeFill="background1"/>
            <w:vAlign w:val="center"/>
          </w:tcPr>
          <w:p w14:paraId="60C83D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7CF6AD6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E67CF9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92C48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C89E9C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DB1BE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DC9B91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CDA6B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81260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9C9DE8"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628C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A470A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8154A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49A9E0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AAC83E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DF7DF7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85CFC67"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24BEAEA"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Neurological</w:t>
            </w:r>
          </w:p>
        </w:tc>
        <w:tc>
          <w:tcPr>
            <w:tcW w:w="228" w:type="pct"/>
            <w:shd w:val="clear" w:color="auto" w:fill="FFFFFF" w:themeFill="background1"/>
            <w:vAlign w:val="center"/>
          </w:tcPr>
          <w:p w14:paraId="357FD14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038C421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6D0977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50918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CEB5F80"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BB96B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392469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AC0E9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CB78B1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860F1CF"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A29925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DF6B3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12120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EF63F6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7EB6E6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A5F670F"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944442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AF74BE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Nutritional status (The Geriatric Nutritional Risk Index (GNRI)</w:t>
            </w:r>
          </w:p>
        </w:tc>
        <w:tc>
          <w:tcPr>
            <w:tcW w:w="228" w:type="pct"/>
            <w:shd w:val="clear" w:color="auto" w:fill="FFFFFF" w:themeFill="background1"/>
          </w:tcPr>
          <w:p w14:paraId="0C28D97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tcPr>
          <w:p w14:paraId="162C0C5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2E32CF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5040F01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6648C0C8"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018AB9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D7BD87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32CE6F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CA5440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B2ED5FF"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ED4663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tcPr>
          <w:p w14:paraId="1562FA6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112CAC1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79D1C49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7F6ED7F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68C7C66"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90185F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A7C19B5"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Parkinson’s disease</w:t>
            </w:r>
          </w:p>
        </w:tc>
        <w:tc>
          <w:tcPr>
            <w:tcW w:w="228" w:type="pct"/>
            <w:shd w:val="clear" w:color="auto" w:fill="FFFFFF" w:themeFill="background1"/>
            <w:vAlign w:val="center"/>
          </w:tcPr>
          <w:p w14:paraId="35F326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4C1B858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DD973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FF857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EAF96DF"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3BB9C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53268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F96F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F2E715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3BE4D07"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9DD12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F6D5CD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8FB39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0E9A21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DFB23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BE2D79B"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68D2BBF"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0D41E4B"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Pleural effusion</w:t>
            </w:r>
            <w:r w:rsidRPr="008923BA">
              <w:rPr>
                <w:rFonts w:ascii="Times New Roman" w:hAnsi="Times New Roman" w:cs="Times New Roman"/>
                <w:iCs/>
              </w:rPr>
              <w:t xml:space="preserve">              </w:t>
            </w:r>
          </w:p>
        </w:tc>
        <w:tc>
          <w:tcPr>
            <w:tcW w:w="228" w:type="pct"/>
            <w:shd w:val="clear" w:color="auto" w:fill="FFFFFF" w:themeFill="background1"/>
          </w:tcPr>
          <w:p w14:paraId="749B104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7BCBE58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832654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06550C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69D7D9C5"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8CA5C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653C5E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6DB03B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B2A0E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7838C47"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CA934B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2574D4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6A3C9B0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3214F7A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696E69E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B9A56C6"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87630B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937F3C3"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Pneumonia</w:t>
            </w:r>
          </w:p>
        </w:tc>
        <w:tc>
          <w:tcPr>
            <w:tcW w:w="228" w:type="pct"/>
            <w:shd w:val="clear" w:color="auto" w:fill="FFFFFF" w:themeFill="background1"/>
            <w:vAlign w:val="center"/>
          </w:tcPr>
          <w:p w14:paraId="028F4F6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4EE66B9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BAC17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9D173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890BEA6"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3EEB11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0C571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F7696E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387EB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064F6B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5A7B1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2FFCD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0295E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03D665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E8B93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BCE4254"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AFFEEE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77DE3D2"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Pressure ulcers</w:t>
            </w:r>
            <w:r w:rsidRPr="008923BA">
              <w:rPr>
                <w:rFonts w:ascii="Times New Roman" w:hAnsi="Times New Roman" w:cs="Times New Roman"/>
                <w:iCs/>
              </w:rPr>
              <w:t xml:space="preserve">                </w:t>
            </w:r>
          </w:p>
        </w:tc>
        <w:tc>
          <w:tcPr>
            <w:tcW w:w="228" w:type="pct"/>
            <w:shd w:val="clear" w:color="auto" w:fill="FFFFFF" w:themeFill="background1"/>
          </w:tcPr>
          <w:p w14:paraId="3399D48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2F7AB51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181940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318F9F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6039F9E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B35F5B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01FD6D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082489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127385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8AA6FD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D91C1C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BC3E95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75DBF77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12B24F6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5D9DDA5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F572EA2"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2D35AA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14851E5"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Requires physical assistance</w:t>
            </w:r>
          </w:p>
        </w:tc>
        <w:tc>
          <w:tcPr>
            <w:tcW w:w="228" w:type="pct"/>
            <w:shd w:val="clear" w:color="auto" w:fill="FFFFFF" w:themeFill="background1"/>
            <w:vAlign w:val="center"/>
          </w:tcPr>
          <w:p w14:paraId="4E7A604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47CCB3C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31A535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FB9C8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6B0A6CF"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FC1C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EBC63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20F35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24410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DE6229"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688B7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BB83D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BE862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22C9FD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4FBEA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FF1911F"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EA4E75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74B3944"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Respiratory</w:t>
            </w:r>
          </w:p>
        </w:tc>
        <w:tc>
          <w:tcPr>
            <w:tcW w:w="228" w:type="pct"/>
            <w:shd w:val="clear" w:color="auto" w:fill="FFFFFF" w:themeFill="background1"/>
          </w:tcPr>
          <w:p w14:paraId="6BE09E9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tcPr>
          <w:p w14:paraId="233042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D63904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FA277D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56DC459A"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B66FE4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935179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4D718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AD20C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7274C37"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9A39CB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4C0F8C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A15606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1121505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46135D5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C1A8030"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159586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BA086D5"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Severe or Critical Abbreviated Injury Scale scores</w:t>
            </w:r>
          </w:p>
        </w:tc>
        <w:tc>
          <w:tcPr>
            <w:tcW w:w="228" w:type="pct"/>
            <w:shd w:val="clear" w:color="auto" w:fill="FFFFFF" w:themeFill="background1"/>
            <w:vAlign w:val="center"/>
          </w:tcPr>
          <w:p w14:paraId="5861946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328763E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0F592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ADBD94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F2C384A"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E78362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4C1D2F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C6A63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E47CE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997939"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CC537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8AB4C0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E8FB6A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A5EFAE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8CC991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6ED856F"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FB4BA6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360031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Severe weakness</w:t>
            </w:r>
          </w:p>
        </w:tc>
        <w:tc>
          <w:tcPr>
            <w:tcW w:w="228" w:type="pct"/>
            <w:shd w:val="clear" w:color="auto" w:fill="FFFFFF" w:themeFill="background1"/>
            <w:vAlign w:val="center"/>
          </w:tcPr>
          <w:p w14:paraId="45647FD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3B897BA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5A7F8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EDA41A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61613B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00129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5D668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7C65B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55DAA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0B2A1C5"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FF4DFA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33EDE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3A2BD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9B0425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9EE52D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D578A41"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124C00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9E88C8F" w14:textId="4B5A1AF3" w:rsidR="004515F4" w:rsidRPr="008923BA" w:rsidRDefault="000D251E"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Traumatic Brain Injury</w:t>
            </w:r>
          </w:p>
        </w:tc>
        <w:tc>
          <w:tcPr>
            <w:tcW w:w="228" w:type="pct"/>
            <w:shd w:val="clear" w:color="auto" w:fill="FFFFFF" w:themeFill="background1"/>
          </w:tcPr>
          <w:p w14:paraId="196541F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5CA139E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0387A6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1BD004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4ABFD651"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C8DC25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25643C3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167234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CC1736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475D02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6BF1A7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C665CA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3DFE74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65BBAA9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6B8BCD8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34B9574"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09A4F8B"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AEA7A5D"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The self-care abilities of patients</w:t>
            </w:r>
          </w:p>
        </w:tc>
        <w:tc>
          <w:tcPr>
            <w:tcW w:w="228" w:type="pct"/>
            <w:shd w:val="clear" w:color="auto" w:fill="FFFFFF" w:themeFill="background1"/>
            <w:vAlign w:val="center"/>
          </w:tcPr>
          <w:p w14:paraId="306506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EBF9EE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83EF60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705D2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BB2845F"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A8D1D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A74FC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7AC5BF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51B2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B37F92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5E7EC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3151F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22056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C366C1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EDD1A6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1B0D0C1"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5B12C2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8F6AF2D"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Urinary tract infection</w:t>
            </w:r>
          </w:p>
        </w:tc>
        <w:tc>
          <w:tcPr>
            <w:tcW w:w="228" w:type="pct"/>
            <w:shd w:val="clear" w:color="auto" w:fill="FFFFFF" w:themeFill="background1"/>
            <w:vAlign w:val="center"/>
          </w:tcPr>
          <w:p w14:paraId="2AAB433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073EFCB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728B0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4C06A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6A8D5BE"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1CAB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D9C63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961F4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3B6EF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1DCB9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17EDA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04969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126C9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DDD6E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2DC1F7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6948DB7"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7456DDB"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D943A35"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Urological</w:t>
            </w:r>
          </w:p>
        </w:tc>
        <w:tc>
          <w:tcPr>
            <w:tcW w:w="228" w:type="pct"/>
            <w:shd w:val="clear" w:color="auto" w:fill="FFFFFF" w:themeFill="background1"/>
          </w:tcPr>
          <w:p w14:paraId="2A89E05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tcPr>
          <w:p w14:paraId="066F4DD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709A60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832C5C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5EDAA43B"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4DB61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6F27D01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56814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4DE813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70F24BE"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B01751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1F6256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B05109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5C5B6C8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3A5EEC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EF8D43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C0D916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F8EFF4B"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Using several medications</w:t>
            </w:r>
          </w:p>
        </w:tc>
        <w:tc>
          <w:tcPr>
            <w:tcW w:w="228" w:type="pct"/>
            <w:shd w:val="clear" w:color="auto" w:fill="FFFFFF" w:themeFill="background1"/>
            <w:vAlign w:val="center"/>
          </w:tcPr>
          <w:p w14:paraId="0BE4BD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615928F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84687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6A8589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35AD3D9"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E7DFA8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62001C6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394F5B3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346B09C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0961CA2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079494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6A057F0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6FE712F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47" w:type="pct"/>
            <w:shd w:val="clear" w:color="auto" w:fill="FFFFFF" w:themeFill="background1"/>
            <w:vAlign w:val="center"/>
          </w:tcPr>
          <w:p w14:paraId="0ECFB5B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0" w:type="pct"/>
            <w:shd w:val="clear" w:color="auto" w:fill="FFFFFF" w:themeFill="background1"/>
            <w:vAlign w:val="center"/>
          </w:tcPr>
          <w:p w14:paraId="517B36F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r>
      <w:tr w:rsidR="00E5461C" w:rsidRPr="008923BA" w14:paraId="6AE957D3"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AF1E8B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D79B13D"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Wandering</w:t>
            </w:r>
          </w:p>
        </w:tc>
        <w:tc>
          <w:tcPr>
            <w:tcW w:w="228" w:type="pct"/>
            <w:shd w:val="clear" w:color="auto" w:fill="FFFFFF" w:themeFill="background1"/>
            <w:vAlign w:val="center"/>
          </w:tcPr>
          <w:p w14:paraId="6091353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3DB2964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3D11B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DC879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34AB952"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B456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5CEE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92EC3C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19B84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FBE8555"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0DE10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E7F7B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9F84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19AA02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3FEA4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4515F4" w:rsidRPr="008923BA" w14:paraId="34AFAD47" w14:textId="77777777" w:rsidTr="00E407B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000" w:type="pct"/>
            <w:gridSpan w:val="17"/>
            <w:shd w:val="clear" w:color="auto" w:fill="FFFFFF" w:themeFill="background1"/>
            <w:vAlign w:val="center"/>
          </w:tcPr>
          <w:p w14:paraId="14DB1B36" w14:textId="77777777" w:rsidR="004515F4" w:rsidRPr="008923BA" w:rsidRDefault="004515F4" w:rsidP="009C1DDF">
            <w:pPr>
              <w:ind w:right="29"/>
              <w:rPr>
                <w:rFonts w:ascii="Times New Roman" w:hAnsi="Times New Roman" w:cs="Times New Roman"/>
                <w:b w:val="0"/>
                <w:bCs w:val="0"/>
                <w:iCs/>
                <w:sz w:val="16"/>
                <w:szCs w:val="16"/>
              </w:rPr>
            </w:pPr>
            <w:r w:rsidRPr="008923BA">
              <w:rPr>
                <w:rFonts w:ascii="Times New Roman" w:hAnsi="Times New Roman" w:cs="Times New Roman"/>
                <w:iCs/>
                <w:sz w:val="16"/>
                <w:szCs w:val="16"/>
              </w:rPr>
              <w:t>Healthcare systems</w:t>
            </w:r>
          </w:p>
        </w:tc>
      </w:tr>
      <w:tr w:rsidR="00E5461C" w:rsidRPr="008923BA" w14:paraId="39112AB0"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063826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48E4213"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Abdominal hysterectomy</w:t>
            </w:r>
          </w:p>
        </w:tc>
        <w:tc>
          <w:tcPr>
            <w:tcW w:w="228" w:type="pct"/>
            <w:shd w:val="clear" w:color="auto" w:fill="FFFFFF" w:themeFill="background1"/>
            <w:vAlign w:val="center"/>
          </w:tcPr>
          <w:p w14:paraId="60897D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1593873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B628B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4493A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BE136BA"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FD34D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1E21B7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437C0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9F987A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D7236F"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77318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B366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7AA14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F8926F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BA878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91D2FCB"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29F77E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AC6D9B1"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Integrated care systems</w:t>
            </w:r>
            <w:r w:rsidRPr="008923BA">
              <w:rPr>
                <w:rFonts w:ascii="Times New Roman" w:hAnsi="Times New Roman" w:cs="Times New Roman"/>
                <w:iCs/>
              </w:rPr>
              <w:t xml:space="preserve"> </w:t>
            </w:r>
          </w:p>
        </w:tc>
        <w:tc>
          <w:tcPr>
            <w:tcW w:w="228" w:type="pct"/>
            <w:shd w:val="clear" w:color="auto" w:fill="FFFFFF" w:themeFill="background1"/>
            <w:vAlign w:val="center"/>
          </w:tcPr>
          <w:p w14:paraId="599A24C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0982D3F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09ADF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64191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423C6CC"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8E5D7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A4AAE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3C048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868EE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240D6E"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23F7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DD883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C04AB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19FF8EC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C1412A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EAC3FDF"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FBF5A6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AFB410F"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Assessment location (hospital)</w:t>
            </w:r>
          </w:p>
        </w:tc>
        <w:tc>
          <w:tcPr>
            <w:tcW w:w="228" w:type="pct"/>
            <w:shd w:val="clear" w:color="auto" w:fill="FFFFFF" w:themeFill="background1"/>
            <w:vAlign w:val="center"/>
          </w:tcPr>
          <w:p w14:paraId="23FBC60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0CE8AB6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5042C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C1965A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55C929B"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70F1D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FB95E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B2D15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155A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53E02A6"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F8507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343EA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552AF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85E47C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3F5904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E18ABEB"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11B063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4CA01F0"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Assessment tools</w:t>
            </w:r>
          </w:p>
        </w:tc>
        <w:tc>
          <w:tcPr>
            <w:tcW w:w="228" w:type="pct"/>
            <w:shd w:val="clear" w:color="auto" w:fill="FFFFFF" w:themeFill="background1"/>
          </w:tcPr>
          <w:p w14:paraId="54B9102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5AACB35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E67DF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1E9966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593B5A63"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5075C8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1676B69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34679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1A7266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47A260D"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D127D4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95C6A8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9707CC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6B6F210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2151E70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305C17B"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3882EEF"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A7D7B7D"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Cardiac procedures</w:t>
            </w:r>
            <w:r w:rsidRPr="008923BA">
              <w:rPr>
                <w:rFonts w:ascii="Times New Roman" w:hAnsi="Times New Roman" w:cs="Times New Roman"/>
                <w:iCs/>
              </w:rPr>
              <w:t xml:space="preserve">             </w:t>
            </w:r>
          </w:p>
        </w:tc>
        <w:tc>
          <w:tcPr>
            <w:tcW w:w="228" w:type="pct"/>
            <w:shd w:val="clear" w:color="auto" w:fill="FFFFFF" w:themeFill="background1"/>
          </w:tcPr>
          <w:p w14:paraId="4AF73D3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tcPr>
          <w:p w14:paraId="09F3E91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D41816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50E1DC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0999B26A"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85E52C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059AF7C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51FA84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A87FE6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E38190C"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925DAD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C486EA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1C8BC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3CFEF12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1B76AE3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449625D"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EDC552F"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5BCF38B"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 xml:space="preserve">Care coordination             </w:t>
            </w:r>
          </w:p>
        </w:tc>
        <w:tc>
          <w:tcPr>
            <w:tcW w:w="228" w:type="pct"/>
            <w:shd w:val="clear" w:color="auto" w:fill="FFFFFF" w:themeFill="background1"/>
            <w:vAlign w:val="center"/>
          </w:tcPr>
          <w:p w14:paraId="1CD804E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6419B0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E4B4A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F3607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8C830A9"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FF9A2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C9FDC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A1957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93D557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04528D"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DFDE6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635CC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EAE57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47" w:type="pct"/>
            <w:shd w:val="clear" w:color="auto" w:fill="FFFFFF" w:themeFill="background1"/>
            <w:vAlign w:val="center"/>
          </w:tcPr>
          <w:p w14:paraId="1472797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06AA09D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362CA39"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DC02CA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07CC77F"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Communication systems</w:t>
            </w:r>
          </w:p>
        </w:tc>
        <w:tc>
          <w:tcPr>
            <w:tcW w:w="228" w:type="pct"/>
            <w:shd w:val="clear" w:color="auto" w:fill="FFFFFF" w:themeFill="background1"/>
          </w:tcPr>
          <w:p w14:paraId="0DFE370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6C9173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2FBDC8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tcPr>
          <w:p w14:paraId="334767B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5563381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A6C9FC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43B719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7805EF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2C8897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24E829C"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8F54F2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5E937C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F0E6E4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57A9FD4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2F6651F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85717BF"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FF4923E"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49B54CC"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Cotreatment by a geriatrician</w:t>
            </w:r>
          </w:p>
        </w:tc>
        <w:tc>
          <w:tcPr>
            <w:tcW w:w="228" w:type="pct"/>
            <w:shd w:val="clear" w:color="auto" w:fill="FFFFFF" w:themeFill="background1"/>
            <w:vAlign w:val="center"/>
          </w:tcPr>
          <w:p w14:paraId="3611151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4863CEC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01837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1C27E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C34401C"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8C2E9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BE3339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3EE34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A1CFE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B23BE4"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B08BA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EA0F7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60DA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698C0B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D26109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46400EF"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3D7F02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E245CF0"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Early physical therapy assessment</w:t>
            </w:r>
          </w:p>
        </w:tc>
        <w:tc>
          <w:tcPr>
            <w:tcW w:w="228" w:type="pct"/>
            <w:shd w:val="clear" w:color="auto" w:fill="FFFFFF" w:themeFill="background1"/>
            <w:vAlign w:val="center"/>
          </w:tcPr>
          <w:p w14:paraId="740E1E1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CA4DCA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BB0CD9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CC60D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3ACE8E9"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6FF85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9685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8CA1A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22137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5215AC"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1645F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B8716C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82C34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B89C6D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F9F11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25573A8"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B84B32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CD8DED0"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Elective procedures</w:t>
            </w:r>
          </w:p>
        </w:tc>
        <w:tc>
          <w:tcPr>
            <w:tcW w:w="228" w:type="pct"/>
            <w:shd w:val="clear" w:color="auto" w:fill="FFFFFF" w:themeFill="background1"/>
            <w:vAlign w:val="center"/>
          </w:tcPr>
          <w:p w14:paraId="06E8CC1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2BE9A7B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D3841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67EA50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38D7BAB"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CE3AA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3AC989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66D21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96922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7194D2"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5670E0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D924FA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1059D9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F7B9C5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429CAC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3945DE0"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342F0C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A1C397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Electrocardiography</w:t>
            </w:r>
          </w:p>
        </w:tc>
        <w:tc>
          <w:tcPr>
            <w:tcW w:w="228" w:type="pct"/>
            <w:shd w:val="clear" w:color="auto" w:fill="FFFFFF" w:themeFill="background1"/>
            <w:vAlign w:val="center"/>
          </w:tcPr>
          <w:p w14:paraId="37D674E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394EE15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2774E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BCF23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1A55DE9"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10680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073606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455DE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3039A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201070"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323539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D4A4C2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5766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1F204C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CAEA8F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357D7CC"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DE22DEB"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9087E84"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The emotional cost to relatives involved in decision-making</w:t>
            </w:r>
          </w:p>
        </w:tc>
        <w:tc>
          <w:tcPr>
            <w:tcW w:w="228" w:type="pct"/>
            <w:shd w:val="clear" w:color="auto" w:fill="FFFFFF" w:themeFill="background1"/>
            <w:vAlign w:val="center"/>
          </w:tcPr>
          <w:p w14:paraId="65EA683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6CADE7A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9C659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8F2BBD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31DA48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33D1B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A4BEC3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B13AF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2FF8C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6815CD"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E19511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47826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621D4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50A1CA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FFA609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73A1290"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BFE724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B728DA4"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Facility size</w:t>
            </w:r>
            <w:r w:rsidRPr="008923BA">
              <w:rPr>
                <w:rFonts w:ascii="Times New Roman" w:hAnsi="Times New Roman" w:cs="Times New Roman"/>
                <w:iCs/>
              </w:rPr>
              <w:t xml:space="preserve">                  </w:t>
            </w:r>
          </w:p>
        </w:tc>
        <w:tc>
          <w:tcPr>
            <w:tcW w:w="228" w:type="pct"/>
            <w:shd w:val="clear" w:color="auto" w:fill="FFFFFF" w:themeFill="background1"/>
          </w:tcPr>
          <w:p w14:paraId="74B0BED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tcPr>
          <w:p w14:paraId="3B963E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DE6EE3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F4C7F8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64C63570"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2FCF5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D57E53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0007B1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D7E151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8FBEBFE"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3996AF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FA9F4C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61F543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3AEEECD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7AFFED2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245B41D"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9E7020B"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E4630C5"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Facilities with higher proportions of patients with histories of trauma or major surgery</w:t>
            </w:r>
          </w:p>
        </w:tc>
        <w:tc>
          <w:tcPr>
            <w:tcW w:w="228" w:type="pct"/>
            <w:shd w:val="clear" w:color="auto" w:fill="FFFFFF" w:themeFill="background1"/>
            <w:vAlign w:val="center"/>
          </w:tcPr>
          <w:p w14:paraId="75C9C80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90CE72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F0BA43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A8D4C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3F70871"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70BBB7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233A4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A7F167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8DFCA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A2213DD"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6101E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C92644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1E4A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013F56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8B992E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061578D"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71B77E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3D37F22"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Financial pressures and insurance limitations</w:t>
            </w:r>
          </w:p>
        </w:tc>
        <w:tc>
          <w:tcPr>
            <w:tcW w:w="228" w:type="pct"/>
            <w:shd w:val="clear" w:color="auto" w:fill="FFFFFF" w:themeFill="background1"/>
            <w:vAlign w:val="center"/>
          </w:tcPr>
          <w:p w14:paraId="03C1074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1F40228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796DA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F71A7D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640D837"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0B3B2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8D4211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06062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26289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1EFBAFD"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4E5541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D83B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6687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47" w:type="pct"/>
            <w:shd w:val="clear" w:color="auto" w:fill="FFFFFF" w:themeFill="background1"/>
            <w:vAlign w:val="center"/>
          </w:tcPr>
          <w:p w14:paraId="3E5703E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2B3D0E7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0DCBC6C"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168B86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9763A40"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Financial resources and economic viability of Care at Home</w:t>
            </w:r>
          </w:p>
        </w:tc>
        <w:tc>
          <w:tcPr>
            <w:tcW w:w="228" w:type="pct"/>
            <w:shd w:val="clear" w:color="auto" w:fill="FFFFFF" w:themeFill="background1"/>
            <w:vAlign w:val="center"/>
          </w:tcPr>
          <w:p w14:paraId="47A5A15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382C26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DB70A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D7CBE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5B2C6C1"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67FA2D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9806C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49AC8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6CB0E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CA68B4"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1F876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993A6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61602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47" w:type="pct"/>
            <w:shd w:val="clear" w:color="auto" w:fill="FFFFFF" w:themeFill="background1"/>
            <w:vAlign w:val="center"/>
          </w:tcPr>
          <w:p w14:paraId="20B356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AF7D61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FA4D79C"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F353814"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7B51D9F"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Fracture management</w:t>
            </w:r>
          </w:p>
        </w:tc>
        <w:tc>
          <w:tcPr>
            <w:tcW w:w="228" w:type="pct"/>
            <w:shd w:val="clear" w:color="auto" w:fill="FFFFFF" w:themeFill="background1"/>
            <w:vAlign w:val="center"/>
          </w:tcPr>
          <w:p w14:paraId="5A3E4C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22FA7E8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D3D46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F8886C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3A84B66"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617B9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CF53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C35B4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590627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1F571D"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05DB71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46F3F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09D3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30C324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5F0BD8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975E6F9"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1F0728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065C25D"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Fragmented hospital readmissions</w:t>
            </w:r>
          </w:p>
        </w:tc>
        <w:tc>
          <w:tcPr>
            <w:tcW w:w="228" w:type="pct"/>
            <w:shd w:val="clear" w:color="auto" w:fill="FFFFFF" w:themeFill="background1"/>
            <w:vAlign w:val="center"/>
          </w:tcPr>
          <w:p w14:paraId="7ADE3B2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32" w:type="pct"/>
            <w:shd w:val="clear" w:color="auto" w:fill="FFFFFF" w:themeFill="background1"/>
            <w:vAlign w:val="center"/>
          </w:tcPr>
          <w:p w14:paraId="3A90516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4D9007E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298D06A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31" w:type="pct"/>
            <w:shd w:val="clear" w:color="auto" w:fill="FFFFFF" w:themeFill="background1"/>
            <w:vAlign w:val="center"/>
          </w:tcPr>
          <w:p w14:paraId="22463D85"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7BB2D7E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1711A8C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1B85083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59987CE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49FD2EE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10FCD3C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8" w:type="pct"/>
            <w:shd w:val="clear" w:color="auto" w:fill="FFFFFF" w:themeFill="background1"/>
            <w:vAlign w:val="center"/>
          </w:tcPr>
          <w:p w14:paraId="4E54F87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CCCED8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47" w:type="pct"/>
            <w:shd w:val="clear" w:color="auto" w:fill="FFFFFF" w:themeFill="background1"/>
            <w:vAlign w:val="center"/>
          </w:tcPr>
          <w:p w14:paraId="4CC06CD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c>
          <w:tcPr>
            <w:tcW w:w="220" w:type="pct"/>
            <w:shd w:val="clear" w:color="auto" w:fill="FFFFFF" w:themeFill="background1"/>
            <w:vAlign w:val="center"/>
          </w:tcPr>
          <w:p w14:paraId="0D1D55E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p>
        </w:tc>
      </w:tr>
      <w:tr w:rsidR="00E5461C" w:rsidRPr="008923BA" w14:paraId="712974EB"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B2AA6AF"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E498BAD"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Geographic disparities</w:t>
            </w:r>
            <w:r w:rsidRPr="008923BA">
              <w:rPr>
                <w:rFonts w:ascii="Times New Roman" w:hAnsi="Times New Roman" w:cs="Times New Roman"/>
                <w:iCs/>
              </w:rPr>
              <w:t xml:space="preserve">        </w:t>
            </w:r>
          </w:p>
        </w:tc>
        <w:tc>
          <w:tcPr>
            <w:tcW w:w="228" w:type="pct"/>
            <w:shd w:val="clear" w:color="auto" w:fill="FFFFFF" w:themeFill="background1"/>
          </w:tcPr>
          <w:p w14:paraId="5680285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0D97754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67C0EE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055488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42CD3AB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653459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3A299E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FF66AF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B73375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E1FC141"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345A59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1EF716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9DEF99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3A1A59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tcPr>
          <w:p w14:paraId="1FF0BA5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6CD33B4"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E7748F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1380839" w14:textId="607574C7" w:rsidR="004515F4" w:rsidRPr="008923BA" w:rsidRDefault="000D251E"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Gynecological</w:t>
            </w:r>
            <w:r w:rsidR="004515F4" w:rsidRPr="008923BA">
              <w:rPr>
                <w:rFonts w:ascii="Times New Roman" w:hAnsi="Times New Roman" w:cs="Times New Roman"/>
                <w:iCs/>
                <w:sz w:val="16"/>
                <w:szCs w:val="16"/>
              </w:rPr>
              <w:t xml:space="preserve"> surgeries</w:t>
            </w:r>
            <w:r w:rsidR="004515F4" w:rsidRPr="008923BA">
              <w:rPr>
                <w:rFonts w:ascii="Times New Roman" w:hAnsi="Times New Roman" w:cs="Times New Roman"/>
                <w:iCs/>
              </w:rPr>
              <w:t xml:space="preserve">        </w:t>
            </w:r>
          </w:p>
        </w:tc>
        <w:tc>
          <w:tcPr>
            <w:tcW w:w="228" w:type="pct"/>
            <w:shd w:val="clear" w:color="auto" w:fill="FFFFFF" w:themeFill="background1"/>
          </w:tcPr>
          <w:p w14:paraId="7DA0454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tcPr>
          <w:p w14:paraId="088E951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0F9E37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D98968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11D3F019"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AAE98F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672F2A2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771D02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44B067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D42DF36"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97A035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8E0047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5172DF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254BC23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66675FA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33F52B3"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945566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410C1B3"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Geriatric assessment</w:t>
            </w:r>
          </w:p>
        </w:tc>
        <w:tc>
          <w:tcPr>
            <w:tcW w:w="228" w:type="pct"/>
            <w:shd w:val="clear" w:color="auto" w:fill="FFFFFF" w:themeFill="background1"/>
            <w:vAlign w:val="center"/>
          </w:tcPr>
          <w:p w14:paraId="71E3DB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4D731C6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15CE1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3915D4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AB3EA05"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25A65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6C5B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5F3F22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9D52E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81489F"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CBCF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7D711B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0D0623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553C62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9E64DB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2850EAE"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F5456E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1958B8B"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Telehealth Services</w:t>
            </w:r>
          </w:p>
        </w:tc>
        <w:tc>
          <w:tcPr>
            <w:tcW w:w="228" w:type="pct"/>
            <w:shd w:val="clear" w:color="auto" w:fill="FFFFFF" w:themeFill="background1"/>
            <w:vAlign w:val="center"/>
          </w:tcPr>
          <w:p w14:paraId="71173ED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3D3AFA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066DD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AF9DB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C42C841"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093DB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91F9C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5287F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AEE43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756EEB"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2CE08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9AF370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1DEA4D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47" w:type="pct"/>
            <w:shd w:val="clear" w:color="auto" w:fill="FFFFFF" w:themeFill="background1"/>
            <w:vAlign w:val="center"/>
          </w:tcPr>
          <w:p w14:paraId="3566A6C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E18A52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92060C1"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590FB8E"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60F6854"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Having a urinary bladder catheter at discharge</w:t>
            </w:r>
          </w:p>
        </w:tc>
        <w:tc>
          <w:tcPr>
            <w:tcW w:w="228" w:type="pct"/>
            <w:shd w:val="clear" w:color="auto" w:fill="FFFFFF" w:themeFill="background1"/>
            <w:vAlign w:val="center"/>
          </w:tcPr>
          <w:p w14:paraId="08222E0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24C1E9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D3DE66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ABD316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71CD512"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826E4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70BE3D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2FAA7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AC1D8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F6A781"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84CE5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EBB3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15A7FD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7E67D5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064766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FCF81CE"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A2CC38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256C03B"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Having future help available if needed</w:t>
            </w:r>
          </w:p>
        </w:tc>
        <w:tc>
          <w:tcPr>
            <w:tcW w:w="228" w:type="pct"/>
            <w:shd w:val="clear" w:color="auto" w:fill="FFFFFF" w:themeFill="background1"/>
            <w:vAlign w:val="center"/>
          </w:tcPr>
          <w:p w14:paraId="1519604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098ED97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83945A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83203F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1CDFA16"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5FFE70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4F950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14BC9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944D5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67E3F0"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A0463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B3095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7957F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33196D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075BC8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F3A123F"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6B39D17"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39E72B8"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Health information exchange</w:t>
            </w:r>
          </w:p>
        </w:tc>
        <w:tc>
          <w:tcPr>
            <w:tcW w:w="228" w:type="pct"/>
            <w:shd w:val="clear" w:color="auto" w:fill="FFFFFF" w:themeFill="background1"/>
            <w:vAlign w:val="center"/>
          </w:tcPr>
          <w:p w14:paraId="40A3BDE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64B8540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E7D657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7BAA71E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4E0856E"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46BB6F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57BC3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DC353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5F2517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2C8EA2"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68CA7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32C53D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98DDF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47" w:type="pct"/>
            <w:shd w:val="clear" w:color="auto" w:fill="FFFFFF" w:themeFill="background1"/>
            <w:vAlign w:val="center"/>
          </w:tcPr>
          <w:p w14:paraId="7188CA9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7D0C59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F5D7443"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1DAB82E"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ED88683"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Hip/knee surgery</w:t>
            </w:r>
          </w:p>
        </w:tc>
        <w:tc>
          <w:tcPr>
            <w:tcW w:w="228" w:type="pct"/>
            <w:shd w:val="clear" w:color="auto" w:fill="FFFFFF" w:themeFill="background1"/>
            <w:vAlign w:val="center"/>
          </w:tcPr>
          <w:p w14:paraId="53AD4C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4</w:t>
            </w:r>
          </w:p>
        </w:tc>
        <w:tc>
          <w:tcPr>
            <w:tcW w:w="232" w:type="pct"/>
            <w:shd w:val="clear" w:color="auto" w:fill="FFFFFF" w:themeFill="background1"/>
            <w:vAlign w:val="center"/>
          </w:tcPr>
          <w:p w14:paraId="3A5F55F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67248F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65E9D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5C8F3A2"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378AD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2D5E65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F1A2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F6792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92BD44"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7399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1E71D4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A5BA60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8FDC36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A3D5E7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E770E6A"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F420C4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3DEB745"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Intensity of services (e.g., number of hours of nursing care or therapy)</w:t>
            </w:r>
          </w:p>
        </w:tc>
        <w:tc>
          <w:tcPr>
            <w:tcW w:w="228" w:type="pct"/>
            <w:shd w:val="clear" w:color="auto" w:fill="FFFFFF" w:themeFill="background1"/>
            <w:vAlign w:val="center"/>
          </w:tcPr>
          <w:p w14:paraId="5229AEF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42A8FA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D5C38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BBAF7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9467D3C"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03F31F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6C18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EA914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5D46F1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B7A452"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27B02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69CFA1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333A3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2B4D457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E6EDF3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201975B"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870B787"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73D604D"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Intramedullary Implant</w:t>
            </w:r>
          </w:p>
        </w:tc>
        <w:tc>
          <w:tcPr>
            <w:tcW w:w="228" w:type="pct"/>
            <w:shd w:val="clear" w:color="auto" w:fill="FFFFFF" w:themeFill="background1"/>
            <w:vAlign w:val="center"/>
          </w:tcPr>
          <w:p w14:paraId="38A454E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1359B6C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C4AA4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AC47CE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EF82BA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AF133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481CAC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4CEFF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9D942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490DA1"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19CD08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F97CC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33AF3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ED48B5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AF19C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336BB7B"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21867A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D4C8912"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Inadequate information transfer to caregivers</w:t>
            </w:r>
          </w:p>
        </w:tc>
        <w:tc>
          <w:tcPr>
            <w:tcW w:w="228" w:type="pct"/>
            <w:shd w:val="clear" w:color="auto" w:fill="FFFFFF" w:themeFill="background1"/>
            <w:vAlign w:val="center"/>
          </w:tcPr>
          <w:p w14:paraId="1C333B8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47E6DA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14246F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28" w:type="pct"/>
            <w:shd w:val="clear" w:color="auto" w:fill="FFFFFF" w:themeFill="background1"/>
            <w:vAlign w:val="center"/>
          </w:tcPr>
          <w:p w14:paraId="56A91F5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124FE04"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31A10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FAEDD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82635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F29B01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D560227"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79D86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336D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F17A0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6E3F87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2C10DA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E901F59"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5C32D6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BB1D2CF"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Lack of staff with proper education</w:t>
            </w:r>
          </w:p>
        </w:tc>
        <w:tc>
          <w:tcPr>
            <w:tcW w:w="228" w:type="pct"/>
            <w:shd w:val="clear" w:color="auto" w:fill="FFFFFF" w:themeFill="background1"/>
            <w:vAlign w:val="center"/>
          </w:tcPr>
          <w:p w14:paraId="4FF13BE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49495B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34064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84FCBF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850B6BA"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7EA89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1619A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E2ADA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2CA9E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7F9CC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8AF24B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1F40F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40C131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5E44CDD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098BCD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69B65CD"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A0F847C"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05A32C9"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Laparoscopic hysterectomy</w:t>
            </w:r>
          </w:p>
        </w:tc>
        <w:tc>
          <w:tcPr>
            <w:tcW w:w="228" w:type="pct"/>
            <w:shd w:val="clear" w:color="auto" w:fill="FFFFFF" w:themeFill="background1"/>
            <w:vAlign w:val="center"/>
          </w:tcPr>
          <w:p w14:paraId="6F5B03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11953A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EA5FE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6F23F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8C4D51E"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308D7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BAF85C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AB75E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D65C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5A5C9EC"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403F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C8206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90875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2A589C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3A330F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0CA6B8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29D480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6E13D96"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Laparoscopic Sacro colpopexy</w:t>
            </w:r>
          </w:p>
        </w:tc>
        <w:tc>
          <w:tcPr>
            <w:tcW w:w="228" w:type="pct"/>
            <w:shd w:val="clear" w:color="auto" w:fill="FFFFFF" w:themeFill="background1"/>
            <w:vAlign w:val="center"/>
          </w:tcPr>
          <w:p w14:paraId="6A0485C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4A8DDFF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FD4EB8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5D799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B0F130A"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C5A376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C0C634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49742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FAFD4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D43EB9"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77318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B4A8B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BA558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1708B2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596AF2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A617A3E"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08BACE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975D13F"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Length of stay</w:t>
            </w:r>
          </w:p>
        </w:tc>
        <w:tc>
          <w:tcPr>
            <w:tcW w:w="228" w:type="pct"/>
            <w:shd w:val="clear" w:color="auto" w:fill="FFFFFF" w:themeFill="background1"/>
            <w:vAlign w:val="center"/>
          </w:tcPr>
          <w:p w14:paraId="57E92CD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276ADEF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9F9A5C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5934D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E4CA70C"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DB13EC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C1C3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6333D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C797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F14298F"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38B4A3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1ABC0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4FA68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5880B3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F23C5A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BD77C2A"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89B84AC"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13DA6C2"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Lower licensed practical nurse (LPN) to registered nurse (RN) ratios</w:t>
            </w:r>
          </w:p>
        </w:tc>
        <w:tc>
          <w:tcPr>
            <w:tcW w:w="228" w:type="pct"/>
            <w:shd w:val="clear" w:color="auto" w:fill="FFFFFF" w:themeFill="background1"/>
            <w:vAlign w:val="center"/>
          </w:tcPr>
          <w:p w14:paraId="2533260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36460A2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8000B1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B6C03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1F984D5"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C699A5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53204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0AE70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4E45F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DF250A"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9CEAB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E45E1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FA97B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49BD90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9E25B5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22EADA0F"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7A5BAA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BF61691"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Non-elective surgery</w:t>
            </w:r>
          </w:p>
        </w:tc>
        <w:tc>
          <w:tcPr>
            <w:tcW w:w="228" w:type="pct"/>
            <w:shd w:val="clear" w:color="auto" w:fill="FFFFFF" w:themeFill="background1"/>
            <w:vAlign w:val="center"/>
          </w:tcPr>
          <w:p w14:paraId="2ACCB59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0A5EE72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D77F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73840F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421116E"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A690A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8088C3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F81E9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BAE71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413654"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CCDF27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DC3AD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CA21F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F870FF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B7BAE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B589E9C"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6BC25A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AFE287B"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Nursing home availability and infrastructure and funding</w:t>
            </w:r>
          </w:p>
        </w:tc>
        <w:tc>
          <w:tcPr>
            <w:tcW w:w="228" w:type="pct"/>
            <w:shd w:val="clear" w:color="auto" w:fill="FFFFFF" w:themeFill="background1"/>
            <w:vAlign w:val="center"/>
          </w:tcPr>
          <w:p w14:paraId="2363A6D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41053E4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13238E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5</w:t>
            </w:r>
          </w:p>
        </w:tc>
        <w:tc>
          <w:tcPr>
            <w:tcW w:w="228" w:type="pct"/>
            <w:shd w:val="clear" w:color="auto" w:fill="FFFFFF" w:themeFill="background1"/>
            <w:vAlign w:val="center"/>
          </w:tcPr>
          <w:p w14:paraId="7EBCCD7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C23B4F0"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E124B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497B6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102E3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C9708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EF03FA"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7836E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DDE444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ED6ED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9C135D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43B8B3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A4052E7"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1C9BA84"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305068A"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Older adults with complex needs are not always identified upon hospital admission or before discharge</w:t>
            </w:r>
          </w:p>
        </w:tc>
        <w:tc>
          <w:tcPr>
            <w:tcW w:w="228" w:type="pct"/>
            <w:shd w:val="clear" w:color="auto" w:fill="FFFFFF" w:themeFill="background1"/>
            <w:vAlign w:val="center"/>
          </w:tcPr>
          <w:p w14:paraId="72D8928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97A40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01B31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64099E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75DFCC1"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B6421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116A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3858A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AD0A7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676E88B"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AC4059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D18789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ED7B5F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46C8E8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3A4F46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925C47E"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B4C619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C48850B"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Overnight support</w:t>
            </w:r>
            <w:r w:rsidRPr="008923BA">
              <w:rPr>
                <w:rFonts w:ascii="Times New Roman" w:hAnsi="Times New Roman" w:cs="Times New Roman"/>
                <w:iCs/>
              </w:rPr>
              <w:t xml:space="preserve">            </w:t>
            </w:r>
          </w:p>
        </w:tc>
        <w:tc>
          <w:tcPr>
            <w:tcW w:w="228" w:type="pct"/>
            <w:shd w:val="clear" w:color="auto" w:fill="FFFFFF" w:themeFill="background1"/>
          </w:tcPr>
          <w:p w14:paraId="6524D0C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5069938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D4E190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8222F9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1288101E"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8DF101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078F6E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BA3FC3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0D109C9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153D3A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7EC5BA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18409C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177EC6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10B55F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tcPr>
          <w:p w14:paraId="1910EB7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430A1D4"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8EFD93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46CB261"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 xml:space="preserve">Oxygen therapy                 </w:t>
            </w:r>
          </w:p>
        </w:tc>
        <w:tc>
          <w:tcPr>
            <w:tcW w:w="228" w:type="pct"/>
            <w:shd w:val="clear" w:color="auto" w:fill="FFFFFF" w:themeFill="background1"/>
          </w:tcPr>
          <w:p w14:paraId="7903EAE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tcPr>
          <w:p w14:paraId="2657C4E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1029F79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50C004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tcPr>
          <w:p w14:paraId="28733B8C"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67C0339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5387F78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222EECE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D440A7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3653B880"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44D9E4D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tcPr>
          <w:p w14:paraId="762CB38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tcPr>
          <w:p w14:paraId="2BEFBDA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tcPr>
          <w:p w14:paraId="274A618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tcPr>
          <w:p w14:paraId="6B8CD0B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A8F0460"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838E18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931C686"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Patient education and support</w:t>
            </w:r>
          </w:p>
        </w:tc>
        <w:tc>
          <w:tcPr>
            <w:tcW w:w="228" w:type="pct"/>
            <w:shd w:val="clear" w:color="auto" w:fill="FFFFFF" w:themeFill="background1"/>
            <w:vAlign w:val="center"/>
          </w:tcPr>
          <w:p w14:paraId="1599ED8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4D3A2EA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1BC77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0C0903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669D30A"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D21BE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85044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902A4D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7B704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8E2968"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D752A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8B6CC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1D99F8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4CAF56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9367E1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C9CB918"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BA7CB8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F383FE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Patient-to-nurse ratio</w:t>
            </w:r>
          </w:p>
        </w:tc>
        <w:tc>
          <w:tcPr>
            <w:tcW w:w="228" w:type="pct"/>
            <w:shd w:val="clear" w:color="auto" w:fill="FFFFFF" w:themeFill="background1"/>
            <w:vAlign w:val="center"/>
          </w:tcPr>
          <w:p w14:paraId="3BF95C4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685639A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EEB36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6655A4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945F451"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BAB80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533581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DC61E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7ABF9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4141364"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38A48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50C36D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A0BC9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17072B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1EE436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2119F18"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375BAD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68CA962"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Perspectives and experiences of older people, families, and multidisciplinary team members</w:t>
            </w:r>
          </w:p>
        </w:tc>
        <w:tc>
          <w:tcPr>
            <w:tcW w:w="228" w:type="pct"/>
            <w:shd w:val="clear" w:color="auto" w:fill="FFFFFF" w:themeFill="background1"/>
            <w:vAlign w:val="center"/>
          </w:tcPr>
          <w:p w14:paraId="3D4AFD0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00DABD8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A4D94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930435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B94885E"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40729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F78C8D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BD027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13A74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0637B8"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948C9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E3967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A11147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C4A4DD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999886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2B67C5D"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9113BD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531F5C2"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Physician awareness and perceptions</w:t>
            </w:r>
          </w:p>
        </w:tc>
        <w:tc>
          <w:tcPr>
            <w:tcW w:w="228" w:type="pct"/>
            <w:shd w:val="clear" w:color="auto" w:fill="FFFFFF" w:themeFill="background1"/>
            <w:vAlign w:val="center"/>
          </w:tcPr>
          <w:p w14:paraId="78ADEBF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4342506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143C7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5F828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41F8030"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8570A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540825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D67B6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4A342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BFAC6A"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4615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BC7BC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6E4664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33341FA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1AF72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9194EC8"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DCDE58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EEA9174"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Poor communication and lack of education about discharge</w:t>
            </w:r>
          </w:p>
        </w:tc>
        <w:tc>
          <w:tcPr>
            <w:tcW w:w="228" w:type="pct"/>
            <w:shd w:val="clear" w:color="auto" w:fill="FFFFFF" w:themeFill="background1"/>
            <w:vAlign w:val="center"/>
          </w:tcPr>
          <w:p w14:paraId="47DAF83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36703C9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AD1C0C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DC79A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4344886"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4CF076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5B181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B8DE6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384B3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FAB43BF"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52C6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83C85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A8BA3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FFDCF2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470154A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C587C76"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AF0066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5327CA6"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Postoperative complication</w:t>
            </w:r>
          </w:p>
        </w:tc>
        <w:tc>
          <w:tcPr>
            <w:tcW w:w="228" w:type="pct"/>
            <w:shd w:val="clear" w:color="auto" w:fill="FFFFFF" w:themeFill="background1"/>
            <w:vAlign w:val="center"/>
          </w:tcPr>
          <w:p w14:paraId="5CE4E76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548E91B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C78186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4C1C5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0E87DB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2C9BB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45EB67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089C34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0163EE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78CC1B"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3B28F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A038D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2B277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38C8A2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19DC34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CB0669E"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9ABB1A2"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ACA4394"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Postoperative vascular events</w:t>
            </w:r>
          </w:p>
        </w:tc>
        <w:tc>
          <w:tcPr>
            <w:tcW w:w="228" w:type="pct"/>
            <w:shd w:val="clear" w:color="auto" w:fill="FFFFFF" w:themeFill="background1"/>
            <w:vAlign w:val="center"/>
          </w:tcPr>
          <w:p w14:paraId="6C8F79A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573AE34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2E962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4425B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0670656"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6B07E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41C048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1E5E15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02B8F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7DFCC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57F2A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03E02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ABA436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6B9ACF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C2CC5E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AF4A18D"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665D6415" w14:textId="77777777" w:rsidR="004515F4" w:rsidRPr="008923BA" w:rsidRDefault="004515F4" w:rsidP="004515F4">
            <w:pPr>
              <w:pStyle w:val="ListParagraph"/>
              <w:numPr>
                <w:ilvl w:val="0"/>
                <w:numId w:val="2"/>
              </w:numPr>
              <w:ind w:left="0" w:firstLine="0"/>
              <w:jc w:val="center"/>
              <w:rPr>
                <w:rFonts w:ascii="Times New Roman" w:hAnsi="Times New Roman" w:cs="Times New Roman"/>
                <w:iCs/>
                <w:sz w:val="16"/>
                <w:szCs w:val="16"/>
              </w:rPr>
            </w:pPr>
          </w:p>
        </w:tc>
        <w:tc>
          <w:tcPr>
            <w:tcW w:w="1313" w:type="pct"/>
            <w:shd w:val="clear" w:color="auto" w:fill="FFFFFF" w:themeFill="background1"/>
            <w:vAlign w:val="center"/>
          </w:tcPr>
          <w:p w14:paraId="27D56BAC"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Preadmission concerns about the patient managing in the community (needing assistance with toileting and mobilizing)</w:t>
            </w:r>
          </w:p>
        </w:tc>
        <w:tc>
          <w:tcPr>
            <w:tcW w:w="228" w:type="pct"/>
            <w:shd w:val="clear" w:color="auto" w:fill="FFFFFF" w:themeFill="background1"/>
            <w:vAlign w:val="center"/>
          </w:tcPr>
          <w:p w14:paraId="41906A7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C5248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BBECE7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0277D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3BCC5E0"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0020D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BF93C6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8F739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15253D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66BC0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48A52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F5653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039063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6AF283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8A5C7F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AAA7F28"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5E663C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28DD289"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Preoperative weight loss</w:t>
            </w:r>
          </w:p>
        </w:tc>
        <w:tc>
          <w:tcPr>
            <w:tcW w:w="228" w:type="pct"/>
            <w:shd w:val="clear" w:color="auto" w:fill="FFFFFF" w:themeFill="background1"/>
            <w:vAlign w:val="center"/>
          </w:tcPr>
          <w:p w14:paraId="15D2891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48E12CF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186DDC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DF6807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4AB5462"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D1225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11E05A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7CC4A3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47D25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55CE31D"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781C06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BE11D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BF65A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6ACB8B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B377C5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ED05A66"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9DD021E"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EA6F18A"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Previous hospitalization</w:t>
            </w:r>
          </w:p>
        </w:tc>
        <w:tc>
          <w:tcPr>
            <w:tcW w:w="228" w:type="pct"/>
            <w:shd w:val="clear" w:color="auto" w:fill="FFFFFF" w:themeFill="background1"/>
            <w:vAlign w:val="center"/>
          </w:tcPr>
          <w:p w14:paraId="658D479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78018EC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ECF575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3565F9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39D6271"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D6734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9121A2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831BF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ED3E6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3D04A7"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E82EB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56121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000680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AA48C0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59C78B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1D4062E"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A28EB4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ED7A031"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Pandemic-related pressures</w:t>
            </w:r>
            <w:r w:rsidRPr="008923BA">
              <w:rPr>
                <w:rFonts w:ascii="Times New Roman" w:hAnsi="Times New Roman" w:cs="Times New Roman"/>
                <w:iCs/>
              </w:rPr>
              <w:t xml:space="preserve">    </w:t>
            </w:r>
          </w:p>
        </w:tc>
        <w:tc>
          <w:tcPr>
            <w:tcW w:w="228" w:type="pct"/>
            <w:shd w:val="clear" w:color="auto" w:fill="FFFFFF" w:themeFill="background1"/>
            <w:vAlign w:val="center"/>
          </w:tcPr>
          <w:p w14:paraId="312972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1E2CF8B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E4DCB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9975E0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EFF50CA"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CB473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7745F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C512A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D68F09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DE30150"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B62AD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F96263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45CB7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69BCE9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1250D3A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F40B525"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DFDF71D"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2FDFCAA"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Pressure to accept nursing home placement and lack of reasonable choices for home and community-based care.</w:t>
            </w:r>
          </w:p>
        </w:tc>
        <w:tc>
          <w:tcPr>
            <w:tcW w:w="228" w:type="pct"/>
            <w:shd w:val="clear" w:color="auto" w:fill="FFFFFF" w:themeFill="background1"/>
            <w:vAlign w:val="center"/>
          </w:tcPr>
          <w:p w14:paraId="34D2B33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32" w:type="pct"/>
            <w:shd w:val="clear" w:color="auto" w:fill="FFFFFF" w:themeFill="background1"/>
            <w:vAlign w:val="center"/>
          </w:tcPr>
          <w:p w14:paraId="12330ED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4BCC31B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739CA98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31" w:type="pct"/>
            <w:shd w:val="clear" w:color="auto" w:fill="FFFFFF" w:themeFill="background1"/>
            <w:vAlign w:val="center"/>
          </w:tcPr>
          <w:p w14:paraId="5C215F29"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074C991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209AB29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69C3435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02FC638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27835850"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74DFAAD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43AABAC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28" w:type="pct"/>
            <w:shd w:val="clear" w:color="auto" w:fill="FFFFFF" w:themeFill="background1"/>
            <w:vAlign w:val="center"/>
          </w:tcPr>
          <w:p w14:paraId="07CD0E2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rPr>
              <w:t>-</w:t>
            </w:r>
          </w:p>
        </w:tc>
        <w:tc>
          <w:tcPr>
            <w:tcW w:w="247" w:type="pct"/>
            <w:shd w:val="clear" w:color="auto" w:fill="FFFFFF" w:themeFill="background1"/>
            <w:vAlign w:val="center"/>
          </w:tcPr>
          <w:p w14:paraId="60A4090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0FFAB00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CC5C71A"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0721EC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0513F6C4"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Prior primary care provider (PCP)</w:t>
            </w:r>
          </w:p>
        </w:tc>
        <w:tc>
          <w:tcPr>
            <w:tcW w:w="228" w:type="pct"/>
            <w:shd w:val="clear" w:color="auto" w:fill="FFFFFF" w:themeFill="background1"/>
            <w:vAlign w:val="center"/>
          </w:tcPr>
          <w:p w14:paraId="69EE665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9D8E6B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18669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24231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56315B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44670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31E3D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0FF917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7B751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46DEE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E2E41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465536D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2508C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DCEA91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C3A89C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F373082"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A7428D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5502F80"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Proximity to home, prior experience with the facility</w:t>
            </w:r>
          </w:p>
        </w:tc>
        <w:tc>
          <w:tcPr>
            <w:tcW w:w="228" w:type="pct"/>
            <w:shd w:val="clear" w:color="auto" w:fill="FFFFFF" w:themeFill="background1"/>
            <w:vAlign w:val="center"/>
          </w:tcPr>
          <w:p w14:paraId="003B288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88E938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BE0BF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5DCEE7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7B479B5"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1ADFCF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ACEF60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C2853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7DCB8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1F4C7A3"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9BA5C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32F2B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97591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E426B3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517702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9427D0C"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34CD3F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256CF543"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bookmarkStart w:id="23" w:name="_Hlk143185833"/>
            <w:r w:rsidRPr="008923BA">
              <w:rPr>
                <w:rFonts w:ascii="Times New Roman" w:hAnsi="Times New Roman" w:cs="Times New Roman"/>
                <w:iCs/>
                <w:sz w:val="16"/>
                <w:szCs w:val="16"/>
              </w:rPr>
              <w:t>Quality of planning and support for hospital-to-home transitions</w:t>
            </w:r>
            <w:bookmarkEnd w:id="23"/>
          </w:p>
        </w:tc>
        <w:tc>
          <w:tcPr>
            <w:tcW w:w="228" w:type="pct"/>
            <w:shd w:val="clear" w:color="auto" w:fill="FFFFFF" w:themeFill="background1"/>
            <w:vAlign w:val="center"/>
          </w:tcPr>
          <w:p w14:paraId="6009E43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684891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58B136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37492D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A32FB75"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E582C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D807B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AD642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E90A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572A1C"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F72F5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E0EFA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56D6F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4780F6B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9861E3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18D03D8"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6C4175E"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BC13B1B"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Recent prior LTC stay</w:t>
            </w:r>
          </w:p>
        </w:tc>
        <w:tc>
          <w:tcPr>
            <w:tcW w:w="228" w:type="pct"/>
            <w:shd w:val="clear" w:color="auto" w:fill="FFFFFF" w:themeFill="background1"/>
            <w:vAlign w:val="center"/>
          </w:tcPr>
          <w:p w14:paraId="5F0538F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666885B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DDEF8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3BF80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2A6C510"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E2CA3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74337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1E7186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99FD56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3CB7E4F"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B960A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BE039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E9BB92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71AE12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D3CD39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59843A0"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59D948B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FC766C0"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Refusal of care</w:t>
            </w:r>
          </w:p>
        </w:tc>
        <w:tc>
          <w:tcPr>
            <w:tcW w:w="228" w:type="pct"/>
            <w:shd w:val="clear" w:color="auto" w:fill="FFFFFF" w:themeFill="background1"/>
            <w:vAlign w:val="center"/>
          </w:tcPr>
          <w:p w14:paraId="1FBDBE8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4D42EE6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BFAE9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2399CF4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EB13992"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FFA76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8E91C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67C6C9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5DE39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F228A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0E32A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EB951E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6872D8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7AEB945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AA70C8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B913C8D"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D672DE3"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A58325B"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Rehabilitation tolerance</w:t>
            </w:r>
          </w:p>
        </w:tc>
        <w:tc>
          <w:tcPr>
            <w:tcW w:w="228" w:type="pct"/>
            <w:shd w:val="clear" w:color="auto" w:fill="FFFFFF" w:themeFill="background1"/>
            <w:vAlign w:val="center"/>
          </w:tcPr>
          <w:p w14:paraId="5490C58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0F7425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B892B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E2510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544B3064"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8C44A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3333E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5A1DD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636EE6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64116D"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DFD44C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43AF3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A61B8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1A7A498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6063B12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2B8FA5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DCCDD5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7533C12"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Relationships with inpatient and outpatient healthcare providers</w:t>
            </w:r>
          </w:p>
        </w:tc>
        <w:tc>
          <w:tcPr>
            <w:tcW w:w="228" w:type="pct"/>
            <w:shd w:val="clear" w:color="auto" w:fill="FFFFFF" w:themeFill="background1"/>
            <w:vAlign w:val="center"/>
          </w:tcPr>
          <w:p w14:paraId="4F3481F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C6AAB4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339DF1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3071D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38B0717"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9BBE9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EC954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26C0F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8C6BD1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502B7E"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DA12CF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B4779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0BB3B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2BFADD2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2041C2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7BCBDA4"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D685384"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658B11D"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Religion and ‘god’ promoting adaptation</w:t>
            </w:r>
          </w:p>
        </w:tc>
        <w:tc>
          <w:tcPr>
            <w:tcW w:w="228" w:type="pct"/>
            <w:shd w:val="clear" w:color="auto" w:fill="FFFFFF" w:themeFill="background1"/>
            <w:vAlign w:val="center"/>
          </w:tcPr>
          <w:p w14:paraId="438FA54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8C4D62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599BC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2BAA8F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DF0ECF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EC076E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9E89A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514CB8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9D0C26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BF94E8"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C062C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9AEFC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DED333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FD3302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3EC351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C48FE39"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EC42F1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74E8DFF"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Respiratory treatment</w:t>
            </w:r>
          </w:p>
        </w:tc>
        <w:tc>
          <w:tcPr>
            <w:tcW w:w="228" w:type="pct"/>
            <w:shd w:val="clear" w:color="auto" w:fill="FFFFFF" w:themeFill="background1"/>
            <w:vAlign w:val="center"/>
          </w:tcPr>
          <w:p w14:paraId="2BAA3BF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3CCC36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14ADB5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FCD967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D12F2E1"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AFC934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6AB758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C9326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9FA29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E2E2AEB"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31309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220C0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334A6C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15EF4DF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88F4B5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B2C1DDC"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74DB97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BD094CB"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Shared vision across services</w:t>
            </w:r>
          </w:p>
        </w:tc>
        <w:tc>
          <w:tcPr>
            <w:tcW w:w="228" w:type="pct"/>
            <w:shd w:val="clear" w:color="auto" w:fill="FFFFFF" w:themeFill="background1"/>
            <w:vAlign w:val="center"/>
          </w:tcPr>
          <w:p w14:paraId="3BE9210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9A548A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E2496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27AB2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4DD8E65"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AC9E5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34468B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2723C5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381220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C044E21"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35EFB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C398A3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77E77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47" w:type="pct"/>
            <w:shd w:val="clear" w:color="auto" w:fill="FFFFFF" w:themeFill="background1"/>
            <w:vAlign w:val="center"/>
          </w:tcPr>
          <w:p w14:paraId="60F7ED1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24F66E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36BE7268"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6826E9E"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4DA7A3E"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Sputum suctioning</w:t>
            </w:r>
          </w:p>
        </w:tc>
        <w:tc>
          <w:tcPr>
            <w:tcW w:w="228" w:type="pct"/>
            <w:shd w:val="clear" w:color="auto" w:fill="FFFFFF" w:themeFill="background1"/>
            <w:vAlign w:val="center"/>
          </w:tcPr>
          <w:p w14:paraId="1C90640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6A595F2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1A3CDA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41671B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C163E38"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5DD88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7484FB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C27F54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FA7D8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AEE68E"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FCFC41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0A316A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BA8CC3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5AF927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B924DC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26D35FE"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337D2B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F9C0655"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 xml:space="preserve">Bed availability              </w:t>
            </w:r>
          </w:p>
        </w:tc>
        <w:tc>
          <w:tcPr>
            <w:tcW w:w="228" w:type="pct"/>
            <w:shd w:val="clear" w:color="auto" w:fill="FFFFFF" w:themeFill="background1"/>
            <w:vAlign w:val="center"/>
          </w:tcPr>
          <w:p w14:paraId="2FABBFC6" w14:textId="4D459742" w:rsidR="004515F4" w:rsidRPr="008923BA" w:rsidRDefault="00EE2940"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6AE8E10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30E8C90" w14:textId="07987BBB" w:rsidR="004515F4" w:rsidRPr="008923BA" w:rsidRDefault="00EE2940"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4</w:t>
            </w:r>
          </w:p>
        </w:tc>
        <w:tc>
          <w:tcPr>
            <w:tcW w:w="228" w:type="pct"/>
            <w:shd w:val="clear" w:color="auto" w:fill="FFFFFF" w:themeFill="background1"/>
            <w:vAlign w:val="center"/>
          </w:tcPr>
          <w:p w14:paraId="603325E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5414A70"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D1746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26BFC8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3C3576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7FBEEA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FF0893"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F8B57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056435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862216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7A8E45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154D52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14D964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42BD36B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FE95529"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Staff unwillingness to enter certain neighborhoods due to crime and safety concern</w:t>
            </w:r>
          </w:p>
        </w:tc>
        <w:tc>
          <w:tcPr>
            <w:tcW w:w="228" w:type="pct"/>
            <w:shd w:val="clear" w:color="auto" w:fill="FFFFFF" w:themeFill="background1"/>
            <w:vAlign w:val="center"/>
          </w:tcPr>
          <w:p w14:paraId="6574ECB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1A94A9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9F929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2C6AD5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AF5260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9C05CD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B77C6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12C476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ABBCE9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1F0B200"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E9604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1E3E3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45519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658F6A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0DFA95B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F4DD275"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88AAF47"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7B732B4E"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Surgery type and Acute Physiology and Chronic Health Evaluation III Score</w:t>
            </w:r>
          </w:p>
        </w:tc>
        <w:tc>
          <w:tcPr>
            <w:tcW w:w="228" w:type="pct"/>
            <w:shd w:val="clear" w:color="auto" w:fill="FFFFFF" w:themeFill="background1"/>
            <w:vAlign w:val="center"/>
          </w:tcPr>
          <w:p w14:paraId="0C513A9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2340571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659F0B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744A6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F578552"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BA2794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3134E2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A9A18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4A5B75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4767604"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F9A5E4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01EC58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78D4EE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23197D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23DDCEA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BA43545"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78F9AA9"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B2D1C2A"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Resource availability</w:t>
            </w:r>
            <w:r w:rsidRPr="008923BA">
              <w:rPr>
                <w:rFonts w:ascii="Times New Roman" w:hAnsi="Times New Roman" w:cs="Times New Roman"/>
                <w:iCs/>
              </w:rPr>
              <w:t xml:space="preserve">         </w:t>
            </w:r>
          </w:p>
        </w:tc>
        <w:tc>
          <w:tcPr>
            <w:tcW w:w="228" w:type="pct"/>
            <w:shd w:val="clear" w:color="auto" w:fill="FFFFFF" w:themeFill="background1"/>
            <w:vAlign w:val="center"/>
          </w:tcPr>
          <w:p w14:paraId="2C9E37C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4CCE69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5B0DF7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28" w:type="pct"/>
            <w:shd w:val="clear" w:color="auto" w:fill="FFFFFF" w:themeFill="background1"/>
            <w:vAlign w:val="center"/>
          </w:tcPr>
          <w:p w14:paraId="0D79748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7793864"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750EC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28" w:type="pct"/>
            <w:shd w:val="clear" w:color="auto" w:fill="FFFFFF" w:themeFill="background1"/>
            <w:vAlign w:val="center"/>
          </w:tcPr>
          <w:p w14:paraId="35C48F7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C13B7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012757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F31CD31"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99C50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0A27F9C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AA7150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6DE621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3</w:t>
            </w:r>
          </w:p>
        </w:tc>
        <w:tc>
          <w:tcPr>
            <w:tcW w:w="220" w:type="pct"/>
            <w:shd w:val="clear" w:color="auto" w:fill="FFFFFF" w:themeFill="background1"/>
            <w:vAlign w:val="center"/>
          </w:tcPr>
          <w:p w14:paraId="0C650CA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1D117FB"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59C6B8A"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CD64DF2"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The concept of a last chance at home before moving to a care home</w:t>
            </w:r>
          </w:p>
        </w:tc>
        <w:tc>
          <w:tcPr>
            <w:tcW w:w="228" w:type="pct"/>
            <w:shd w:val="clear" w:color="auto" w:fill="FFFFFF" w:themeFill="background1"/>
            <w:vAlign w:val="center"/>
          </w:tcPr>
          <w:p w14:paraId="24791B5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51A13E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47A22B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3C9391B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44ADAC7"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6B7B2F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59DA8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220CE8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FA0AD7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22BC1E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3BB086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3D00C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452903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E73F00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0CC89D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4DDBE53E"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D91E367"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0CDE3EC"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The decision-making process involving older adults, family members, nursing staff</w:t>
            </w:r>
          </w:p>
        </w:tc>
        <w:tc>
          <w:tcPr>
            <w:tcW w:w="228" w:type="pct"/>
            <w:shd w:val="clear" w:color="auto" w:fill="FFFFFF" w:themeFill="background1"/>
            <w:vAlign w:val="center"/>
          </w:tcPr>
          <w:p w14:paraId="55ADB82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047EFE8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F7174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2045966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8A8A8F1"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965FB1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5F986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665529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1F7D0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B0B174E"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89EEE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D9F703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A07BF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FC197D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0EAE18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C116781"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07F66181"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20758F9"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The degree of familial support</w:t>
            </w:r>
          </w:p>
        </w:tc>
        <w:tc>
          <w:tcPr>
            <w:tcW w:w="228" w:type="pct"/>
            <w:shd w:val="clear" w:color="auto" w:fill="FFFFFF" w:themeFill="background1"/>
            <w:vAlign w:val="center"/>
          </w:tcPr>
          <w:p w14:paraId="3EED0A6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6B4988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4CA36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4</w:t>
            </w:r>
          </w:p>
        </w:tc>
        <w:tc>
          <w:tcPr>
            <w:tcW w:w="228" w:type="pct"/>
            <w:shd w:val="clear" w:color="auto" w:fill="FFFFFF" w:themeFill="background1"/>
            <w:vAlign w:val="center"/>
          </w:tcPr>
          <w:p w14:paraId="0C26566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35CD841C"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852061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C01A4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DBD475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167F4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C116AD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33D0AD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7D64F8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3B4902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47" w:type="pct"/>
            <w:shd w:val="clear" w:color="auto" w:fill="FFFFFF" w:themeFill="background1"/>
            <w:vAlign w:val="center"/>
          </w:tcPr>
          <w:p w14:paraId="010C14C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47859E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0FA0BE0F"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72BCB8A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4D048AA7"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The level of preparation for relocation</w:t>
            </w:r>
          </w:p>
        </w:tc>
        <w:tc>
          <w:tcPr>
            <w:tcW w:w="228" w:type="pct"/>
            <w:shd w:val="clear" w:color="auto" w:fill="FFFFFF" w:themeFill="background1"/>
            <w:vAlign w:val="center"/>
          </w:tcPr>
          <w:p w14:paraId="4247F41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5D6D1FB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E6713F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1374B13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7EBF21FB"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587915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CDEC96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9E28E93"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38482C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D9A0347"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87CA5B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0EE3F0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EF5294B"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0E3DE0B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76E378D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0B97F33"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24A7FE06"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BC8E4F9"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The number of additional procedures conducted during hospitalization</w:t>
            </w:r>
          </w:p>
        </w:tc>
        <w:tc>
          <w:tcPr>
            <w:tcW w:w="228" w:type="pct"/>
            <w:shd w:val="clear" w:color="auto" w:fill="FFFFFF" w:themeFill="background1"/>
            <w:vAlign w:val="center"/>
          </w:tcPr>
          <w:p w14:paraId="4505188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2</w:t>
            </w:r>
          </w:p>
        </w:tc>
        <w:tc>
          <w:tcPr>
            <w:tcW w:w="232" w:type="pct"/>
            <w:shd w:val="clear" w:color="auto" w:fill="FFFFFF" w:themeFill="background1"/>
            <w:vAlign w:val="center"/>
          </w:tcPr>
          <w:p w14:paraId="6F8A8E0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177184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0EB3A2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1B21D1C4"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79148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F14A3E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5E1C01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093427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C68CE34"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BB82FA"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39C5B7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6D588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DEA997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C0D99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617A807B"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751C868"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7820171"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Transportation</w:t>
            </w:r>
          </w:p>
        </w:tc>
        <w:tc>
          <w:tcPr>
            <w:tcW w:w="228" w:type="pct"/>
            <w:shd w:val="clear" w:color="auto" w:fill="FFFFFF" w:themeFill="background1"/>
            <w:vAlign w:val="center"/>
          </w:tcPr>
          <w:p w14:paraId="117E26B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2FA00C1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9FC2DB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A718B4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00F93AE7"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7455590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9463D3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6A71EC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45584AD"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FCFB16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DD553A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BF6C69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52E87F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5523168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E230B6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BFB53F7"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39FE2C0"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17CAA117" w14:textId="77777777"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Tube insertion in hospital</w:t>
            </w:r>
          </w:p>
        </w:tc>
        <w:tc>
          <w:tcPr>
            <w:tcW w:w="228" w:type="pct"/>
            <w:shd w:val="clear" w:color="auto" w:fill="FFFFFF" w:themeFill="background1"/>
            <w:vAlign w:val="center"/>
          </w:tcPr>
          <w:p w14:paraId="5392B1D1"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3DBC7D3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31B614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6E7A5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45573365"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D5B7C7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9C3963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F6758E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CB9A46"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FEA33EB"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6D6729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F72237"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E84829"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44251ED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5F1DF98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13EE1959"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3D0F7FC"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52C63C70"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Unawareness of support services in the community</w:t>
            </w:r>
          </w:p>
        </w:tc>
        <w:tc>
          <w:tcPr>
            <w:tcW w:w="228" w:type="pct"/>
            <w:shd w:val="clear" w:color="auto" w:fill="FFFFFF" w:themeFill="background1"/>
            <w:vAlign w:val="center"/>
          </w:tcPr>
          <w:p w14:paraId="1A096FE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7715C062"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88271E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F587FF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131E06C"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17B8A3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B71566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60CE778"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8189A9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2EF954F"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3FB43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2F27F60"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C0D38FA"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324FA40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0" w:type="pct"/>
            <w:shd w:val="clear" w:color="auto" w:fill="FFFFFF" w:themeFill="background1"/>
            <w:vAlign w:val="center"/>
          </w:tcPr>
          <w:p w14:paraId="3453F51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56412583" w14:textId="77777777" w:rsidTr="000D251E">
        <w:trPr>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304F225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66E4D6CA" w14:textId="4ECB3074" w:rsidR="004515F4" w:rsidRPr="008923BA" w:rsidRDefault="004515F4"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 xml:space="preserve">Use of general </w:t>
            </w:r>
            <w:r w:rsidR="000D251E" w:rsidRPr="008923BA">
              <w:rPr>
                <w:rFonts w:ascii="Times New Roman" w:hAnsi="Times New Roman" w:cs="Times New Roman"/>
                <w:iCs/>
                <w:sz w:val="16"/>
                <w:szCs w:val="16"/>
              </w:rPr>
              <w:t>anesthesia</w:t>
            </w:r>
          </w:p>
        </w:tc>
        <w:tc>
          <w:tcPr>
            <w:tcW w:w="228" w:type="pct"/>
            <w:shd w:val="clear" w:color="auto" w:fill="FFFFFF" w:themeFill="background1"/>
            <w:vAlign w:val="center"/>
          </w:tcPr>
          <w:p w14:paraId="74110142"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32" w:type="pct"/>
            <w:shd w:val="clear" w:color="auto" w:fill="FFFFFF" w:themeFill="background1"/>
            <w:vAlign w:val="center"/>
          </w:tcPr>
          <w:p w14:paraId="4B6A472C"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739491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B6A71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2935EB9D" w14:textId="77777777" w:rsidR="004515F4" w:rsidRPr="008923BA" w:rsidRDefault="004515F4"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49CA50E"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5874B458"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0377EE5"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3C0BD263"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92E679" w14:textId="77777777" w:rsidR="004515F4" w:rsidRPr="008923BA" w:rsidRDefault="004515F4" w:rsidP="009C1DDF">
            <w:pPr>
              <w:ind w:right="2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AA086E0"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1B630DD4"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216384F"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97B14AD"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31D512DB" w14:textId="77777777" w:rsidR="004515F4" w:rsidRPr="008923BA" w:rsidRDefault="004515F4"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tr w:rsidR="00E5461C" w:rsidRPr="008923BA" w14:paraId="7FDD1507" w14:textId="77777777" w:rsidTr="000D251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 w:type="pct"/>
            <w:shd w:val="clear" w:color="auto" w:fill="FFFFFF" w:themeFill="background1"/>
            <w:vAlign w:val="center"/>
          </w:tcPr>
          <w:p w14:paraId="1C48F725" w14:textId="77777777" w:rsidR="004515F4" w:rsidRPr="008923BA" w:rsidRDefault="004515F4" w:rsidP="004515F4">
            <w:pPr>
              <w:pStyle w:val="ListParagraph"/>
              <w:numPr>
                <w:ilvl w:val="0"/>
                <w:numId w:val="2"/>
              </w:numPr>
              <w:jc w:val="center"/>
              <w:rPr>
                <w:rFonts w:ascii="Times New Roman" w:hAnsi="Times New Roman" w:cs="Times New Roman"/>
                <w:iCs/>
                <w:sz w:val="16"/>
                <w:szCs w:val="16"/>
              </w:rPr>
            </w:pPr>
          </w:p>
        </w:tc>
        <w:tc>
          <w:tcPr>
            <w:tcW w:w="1313" w:type="pct"/>
            <w:shd w:val="clear" w:color="auto" w:fill="FFFFFF" w:themeFill="background1"/>
            <w:vAlign w:val="center"/>
          </w:tcPr>
          <w:p w14:paraId="363E1724" w14:textId="77777777" w:rsidR="004515F4" w:rsidRPr="008923BA" w:rsidRDefault="004515F4"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Vasopressor administration</w:t>
            </w:r>
          </w:p>
        </w:tc>
        <w:tc>
          <w:tcPr>
            <w:tcW w:w="228" w:type="pct"/>
            <w:shd w:val="clear" w:color="auto" w:fill="FFFFFF" w:themeFill="background1"/>
            <w:vAlign w:val="center"/>
          </w:tcPr>
          <w:p w14:paraId="070A8B9C"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2" w:type="pct"/>
            <w:shd w:val="clear" w:color="auto" w:fill="FFFFFF" w:themeFill="background1"/>
            <w:vAlign w:val="center"/>
          </w:tcPr>
          <w:p w14:paraId="3A9A96BF"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795E44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2C62FE77"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31" w:type="pct"/>
            <w:shd w:val="clear" w:color="auto" w:fill="FFFFFF" w:themeFill="background1"/>
            <w:vAlign w:val="center"/>
          </w:tcPr>
          <w:p w14:paraId="6CC8D513" w14:textId="77777777" w:rsidR="004515F4" w:rsidRPr="008923BA" w:rsidRDefault="004515F4" w:rsidP="009C1DDF">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6FA31C6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F86A2C4"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4B1F2E51"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0640AF9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A9D2FB5" w14:textId="77777777" w:rsidR="004515F4" w:rsidRPr="008923BA" w:rsidRDefault="004515F4" w:rsidP="009C1DDF">
            <w:pPr>
              <w:ind w:right="2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7B3C3C9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8" w:type="pct"/>
            <w:shd w:val="clear" w:color="auto" w:fill="FFFFFF" w:themeFill="background1"/>
            <w:vAlign w:val="center"/>
          </w:tcPr>
          <w:p w14:paraId="50EE81FE"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1</w:t>
            </w:r>
          </w:p>
        </w:tc>
        <w:tc>
          <w:tcPr>
            <w:tcW w:w="228" w:type="pct"/>
            <w:shd w:val="clear" w:color="auto" w:fill="FFFFFF" w:themeFill="background1"/>
            <w:vAlign w:val="center"/>
          </w:tcPr>
          <w:p w14:paraId="68FDCC35"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47" w:type="pct"/>
            <w:shd w:val="clear" w:color="auto" w:fill="FFFFFF" w:themeFill="background1"/>
            <w:vAlign w:val="center"/>
          </w:tcPr>
          <w:p w14:paraId="6B8FEC69"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c>
          <w:tcPr>
            <w:tcW w:w="220" w:type="pct"/>
            <w:shd w:val="clear" w:color="auto" w:fill="FFFFFF" w:themeFill="background1"/>
            <w:vAlign w:val="center"/>
          </w:tcPr>
          <w:p w14:paraId="0B6D6C36" w14:textId="77777777" w:rsidR="004515F4" w:rsidRPr="008923BA" w:rsidRDefault="004515F4"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8923BA">
              <w:rPr>
                <w:rFonts w:ascii="Times New Roman" w:hAnsi="Times New Roman" w:cs="Times New Roman"/>
                <w:iCs/>
                <w:sz w:val="16"/>
                <w:szCs w:val="16"/>
              </w:rPr>
              <w:t>-</w:t>
            </w:r>
          </w:p>
        </w:tc>
      </w:tr>
      <w:bookmarkEnd w:id="22"/>
    </w:tbl>
    <w:p w14:paraId="10CA156B" w14:textId="052B0A90" w:rsidR="008B3021" w:rsidRDefault="008B3021" w:rsidP="00821A3C">
      <w:pPr>
        <w:spacing w:after="0" w:line="480" w:lineRule="auto"/>
        <w:rPr>
          <w:rFonts w:ascii="Times New Roman" w:hAnsi="Times New Roman" w:cs="Times New Roman"/>
          <w:color w:val="000000" w:themeColor="text1"/>
          <w:sz w:val="24"/>
          <w:szCs w:val="24"/>
        </w:rPr>
      </w:pPr>
    </w:p>
    <w:p w14:paraId="5F40E391" w14:textId="77777777" w:rsidR="008B3021" w:rsidRDefault="008B302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AEDF05E" w14:textId="60066E2C" w:rsidR="00821A3C" w:rsidRPr="005B0855" w:rsidRDefault="008B3021" w:rsidP="005B0855">
      <w:pPr>
        <w:pStyle w:val="Heading2"/>
        <w:numPr>
          <w:ilvl w:val="0"/>
          <w:numId w:val="0"/>
        </w:numPr>
        <w:spacing w:before="0" w:line="480" w:lineRule="auto"/>
        <w:ind w:left="576" w:hanging="576"/>
        <w:rPr>
          <w:rFonts w:ascii="Times New Roman" w:hAnsi="Times New Roman" w:cs="Times New Roman"/>
          <w:b/>
          <w:bCs/>
          <w:color w:val="000000" w:themeColor="text1"/>
          <w:sz w:val="22"/>
          <w:szCs w:val="22"/>
        </w:rPr>
      </w:pPr>
      <w:r w:rsidRPr="005B0855">
        <w:rPr>
          <w:rFonts w:ascii="Times New Roman" w:hAnsi="Times New Roman" w:cs="Times New Roman"/>
          <w:b/>
          <w:bCs/>
          <w:color w:val="000000" w:themeColor="text1"/>
          <w:sz w:val="22"/>
          <w:szCs w:val="22"/>
        </w:rPr>
        <w:lastRenderedPageBreak/>
        <w:t>S5</w:t>
      </w:r>
      <w:r w:rsidR="00917C91">
        <w:rPr>
          <w:rFonts w:ascii="Times New Roman" w:hAnsi="Times New Roman" w:cs="Times New Roman"/>
          <w:b/>
          <w:bCs/>
          <w:color w:val="000000" w:themeColor="text1"/>
          <w:sz w:val="22"/>
          <w:szCs w:val="22"/>
        </w:rPr>
        <w:t xml:space="preserve">. </w:t>
      </w:r>
      <w:r w:rsidRPr="005B0855">
        <w:rPr>
          <w:rFonts w:ascii="Times New Roman" w:hAnsi="Times New Roman" w:cs="Times New Roman"/>
          <w:b/>
          <w:bCs/>
          <w:color w:val="000000" w:themeColor="text1"/>
          <w:sz w:val="22"/>
          <w:szCs w:val="22"/>
        </w:rPr>
        <w:t xml:space="preserve">Detailed </w:t>
      </w:r>
      <w:r w:rsidR="00C661AC">
        <w:rPr>
          <w:rFonts w:ascii="Times New Roman" w:hAnsi="Times New Roman" w:cs="Times New Roman"/>
          <w:b/>
          <w:bCs/>
          <w:color w:val="000000" w:themeColor="text1"/>
          <w:sz w:val="22"/>
          <w:szCs w:val="22"/>
        </w:rPr>
        <w:t>f</w:t>
      </w:r>
      <w:r w:rsidRPr="005B0855">
        <w:rPr>
          <w:rFonts w:ascii="Times New Roman" w:hAnsi="Times New Roman" w:cs="Times New Roman"/>
          <w:b/>
          <w:bCs/>
          <w:color w:val="000000" w:themeColor="text1"/>
          <w:sz w:val="22"/>
          <w:szCs w:val="22"/>
        </w:rPr>
        <w:t xml:space="preserve">actors </w:t>
      </w:r>
      <w:r w:rsidR="00C661AC">
        <w:rPr>
          <w:rFonts w:ascii="Times New Roman" w:hAnsi="Times New Roman" w:cs="Times New Roman"/>
          <w:b/>
          <w:bCs/>
          <w:color w:val="000000" w:themeColor="text1"/>
          <w:sz w:val="22"/>
          <w:szCs w:val="22"/>
        </w:rPr>
        <w:t>i</w:t>
      </w:r>
      <w:r w:rsidR="005B0855" w:rsidRPr="005B0855">
        <w:rPr>
          <w:rFonts w:ascii="Times New Roman" w:hAnsi="Times New Roman" w:cs="Times New Roman"/>
          <w:b/>
          <w:bCs/>
          <w:color w:val="000000" w:themeColor="text1"/>
          <w:sz w:val="22"/>
          <w:szCs w:val="22"/>
        </w:rPr>
        <w:t>nfluencing</w:t>
      </w:r>
      <w:r w:rsidRPr="005B0855">
        <w:rPr>
          <w:rFonts w:ascii="Times New Roman" w:hAnsi="Times New Roman" w:cs="Times New Roman"/>
          <w:b/>
          <w:bCs/>
          <w:color w:val="000000" w:themeColor="text1"/>
          <w:sz w:val="22"/>
          <w:szCs w:val="22"/>
        </w:rPr>
        <w:t xml:space="preserve"> </w:t>
      </w:r>
      <w:r w:rsidR="00C661AC">
        <w:rPr>
          <w:rFonts w:ascii="Times New Roman" w:hAnsi="Times New Roman" w:cs="Times New Roman"/>
          <w:b/>
          <w:bCs/>
          <w:color w:val="000000" w:themeColor="text1"/>
          <w:sz w:val="22"/>
          <w:szCs w:val="22"/>
        </w:rPr>
        <w:t>c</w:t>
      </w:r>
      <w:r w:rsidRPr="005B0855">
        <w:rPr>
          <w:rFonts w:ascii="Times New Roman" w:hAnsi="Times New Roman" w:cs="Times New Roman"/>
          <w:b/>
          <w:bCs/>
          <w:color w:val="000000" w:themeColor="text1"/>
          <w:sz w:val="22"/>
          <w:szCs w:val="22"/>
        </w:rPr>
        <w:t xml:space="preserve">ommunity </w:t>
      </w:r>
      <w:r w:rsidR="00C661AC">
        <w:rPr>
          <w:rFonts w:ascii="Times New Roman" w:hAnsi="Times New Roman" w:cs="Times New Roman"/>
          <w:b/>
          <w:bCs/>
          <w:color w:val="000000" w:themeColor="text1"/>
          <w:sz w:val="22"/>
          <w:szCs w:val="22"/>
        </w:rPr>
        <w:t>r</w:t>
      </w:r>
      <w:r w:rsidRPr="005B0855">
        <w:rPr>
          <w:rFonts w:ascii="Times New Roman" w:hAnsi="Times New Roman" w:cs="Times New Roman"/>
          <w:b/>
          <w:bCs/>
          <w:color w:val="000000" w:themeColor="text1"/>
          <w:sz w:val="22"/>
          <w:szCs w:val="22"/>
        </w:rPr>
        <w:t xml:space="preserve">eintegration </w:t>
      </w:r>
      <w:r w:rsidR="00C661AC">
        <w:rPr>
          <w:rFonts w:ascii="Times New Roman" w:hAnsi="Times New Roman" w:cs="Times New Roman"/>
          <w:b/>
          <w:bCs/>
          <w:color w:val="000000" w:themeColor="text1"/>
          <w:sz w:val="22"/>
          <w:szCs w:val="22"/>
        </w:rPr>
        <w:t>t</w:t>
      </w:r>
      <w:r w:rsidRPr="005B0855">
        <w:rPr>
          <w:rFonts w:ascii="Times New Roman" w:hAnsi="Times New Roman" w:cs="Times New Roman"/>
          <w:b/>
          <w:bCs/>
          <w:color w:val="000000" w:themeColor="text1"/>
          <w:sz w:val="22"/>
          <w:szCs w:val="22"/>
        </w:rPr>
        <w:t>ransitions</w:t>
      </w:r>
    </w:p>
    <w:p w14:paraId="41085197" w14:textId="07C10F45" w:rsidR="008B3021" w:rsidRPr="000663A7" w:rsidRDefault="005B0855" w:rsidP="005B0855">
      <w:pPr>
        <w:pStyle w:val="Heading3"/>
        <w:numPr>
          <w:ilvl w:val="0"/>
          <w:numId w:val="0"/>
        </w:numPr>
        <w:spacing w:before="0" w:line="480" w:lineRule="auto"/>
        <w:ind w:left="720" w:hanging="720"/>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S5.1</w:t>
      </w:r>
      <w:r w:rsidR="008B3021" w:rsidRPr="000663A7">
        <w:rPr>
          <w:rFonts w:ascii="Times New Roman" w:hAnsi="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t xml:space="preserve">Factors </w:t>
      </w:r>
      <w:r w:rsidR="00C661AC">
        <w:rPr>
          <w:rFonts w:ascii="Times New Roman" w:hAnsi="Times New Roman" w:cs="Times New Roman"/>
          <w:b/>
          <w:bCs/>
          <w:color w:val="000000" w:themeColor="text1"/>
          <w:sz w:val="22"/>
          <w:szCs w:val="22"/>
        </w:rPr>
        <w:t>i</w:t>
      </w:r>
      <w:r>
        <w:rPr>
          <w:rFonts w:ascii="Times New Roman" w:hAnsi="Times New Roman" w:cs="Times New Roman"/>
          <w:b/>
          <w:bCs/>
          <w:color w:val="000000" w:themeColor="text1"/>
          <w:sz w:val="22"/>
          <w:szCs w:val="22"/>
        </w:rPr>
        <w:t xml:space="preserve">nfluencing </w:t>
      </w:r>
      <w:r w:rsidR="00C661AC">
        <w:rPr>
          <w:rFonts w:ascii="Times New Roman" w:hAnsi="Times New Roman" w:cs="Times New Roman"/>
          <w:b/>
          <w:bCs/>
          <w:color w:val="000000" w:themeColor="text1"/>
          <w:sz w:val="22"/>
          <w:szCs w:val="22"/>
        </w:rPr>
        <w:t>t</w:t>
      </w:r>
      <w:r w:rsidR="008B3021" w:rsidRPr="000663A7">
        <w:rPr>
          <w:rFonts w:ascii="Times New Roman" w:hAnsi="Times New Roman" w:cs="Times New Roman"/>
          <w:b/>
          <w:bCs/>
          <w:color w:val="000000" w:themeColor="text1"/>
          <w:sz w:val="22"/>
          <w:szCs w:val="22"/>
        </w:rPr>
        <w:t>ransitions from LTC to home care</w:t>
      </w:r>
    </w:p>
    <w:p w14:paraId="0A65459C" w14:textId="1DA2E97A" w:rsidR="005B0855" w:rsidRPr="00ED5246" w:rsidRDefault="005B0855" w:rsidP="00180C23">
      <w:pPr>
        <w:spacing w:after="0" w:line="480" w:lineRule="auto"/>
        <w:jc w:val="both"/>
        <w:rPr>
          <w:rFonts w:ascii="Times New Roman" w:hAnsi="Times New Roman" w:cs="Times New Roman"/>
        </w:rPr>
      </w:pPr>
      <w:bookmarkStart w:id="24" w:name="_Hlk184211525"/>
      <w:r w:rsidRPr="00ED5246">
        <w:rPr>
          <w:rFonts w:ascii="Times New Roman" w:hAnsi="Times New Roman" w:cs="Times New Roman"/>
          <w:b/>
          <w:bCs/>
        </w:rPr>
        <w:t>Socio-demographic characteristics.</w:t>
      </w:r>
      <w:r w:rsidRPr="00ED5246">
        <w:rPr>
          <w:rFonts w:ascii="Times New Roman" w:hAnsi="Times New Roman" w:cs="Times New Roman"/>
        </w:rPr>
        <w:t xml:space="preserve"> Age was a significant factor in quantitative studies, with younger individuals more likely to transition to home care (n=3)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4i6D4e4j","properties":{"formattedCitation":"[79\\uc0\\u8211{}81]","plainCitation":"[79–81]","noteIndex":0},"citationItems":[{"id":41777,"uris":["http://zotero.org/groups/5108666/items/3S9PXZAU"],"itemData":{"id":41777,"type":"article-journal","abstract":"INTRODUCTION: This study investigates the relationship between gender, the likelihood of discharge from institutional long-term care (LTC) facilities, and post-discharge living arrangements, highlighting sociodemographic, health, socioeconomic, and family characteristics., METHODS: We use the Health and Retirement Study to examine individuals age 65 and older admitted to LTC facilities between 2000 and 2010 (n = 3,351). We examine discharge patterns using survival analyses that account for the competing risk of death and estimate the probabilities of post-discharge living arrangements using multinomial logistic regression models., RESULTS: Women are more likely than men to be discharged from LTC facilities during the first year of stay. Women are more likely to live alone or with kin after discharge, whereas men are more likely to live with a spouse or transfer to another institution. Gender differences in the availability and use of family support may partly account for the gender disparity of LTC discharge and post-discharge living arrangements., CONCLUSION: Our findings suggest that women and men follow distinct pathways after LTC discharge. As local and federal efforts begin to place more emphasis on the transition from LTC facilities to prior communities (e.g., transitional care initiatives under the Patient Protection and Affordable Care Act), policymakers should take these gender differences into account in the design of community transition programs. Copyright © 2015 Jacobs Institute of Women's Health. Published by Elsevier Inc. All rights reserved.","archive":"Ovid MEDLINE(R) &lt;2015&gt;","container-title":"Women's health issues : official publication of the Jacobs Institute of Women's Health","DOI":"10.1016/j.whi.2015.04.010","ISSN":"1878-4321","issue":"5","journalAbbreviation":"Womens Health Issues","page":"441-9","title":"Gender Differences in Institutional Long-Term Care Transitions.","volume":"25","author":[{"family":"Mudrazija","given":"Stipica"},{"family":"Thomeer","given":"Mieke Beth"},{"family":"Angel","given":"Jacqueline L"}],"issued":{"date-parts":[["2015"]]}}},{"id":48873,"uris":["http://zotero.org/groups/5108666/items/WPRD4GNF"],"itemData":{"id":48873,"type":"article-journal","archive":"Scopus","container-title":"Health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[79–81]</w:t>
      </w:r>
      <w:r w:rsidRPr="00ED5246">
        <w:rPr>
          <w:rFonts w:ascii="Times New Roman" w:hAnsi="Times New Roman" w:cs="Times New Roman"/>
        </w:rPr>
        <w:fldChar w:fldCharType="end"/>
      </w:r>
      <w:r w:rsidRPr="00ED5246">
        <w:rPr>
          <w:rFonts w:ascii="Times New Roman" w:hAnsi="Times New Roman" w:cs="Times New Roman"/>
        </w:rPr>
        <w:t xml:space="preserve">, while older age was identified as a barrier (n=4)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JE0gpDm5","properties":{"formattedCitation":"[82\\uc0\\u8211{}85]","plainCitation":"[82–85]","noteIndex":0},"citationItems":[{"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id":36402,"uris":["http://zotero.org/groups/5108666/items/G55JGJVN"],"itemData":{"id":36402,"type":"article-journal","abstract":"Objectives: To investigate factors associated with lower likelihood of discharge to home from geriatric intermediate care facilities in Japan. Design: Retrospective cohort study. Setting: We used data from the nationwide long‐term care (LTC) insurance claims database (April 2012–March 2014). Participants: Study participants were 342,758 individuals newly admitted to 3,459 geriatric intermediate care facilities during the study period. Measurements: The primary outcome was discharge to home. We performed a multivariable competing‐risk Cox regression with adjustment for resident‐, facility‐, and region‐level characteristics. Resident level of care needs and several medical conditions were included as time‐varying covariates. Death, admission to a hospital, and admission to another LTC facility were treated as competing risks. Results: During the 2‐year follow‐up period, 19% of participants were discharged to home. In the multivariable competing‐risk Cox regression, the following factors were significantly associated with lower likelihood of discharge to home: older age, higher level of care need, having several medical conditions, private ownership of the facility, more beds in the facility, and more LTC facility beds per 1,000 adults aged 65 and older in the region. Conclusion: Only 19% of residents were discharged to home. Our results are useful for policy‐makers to promote discharge to home of older adults in geriatric intermediate care facilities.","archive":"cin20","container-title":"Journal of the American Geriatrics Society","DOI":"10.1111/jgs.15295","ISSN":"0002-8614","issue":"4","journalAbbreviation":"Journal of the American Geriatrics Society","page":"728-734","source":"EBSCOhost","title":"Factors Affecting Discharge to Home of Geriatric Intermediate Care Facility Residents in Japan.","volume":"66","author":[{"family":"Morita","given":"Kojiro"},{"family":"Ono","given":"Sachiko"},{"family":"Ishimaru","given":"Miho"},{"family":"Matsui","given":"Hiroki"},{"family":"Naruse","given":"Takashi"},{"family":"Yasunaga","given":"Hideo"}],"issued":{"date-parts":[["2018",4]]}}},{"id":47119,"uris":["http://zotero.org/groups/5108666/items/69JBZ28F"],"itemData":{"id":47119,"type":"article-journal","archive":"Scopus","container-title":"Journal of Applied Gerontology","DOI":"10.1177/0733464818807818","issue":"8","page":"863-870","title":"Shall I Stay or Shall I Go? The Choice to Remain in the Nursing Home Among Residents With High Potential for Discharge","volume":"39","author":[{"family":"Abrahamson","given":"K."},{"family":"Hass","given":"Z."},{"family":"Arling","given":"G."}],"issued":{"date-parts":[["2020"]]}}},{"id":68098,"uris":["http://zotero.org/groups/5108666/items/MCXXW5UQ"],"itemData":{"id":68098,"type":"article-journal","abstract":"Background Recent long-term care facility (LTCF) policy has focused on transitioning nursing home (NH) residents back to community settings, yet we lack recent descriptions of this phenomenon and how it compares in assisted living (AL). Methods Using the National Health and Aging Trends Study, we studied adults over age 65 who had moved from community living into an LTCF between 2011 and 2018. Persons or their proxies reported residence in annual interviews. NH was defined by facility staff. ALs were multi-unit buildings helping with activities of daily living. We excluded temporary short-stay NH patients and independent AL residents. Our primary outcome was cumulative incidence of return to community living, with death as co-primary outcome and modeled as a competing risk, stratified by NH versus AL entry. We identified covariates (age, gender, race/ethnicity, dementia, activity limitations, and prior living arrangement) associated with return to community living through bivariate and multivariable logistic regression. Results Among 739 participants, weighted mean age was 84 years (SD 7.5), 66% were women, 13% were non-White, 57% had dementia, and 41% entered NH. At 1, 2, and 4 years, the cumulative incidence of return to community living was 2.9% (95% CIs: 1.9%–4.3%), 6.4% (4.7%–8.4%), and 7.4% (5.5%–9.8%); the cumulative incidence of death was 28% (95% CIs: 24%–31%), 44% (40%–48%) and 66% (61%–70%). Outcomes were similar in persons entering NH versus AL. Older persons (aOR 0.88, 95% CI 0.83–0.94), those with dementia (aOR 0.33, 95% CI 0.12–0.88), and those previously living alone (aOR 0.39, 95% CI 0.17–0.89) were less likely to return. Conclusions Few returned to community living after entering either NH or AL. Mortality was similar. Results highlight limits in transitioning persons out of LTCFs and the need to observe AL use to ensure policies do not merely displace persons between institutional care sectors.","container-title":"Journal of the American Geriatrics Society","DOI":"10.1111/jgs.18144","ISSN":"1532-5415","issue":"2","language":"en","license":"© 2022 The American Geriatrics Society.","note":"_eprint: https://agsjournals.onlinelibrary.wiley.com/doi/pdf/10.1111/jgs.18144","page":"569-576","source":"Wiley Online Library","title":"Return to community living and mortality after moving to a long-term care facility: A nationally representative cohort study","title-short":"Return to community living and mortality after moving to a long-term care facility","volume":"71","author":[{"family":"Lam","given":"Kenneth"},{"family":"Cenzer","given":"Irena"},{"family":"Covinsky","given":"Kenneth E."}],"issued":{"date-parts":[["2023"]]}}}],"schema":"https://github.com/citation-style-language/schema/raw/master/csl-citation.json"}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[82–85]</w:t>
      </w:r>
      <w:r w:rsidRPr="00ED5246">
        <w:rPr>
          <w:rFonts w:ascii="Times New Roman" w:hAnsi="Times New Roman" w:cs="Times New Roman"/>
        </w:rPr>
        <w:fldChar w:fldCharType="end"/>
      </w:r>
      <w:r w:rsidRPr="00ED5246">
        <w:rPr>
          <w:rFonts w:ascii="Times New Roman" w:hAnsi="Times New Roman" w:cs="Times New Roman"/>
        </w:rPr>
        <w:t xml:space="preserve">. Gender also influenced transitions, with female gender positively associated with home care transitions in several studies (n=3)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intiAO1y","properties":{"formattedCitation":"[79\\uc0\\u8211{}81]","plainCitation":"[79–81]","noteIndex":0},"citationItems":[{"id":41777,"uris":["http://zotero.org/groups/5108666/items/3S9PXZAU"],"itemData":{"id":41777,"type":"article-journal","abstract":"INTRODUCTION: This study investigates the relationship between gender, the likelihood of discharge from institutional long-term care (LTC) facilities, and post-discharge living arrangements, highlighting sociodemographic, health, socioeconomic, and family characteristics., METHODS: We use the Health and Retirement Study to examine individuals age 65 and older admitted to LTC facilities between 2000 and 2010 (n = 3,351). We examine discharge patterns using survival analyses that account for the competing risk of death and estimate the probabilities of post-discharge living arrangements using multinomial logistic regression models., RESULTS: Women are more likely than men to be discharged from LTC facilities during the first year of stay. Women are more likely to live alone or with kin after discharge, whereas men are more likely to live with a spouse or transfer to another institution. Gender differences in the availability and use of family support may partly account for the gender disparity of LTC discharge and post-discharge living arrangements., CONCLUSION: Our findings suggest that women and men follow distinct pathways after LTC discharge. As local and federal efforts begin to place more emphasis on the transition from LTC facilities to prior communities (e.g., transitional care initiatives under the Patient Protection and Affordable Care Act), policymakers should take these gender differences into account in the design of community transition programs. Copyright © 2015 Jacobs Institute of Women's Health. Published by Elsevier Inc. All rights reserved.","archive":"Ovid MEDLINE(R) &lt;2015&gt;","container-title":"Women's health issues : official publication of the Jacobs Institute of Women's Health","DOI":"10.1016/j.whi.2015.04.010","ISSN":"1878-4321","issue":"5","journalAbbreviation":"Womens Health Issues","page":"441-9","title":"Gender Differences in Institutional Long-Term Care Transitions.","volume":"25","author":[{"family":"Mudrazija","given":"Stipica"},{"family":"Thomeer","given":"Mieke Beth"},{"family":"Angel","given":"Jacqueline L"}],"issued":{"date-parts":[["2015"]]}}},{"id":48873,"uris":["http://zotero.org/groups/5108666/items/WPRD4GNF"],"itemData":{"id":48873,"type":"article-journal","archive":"Scopus","container-title":"Health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[79–81]</w:t>
      </w:r>
      <w:r w:rsidRPr="00ED5246">
        <w:rPr>
          <w:rFonts w:ascii="Times New Roman" w:hAnsi="Times New Roman" w:cs="Times New Roman"/>
        </w:rPr>
        <w:fldChar w:fldCharType="end"/>
      </w:r>
      <w:r w:rsidRPr="00ED5246">
        <w:rPr>
          <w:rFonts w:ascii="Times New Roman" w:hAnsi="Times New Roman" w:cs="Times New Roman"/>
        </w:rPr>
        <w:t>; however, one study identified male gender as a facilitating factor</w:t>
      </w:r>
      <w:r>
        <w:rPr>
          <w:rFonts w:ascii="Times New Roman" w:hAnsi="Times New Roman" w:cs="Times New Roman"/>
        </w:rPr>
        <w:t xml:space="preserve"> (n=1)</w:t>
      </w:r>
      <w:r w:rsidRPr="00ED5246">
        <w:rPr>
          <w:rFonts w:ascii="Times New Roman" w:hAnsi="Times New Roman" w:cs="Times New Roman"/>
        </w:rPr>
        <w:t xml:space="preserve">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{"citationID":"zlIHEwPb","properties":{"formattedCitation":"[83]","plainCitation":"[83]","noteIndex":0},"citationItems":[{"id":36402,"uris":["http://zotero.org/groups/5108666/items/G55JGJVN"],"itemData":{"id":36402,"type":"article-journal","abstract":"Objectives: To investigate factors associated with lower likelihood of discharge to home from geriatric intermediate care facilities in Japan. Design: Retrospective cohort study. Setting: We used data from the nationwide long‐term care (LTC) insurance claims database (April 2012–March 2014). Participants: Study participants were 342,758 individuals newly admitted to 3,459 geriatric intermediate care facilities during the study period. Measurements: The primary outcome was discharge to home. We performed a multivariable competing‐risk Cox regression with adjustment for resident‐, facility‐, and region‐level characteristics. Resident level of care needs and several medical conditions were included as time‐varying covariates. Death, admission to a hospital, and admission to another LTC facility were treated as competing risks. Results: During the 2‐year follow‐up period, 19% of participants were discharged to home. In the multivariable competing‐risk Cox regression, the following factors were significantly associated with lower likelihood of discharge to home: older age, higher level of care need, having several medical conditions, private ownership of the facility, more beds in the facility, and more LTC facility beds per 1,000 adults aged 65 and older in the region. Conclusion: Only 19% of residents were discharged to home. Our results are useful for policy‐makers to promote discharge to home of older adults in geriatric intermediate care facilities.","archive":"cin20","container-title":"Journal of the American Geriatrics Society","DOI":"10.1111/jgs.15295","ISSN":"0002-8614","issue":"4","journalAbbreviation":"Journal of the American Geriatrics Society","page":"728-734","source":"EBSCOhost","title":"Factors Affecting Discharge to Home of Geriatric Intermediate Care Facility Residents in Japan.","volume":"66","author":[{"family":"Morita","given":"Kojiro"},{"family":"Ono","given":"Sachiko"},{"family":"Ishimaru","given":"Miho"},{"family":"Matsui","given":"Hiroki"},{"family":"Naruse","given":"Takashi"},{"family":"Yasunaga","given":"Hideo"}],"issued":{"date-parts":[["2018",4]]}}}],"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[83]</w:t>
      </w:r>
      <w:r w:rsidRPr="00ED5246">
        <w:rPr>
          <w:rFonts w:ascii="Times New Roman" w:hAnsi="Times New Roman" w:cs="Times New Roman"/>
        </w:rPr>
        <w:fldChar w:fldCharType="end"/>
      </w:r>
      <w:r w:rsidRPr="00ED5246">
        <w:rPr>
          <w:rFonts w:ascii="Times New Roman" w:hAnsi="Times New Roman" w:cs="Times New Roman"/>
        </w:rPr>
        <w:t>.</w:t>
      </w:r>
    </w:p>
    <w:p w14:paraId="6A2C2140" w14:textId="1CF78907" w:rsidR="005B0855" w:rsidRPr="00ED5246" w:rsidRDefault="005B0855" w:rsidP="00180C23">
      <w:pPr>
        <w:spacing w:after="0" w:line="480" w:lineRule="auto"/>
        <w:jc w:val="both"/>
        <w:rPr>
          <w:rFonts w:ascii="Times New Roman" w:hAnsi="Times New Roman" w:cs="Times New Roman"/>
        </w:rPr>
      </w:pPr>
      <w:bookmarkStart w:id="25" w:name="_Hlk184036929"/>
      <w:r w:rsidRPr="00ED5246">
        <w:rPr>
          <w:rFonts w:ascii="Times New Roman" w:hAnsi="Times New Roman" w:cs="Times New Roman"/>
        </w:rPr>
        <w:t xml:space="preserve">Race and ethnicity demonstrated consistent patterns, with non-white and Hispanic populations showing a higher likelihood of transitioning to home care (n=2)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{"citationID":"4WyGzTv0","properties":{"formattedCitation":"[79,82]","plainCitation":"[79,82]","noteIndex":0},"citationItems":[{"id":41777,"uris":["http://zotero.org/groups/5108666/items/3S9PXZAU"],"itemData":{"id":41777,"type":"article-journal","abstract":"INTRODUCTION: This study investigates the relationship between gender, the likelihood of discharge from institutional long-term care (LTC) facilities, and post-discharge living arrangements, highlighting sociodemographic, health, socioeconomic, and family characteristics., METHODS: We use the Health and Retirement Study to examine individuals age 65 and older admitted to LTC facilities between 2000 and 2010 (n = 3,351). We examine discharge patterns using survival analyses that account for the competing risk of death and estimate the probabilities of post-discharge living arrangements using multinomial logistic regression models., RESULTS: Women are more likely than men to be discharged from LTC facilities during the first year of stay. Women are more likely to live alone or with kin after discharge, whereas men are more likely to live with a spouse or transfer to another institution. Gender differences in the availability and use of family support may partly account for the gender disparity of LTC discharge and post-discharge living arrangements., CONCLUSION: Our findings suggest that women and men follow distinct pathways after LTC discharge. As local and federal efforts begin to place more emphasis on the transition from LTC facilities to prior communities (e.g., transitional care initiatives under the Patient Protection and Affordable Care Act), policymakers should take these gender differences into account in the design of community transition programs. Copyright © 2015 Jacobs Institute of Women's Health. Published by Elsevier Inc. All rights reserved.","archive":"Ovid MEDLINE(R) &lt;2015&gt;","container-title":"Women's health issues : official publication of the Jacobs Institute of Women's Health","DOI":"10.1016/j.whi.2015.04.010","ISSN":"1878-4321","issue":"5","journalAbbreviation":"Womens Health Issues","page":"441-9","title":"Gender Differences in Institutional Long-Term Care Transitions.","volume":"25","author":[{"family":"Mudrazija","given":"Stipica"},{"family":"Thomeer","given":"Mieke Beth"},{"family":"Angel","given":"Jacqueline L"}],"issued":{"date-parts":[["2015"]]}}},{"id":67873,"uris":["http://zotero.org/groups/5108666/items/JVV8GWQ2"],"itemData":{"id":67873,"type":"article-journal","abstract":"Objective\nTo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[79,82]</w:t>
      </w:r>
      <w:r w:rsidRPr="00ED5246">
        <w:rPr>
          <w:rFonts w:ascii="Times New Roman" w:hAnsi="Times New Roman" w:cs="Times New Roman"/>
        </w:rPr>
        <w:fldChar w:fldCharType="end"/>
      </w:r>
      <w:r w:rsidRPr="00ED5246">
        <w:rPr>
          <w:rFonts w:ascii="Times New Roman" w:hAnsi="Times New Roman" w:cs="Times New Roman"/>
        </w:rPr>
        <w:t xml:space="preserve">. </w:t>
      </w:r>
      <w:bookmarkEnd w:id="25"/>
      <w:r w:rsidRPr="00ED5246">
        <w:rPr>
          <w:rFonts w:ascii="Times New Roman" w:hAnsi="Times New Roman" w:cs="Times New Roman"/>
        </w:rPr>
        <w:t xml:space="preserve">Living arrangements were also influential, with quantitative studies indicating that support systems and larger households facilitated transitions (n=2)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{"citationID":"dQ9USpc7","properties":{"formattedCitation":"[79,86]","plainCitation":"[79,86]","noteIndex":0},"citationItems":[{"id":41777,"uris":["http://zotero.org/groups/5108666/items/3S9PXZAU"],"itemData":{"id":41777,"type":"article-journal","abstract":"INTRODUCTION: This study investigates the relationship between gender, the likelihood of discharge from institutional long-term care (LTC) facilities, and post-discharge living arrangements, highlighting sociodemographic, health, socioeconomic, and family characteristics., METHODS: We use the Health and Retirement Study to examine individuals age 65 and older admitted to LTC facilities between 2000 and 2010 (n = 3,351). We examine discharge patterns using survival analyses that account for the competing risk of death and estimate the probabilities of post-discharge living arrangements using multinomial logistic regression models., RESULTS: Women are more likely than men to be discharged from LTC facilities during the first year of stay. Women are more likely to live alone or with kin after discharge, whereas men are more likely to live with a spouse or transfer to another institution. Gender differences in the availability and use of family support may partly account for the gender disparity of LTC discharge and post-discharge living arrangements., CONCLUSION: Our findings suggest that women and men follow distinct pathways after LTC discharge. As local and federal efforts begin to place more emphasis on the transition from LTC facilities to prior communities (e.g., transitional care initiatives under the Patient Protection and Affordable Care Act), policymakers should take these gender differences into account in the design of community transition programs. Copyright © 2015 Jacobs Institute of Women's Health. Published by Elsevier Inc. All rights reserved.","archive":"Ovid MEDLINE(R) &lt;2015&gt;","container-title":"Women's health issues : official publication of the Jacobs Institute of Women's Health","DOI":"10.1016/j.whi.2015.04.010","ISSN":"1878-4321","issue":"5","journalAbbreviation":"Womens Health Issues","page":"441-9","title":"Gender Differences in Institutional Long-Term Care Transitions.","volume":"25","author":[{"family":"Mudrazija","given":"Stipica"},{"family":"Thomeer","given":"Mieke Beth"},{"family":"Angel","given":"Jacqueline L"}],"issued":{"date-parts":[["2015"]]}}},{"id":67881,"uris":["http://zotero.org/groups/5108666/items/MSJZJ5FT"],"itemData":{"id":67881,"type":"article-journal","abstract":"Minnesota's Return to Community Initiative (RTCI) is a novel, statewide initiative to assist private paying nursing home residents to return to the community and to remain in that setting without converting to Medicaid. The objective of this manuscript is to describe in detail RTCI's development and design, its key operational components, and characteristics of its clients and their care outcomes. Data on client characteristics and outcomes come from the Minimum Data Set, staff assessments of clients and caregivers, and Medicaid eligibility files. Most clients transitioned by the RTCI had entered the nursing facility from a hospital. Clients overwhelmingly wanted to return to the community and fit a health and functional profile making them good candidates for community discharge. Most clients went to a private residence, living alone or with a spouse; yet, adult children were the most frequent caregivers. At one year of follow-up 76% of individuals were alive and living in the community and only a small percentage (8.2%) had converted to Medicaid. The RTCI holds promise as a successful model for states to adopt in assisting individuals who are at risk to become long stay nursing home residents instead to return to the community.","container-title":"Geriatrics (Basel, Switzerland)","DOI":"10.3390/geriatrics3020018","ISSN":"2308-3417","issue":"2","journalAbbreviation":"Geriatrics (Basel)","language":"eng","note":"PMID: 30228977\nPMCID: PMC6139116","page":"18","source":"PubMed","title":"A Statewide Model for Assisting Nursing Home Residents to Transition Successfully to the Community","volume":"3","author":[{"family":"Buttke","given":"Darci"},{"family":"Cooke","given":"Valerie"},{"family":"Abrahamson","given":"Kathleen"},{"family":"Shippee","given":"Tetyana"},{"family":"Davila","given":"Heather"},{"family":"Kane","given":"Rosalie"},{"family":"Arling","given":"Greg"}],"issued":{"date-parts":[["2018",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[79,86]</w:t>
      </w:r>
      <w:r w:rsidRPr="00ED5246">
        <w:rPr>
          <w:rFonts w:ascii="Times New Roman" w:hAnsi="Times New Roman" w:cs="Times New Roman"/>
        </w:rPr>
        <w:fldChar w:fldCharType="end"/>
      </w:r>
      <w:r w:rsidRPr="00ED5246">
        <w:rPr>
          <w:rFonts w:ascii="Times New Roman" w:hAnsi="Times New Roman" w:cs="Times New Roman"/>
        </w:rPr>
        <w:t xml:space="preserve">. Conversely, both quantitative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{"citationID":"c7kc9qKu","properties":{"formattedCitation":"[85]","plainCitation":"[85]","noteIndex":0},"citationItems":[{"id":68098,"uris":["http://zotero.org/groups/5108666/items/MCXXW5UQ"],"itemData":{"id":68098,"type":"article-journal","abstract":"Background Recent long-term care facility (LTCF) policy has focused on transitioning nursing home (NH) residents back to community settings, yet we lack recent descriptions of this phenomenon and how it compares in assisted living (AL). Methods Using the National Health and Aging Trends Study, we studied adults over age 65 who had moved from community living into an LTCF between 2011 and 2018. Persons or their proxies reported residence in annual interviews. NH was defined by facility staff. ALs were multi-unit buildings helping with activities of daily living. We excluded temporary short-stay NH patients and independent AL residents. Our primary outcome was cumulative incidence of return to community living, with death as co-primary outcome and modeled as a competing risk, stratified by NH versus AL entry. We identified covariates (age, gender, race/ethnicity, dementia, activity limitations, and prior living arrangement) associated with return to community living through bivariate and multivariable logistic regression. Results Among 739 participants, weighted mean age was 84 years (SD 7.5), 66% were women, 13% were non-White, 57% had dementia, and 41% entered NH. At 1, 2, and 4 years, the cumulative incidence of return to community living was 2.9% (95% CIs: 1.9%–4.3%), 6.4% (4.7%–8.4%), and 7.4% (5.5%–9.8%); the cumulative incidence of death was 28% (95% CIs: 24%–31%), 44% (40%–48%) and 66% (61%–70%). Outcomes were similar in persons entering NH versus AL. Older persons (aOR 0.88, 95% CI 0.83–0.94), those with dementia (aOR 0.33, 95% CI 0.12–0.88), and those previously living alone (aOR 0.39, 95% CI 0.17–0.89) were less likely to return. Conclusions Few returned to community living after entering either NH or AL. Mortality was similar. Results highlight limits in transitioning persons out of LTCFs and the need to observe AL use to ensure policies do not merely displace persons between institutional care sectors.","container-title":"Journal of the American Geriatrics Society","DOI":"10.1111/jgs.18144","ISSN":"1532-5415","issue":"2","language":"en","license":"© 2022 The American Geriatrics Society.","note":"_eprint: https://agsjournals.onlinelibrary.wiley.com/doi/pdf/10.1111/jgs.18144","page":"569-576","source":"Wiley Online Library","title":"Return to community living and mortality after moving to a long-term care facility: A nationally representative cohort study","title-short":"Return to community living and mortality after moving to a long-term care facility","volume":"71","author":[{"family":"Lam","given":"Kenneth"},{"family":"Cenzer","given":"Irena"},{"family":"Covinsky","given":"Kenneth E."}],"issued":{"date-parts":[["2023"]]}}}],"schema":"https://github.com/citation-style-language/schema/raw/master/csl-citation.json"}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[85]</w:t>
      </w:r>
      <w:r w:rsidRPr="00ED5246">
        <w:rPr>
          <w:rFonts w:ascii="Times New Roman" w:hAnsi="Times New Roman" w:cs="Times New Roman"/>
        </w:rPr>
        <w:fldChar w:fldCharType="end"/>
      </w:r>
      <w:r w:rsidRPr="00ED5246">
        <w:rPr>
          <w:rFonts w:ascii="Times New Roman" w:hAnsi="Times New Roman" w:cs="Times New Roman"/>
        </w:rPr>
        <w:t xml:space="preserve"> and qualitative (n=2)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{"citationID":"rm9pOqaI","properties":{"formattedCitation":"[87,88]","plainCitation":"[87,88]","noteIndex":0},"citationItems":[{"id":69502,"uris":["http://zotero.org/users/7655466/items/GGYAM4UA"],"itemData":{"id":69502,"type":"article-journal","container-title":"Journal of the American Geriatrics Society","DOI":"10.1111/jgs.18260","ISSN":"1532-5415","issue":"2","language":"en","license":"© 2023 The Authors. Journal of the American Geriatrics Society published by Wiley Periodicals LLC on behalf of The American Geriatrics Society. This article has been contributed to by U.S. Government employees and their work is in the public domain in the USA. This article has been co-published in Public Policy &amp; Aging Report and Journal of the American Geriatrics Society. The articles are identical except for minor stylistic and spelling differences in keeping with each journal's style. Either citation can be used when citing this article.","note":"_eprint: https://onlinelibrary.wiley.com/doi/pdf/10.1111/jgs.18260","page":"342-348","source":"Wiley Online Library","title":"Paying for Nursing Home Quality: An Elusive But Important Goal","title-short":"Paying for Nursing Home Quality","volume":"71","author":[{"family":"Grabowski","given":"David C."},{"family":"Chen","given":"Amanda"},{"family":"Saliba","given":"Debra"}],"issued":{"date-parts":[["2023"]]}}},{"id":36332,"uris":["http://zotero.org/groups/5108666/items/JBNZPTJ7"],"itemData":{"id":36332,"type":"article-journal","abstract":"Background and Objectives Nursing homes are intended for older adults with the highest care needs. However, approximately 12% of all nursing home residents have similar care needs as older adults who live in the community and the reasons they are admitted to nursing homes is largely unstudied. The purpose of this study was to explore the reasons why lower-care nursing home residents are living in nursing homes. Research Design and Methods A qualitative interpretive description methodology was used to gather and analyze data describing lower-care nursing home resident and family member perspectives regarding factors influencing nursing home admission, including the facilitators and barriers to living in a community setting. Data were collected via semistructured interviews and field notes. Data were coded and sorted, and patterns were identified. This resulted in themes describing this experience. Results The main problem experienced by lower-care residents was living alone in the community. Residents and family members used many strategies to avoid safety crises in the community but experienced multiple care breakdowns in both community and health care settings. Nursing home admission was a strategy used to avoid a crisis when residents did not receive the needed support to remain in the community. Discussion and Implications To successfully remain in the community, older adults require specialized supports targeting mental health and substance use needs, as well as enhanced hospital discharge plans and improved information about community-based care options. Implications involve reforming policies and practices in both hospital and community-based care settings.","archive":"cin20","container-title":"Gerontologist","DOI":"10.1093/geront/gnaa077","ISSN":"0016-9013","issue":"8","journalAbbreviation":"Gerontologist","page":"1504-1514","source":"EBSCOhost","title":"No Other Safe Care Option: Nursing Home Admission as a Last Resort Strategy.","volume":"60","author":[{"family":"Campbell-Enns","given":"Heather J"},{"family":"Campbell","given":"Megan"},{"family":"Rieger","given":"Kendra L"},{"family":"Thompson","given":"Genevieve N"},{"family":"Doupe","given":"Malcolm B"}],"issued":{"date-parts":[["2020",12]]}}}],"schema":"https://github.com/citation-style-language/schema/raw/master/csl-citation.json"}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[87,88]</w:t>
      </w:r>
      <w:r w:rsidRPr="00ED5246">
        <w:rPr>
          <w:rFonts w:ascii="Times New Roman" w:hAnsi="Times New Roman" w:cs="Times New Roman"/>
        </w:rPr>
        <w:fldChar w:fldCharType="end"/>
      </w:r>
      <w:r w:rsidRPr="00ED5246">
        <w:rPr>
          <w:rFonts w:ascii="Times New Roman" w:hAnsi="Times New Roman" w:cs="Times New Roman"/>
        </w:rPr>
        <w:t xml:space="preserve"> studies identified living alone and social isolation as barriers.</w:t>
      </w:r>
      <w:r>
        <w:rPr>
          <w:rFonts w:ascii="Times New Roman" w:hAnsi="Times New Roman" w:cs="Times New Roman"/>
        </w:rPr>
        <w:t xml:space="preserve"> </w:t>
      </w:r>
      <w:r w:rsidRPr="00ED5246">
        <w:rPr>
          <w:rFonts w:ascii="Times New Roman" w:hAnsi="Times New Roman" w:cs="Times New Roman"/>
        </w:rPr>
        <w:t xml:space="preserve">Marital status also played a role, as being married facilitated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ZNBq8BkN","properties":{"formattedCitation":"[81]","plainCitation":"[81]","noteIndex":0},"citationItems":[{"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[81]</w:t>
      </w:r>
      <w:r w:rsidRPr="00ED5246">
        <w:rPr>
          <w:rFonts w:ascii="Times New Roman" w:hAnsi="Times New Roman" w:cs="Times New Roman"/>
        </w:rPr>
        <w:fldChar w:fldCharType="end"/>
      </w:r>
      <w:r w:rsidRPr="00ED5246">
        <w:rPr>
          <w:rFonts w:ascii="Times New Roman" w:hAnsi="Times New Roman" w:cs="Times New Roman"/>
        </w:rPr>
        <w:t xml:space="preserve">, while being unmarried hindered them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atuhhSSt","properties":{"formattedCitation":"[84]","plainCitation":"[84]","noteIndex":0},"citationItems":[{"id":47119,"uris":["http://zotero.org/groups/5108666/items/69JBZ28F"],"itemData":{"id":47119,"type":"article-journal","archive":"Scopus","container-title":"Journal of Applied Gerontology","DOI":"10.1177/0733464818807818","issue":"8","page":"863-870","title":"Shall I Stay or Shall I Go? The Choice to Remain in the Nursing Home Among Residents With High Potential for Discharge","volume":"39","author":[{"family":"Abrahamson","given":"K."},{"family":"Hass","given":"Z."},{"family":"Arling","given":"G."}],"issued":{"date-parts":[["2020"]]}}}],"schema":"https://github.com/citation-style-language/schema/raw/master/csl-citation.json"}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[84]</w:t>
      </w:r>
      <w:r w:rsidRPr="00ED5246">
        <w:rPr>
          <w:rFonts w:ascii="Times New Roman" w:hAnsi="Times New Roman" w:cs="Times New Roman"/>
        </w:rPr>
        <w:fldChar w:fldCharType="end"/>
      </w:r>
      <w:r w:rsidRPr="00ED5246">
        <w:rPr>
          <w:rFonts w:ascii="Times New Roman" w:hAnsi="Times New Roman" w:cs="Times New Roman"/>
        </w:rPr>
        <w:t xml:space="preserve">. In terms of socioeconomic factors, higher median family income supported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{"citationID":"GuCTLk9U","properties":{"formattedCitation":"[89]","plainCitation":"[89]","noteIndex":0},"citationItems":[{"id":67912,"uris":["http://zotero.org/groups/5108666/items/TAJEC4G8"],"itemData":{"id":67912,"type":"article-journal","abstract":"OBJECTIVES: Successful discharge of nursing home (NH) residents to community has been reported in Nursing Home Compare (NHCompare) as a quality indicator, yet it is likely influenced by the availability of home- and community-based services (HCBS). Medicaid NH reimbursement rates and bed-hold policies have been shown to be related to quality of care, which may also affect successful discharge. This study explores the relationship of state Medicaid long-term care policies and successful discharge.\nDESIGN: Longitudinal study of Medicaid policies and NHCompare successful discharge rates over 3 time periods, 2014-2015, 2015-2016, and 2016-2017, using generalized estimating equation models.\nSETTING AND PARTICIPANTS: 11,694 unique NHs.\nMEASURES: Risk-adjusted rates of successful discharge were downloaded from NHCompare. Truven's \"Medicaid Expenditures for Long-term Services and Supports\" reports provided states' expenditures on HCBS and NHs. Details of bed-hold policies in 2014 were obtained from the Medicaid and CHIP Payment and Access Commission. Data on NH and market characteristics were extracted from LTCFocUs.org and Area Health Resources File.\nRESULTS: The national average-adjusted successful discharge rates were 49.7%, 56.8%, and 56.2% in 2014-2015, 2015-2016, and 2016-2017, respectively. In 2015, states spent between 30.6% (Mississippi) and 82.2% (Oregon) on HCBS, with an overall average of 53.1%. States reimbursed NHs, on average, $185.7 per resident day. Five percent increase in Medicaid spending for HCBS was statistically significantly associated with 0.47% higher successful discharge rates. Compared to NHs in states with reimbursement rates in the first quartile (≤$152), NHs in the second ($153-$178), third ($179-$212), and fourth (≥$213) quartiles were associated with 2.33%, 1.86%, and 1.15% higher successful discharge rates (all P &lt; .01). Results were stronger in states without bed-hold policies.\nCONCLUSIONS/IMPLICATIONS: This study provides promising evidence to state governments that shifting expenditures from institutions to communities as well as more generous reimbursements to NHs may improve quality of care in NHs.","container-title":"Journal of the American Medical Directors Association","DOI":"10.1016/j.jamda.2019.01.153","ISSN":"1538-9375","issue":"2","journalAbbreviation":"J Am Med Dir Assoc","language":"eng","note":"PMID: 30922865","page":"248-253.e1","source":"PubMed","title":"Medicaid Long-term Care Policies and Rates of Nursing Home Successful Discharge to Community","volume":"21","author":[{"family":"Xu","given":"Huiwen"},{"family":"Intrator","given":"Orna"}],"issued":{"date-parts":[["2020",2]]}}}],"schema":"https://github.com/citation-style-language/schema/raw/master/csl-citation.json"}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[89]</w:t>
      </w:r>
      <w:r w:rsidRPr="00ED5246">
        <w:rPr>
          <w:rFonts w:ascii="Times New Roman" w:hAnsi="Times New Roman" w:cs="Times New Roman"/>
        </w:rPr>
        <w:fldChar w:fldCharType="end"/>
      </w:r>
      <w:r w:rsidRPr="00ED5246">
        <w:rPr>
          <w:rFonts w:ascii="Times New Roman" w:hAnsi="Times New Roman" w:cs="Times New Roman"/>
        </w:rPr>
        <w:t xml:space="preserve">, whereas housing challenges posed barriers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{"citationID":"58xhmYy4","properties":{"formattedCitation":"[82]","plainCitation":"[82]","noteIndex":0},"citationItems":[{"id":67873,"uris":["http://zotero.org/groups/5108666/items/JVV8GWQ2"],"itemData":{"id":67873,"type":"article-journal","abstract":"Objective\nTo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[82]</w:t>
      </w:r>
      <w:r w:rsidRPr="00ED5246">
        <w:rPr>
          <w:rFonts w:ascii="Times New Roman" w:hAnsi="Times New Roman" w:cs="Times New Roman"/>
        </w:rPr>
        <w:fldChar w:fldCharType="end"/>
      </w:r>
      <w:r w:rsidRPr="00ED5246">
        <w:rPr>
          <w:rFonts w:ascii="Times New Roman" w:hAnsi="Times New Roman" w:cs="Times New Roman"/>
        </w:rPr>
        <w:t>.</w:t>
      </w:r>
    </w:p>
    <w:p w14:paraId="3A047B34" w14:textId="5878125E"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b/>
          <w:bCs/>
        </w:rPr>
        <w:t xml:space="preserve">Caregiver support. </w:t>
      </w:r>
      <w:r w:rsidRPr="00ED5246">
        <w:rPr>
          <w:rFonts w:ascii="Times New Roman" w:hAnsi="Times New Roman" w:cs="Times New Roman"/>
        </w:rPr>
        <w:t xml:space="preserve">Multiple aspects of caregiver support were influential in transitions from LTC to home care. Facilitating factors were identified across various study types. Mixed methods research underscored the importance of primary caregiver availability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{"citationID":"rzxIcvc5","properties":{"formattedCitation":"[86]","plainCitation":"[86]","noteIndex":0},"citationItems":[{"id":67881,"uris":["http://zotero.org/groups/5108666/items/MSJZJ5FT"],"itemData":{"id":67881,"type":"article-journal","abstract":"Minnesota's Return to Community Initiative (RTCI) is a novel, statewide initiative to assist private paying nursing home residents to return to the community and to remain in that setting without converting to Medicaid. The objective of this manuscript is to describe in detail RTCI's development and design, its key operational components, and characteristics of its clients and their care outcomes. Data on client characteristics and outcomes come from the Minimum Data Set, staff assessments of clients and caregivers, and Medicaid eligibility files. Most clients transitioned by the RTCI had entered the nursing facility from a hospital. Clients overwhelmingly wanted to return to the community and fit a health and functional profile making them good candidates for community discharge. Most clients went to a private residence, living alone or with a spouse; yet, adult children were the most frequent caregivers. At one year of follow-up 76% of individuals were alive and living in the community and only a small percentage (8.2%) had converted to Medicaid. The RTCI holds promise as a successful model for states to adopt in assisting individuals who are at risk to become long stay nursing home residents instead to return to the community.","container-title":"Geriatrics (Basel, Switzerland)","DOI":"10.3390/geriatrics3020018","ISSN":"2308-3417","issue":"2","journalAbbreviation":"Geriatrics (Basel)","language":"eng","note":"PMID: 30228977\nPMCID: PMC6139116","page":"18","source":"PubMed","title":"A Statewide Model for Assisting Nursing Home Residents to Transition Successfully to the Community","volume":"3","author":[{"family":"Buttke","given":"Darci"},{"family":"Cooke","given":"Valerie"},{"family":"Abrahamson","given":"Kathleen"},{"family":"Shippee","given":"Tetyana"},{"family":"Davila","given":"Heather"},{"family":"Kane","given":"Rosalie"},{"family":"Arling","given":"Greg"}],"issued":{"date-parts":[["2018",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[86]</w:t>
      </w:r>
      <w:r w:rsidRPr="00ED5246">
        <w:rPr>
          <w:rFonts w:ascii="Times New Roman" w:hAnsi="Times New Roman" w:cs="Times New Roman"/>
        </w:rPr>
        <w:fldChar w:fldCharType="end"/>
      </w:r>
      <w:r w:rsidRPr="00ED5246">
        <w:rPr>
          <w:rFonts w:ascii="Times New Roman" w:hAnsi="Times New Roman" w:cs="Times New Roman"/>
        </w:rPr>
        <w:t xml:space="preserve">, review evidence highlighted the overall significance of caregiver support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aPMxlPCQ","properties":{"formattedCitation":"[81]","plainCitation":"[81]","noteIndex":0},"citationItems":[{"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[81]</w:t>
      </w:r>
      <w:r w:rsidRPr="00ED5246">
        <w:rPr>
          <w:rFonts w:ascii="Times New Roman" w:hAnsi="Times New Roman" w:cs="Times New Roman"/>
        </w:rPr>
        <w:fldChar w:fldCharType="end"/>
      </w:r>
      <w:r w:rsidRPr="00ED5246">
        <w:rPr>
          <w:rFonts w:ascii="Times New Roman" w:hAnsi="Times New Roman" w:cs="Times New Roman"/>
        </w:rPr>
        <w:t xml:space="preserve">, and qualitative research demonstrated the positive impact of strong care partner support and resources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{"citationID":"mh6AsWbU","properties":{"formattedCitation":"[90]","plainCitation":"[90]","noteIndex":0},"citationItems":[{"id":69679,"uris":["http://zotero.org/users/7655466/items/8RE64QCK"],"itemData":{"id":69679,"type":"article-journal","abstract":"The COVID-19 pandemic appears to have shifted the care trajectories of many residents and care partners in Ontario who considered leaving LTC to live in the community for a portion or the duration of the pandemic. This type of care transition-from LTC to home care-was highly uncommon prior to the pandemic, therefore we know relatively little about the planning and decision-making involved. The aim of this study was to describe who was involved in LTC to home care transitions in Ontario during the COVID-19 pandemic, to what extent, and the factors that guided their decision-making. A qualitative description study involving semi-structured interviews with 32 residents, care partners and health professionals was conducted. Transition decisions were largely made by care partners, with varied input from residents or health professionals. Stakeholders considered seven factors, previously identified in a scoping review, when making their transition decisions: (a) institutional priorities and requirements; (b) resources; (c) knowledge; (d) risk; (e) group structure and dynamic; (f) health and support needs; and (g) personality preferences and beliefs. Participants' emotional responses to the pandemic also influenced the perceived need to pursue a care transition. The findings of this research provide insights towards the planning required to support LTC to home care transitions, and the many challenges that arise during decision-making.","container-title":"PloS One","DOI":"10.1371/journal.pone.0295865","ISSN":"1932-6203","issue":"12","journalAbbreviation":"PLoS One","language":"eng","note":"PMID: 38100397\nPMCID: PMC10723734","page":"e0295865","source":"PubMed","title":"Long-term care transitions during a global pandemic: Planning and decision-making of residents, care partners, and health professionals in Ontario, Canada","title-short":"Long-term care transitions during a global pandemic","volume":"18","author":[{"family":"Carbone","given":"Sarah"},{"family":"Berta","given":"Whitney"},{"family":"Law","given":"Susan"},{"family":"Kuluski","given":"Kerry"}],"issued":{"date-parts":[["2023"]]}}}],"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[90]</w:t>
      </w:r>
      <w:r w:rsidRPr="00ED5246">
        <w:rPr>
          <w:rFonts w:ascii="Times New Roman" w:hAnsi="Times New Roman" w:cs="Times New Roman"/>
        </w:rPr>
        <w:fldChar w:fldCharType="end"/>
      </w:r>
      <w:r w:rsidRPr="00ED5246">
        <w:rPr>
          <w:rFonts w:ascii="Times New Roman" w:hAnsi="Times New Roman" w:cs="Times New Roman"/>
        </w:rPr>
        <w:t xml:space="preserve">. However, several caregiving-related barriers were also documented. Quantitative studies identified issues with family members and unpaid caregivers as obstacles to successful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{"citationID":"36c4gVQG","properties":{"formattedCitation":"[82]","plainCitation":"[82]","noteIndex":0},"citationItems":[{"id":67873,"uris":["http://zotero.org/groups/5108666/items/JVV8GWQ2"],"itemData":{"id":67873,"type":"article-journal","abstract":"Objective\nTo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[82]</w:t>
      </w:r>
      <w:r w:rsidRPr="00ED5246">
        <w:rPr>
          <w:rFonts w:ascii="Times New Roman" w:hAnsi="Times New Roman" w:cs="Times New Roman"/>
        </w:rPr>
        <w:fldChar w:fldCharType="end"/>
      </w:r>
      <w:r w:rsidRPr="00ED5246">
        <w:rPr>
          <w:rFonts w:ascii="Times New Roman" w:hAnsi="Times New Roman" w:cs="Times New Roman"/>
        </w:rPr>
        <w:t xml:space="preserve">. Qualitative research pointed to insufficient family caregiving support and the potential for caregiver burnout as significant barriers (n=2)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{"citationID":"DDJpAz3r","properties":{"formattedCitation":"[88,90]","plainCitation":"[88,90]","noteIndex":0},"citationItems":[{"id":36332,"uris":["http://zotero.org/groups/5108666/items/JBNZPTJ7"],"itemData":{"id":36332,"type":"article-journal","abstract":"Background and Objectives Nursing homes are intended for older adults with the highest care needs. However, approximately 12% of all nursing home residents have similar care needs as older adults who live in the community and the reasons they are admitted to nursing homes is largely unstudied. The purpose of this study was to explore the reasons why lower-care nursing home residents are living in nursing homes. Research Design and Methods A qualitative interpretive description methodology was used to gather and analyze data describing lower-care nursing home resident and family member perspectives regarding factors influencing nursing home admission, including the facilitators and barriers to living in a community setting. Data were collected via semistructured interviews and field notes. Data were coded and sorted, and patterns were identified. This resulted in themes describing this experience. Results The main problem experienced by lower-care residents was living alone in the community. Residents and family members used many strategies to avoid safety crises in the community but experienced multiple care breakdowns in both community and health care settings. Nursing home admission was a strategy used to avoid a crisis when residents did not receive the needed support to remain in the community. Discussion and Implications To successfully remain in the community, older adults require specialized supports targeting mental health and substance use needs, as well as enhanced hospital discharge plans and improved information about community-based care options. Implications involve reforming policies and practices in both hospital and community-based care settings.","archive":"cin20","container-title":"Gerontologist","DOI":"10.1093/geront/gnaa077","ISSN":"0016-9013","issue":"8","journalAbbreviation":"Gerontologist","page":"1504-1514","source":"EBSCOhost","title":"No Other Safe Care Option: Nursing Home Admission as a Last Resort Strategy.","volume":"60","author":[{"family":"Campbell-Enns","given":"Heather J"},{"family":"Campbell","given":"Megan"},{"family":"Rieger","given":"Kendra L"},{"family":"Thompson","given":"Genevieve N"},{"family":"Doupe","given":"Malcolm B"}],"issued":{"date-parts":[["2020",12]]}}},{"id":69679,"uris":["http://zotero.org/users/7655466/items/8RE64QCK"],"itemData":{"id":69679,"type":"article-journal","abstract":"The COVID-19 pandemic appears to have shifted the care trajectories of many residents and care partners in Ontario who considered leaving LTC to live in the community for a portion or the duration of the pandemic. This type of care transition-from LTC to home care-was highly uncommon prior to the pandemic, therefore we know relatively little about the planning and decision-making involved. The aim of this study was to describe who was involved in LTC to home care transitions in Ontario during the COVID-19 pandemic, to what extent, and the factors that guided their decision-making. A qualitative description study involving semi-structured interviews with 32 residents, care partners and health professionals was conducted. Transition decisions were largely made by care partners, with varied input from residents or health professionals. Stakeholders considered seven factors, previously identified in a scoping review, when making their transition decisions: (a) institutional priorities and requirements; (b) resources; (c) knowledge; (d) risk; (e) group structure and dynamic; (f) health and support needs; and (g) personality preferences and beliefs. Participants' emotional responses to the pandemic also influenced the perceived need to pursue a care transition. The findings of this research provide insights towards the planning required to support LTC to home care transitions, and the many challenges that arise during decision-making.","container-title":"PloS One","DOI":"10.1371/journal.pone.0295865","ISSN":"1932-6203","issue":"12","journalAbbreviation":"PLoS One","language":"eng","note":"PMID: 38100397\nPMCID: PMC10723734","page":"e0295865","source":"PubMed","title":"Long-term care transitions during a global pandemic: Planning and decision-making of residents, care partners, and health professionals in Ontario, Canada","title-short":"Long-term care transitions during a global pandemic","volume":"18","author":[{"family":"Carbone","given":"Sarah"},{"family":"Berta","given":"Whitney"},{"family":"Law","given":"Susan"},{"family":"Kuluski","given":"Kerry"}],"issued":{"date-parts":[["2023"]]}}}],"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[88,90]</w:t>
      </w:r>
      <w:r w:rsidRPr="00ED5246">
        <w:rPr>
          <w:rFonts w:ascii="Times New Roman" w:hAnsi="Times New Roman" w:cs="Times New Roman"/>
        </w:rPr>
        <w:fldChar w:fldCharType="end"/>
      </w:r>
      <w:r w:rsidRPr="00ED5246">
        <w:rPr>
          <w:rFonts w:ascii="Times New Roman" w:hAnsi="Times New Roman" w:cs="Times New Roman"/>
        </w:rPr>
        <w:t xml:space="preserve">. Mixed methods research further emphasized high caregiver burden as a major challenge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{"citationID":"lcv7Jc66","properties":{"formattedCitation":"[91]","plainCitation":"[91]","noteIndex":0},"citationItems":[{"id":67876,"uris":["http://zotero.org/groups/5108666/items/NCLTYAMA"],"itemData":{"id":67876,"type":"article-journal","abstract":"This study examined experiences of 156 informal caregivers of older adults who transitioned to the community through the Connecticut Money Follows the Person (MFP) Rebalancing Demonstration after prolonged nursing home stays. Caregiver burden, positive aspects of caregiving, depressive symptoms, anxiety, and comparative subjective stress were examined in relation to caregiver demographics and care receiver characteristics with a cross-sectional survey. Caregivers reported low burden, depressive symptoms, and anxiety, and fairly high levels of positive aspects of caregiving and satisfaction with community services. Most caregivers were less stressed compared to the time the care recipient was in, or before they entered, a nursing home. Live-in caregivers experienced more positive aspects of caregiving, but adult children reported higher burden than other caregivers. Unmet service needs also increased caregiver burden. Programs like MFP are a viable option with broadly positive outcomes from a caregiver's perspective. Enthusiasm for increasing access to community care is growing for older adults who otherwise would reside in nursing homes for extended periods. Identifying unmet service needs and needs for targeted functional support could further enhance caregiver experiences and contribute to the successful transition of older adults to the community.","container-title":"Journal of Aging &amp; Social Policy","DOI":"10.1080/08959420.2016.1187034","ISSN":"1545-0821","issue":"1","journalAbbreviation":"J Aging Soc Policy","language":"eng","note":"PMID: 27195447","page":"20-34","source":"PubMed","title":"Experiences of Informal Caregivers of Older Adults Transitioned From Nursing Homes to the Community Through the Money Follows the Person Demonstration","volume":"29","author":[{"family":"Kristof","given":"Lorand"},{"family":"Fortinsky","given":"Richard H."},{"family":"Kellett","given":"Kathy"},{"family":"Porter","given":"Martha"},{"family":"Robison","given":"Julie"}],"issued":{"date-parts":[["2017"]]}}}],"schema":"https://github.com/citation-style-language/schema/raw/master/csl-citation.json"}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[91]</w:t>
      </w:r>
      <w:r w:rsidRPr="00ED5246">
        <w:rPr>
          <w:rFonts w:ascii="Times New Roman" w:hAnsi="Times New Roman" w:cs="Times New Roman"/>
        </w:rPr>
        <w:fldChar w:fldCharType="end"/>
      </w:r>
      <w:r w:rsidRPr="00ED5246">
        <w:rPr>
          <w:rFonts w:ascii="Times New Roman" w:hAnsi="Times New Roman" w:cs="Times New Roman"/>
        </w:rPr>
        <w:t>.</w:t>
      </w:r>
    </w:p>
    <w:p w14:paraId="58F74365" w14:textId="57147BF1" w:rsidR="005B0855" w:rsidRPr="00ED5246" w:rsidRDefault="005B0855" w:rsidP="00180C23">
      <w:pPr>
        <w:spacing w:after="0" w:line="480" w:lineRule="auto"/>
        <w:jc w:val="both"/>
        <w:rPr>
          <w:rFonts w:ascii="Times New Roman" w:hAnsi="Times New Roman" w:cs="Times New Roman"/>
        </w:rPr>
      </w:pPr>
      <w:bookmarkStart w:id="26" w:name="_Hlk182840964"/>
      <w:r w:rsidRPr="00ED5246">
        <w:rPr>
          <w:rFonts w:ascii="Times New Roman" w:hAnsi="Times New Roman" w:cs="Times New Roman"/>
          <w:b/>
          <w:bCs/>
        </w:rPr>
        <w:t xml:space="preserve">Health conditions. </w:t>
      </w:r>
      <w:r w:rsidRPr="00ED5246">
        <w:rPr>
          <w:rFonts w:ascii="Times New Roman" w:hAnsi="Times New Roman" w:cs="Times New Roman"/>
        </w:rPr>
        <w:t>Cognitive impairment</w:t>
      </w:r>
      <w:r>
        <w:rPr>
          <w:rFonts w:ascii="Times New Roman" w:hAnsi="Times New Roman" w:cs="Times New Roman"/>
        </w:rPr>
        <w:t>, particularly dementia and memory-related problems,</w:t>
      </w:r>
      <w:r w:rsidRPr="00ED5246">
        <w:rPr>
          <w:rFonts w:ascii="Times New Roman" w:hAnsi="Times New Roman" w:cs="Times New Roman"/>
        </w:rPr>
        <w:t xml:space="preserve"> stand</w:t>
      </w:r>
      <w:r>
        <w:rPr>
          <w:rFonts w:ascii="Times New Roman" w:hAnsi="Times New Roman" w:cs="Times New Roman"/>
        </w:rPr>
        <w:t>s</w:t>
      </w:r>
      <w:r w:rsidRPr="00ED5246">
        <w:rPr>
          <w:rFonts w:ascii="Times New Roman" w:hAnsi="Times New Roman" w:cs="Times New Roman"/>
        </w:rPr>
        <w:t xml:space="preserve"> out as a major barrier </w:t>
      </w:r>
      <w:r>
        <w:rPr>
          <w:rFonts w:ascii="Times New Roman" w:hAnsi="Times New Roman" w:cs="Times New Roman"/>
        </w:rPr>
        <w:t>to transitioning</w:t>
      </w:r>
      <w:r w:rsidRPr="00ED5246">
        <w:rPr>
          <w:rFonts w:ascii="Times New Roman" w:hAnsi="Times New Roman" w:cs="Times New Roman"/>
        </w:rPr>
        <w:t xml:space="preserve"> from LTC to home care</w:t>
      </w:r>
      <w:r>
        <w:rPr>
          <w:rFonts w:ascii="Times New Roman" w:hAnsi="Times New Roman" w:cs="Times New Roman"/>
        </w:rPr>
        <w:t>. This is</w:t>
      </w:r>
      <w:r w:rsidRPr="00ED5246">
        <w:rPr>
          <w:rFonts w:ascii="Times New Roman" w:hAnsi="Times New Roman" w:cs="Times New Roman"/>
        </w:rPr>
        <w:t xml:space="preserve"> frequently cited in quantitative studies </w:t>
      </w:r>
      <w:r w:rsidRPr="00ED5246">
        <w:rPr>
          <w:rFonts w:ascii="Times New Roman" w:hAnsi="Times New Roman" w:cs="Times New Roman"/>
        </w:rPr>
        <w:lastRenderedPageBreak/>
        <w:t xml:space="preserve">(n=7)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Azh1geox","properties":{"formattedCitation":"[79,80,82\\uc0\\u8211{}85,92]","plainCitation":"[79,80,82–85,92]","noteIndex":0},"citationItems":[{"id":41777,"uris":["http://zotero.org/groups/5108666/items/3S9PXZAU"],"itemData":{"id":41777,"type":"article-journal","abstract":"INTRODUCTION: This study investigates the relationship between gender, the likelihood of discharge from institutional long-term care (LTC) facilities, and post-discharge living arrangements, highlighting sociodemographic, health, socioeconomic, and family characteristics., METHODS: We use the Health and Retirement Study to examine individuals age 65 and older admitted to LTC facilities between 2000 and 2010 (n = 3,351). We examine discharge patterns using survival analyses that account for the competing risk of death and estimate the probabilities of post-discharge living arrangements using multinomial logistic regression models., RESULTS: Women are more likely than men to be discharged from LTC facilities during the first year of stay. Women are more likely to live alone or with kin after discharge, whereas men are more likely to live with a spouse or transfer to another institution. Gender differences in the availability and use of family support may partly account for the gender disparity of LTC discharge and post-discharge living arrangements., CONCLUSION: Our findings suggest that women and men follow distinct pathways after LTC discharge. As local and federal efforts begin to place more emphasis on the transition from LTC facilities to prior communities (e.g., transitional care initiatives under the Patient Protection and Affordable Care Act), policymakers should take these gender differences into account in the design of community transition programs. Copyright © 2015 Jacobs Institute of Women's Health. Published by Elsevier Inc. All rights reserved.","archive":"Ovid MEDLINE(R) &lt;2015&gt;","container-title":"Women's health issues : official publication of the Jacobs Institute of Women's Health","DOI":"10.1016/j.whi.2015.04.010","ISSN":"1878-4321","issue":"5","journalAbbreviation":"Womens Health Issues","page":"441-9","title":"Gender Differences in Institutional Long-Term Care Transitions.","volume":"25","author":[{"family":"Mudrazija","given":"Stipica"},{"family":"Thomeer","given":"Mieke Beth"},{"family":"Angel","given":"Jacqueline L"}],"issued":{"date-parts":[["2015"]]}}},{"id":48873,"uris":["http://zotero.org/groups/5108666/items/WPRD4GNF"],"itemData":{"id":48873,"type":"article-journal","archive":"Scopus","container-title":"Health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id":36402,"uris":["http://zotero.org/groups/5108666/items/G55JGJVN"],"itemData":{"id":36402,"type":"article-journal","abstract":"Objectives: To investigate factors associated with lower likelihood of discharge to home from geriatric intermediate care facilities in Japan. Design: Retrospective cohort study. Setting: We used data from the nationwide long‐term care (LTC) insurance claims database (April 2012–March 2014). Participants: Study participants were 342,758 individuals newly admitted to 3,459 geriatric intermediate care facilities during the study period. Measurements: The primary outcome was discharge to home. We performed a multivariable competing‐risk Cox regression with adjustment for resident‐, facility‐, and region‐level characteristics. Resident level of care needs and several medical conditions were included as time‐varying covariates. Death, admission to a hospital, and admission to another LTC facility were treated as competing risks. Results: During the 2‐year follow‐up period, 19% of participants were discharged to home. In the multivariable competing‐risk Cox regression, the following factors were significantly associated with lower likelihood of discharge to home: older age, higher level of care need, having several medical conditions, private ownership of the facility, more beds in the facility, and more LTC facility beds per 1,000 adults aged 65 and older in the region. Conclusion: Only 19% of residents were discharged to home. Our results are useful for policy‐makers to promote discharge to home of older adults in geriatric intermediate care facilities.","archive":"cin20","container-title":"Journal of the American Geriatrics Society","DOI":"10.1111/jgs.15295","ISSN":"0002-8614","issue":"4","journalAbbreviation":"Journal of the American Geriatrics Society","page":"728-734","source":"EBSCOhost","title":"Factors Affecting Discharge to Home of Geriatric Intermediate Care Facility Residents in Japan.","volume":"66","author":[{"family":"Morita","given":"Kojiro"},{"family":"Ono","given":"Sachiko"},{"family":"Ishimaru","given":"Miho"},{"family":"Matsui","given":"Hiroki"},{"family":"Naruse","given":"Takashi"},{"family":"Yasunaga","given":"Hideo"}],"issued":{"date-parts":[["2018",4]]}}},{"id":47119,"uris":["http://zotero.org/groups/5108666/items/69JBZ28F"],"itemData":{"id":47119,"type":"article-journal","archive":"Scopus","container-title":"Journal of Applied Gerontology","DOI":"10.1177/0733464818807818","issue":"8","page":"863-870","title":"Shall I Stay or Shall I Go? The Choice to Remain in the Nursing Home Among Residents With High Potential for Discharge","volume":"39","author":[{"family":"Abrahamson","given":"K."},{"family":"Hass","given":"Z."},{"family":"Arling","given":"G."}],"issued":{"date-parts":[["2020"]]}}},{"id":68098,"uris":["http://zotero.org/groups/5108666/items/MCXXW5UQ"],"itemData":{"id":68098,"type":"article-journal","abstract":"Background Recent long-term care facility (LTCF) policy has focused on transitioning nursing home (NH) residents back to community settings, yet we lack recent descriptions of this phenomenon and how it compares in assisted living (AL). Methods Using the National Health and Aging Trends Study, we studied adults over age 65 who had moved from community living into an LTCF between 2011 and 2018. Persons or their proxies reported residence in annual interviews. NH was defined by facility staff. ALs were multi-unit buildings helping with activities of daily living. We excluded temporary short-stay NH patients and independent AL residents. Our primary outcome was cumulative incidence of return to community living, with death as co-primary outcome and modeled as a competing risk, stratified by NH versus AL entry. We identified covariates (age, gender, race/ethnicity, dementia, activity limitations, and prior living arrangement) associated with return to community living through bivariate and multivariable logistic regression. Results Among 739 participants, weighted mean age was 84 years (SD 7.5), 66% were women, 13% were non-White, 57% had dementia, and 41% entered NH. At 1, 2, and 4 years, the cumulative incidence of return to community living was 2.9% (95% CIs: 1.9%–4.3%), 6.4% (4.7%–8.4%), and 7.4% (5.5%–9.8%); the cumulative incidence of death was 28% (95% CIs: 24%–31%), 44% (40%–48%) and 66% (61%–70%). Outcomes were similar in persons entering NH versus AL. Older persons (aOR 0.88, 95% CI 0.83–0.94), those with dementia (aOR 0.33, 95% CI 0.12–0.88), and those previously living alone (aOR 0.39, 95% CI 0.17–0.89) were less likely to return. Conclusions Few returned to community living after entering either NH or AL. Mortality was similar. Results highlight limits in transitioning persons out of LTCFs and the need to observe AL use to ensure policies do not merely displace persons between institutional care sectors.","container-title":"Journal of the American Geriatrics Society","DOI":"10.1111/jgs.18144","ISSN":"1532-5415","issue":"2","language":"en","license":"© 2022 The American Geriatrics Society.","note":"_eprint: https://agsjournals.onlinelibrary.wiley.com/doi/pdf/10.1111/jgs.18144","page":"569-576","source":"Wiley Online Library","title":"Return to community living and mortality after moving to a long-term care facility: A nationally representative cohort study","title-short":"Return to community living and mortality after moving to a long-term care facility","volume":"71","author":[{"family":"Lam","given":"Kenneth"},{"family":"Cenzer","given":"Irena"},{"family":"Covinsky","given":"Kenneth E."}],"issued":{"date-parts":[["2023"]]}}},{"id":38750,"uris":["http://zotero.org/groups/5108666/items/8M4LXWMW"],"itemData":{"id":38750,"type":"article-journal","abstract":"Objective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[79,80,82–85,92]</w:t>
      </w:r>
      <w:r w:rsidRPr="00ED5246">
        <w:rPr>
          <w:rFonts w:ascii="Times New Roman" w:hAnsi="Times New Roman" w:cs="Times New Roman"/>
        </w:rPr>
        <w:fldChar w:fldCharType="end"/>
      </w:r>
      <w:r w:rsidRPr="00ED5246">
        <w:rPr>
          <w:rFonts w:ascii="Times New Roman" w:hAnsi="Times New Roman" w:cs="Times New Roman"/>
        </w:rPr>
        <w:t xml:space="preserve"> and further supported by </w:t>
      </w:r>
      <w:r>
        <w:rPr>
          <w:rFonts w:ascii="Times New Roman" w:hAnsi="Times New Roman" w:cs="Times New Roman"/>
        </w:rPr>
        <w:t xml:space="preserve">qualitative and </w:t>
      </w:r>
      <w:r w:rsidRPr="00ED5246">
        <w:rPr>
          <w:rFonts w:ascii="Times New Roman" w:hAnsi="Times New Roman" w:cs="Times New Roman"/>
        </w:rPr>
        <w:t>review evidence (n=</w:t>
      </w:r>
      <w:r>
        <w:rPr>
          <w:rFonts w:ascii="Times New Roman" w:hAnsi="Times New Roman" w:cs="Times New Roman"/>
        </w:rPr>
        <w:t>2</w:t>
      </w:r>
      <w:r w:rsidRPr="00ED5246">
        <w:rPr>
          <w:rFonts w:ascii="Times New Roman" w:hAnsi="Times New Roman" w:cs="Times New Roman"/>
        </w:rPr>
        <w:t xml:space="preserve">)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kH9V0Br8","properties":{"formattedCitation":"[81,88]","plainCitation":"[81,88]","noteIndex":0},"citationItems":[{"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id":36332,"uris":["http://zotero.org/groups/5108666/items/JBNZPTJ7"],"itemData":{"id":36332,"type":"article-journal","abstract":"Background and Objectives Nursing homes are intended for older adults with the highest care needs. However, approximately 12% of all nursing home residents have similar care needs as older adults who live in the community and the reasons they are admitted to nursing homes is largely unstudied. The purpose of this study was to explore the reasons why lower-care nursing home residents are living in nursing homes. Research Design and Methods A qualitative interpretive description methodology was used to gather and analyze data describing lower-care nursing home resident and family member perspectives regarding factors influencing nursing home admission, including the facilitators and barriers to living in a community setting. Data were collected via semistructured interviews and field notes. Data were coded and sorted, and patterns were identified. This resulted in themes describing this experience. Results The main problem experienced by lower-care residents was living alone in the community. Residents and family members used many strategies to avoid safety crises in the community but experienced multiple care breakdowns in both community and health care settings. Nursing home admission was a strategy used to avoid a crisis when residents did not receive the needed support to remain in the community. Discussion and Implications To successfully remain in the community, older adults require specialized supports targeting mental health and substance use needs, as well as enhanced hospital discharge plans and improved information about community-based care options. Implications involve reforming policies and practices in both hospital and community-based care settings.","archive":"cin20","container-title":"Gerontologist","DOI":"10.1093/geront/gnaa077","ISSN":"0016-9013","issue":"8","journalAbbreviation":"Gerontologist","page":"1504-1514","source":"EBSCOhost","title":"No Other Safe Care Option: Nursing Home Admission as a Last Resort Strategy.","volume":"60","author":[{"family":"Campbell-Enns","given":"Heather J"},{"family":"Campbell","given":"Megan"},{"family":"Rieger","given":"Kendra L"},{"family":"Thompson","given":"Genevieve N"},{"family":"Doupe","given":"Malcolm B"}],"issued":{"date-parts":[["2020",12]]}}}],"schema":"https://github.com/citation-style-language/schema/raw/master/csl-citation.json"}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[81,88]</w:t>
      </w:r>
      <w:r w:rsidRPr="00ED5246">
        <w:rPr>
          <w:rFonts w:ascii="Times New Roman" w:hAnsi="Times New Roman" w:cs="Times New Roman"/>
        </w:rPr>
        <w:fldChar w:fldCharType="end"/>
      </w:r>
      <w:r w:rsidRPr="00ED5246">
        <w:rPr>
          <w:rFonts w:ascii="Times New Roman" w:hAnsi="Times New Roman" w:cs="Times New Roman"/>
        </w:rPr>
        <w:t xml:space="preserve">. Mental health conditions also emerged as significant determinants in quantitative (n=4)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5MRwUdWW","properties":{"formattedCitation":"[80,82,91,92]","plainCitation":"[80,82,91,92]","noteIndex":0},"citationItems":[{"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id":67876,"uris":["http://zotero.org/groups/5108666/items/NCLTYAMA"],"itemData":{"id":67876,"type":"article-journal","abstract":"This study examined experiences of 156 informal caregivers of older adults who transitioned to the community through the Connecticut Money Follows the Person (MFP) Rebalancing Demonstration after prolonged nursing home stays. Caregiver burden, positive aspects of caregiving, depressive symptoms, anxiety, and comparative subjective stress were examined in relation to caregiver demographics and care receiver characteristics with a cross-sectional survey. Caregivers reported low burden, depressive symptoms, and anxiety, and fairly high levels of positive aspects of caregiving and satisfaction with community services. Most caregivers were less stressed compared to the time the care recipient was in, or before they entered, a nursing home. Live-in caregivers experienced more positive aspects of caregiving, but adult children reported higher burden than other caregivers. Unmet service needs also increased caregiver burden. Programs like MFP are a viable option with broadly positive outcomes from a caregiver's perspective. Enthusiasm for increasing access to community care is growing for older adults who otherwise would reside in nursing homes for extended periods. Identifying unmet service needs and needs for targeted functional support could further enhance caregiver experiences and contribute to the successful transition of older adults to the community.","container-title":"Journal of Aging &amp; Social Policy","DOI":"10.1080/08959420.2016.1187034","ISSN":"1545-0821","issue":"1","journalAbbreviation":"J Aging Soc Policy","language":"eng","note":"PMID: 27195447","page":"20-34","source":"PubMed","title":"Experiences of Informal Caregivers of Older Adults Transitioned From Nursing Homes to the Community Through the Money Follows the Person Demonstration","volume":"29","author":[{"family":"Kristof","given":"Lorand"},{"family":"Fortinsky","given":"Richard H."},{"family":"Kellett","given":"Kathy"},{"family":"Porter","given":"Martha"},{"family":"Robison","given":"Julie"}],"issued":{"date-parts":[["2017"]]}}},{"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[80,82,91,92]</w:t>
      </w:r>
      <w:r w:rsidRPr="00ED5246">
        <w:rPr>
          <w:rFonts w:ascii="Times New Roman" w:hAnsi="Times New Roman" w:cs="Times New Roman"/>
        </w:rPr>
        <w:fldChar w:fldCharType="end"/>
      </w:r>
      <w:r w:rsidRPr="00ED5246">
        <w:rPr>
          <w:rFonts w:ascii="Times New Roman" w:hAnsi="Times New Roman" w:cs="Times New Roman"/>
        </w:rPr>
        <w:t xml:space="preserve"> and qualitative studies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{"citationID":"iPAgQWXf","properties":{"formattedCitation":"[88]","plainCitation":"[88]","noteIndex":0},"citationItems":[{"id":36332,"uris":["http://zotero.org/groups/5108666/items/JBNZPTJ7"],"itemData":{"id":36332,"type":"article-journal","abstract":"Background and Objectives Nursing homes are intended for older adults with the highest care needs. However, approximately 12% of all nursing home residents have similar care needs as older adults who live in the community and the reasons they are admitted to nursing homes is largely unstudied. The purpose of this study was to explore the reasons why lower-care nursing home residents are living in nursing homes. Research Design and Methods A qualitative interpretive description methodology was used to gather and analyze data describing lower-care nursing home resident and family member perspectives regarding factors influencing nursing home admission, including the facilitators and barriers to living in a community setting. Data were collected via semistructured interviews and field notes. Data were coded and sorted, and patterns were identified. This resulted in themes describing this experience. Results The main problem experienced by lower-care residents was living alone in the community. Residents and family members used many strategies to avoid safety crises in the community but experienced multiple care breakdowns in both community and health care settings. Nursing home admission was a strategy used to avoid a crisis when residents did not receive the needed support to remain in the community. Discussion and Implications To successfully remain in the community, older adults require specialized supports targeting mental health and substance use needs, as well as enhanced hospital discharge plans and improved information about community-based care options. Implications involve reforming policies and practices in both hospital and community-based care settings.","archive":"cin20","container-title":"Gerontologist","DOI":"10.1093/geront/gnaa077","ISSN":"0016-9013","issue":"8","journalAbbreviation":"Gerontologist","page":"1504-1514","source":"EBSCOhost","title":"No Other Safe Care Option: Nursing Home Admission as a Last Resort Strategy.","volume":"60","author":[{"family":"Campbell-Enns","given":"Heather J"},{"family":"Campbell","given":"Megan"},{"family":"Rieger","given":"Kendra L"},{"family":"Thompson","given":"Genevieve N"},{"family":"Doupe","given":"Malcolm B"}],"issued":{"date-parts":[["2020",12]]}}}],"schema":"https://github.com/citation-style-language/schema/raw/master/csl-citation.json"}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[88]</w:t>
      </w:r>
      <w:r w:rsidRPr="00ED5246">
        <w:rPr>
          <w:rFonts w:ascii="Times New Roman" w:hAnsi="Times New Roman" w:cs="Times New Roman"/>
        </w:rPr>
        <w:fldChar w:fldCharType="end"/>
      </w:r>
      <w:r w:rsidRPr="00ED5246">
        <w:rPr>
          <w:rFonts w:ascii="Times New Roman" w:hAnsi="Times New Roman" w:cs="Times New Roman"/>
        </w:rPr>
        <w:t xml:space="preserve">, with depression, anxiety, and mental health disabilities identified as barriers. Behavioral challenges were consistently documented as barriers in quantitative research (n=3)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OXbMmB8A","properties":{"formattedCitation":"[80,84,92]","plainCitation":"[80,84,92]","noteIndex":0},"citationItems":[{"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id":47119,"uris":["http://zotero.org/groups/5108666/items/69JBZ28F"],"itemData":{"id":47119,"type":"article-journal","archive":"Scopus","container-title":"Journal of Applied Gerontology","DOI":"10.1177/0733464818807818","issue":"8","page":"863-870","title":"Shall I Stay or Shall I Go? The Choice to Remain in the Nursing Home Among Residents With High Potential for Discharge","volume":"39","author":[{"family":"Abrahamson","given":"K."},{"family":"Hass","given":"Z."},{"family":"Arling","given":"G."}],"issued":{"date-parts":[["2020"]]}}},{"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[80,84,92]</w:t>
      </w:r>
      <w:r w:rsidRPr="00ED5246">
        <w:rPr>
          <w:rFonts w:ascii="Times New Roman" w:hAnsi="Times New Roman" w:cs="Times New Roman"/>
        </w:rPr>
        <w:fldChar w:fldCharType="end"/>
      </w:r>
      <w:r w:rsidRPr="00ED5246">
        <w:rPr>
          <w:rFonts w:ascii="Times New Roman" w:hAnsi="Times New Roman" w:cs="Times New Roman"/>
        </w:rPr>
        <w:t>.</w:t>
      </w:r>
    </w:p>
    <w:p w14:paraId="20E15ACD" w14:textId="391AA80B"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rPr>
        <w:t xml:space="preserve">In terms of physical health, quantitative evidence indicated that relatively better health facilitated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GKCis2Ta","properties":{"formattedCitation":"[80]","plainCitation":"[80]","noteIndex":0},"citationItems":[{"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[80]</w:t>
      </w:r>
      <w:r w:rsidRPr="00ED5246">
        <w:rPr>
          <w:rFonts w:ascii="Times New Roman" w:hAnsi="Times New Roman" w:cs="Times New Roman"/>
        </w:rPr>
        <w:fldChar w:fldCharType="end"/>
      </w:r>
      <w:r w:rsidRPr="00ED5246">
        <w:rPr>
          <w:rFonts w:ascii="Times New Roman" w:hAnsi="Times New Roman" w:cs="Times New Roman"/>
        </w:rPr>
        <w:t xml:space="preserve">, and review evidence emphasized the importance of medical stability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t4vnbO8G","properties":{"formattedCitation":"[81]","plainCitation":"[81]","noteIndex":0},"citationItems":[{"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[81]</w:t>
      </w:r>
      <w:r w:rsidRPr="00ED5246">
        <w:rPr>
          <w:rFonts w:ascii="Times New Roman" w:hAnsi="Times New Roman" w:cs="Times New Roman"/>
        </w:rPr>
        <w:fldChar w:fldCharType="end"/>
      </w:r>
      <w:r w:rsidRPr="00ED5246">
        <w:rPr>
          <w:rFonts w:ascii="Times New Roman" w:hAnsi="Times New Roman" w:cs="Times New Roman"/>
        </w:rPr>
        <w:t xml:space="preserve">. Conversely, physical health challenges were identified as barriers in both quantitative (n=3)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{"citationID":"rI23tGX9","properties":{"formattedCitation":"[82,86,92]","plainCitation":"[82,86,92]","noteIndex":0},"citationItems":[{"id":67873,"uris":["http://zotero.org/groups/5108666/items/JVV8GWQ2"],"itemData":{"id":67873,"type":"article-journal","abstract":"Objective\nTo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id":67881,"uris":["http://zotero.org/groups/5108666/items/MSJZJ5FT"],"itemData":{"id":67881,"type":"article-journal","abstract":"Minnesota's Return to Community Initiative (RTCI) is a novel, statewide initiative to assist private paying nursing home residents to return to the community and to remain in that setting without converting to Medicaid. The objective of this manuscript is to describe in detail RTCI's development and design, its key operational components, and characteristics of its clients and their care outcomes. Data on client characteristics and outcomes come from the Minimum Data Set, staff assessments of clients and caregivers, and Medicaid eligibility files. Most clients transitioned by the RTCI had entered the nursing facility from a hospital. Clients overwhelmingly wanted to return to the community and fit a health and functional profile making them good candidates for community discharge. Most clients went to a private residence, living alone or with a spouse; yet, adult children were the most frequent caregivers. At one year of follow-up 76% of individuals were alive and living in the community and only a small percentage (8.2%) had converted to Medicaid. The RTCI holds promise as a successful model for states to adopt in assisting individuals who are at risk to become long stay nursing home residents instead to return to the community.","container-title":"Geriatrics (Basel, Switzerland)","DOI":"10.3390/geriatrics3020018","ISSN":"2308-3417","issue":"2","journalAbbreviation":"Geriatrics (Basel)","language":"eng","note":"PMID: 30228977\nPMCID: PMC6139116","page":"18","source":"PubMed","title":"A Statewide Model for Assisting Nursing Home Residents to Transition Successfully to the Community","volume":"3","author":[{"family":"Buttke","given":"Darci"},{"family":"Cooke","given":"Valerie"},{"family":"Abrahamson","given":"Kathleen"},{"family":"Shippee","given":"Tetyana"},{"family":"Davila","given":"Heather"},{"family":"Kane","given":"Rosalie"},{"family":"Arling","given":"Greg"}],"issued":{"date-parts":[["2018",6]]}}},{"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[82,86,92]</w:t>
      </w:r>
      <w:r w:rsidRPr="00ED5246">
        <w:rPr>
          <w:rFonts w:ascii="Times New Roman" w:hAnsi="Times New Roman" w:cs="Times New Roman"/>
        </w:rPr>
        <w:fldChar w:fldCharType="end"/>
      </w:r>
      <w:r w:rsidRPr="00ED5246">
        <w:rPr>
          <w:rFonts w:ascii="Times New Roman" w:hAnsi="Times New Roman" w:cs="Times New Roman"/>
        </w:rPr>
        <w:t xml:space="preserve"> and qualitative research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{"citationID":"NAuo22bs","properties":{"formattedCitation":"[88]","plainCitation":"[88]","noteIndex":0},"citationItems":[{"id":36332,"uris":["http://zotero.org/groups/5108666/items/JBNZPTJ7"],"itemData":{"id":36332,"type":"article-journal","abstract":"Background and Objectives Nursing homes are intended for older adults with the highest care needs. However, approximately 12% of all nursing home residents have similar care needs as older adults who live in the community and the reasons they are admitted to nursing homes is largely unstudied. The purpose of this study was to explore the reasons why lower-care nursing home residents are living in nursing homes. Research Design and Methods A qualitative interpretive description methodology was used to gather and analyze data describing lower-care nursing home resident and family member perspectives regarding factors influencing nursing home admission, including the facilitators and barriers to living in a community setting. Data were collected via semistructured interviews and field notes. Data were coded and sorted, and patterns were identified. This resulted in themes describing this experience. Results The main problem experienced by lower-care residents was living alone in the community. Residents and family members used many strategies to avoid safety crises in the community but experienced multiple care breakdowns in both community and health care settings. Nursing home admission was a strategy used to avoid a crisis when residents did not receive the needed support to remain in the community. Discussion and Implications To successfully remain in the community, older adults require specialized supports targeting mental health and substance use needs, as well as enhanced hospital discharge plans and improved information about community-based care options. Implications involve reforming policies and practices in both hospital and community-based care settings.","archive":"cin20","container-title":"Gerontologist","DOI":"10.1093/geront/gnaa077","ISSN":"0016-9013","issue":"8","journalAbbreviation":"Gerontologist","page":"1504-1514","source":"EBSCOhost","title":"No Other Safe Care Option: Nursing Home Admission as a Last Resort Strategy.","volume":"60","author":[{"family":"Campbell-Enns","given":"Heather J"},{"family":"Campbell","given":"Megan"},{"family":"Rieger","given":"Kendra L"},{"family":"Thompson","given":"Genevieve N"},{"family":"Doupe","given":"Malcolm B"}],"issued":{"date-parts":[["2020",12]]}}}],"schema":"https://github.com/citation-style-language/schema/raw/master/csl-citation.json"}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[88]</w:t>
      </w:r>
      <w:r w:rsidRPr="00ED5246">
        <w:rPr>
          <w:rFonts w:ascii="Times New Roman" w:hAnsi="Times New Roman" w:cs="Times New Roman"/>
        </w:rPr>
        <w:fldChar w:fldCharType="end"/>
      </w:r>
      <w:r w:rsidRPr="00ED5246">
        <w:rPr>
          <w:rFonts w:ascii="Times New Roman" w:hAnsi="Times New Roman" w:cs="Times New Roman"/>
        </w:rPr>
        <w:t xml:space="preserve">. Functional status also emerged as a critical determinant. Quantitative studies highlighted ADL dependencies as significant barriers to transitions (n=3)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v5CwsxAh","properties":{"formattedCitation":"[84,91,92]","plainCitation":"[84,91,92]","noteIndex":0},"citationItems":[{"id":47119,"uris":["http://zotero.org/groups/5108666/items/69JBZ28F"],"itemData":{"id":47119,"type":"article-journal","archive":"Scopus","container-title":"Journal of Applied Gerontology","DOI":"10.1177/0733464818807818","issue":"8","page":"863-870","title":"Shall I Stay or Shall I Go? The Choice to Remain in the Nursing Home Among Residents With High Potential for Discharge","volume":"39","author":[{"family":"Abrahamson","given":"K."},{"family":"Hass","given":"Z."},{"family":"Arling","given":"G."}],"issued":{"date-parts":[["2020"]]}}},{"id":67876,"uris":["http://zotero.org/groups/5108666/items/NCLTYAMA"],"itemData":{"id":67876,"type":"article-journal","abstract":"This study examined experiences of 156 informal caregivers of older adults who transitioned to the community through the Connecticut Money Follows the Person (MFP) Rebalancing Demonstration after prolonged nursing home stays. Caregiver burden, positive aspects of caregiving, depressive symptoms, anxiety, and comparative subjective stress were examined in relation to caregiver demographics and care receiver characteristics with a cross-sectional survey. Caregivers reported low burden, depressive symptoms, and anxiety, and fairly high levels of positive aspects of caregiving and satisfaction with community services. Most caregivers were less stressed compared to the time the care recipient was in, or before they entered, a nursing home. Live-in caregivers experienced more positive aspects of caregiving, but adult children reported higher burden than other caregivers. Unmet service needs also increased caregiver burden. Programs like MFP are a viable option with broadly positive outcomes from a caregiver's perspective. Enthusiasm for increasing access to community care is growing for older adults who otherwise would reside in nursing homes for extended periods. Identifying unmet service needs and needs for targeted functional support could further enhance caregiver experiences and contribute to the successful transition of older adults to the community.","container-title":"Journal of Aging &amp; Social Policy","DOI":"10.1080/08959420.2016.1187034","ISSN":"1545-0821","issue":"1","journalAbbreviation":"J Aging Soc Policy","language":"eng","note":"PMID: 27195447","page":"20-34","source":"PubMed","title":"Experiences of Informal Caregivers of Older Adults Transitioned From Nursing Homes to the Community Through the Money Follows the Person Demonstration","volume":"29","author":[{"family":"Kristof","given":"Lorand"},{"family":"Fortinsky","given":"Richard H."},{"family":"Kellett","given":"Kathy"},{"family":"Porter","given":"Martha"},{"family":"Robison","given":"Julie"}],"issued":{"date-parts":[["2017"]]}}},{"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[84,91,92]</w:t>
      </w:r>
      <w:r w:rsidRPr="00ED5246">
        <w:rPr>
          <w:rFonts w:ascii="Times New Roman" w:hAnsi="Times New Roman" w:cs="Times New Roman"/>
        </w:rPr>
        <w:fldChar w:fldCharType="end"/>
      </w:r>
      <w:r w:rsidRPr="00ED5246">
        <w:rPr>
          <w:rFonts w:ascii="Times New Roman" w:hAnsi="Times New Roman" w:cs="Times New Roman"/>
        </w:rPr>
        <w:t xml:space="preserve">, while greater functional independence was associated with successful home transitions (n=3)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Pa8CiXzX","properties":{"formattedCitation":"[80,81,86]","plainCitation":"[80,81,86]","noteIndex":0},"citationItems":[{"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id":67881,"uris":["http://zotero.org/groups/5108666/items/MSJZJ5FT"],"itemData":{"id":67881,"type":"article-journal","abstract":"Minnesota's Return to Community Initiative (RTCI) is a novel, statewide initiative to assist private paying nursing home residents to return to the community and to remain in that setting without converting to Medicaid. The objective of this manuscript is to describe in detail RTCI's development and design, its key operational components, and characteristics of its clients and their care outcomes. Data on client characteristics and outcomes come from the Minimum Data Set, staff assessments of clients and caregivers, and Medicaid eligibility files. Most clients transitioned by the RTCI had entered the nursing facility from a hospital. Clients overwhelmingly wanted to return to the community and fit a health and functional profile making them good candidates for community discharge. Most clients went to a private residence, living alone or with a spouse; yet, adult children were the most frequent caregivers. At one year of follow-up 76% of individuals were alive and living in the community and only a small percentage (8.2%) had converted to Medicaid. The RTCI holds promise as a successful model for states to adopt in assisting individuals who are at risk to become long stay nursing home residents instead to return to the community.","container-title":"Geriatrics (Basel, Switzerland)","DOI":"10.3390/geriatrics3020018","ISSN":"2308-3417","issue":"2","journalAbbreviation":"Geriatrics (Basel)","language":"eng","note":"PMID: 30228977\nPMCID: PMC6139116","page":"18","source":"PubMed","title":"A Statewide Model for Assisting Nursing Home Residents to Transition Successfully to the Community","volume":"3","author":[{"family":"Buttke","given":"Darci"},{"family":"Cooke","given":"Valerie"},{"family":"Abrahamson","given":"Kathleen"},{"family":"Shippee","given":"Tetyana"},{"family":"Davila","given":"Heather"},{"family":"Kane","given":"Rosalie"},{"family":"Arling","given":"Greg"}],"issued":{"date-parts":[["2018",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[80,81,86]</w:t>
      </w:r>
      <w:r w:rsidRPr="00ED5246">
        <w:rPr>
          <w:rFonts w:ascii="Times New Roman" w:hAnsi="Times New Roman" w:cs="Times New Roman"/>
        </w:rPr>
        <w:fldChar w:fldCharType="end"/>
      </w:r>
      <w:r w:rsidRPr="00ED5246">
        <w:rPr>
          <w:rFonts w:ascii="Times New Roman" w:hAnsi="Times New Roman" w:cs="Times New Roman"/>
        </w:rPr>
        <w:t>.</w:t>
      </w:r>
    </w:p>
    <w:bookmarkEnd w:id="26"/>
    <w:p w14:paraId="00652D8A" w14:textId="42C9240C"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b/>
          <w:bCs/>
        </w:rPr>
        <w:t xml:space="preserve">Healthcare system. </w:t>
      </w:r>
      <w:r w:rsidRPr="00ED5246">
        <w:rPr>
          <w:rFonts w:ascii="Times New Roman" w:hAnsi="Times New Roman" w:cs="Times New Roman"/>
        </w:rPr>
        <w:t xml:space="preserve">Multiple facility characteristics and operational factors influence transitions from LTC to home care. Regarding physical facility characteristics, quantitative studies revealed contradictory findings on facility size: one study </w:t>
      </w:r>
      <w:r w:rsidRPr="00ED5246">
        <w:rPr>
          <w:rFonts w:ascii="Times New Roman" w:eastAsia="Aptos" w:hAnsi="Times New Roman" w:cs="Times New Roman"/>
        </w:rPr>
        <w:t>reported</w:t>
      </w:r>
      <w:r w:rsidRPr="00ED5246">
        <w:rPr>
          <w:rFonts w:ascii="Times New Roman" w:hAnsi="Times New Roman" w:cs="Times New Roman"/>
        </w:rPr>
        <w:t xml:space="preserve"> that a larger facility size facilitated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{"citationID":"G8cr2Z38","properties":{"formattedCitation":"[92]","plainCitation":"[92]","noteIndex":0},"citationItems":[{"id":38750,"uris":["http://zotero.org/groups/5108666/items/8M4LXWMW"],"itemData":{"id":38750,"type":"article-journal","abstract":"Objective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[92]</w:t>
      </w:r>
      <w:r w:rsidRPr="00ED5246">
        <w:rPr>
          <w:rFonts w:ascii="Times New Roman" w:hAnsi="Times New Roman" w:cs="Times New Roman"/>
        </w:rPr>
        <w:fldChar w:fldCharType="end"/>
      </w:r>
      <w:r w:rsidRPr="00ED5246">
        <w:rPr>
          <w:rFonts w:ascii="Times New Roman" w:hAnsi="Times New Roman" w:cs="Times New Roman"/>
        </w:rPr>
        <w:t xml:space="preserve">, </w:t>
      </w:r>
      <w:r w:rsidRPr="00ED5246">
        <w:rPr>
          <w:rFonts w:ascii="Times New Roman" w:eastAsia="Aptos" w:hAnsi="Times New Roman" w:cs="Times New Roman"/>
        </w:rPr>
        <w:t>whereas</w:t>
      </w:r>
      <w:r w:rsidRPr="00ED5246">
        <w:rPr>
          <w:rFonts w:ascii="Times New Roman" w:hAnsi="Times New Roman" w:cs="Times New Roman"/>
        </w:rPr>
        <w:t xml:space="preserve"> another represented it as a barrier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{"citationID":"Hnksoitm","properties":{"formattedCitation":"[83]","plainCitation":"[83]","noteIndex":0},"citationItems":[{"id":36402,"uris":["http://zotero.org/groups/5108666/items/G55JGJVN"],"itemData":{"id":36402,"type":"article-journal","abstract":"Objectives: To investigate factors associated with lower likelihood of discharge to home from geriatric intermediate care facilities in Japan. Design: Retrospective cohort study. Setting: We used data from the nationwide long‐term care (LTC) insurance claims database (April 2012–March 2014). Participants: Study participants were 342,758 individuals newly admitted to 3,459 geriatric intermediate care facilities during the study period. Measurements: The primary outcome was discharge to home. We performed a multivariable competing‐risk Cox regression with adjustment for resident‐, facility‐, and region‐level characteristics. Resident level of care needs and several medical conditions were included as time‐varying covariates. Death, admission to a hospital, and admission to another LTC facility were treated as competing risks. Results: During the 2‐year follow‐up period, 19% of participants were discharged to home. In the multivariable competing‐risk Cox regression, the following factors were significantly associated with lower likelihood of discharge to home: older age, higher level of care need, having several medical conditions, private ownership of the facility, more beds in the facility, and more LTC facility beds per 1,000 adults aged 65 and older in the region. Conclusion: Only 19% of residents were discharged to home. Our results are useful for policy‐makers to promote discharge to home of older adults in geriatric intermediate care facilities.","archive":"cin20","container-title":"Journal of the American Geriatrics Society","DOI":"10.1111/jgs.15295","ISSN":"0002-8614","issue":"4","journalAbbreviation":"Journal of the American Geriatrics Society","page":"728-734","source":"EBSCOhost","title":"Factors Affecting Discharge to Home of Geriatric Intermediate Care Facility Residents in Japan.","volume":"66","author":[{"family":"Morita","given":"Kojiro"},{"family":"Ono","given":"Sachiko"},{"family":"Ishimaru","given":"Miho"},{"family":"Matsui","given":"Hiroki"},{"family":"Naruse","given":"Takashi"},{"family":"Yasunaga","given":"Hideo"}],"issued":{"date-parts":[["2018",4]]}}}],"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[83]</w:t>
      </w:r>
      <w:r w:rsidRPr="00ED5246">
        <w:rPr>
          <w:rFonts w:ascii="Times New Roman" w:hAnsi="Times New Roman" w:cs="Times New Roman"/>
        </w:rPr>
        <w:fldChar w:fldCharType="end"/>
      </w:r>
      <w:r w:rsidRPr="00ED5246">
        <w:rPr>
          <w:rFonts w:ascii="Times New Roman" w:hAnsi="Times New Roman" w:cs="Times New Roman"/>
        </w:rPr>
        <w:t xml:space="preserve">. Higher occupancy rates showed a positive influence on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{"citationID":"4qX2CRCz","properties":{"formattedCitation":"[92]","plainCitation":"[92]","noteIndex":0},"citationItems":[{"id":38750,"uris":["http://zotero.org/groups/5108666/items/8M4LXWMW"],"itemData":{"id":38750,"type":"article-journal","abstract":"Objective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[92]</w:t>
      </w:r>
      <w:r w:rsidRPr="00ED5246">
        <w:rPr>
          <w:rFonts w:ascii="Times New Roman" w:hAnsi="Times New Roman" w:cs="Times New Roman"/>
        </w:rPr>
        <w:fldChar w:fldCharType="end"/>
      </w:r>
      <w:r w:rsidRPr="00ED5246">
        <w:rPr>
          <w:rFonts w:ascii="Times New Roman" w:hAnsi="Times New Roman" w:cs="Times New Roman"/>
        </w:rPr>
        <w:t xml:space="preserve">. Ownership type also exhibited varying effects. For-profit status facilitated transitions for long-stay residents in one study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{"citationID":"zOJNre75","properties":{"formattedCitation":"[92]","plainCitation":"[92]","noteIndex":0},"citationItems":[{"id":38750,"uris":["http://zotero.org/groups/5108666/items/8M4LXWMW"],"itemData":{"id":38750,"type":"article-journal","abstract":"Objective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[92]</w:t>
      </w:r>
      <w:r w:rsidRPr="00ED5246">
        <w:rPr>
          <w:rFonts w:ascii="Times New Roman" w:hAnsi="Times New Roman" w:cs="Times New Roman"/>
        </w:rPr>
        <w:fldChar w:fldCharType="end"/>
      </w:r>
      <w:r w:rsidRPr="00ED5246">
        <w:rPr>
          <w:rFonts w:ascii="Times New Roman" w:hAnsi="Times New Roman" w:cs="Times New Roman"/>
        </w:rPr>
        <w:t xml:space="preserve">, whereas another study found that public ownership positively influenced transitions compared to private facilities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{"citationID":"WvLWRFw5","properties":{"formattedCitation":"[83]","plainCitation":"[83]","noteIndex":0},"citationItems":[{"id":36402,"uris":["http://zotero.org/groups/5108666/items/G55JGJVN"],"itemData":{"id":36402,"type":"article-journal","abstract":"Objectives: To investigate factors associated with lower likelihood of discharge to home from geriatric intermediate care facilities in Japan. Design: Retrospective cohort study. Setting: We used data from the nationwide long‐term care (LTC) insurance claims database (April 2012–March 2014). Participants: Study participants were 342,758 individuals newly admitted to 3,459 geriatric intermediate care facilities during the study period. Measurements: The primary outcome was discharge to home. We performed a multivariable competing‐risk Cox regression with adjustment for resident‐, facility‐, and region‐level characteristics. Resident level of care needs and several medical conditions were included as time‐varying covariates. Death, admission to a hospital, and admission to another LTC facility were treated as competing risks. Results: During the 2‐year follow‐up period, 19% of participants were discharged to home. In the multivariable competing‐risk Cox regression, the following factors were significantly associated with lower likelihood of discharge to home: older age, higher level of care need, having several medical conditions, private ownership of the facility, more beds in the facility, and more LTC facility beds per 1,000 adults aged 65 and older in the region. Conclusion: Only 19% of residents were discharged to home. Our results are useful for policy‐makers to promote discharge to home of older adults in geriatric intermediate care facilities.","archive":"cin20","container-title":"Journal of the American Geriatrics Society","DOI":"10.1111/jgs.15295","ISSN":"0002-8614","issue":"4","journalAbbreviation":"Journal of the American Geriatrics Society","page":"728-734","source":"EBSCOhost","title":"Factors Affecting Discharge to Home of Geriatric Intermediate Care Facility Residents in Japan.","volume":"66","author":[{"family":"Morita","given":"Kojiro"},{"family":"Ono","given":"Sachiko"},{"family":"Ishimaru","given":"Miho"},{"family":"Matsui","given":"Hiroki"},{"family":"Naruse","given":"Takashi"},{"family":"Yasunaga","given":"Hideo"}],"issued":{"date-parts":[["2018",4]]}}}],"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[83]</w:t>
      </w:r>
      <w:r w:rsidRPr="00ED5246">
        <w:rPr>
          <w:rFonts w:ascii="Times New Roman" w:hAnsi="Times New Roman" w:cs="Times New Roman"/>
        </w:rPr>
        <w:fldChar w:fldCharType="end"/>
      </w:r>
      <w:r w:rsidRPr="00ED5246">
        <w:rPr>
          <w:rFonts w:ascii="Times New Roman" w:hAnsi="Times New Roman" w:cs="Times New Roman"/>
        </w:rPr>
        <w:t>.</w:t>
      </w:r>
    </w:p>
    <w:p w14:paraId="4490AA0D" w14:textId="4DDFC796"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rPr>
        <w:t xml:space="preserve">In terms of staffing, research consistently showed that higher RN-to-total nurse staffing ratios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{"citationID":"oxzxZ92K","properties":{"formattedCitation":"[89]","plainCitation":"[89]","noteIndex":0},"citationItems":[{"id":67912,"uris":["http://zotero.org/groups/5108666/items/TAJEC4G8"],"itemData":{"id":67912,"type":"article-journal","abstract":"OBJECTIVES: Successful discharge of nursing home (NH) residents to community has been reported in Nursing Home Compare (NHCompare) as a quality indicator, yet it is likely influenced by the availability of home- and community-based services (HCBS). Medicaid NH reimbursement rates and bed-hold policies have been shown to be related to quality of care, which may also affect successful discharge. This study explores the relationship of state Medicaid long-term care policies and successful discharge.\nDESIGN: Longitudinal study of Medicaid policies and NHCompare successful discharge rates over 3 time periods, 2014-2015, 2015-2016, and 2016-2017, using generalized estimating equation models.\nSETTING AND PARTICIPANTS: 11,694 unique NHs.\nMEASURES: Risk-adjusted rates of successful discharge were downloaded from NHCompare. Truven's \"Medicaid Expenditures for Long-term Services and Supports\" reports provided states' expenditures on HCBS and NHs. Details of bed-hold policies in 2014 were obtained from the Medicaid and CHIP Payment and Access Commission. Data on NH and market characteristics were extracted from LTCFocUs.org and Area Health Resources File.\nRESULTS: The national average-adjusted successful discharge rates were 49.7%, 56.8%, and 56.2% in 2014-2015, 2015-2016, and 2016-2017, respectively. In 2015, states spent between 30.6% (Mississippi) and 82.2% (Oregon) on HCBS, with an overall average of 53.1%. States reimbursed NHs, on average, $185.7 per resident day. Five percent increase in Medicaid spending for HCBS was statistically significantly associated with 0.47% higher successful discharge rates. Compared to NHs in states with reimbursement rates in the first quartile (≤$152), NHs in the second ($153-$178), third ($179-$212), and fourth (≥$213) quartiles were associated with 2.33%, 1.86%, and 1.15% higher successful discharge rates (all P &lt; .01). Results were stronger in states without bed-hold policies.\nCONCLUSIONS/IMPLICATIONS: This study provides promising evidence to state governments that shifting expenditures from institutions to communities as well as more generous reimbursements to NHs may improve quality of care in NHs.","container-title":"Journal of the American Medical Directors Association","DOI":"10.1016/j.jamda.2019.01.153","ISSN":"1538-9375","issue":"2","journalAbbreviation":"J Am Med Dir Assoc","language":"eng","note":"PMID: 30922865","page":"248-253.e1","source":"PubMed","title":"Medicaid Long-term Care Policies and Rates of Nursing Home Successful Discharge to Community","volume":"21","author":[{"family":"Xu","given":"Huiwen"},{"family":"Intrator","given":"Orna"}],"issued":{"date-parts":[["2020",2]]}}}],"schema":"https://github.com/citation-style-language/schema/raw/master/csl-citation.json"}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[89]</w:t>
      </w:r>
      <w:r w:rsidRPr="00ED5246">
        <w:rPr>
          <w:rFonts w:ascii="Times New Roman" w:hAnsi="Times New Roman" w:cs="Times New Roman"/>
        </w:rPr>
        <w:fldChar w:fldCharType="end"/>
      </w:r>
      <w:r w:rsidRPr="00ED5246">
        <w:rPr>
          <w:rFonts w:ascii="Times New Roman" w:hAnsi="Times New Roman" w:cs="Times New Roman"/>
        </w:rPr>
        <w:t xml:space="preserve"> and more staff per 100 beds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{"citationID":"3mbzIsfF","properties":{"formattedCitation":"[83]","plainCitation":"[83]","noteIndex":0},"citationItems":[{"id":36402,"uris":["http://zotero.org/groups/5108666/items/G55JGJVN"],"itemData":{"id":36402,"type":"article-journal","abstract":"Objectives: To investigate factors associated with lower likelihood of discharge to home from geriatric intermediate care facilities in Japan. Design: Retrospective cohort study. Setting: We used data from the nationwide long‐term care (LTC) insurance claims database (April 2012–March 2014). Participants: Study participants were 342,758 individuals newly admitted to 3,459 geriatric intermediate care facilities during the study period. Measurements: The primary outcome was discharge to home. We performed a multivariable competing‐risk Cox regression with adjustment for resident‐, facility‐, and region‐level characteristics. Resident level of care needs and several medical conditions were included as time‐varying covariates. Death, admission to a hospital, and admission to another LTC facility were treated as competing risks. Results: During the 2‐year follow‐up period, 19% of participants were discharged to home. In the multivariable competing‐risk Cox regression, the following factors were significantly associated with lower likelihood of discharge to home: older age, higher level of care need, having several medical conditions, private ownership of the facility, more beds in the facility, and more LTC facility beds per 1,000 adults aged 65 and older in the region. Conclusion: Only 19% of residents were discharged to home. Our results are useful for policy‐makers to promote discharge to home of older adults in geriatric intermediate care facilities.","archive":"cin20","container-title":"Journal of the American Geriatrics Society","DOI":"10.1111/jgs.15295","ISSN":"0002-8614","issue":"4","journalAbbreviation":"Journal of the American Geriatrics Society","page":"728-734","source":"EBSCOhost","title":"Factors Affecting Discharge to Home of Geriatric Intermediate Care Facility Residents in Japan.","volume":"66","author":[{"family":"Morita","given":"Kojiro"},{"family":"Ono","given":"Sachiko"},{"family":"Ishimaru","given":"Miho"},{"family":"Matsui","given":"Hiroki"},{"family":"Naruse","given":"Takashi"},{"family":"Yasunaga","given":"Hideo"}],"issued":{"date-parts":[["2018",4]]}}}],"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[83]</w:t>
      </w:r>
      <w:r w:rsidRPr="00ED5246">
        <w:rPr>
          <w:rFonts w:ascii="Times New Roman" w:hAnsi="Times New Roman" w:cs="Times New Roman"/>
        </w:rPr>
        <w:fldChar w:fldCharType="end"/>
      </w:r>
      <w:r w:rsidRPr="00ED5246">
        <w:rPr>
          <w:rFonts w:ascii="Times New Roman" w:hAnsi="Times New Roman" w:cs="Times New Roman"/>
        </w:rPr>
        <w:t xml:space="preserve"> facilitated transitions. Several operational barriers were identified in quantitative research, including longer average length of stay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{"citationID":"oxlcgbeX","properties":{"formattedCitation":"[92]","plainCitation":"[92]","noteIndex":0},"citationItems":[{"id":38750,"uris":["http://zotero.org/groups/5108666/items/8M4LXWMW"],"itemData":{"id":38750,"type":"article-journal","abstract":"Objective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[92]</w:t>
      </w:r>
      <w:r w:rsidRPr="00ED5246">
        <w:rPr>
          <w:rFonts w:ascii="Times New Roman" w:hAnsi="Times New Roman" w:cs="Times New Roman"/>
        </w:rPr>
        <w:fldChar w:fldCharType="end"/>
      </w:r>
      <w:r w:rsidRPr="00ED5246">
        <w:rPr>
          <w:rFonts w:ascii="Times New Roman" w:hAnsi="Times New Roman" w:cs="Times New Roman"/>
        </w:rPr>
        <w:t xml:space="preserve">, and challenges with facility-related services and supports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{"citationID":"CkFoq8qa","properties":{"formattedCitation":"[82]","plainCitation":"[82]","noteIndex":0},"citationItems":[{"id":67873,"uris":["http://zotero.org/groups/5108666/items/JVV8GWQ2"],"itemData":{"id":67873,"type":"article-journal","abstract":"Objective\nTo examine the effects of transition challenges on the success and timeliness of transitions from institutions to community living for long‐stay participants in the Money Follows the Person (MFP) Rebalancing Demonstration and determine whether outcomes vary by age and disability.\n\nData Source\nSecondary data on transition challenges for individuals enrolled in Connecticut's MFP program between December 2008 and December 2017.\n\nStudy Design\nChallenges were analyzed for older adults, people with mental health disability, and people with physical disability. Bivariate and multivariate analyses investigated which transition challenges and selected demographic variables predict transition versus closure and length of transition period for each group.\n\nData Extraction Methods\nThe sample includes 3506 persons who attempted transition from institutions to community living and whose case concluded with transition or closure from 2015 to 2017.\n\nPrincipal Findings\nThe association between most transition challenges and the ability of long‐stay institutional residents to return to the community, and to do so in a timely manner, varies significantly among older adults and younger persons with physical or mental health disabilities. For all groups, however, consumer engagement challenges predicted closure without transition (OR: 1.3‐3.9) and housing challenges predicted longer transition periods (84‐132 days). Length of institutional stay was associated with both outcomes for older adults and persons with physical disability. Other challenges, such as issues with services and supports, differed among the three groups on both outcomes.\n\nConclusions\nKnowledge of the effects of transition challenges on success and timeliness of transition for each group allows program managers and health and service providers to focus resources on addressing the most serious challenges. Particular emphasis should be placed on consumer engagement and housing challenges, and on targeting persons for transition early in their institutional stay. Federal and state transition programs can benefit by individualizing supports for residents to yield successful outcomes.","container-title":"Health Services Research","DOI":"10.1111/1475-6773.13267","ISSN":"0017-9124","issue":"3","journalAbbreviation":"Health Serv Res","note":"PMID: 31989595\nPMCID: PMC7240761","page":"357-366","source":"PubMed Central","title":"Challenges to community transitions through Money Follows the Person","volume":"55","author":[{"family":"Robison","given":"Julie"},{"family":"Shugrue","given":"Noreen"},{"family":"Porter","given":"Martha"},{"family":"Baker","given":"Kristin"}],"issued":{"date-parts":[["2020",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[82]</w:t>
      </w:r>
      <w:r w:rsidRPr="00ED5246">
        <w:rPr>
          <w:rFonts w:ascii="Times New Roman" w:hAnsi="Times New Roman" w:cs="Times New Roman"/>
        </w:rPr>
        <w:fldChar w:fldCharType="end"/>
      </w:r>
      <w:r w:rsidRPr="00ED5246">
        <w:rPr>
          <w:rFonts w:ascii="Times New Roman" w:hAnsi="Times New Roman" w:cs="Times New Roman"/>
        </w:rPr>
        <w:t xml:space="preserve">. Qualitative evidence further highlighted that ineffective discharge procedures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{"citationID":"4ZHuelVW","properties":{"formattedCitation":"[88]","plainCitation":"[88]","noteIndex":0},"citationItems":[{"id":36332,"uris":["http://zotero.org/groups/5108666/items/JBNZPTJ7"],"itemData":{"id":36332,"type":"article-journal","abstract":"Background and Objectives Nursing homes are intended for older adults with the highest care needs. However, approximately 12% of all nursing home residents have similar care needs as older adults who live in the community and the reasons they are admitted to nursing homes is largely unstudied. The purpose of this study was to explore the reasons why lower-care nursing home residents are living in nursing homes. Research Design and Methods A qualitative interpretive description methodology was used to gather and analyze data describing lower-care nursing home resident and family member perspectives regarding factors influencing nursing home admission, including the facilitators and barriers to living in a community setting. Data were collected via semistructured interviews and field notes. Data were coded and sorted, and patterns were identified. This resulted in themes describing this experience. Results The main problem experienced by lower-care residents was living alone in the community. Residents and family members used many strategies to avoid safety crises in the community but experienced multiple care breakdowns in both community and health care settings. Nursing home admission was a strategy used to avoid a crisis when residents did not receive the needed support to remain in the community. Discussion and Implications To successfully remain in the community, older adults require specialized supports targeting mental health and substance use needs, as well as enhanced hospital discharge plans and improved information about community-based care options. Implications involve reforming policies and practices in both hospital and community-based care settings.","archive":"cin20","container-title":"Gerontologist","DOI":"10.1093/geront/gnaa077","ISSN":"0016-9013","issue":"8","journalAbbreviation":"Gerontologist","page":"1504-1514","source":"EBSCOhost","title":"No Other Safe Care Option: Nursing Home Admission as a Last Resort Strategy.","volume":"60","author":[{"family":"Campbell-Enns","given":"Heather J"},{"family":"Campbell","given":"Megan"},{"family":"Rieger","given":"Kendra L"},{"family":"Thompson","given":"Genevieve N"},{"family":"Doupe","given":"Malcolm B"}],"issued":{"date-parts":[["2020",12]]}}}],"schema":"https://github.com/citation-style-language/schema/raw/master/csl-citation.json"}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[88]</w:t>
      </w:r>
      <w:r w:rsidRPr="00ED5246">
        <w:rPr>
          <w:rFonts w:ascii="Times New Roman" w:hAnsi="Times New Roman" w:cs="Times New Roman"/>
        </w:rPr>
        <w:fldChar w:fldCharType="end"/>
      </w:r>
      <w:r w:rsidRPr="00ED5246">
        <w:rPr>
          <w:rFonts w:ascii="Times New Roman" w:hAnsi="Times New Roman" w:cs="Times New Roman"/>
        </w:rPr>
        <w:t xml:space="preserve"> and limited availability of care services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{"citationID":"O6Aj5lDo","properties":{"formattedCitation":"[90]","plainCitation":"[90]","noteIndex":0},"citationItems":[{"id":69679,"uris":["http://zotero.org/users/7655466/items/8RE64QCK"],"itemData":{"id":69679,"type":"article-journal","abstract":"The COVID-19 pandemic appears to have shifted the care trajectories of many residents and care partners in Ontario who considered leaving LTC to live in the community for a portion or the duration of the pandemic. This type of care transition-from LTC to home care-was highly uncommon prior to the pandemic, therefore we know relatively little about the planning and decision-making involved. The aim of this study was to describe who was involved in LTC to home care transitions in Ontario during the COVID-19 pandemic, to what extent, and the factors that guided their decision-making. A qualitative description study involving semi-structured interviews with 32 residents, care partners and health professionals was conducted. Transition decisions were largely made by care partners, with varied input from residents or health professionals. Stakeholders considered seven factors, previously identified in a scoping review, when making their transition decisions: (a) institutional priorities and requirements; (b) resources; (c) knowledge; (d) risk; (e) group structure and dynamic; (f) health and support needs; and (g) personality preferences and beliefs. Participants' emotional responses to the pandemic also influenced the perceived need to pursue a care transition. The findings of this research provide insights towards the planning required to support LTC to home care transitions, and the many challenges that arise during decision-making.","container-title":"PloS One","DOI":"10.1371/journal.pone.0295865","ISSN":"1932-6203","issue":"12","journalAbbreviation":"PLoS One","language":"eng","note":"PMID: 38100397\nPMCID: PMC10723734","page":"e0295865","source":"PubMed","title":"Long-term care transitions during a global pandemic: Planning and decision-making of residents, care partners, and health professionals in Ontario, Canada","title-short":"Long-term care transitions during a global pandemic","volume":"18","author":[{"family":"Carbone","given":"Sarah"},{"family":"Berta","given":"Whitney"},{"family":"Law","given":"Susan"},{"family":"Kuluski","given":"Kerry"}],"issued":{"date-parts":[["2023"]]}}}],"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[90]</w:t>
      </w:r>
      <w:r w:rsidRPr="00ED5246">
        <w:rPr>
          <w:rFonts w:ascii="Times New Roman" w:hAnsi="Times New Roman" w:cs="Times New Roman"/>
        </w:rPr>
        <w:fldChar w:fldCharType="end"/>
      </w:r>
      <w:r w:rsidRPr="00ED5246">
        <w:rPr>
          <w:rFonts w:ascii="Times New Roman" w:hAnsi="Times New Roman" w:cs="Times New Roman"/>
        </w:rPr>
        <w:t xml:space="preserve"> hindered successful transitions.</w:t>
      </w:r>
    </w:p>
    <w:p w14:paraId="7CD880EC" w14:textId="0C7A5A01"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b/>
          <w:bCs/>
        </w:rPr>
        <w:t xml:space="preserve">Reimbursement and Funding Policies. </w:t>
      </w:r>
      <w:r w:rsidRPr="00ED5246">
        <w:rPr>
          <w:rFonts w:ascii="Times New Roman" w:hAnsi="Times New Roman" w:cs="Times New Roman"/>
        </w:rPr>
        <w:t xml:space="preserve">Quantitative research identified several factors that positively influence transitions from LTC to home care in the U.S. context, including higher state Medicaid spending on home care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{"citationID":"qwjgKvKc","properties":{"formattedCitation":"[89]","plainCitation":"[89]","noteIndex":0},"citationItems":[{"id":67912,"uris":["http://zotero.org/groups/5108666/items/TAJEC4G8"],"itemData":{"id":67912,"type":"article-journal","abstract":"OBJECTIVES: Successful discharge of nursing home (NH) residents to community has been reported in Nursing Home Compare (NHCompare) as a quality indicator, yet it is likely influenced by the availability of home- and community-based services (HCBS). Medicaid NH reimbursement rates and bed-hold policies have been shown to be related to quality of care, which may also affect successful discharge. This study explores the relationship of state Medicaid long-term care policies and successful discharge.\nDESIGN: Longitudinal study of Medicaid policies and NHCompare successful discharge rates over 3 time periods, 2014-2015, 2015-2016, and 2016-2017, using generalized estimating equation models.\nSETTING AND PARTICIPANTS: 11,694 unique NHs.\nMEASURES: Risk-adjusted rates of successful discharge were downloaded from NHCompare. Truven's \"Medicaid Expenditures for Long-term Services and Supports\" reports provided states' expenditures on HCBS and NHs. Details of bed-hold policies in 2014 were obtained from the Medicaid and CHIP Payment and Access Commission. Data on NH and market characteristics were extracted from LTCFocUs.org and Area Health Resources File.\nRESULTS: The national average-adjusted successful discharge rates were 49.7%, 56.8%, and 56.2% in 2014-2015, 2015-2016, and 2016-2017, respectively. In 2015, states spent between 30.6% (Mississippi) and 82.2% (Oregon) on HCBS, with an overall average of 53.1%. States reimbursed NHs, on average, $185.7 per resident day. Five percent increase in Medicaid spending for HCBS was statistically significantly associated with 0.47% higher successful discharge rates. Compared to NHs in states with reimbursement rates in the first quartile (≤$152), NHs in the second ($153-$178), third ($179-$212), and fourth (≥$213) quartiles were associated with 2.33%, 1.86%, and 1.15% higher successful discharge rates (all P &lt; .01). Results were stronger in states without bed-hold policies.\nCONCLUSIONS/IMPLICATIONS: This study provides promising evidence to state governments that shifting expenditures from institutions to communities as well as more generous reimbursements to NHs may improve quality of care in NHs.","container-title":"Journal of the American Medical Directors Association","DOI":"10.1016/j.jamda.2019.01.153","ISSN":"1538-9375","issue":"2","journalAbbreviation":"J Am Med Dir Assoc","language":"eng","note":"PMID: 30922865","page":"248-253.e1","source":"PubMed","title":"Medicaid Long-term Care Policies and Rates of Nursing Home Successful Discharge to Community","volume":"21","author":[{"family":"Xu","given":"Huiwen"},{"family":"Intrator","given":"Orna"}],"issued":{"date-parts":[["2020",2]]}}}],"schema":"https://github.com/citation-style-language/schema/raw/master/csl-citation.json"}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[89]</w:t>
      </w:r>
      <w:r w:rsidRPr="00ED5246">
        <w:rPr>
          <w:rFonts w:ascii="Times New Roman" w:hAnsi="Times New Roman" w:cs="Times New Roman"/>
        </w:rPr>
        <w:fldChar w:fldCharType="end"/>
      </w:r>
      <w:r w:rsidRPr="00ED5246">
        <w:rPr>
          <w:rFonts w:ascii="Times New Roman" w:hAnsi="Times New Roman" w:cs="Times New Roman"/>
        </w:rPr>
        <w:t xml:space="preserve">, more generous nursing home reimbursements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{"citationID":"T5tdbeoT","properties":{"formattedCitation":"[89]","plainCitation":"[89]","noteIndex":0},"citationItems":[{"id":67912,"uris":["http://zotero.org/groups/5108666/items/TAJEC4G8"],"itemData":{"id":67912,"type":"article-journal","abstract":"OBJECTIVES: Successful discharge of nursing home (NH) residents to community has been reported in Nursing Home Compare (NHCompare) as a quality indicator, yet it is likely influenced by the availability of home- and community-based services (HCBS). Medicaid NH reimbursement rates and bed-hold policies have been shown to be related to quality of care, which may also affect successful discharge. This study explores the relationship of state Medicaid long-term care policies and successful discharge.\nDESIGN: Longitudinal study of Medicaid policies and NHCompare successful discharge rates over 3 time periods, 2014-2015, 2015-2016, and 2016-2017, using generalized estimating equation models.\nSETTING AND PARTICIPANTS: 11,694 unique NHs.\nMEASURES: Risk-adjusted rates of successful discharge were downloaded from NHCompare. Truven's \"Medicaid Expenditures for Long-term Services and Supports\" reports provided states' expenditures on HCBS and NHs. Details of bed-hold policies in 2014 were obtained from the Medicaid and CHIP Payment and Access Commission. Data on NH and market characteristics were extracted from LTCFocUs.org and Area Health Resources File.\nRESULTS: The national average-adjusted successful discharge rates were 49.7%, 56.8%, and 56.2% in 2014-2015, 2015-2016, and 2016-2017, respectively. In 2015, states spent between 30.6% (Mississippi) and 82.2% (Oregon) on HCBS, with an overall average of 53.1%. States reimbursed NHs, on average, $185.7 per resident day. Five percent increase in Medicaid spending for HCBS was statistically significantly associated with 0.47% higher successful discharge rates. Compared to NHs in states with reimbursement rates in the first quartile (≤$152), NHs in the second ($153-$178), third ($179-$212), and fourth (≥$213) quartiles were associated with 2.33%, 1.86%, and 1.15% higher successful discharge rates (all P &lt; .01). Results were stronger in states without bed-hold policies.\nCONCLUSIONS/IMPLICATIONS: This study provides promising evidence to state governments that shifting expenditures from institutions to communities as well as more generous reimbursements to NHs may improve quality of care in NHs.","container-title":"Journal of the American Medical Directors Association","DOI":"10.1016/j.jamda.2019.01.153","ISSN":"1538-9375","issue":"2","journalAbbreviation":"J Am Med Dir Assoc","language":"eng","note":"PMID: 30922865","page":"248-253.e1","source":"PubMed","title":"Medicaid Long-term Care Policies and Rates of Nursing Home Successful Discharge to Community","volume":"21","author":[{"family":"Xu","given":"Huiwen"},{"family":"Intrator","given":"Orna"}],"issued":{"date-parts":[["2020",2]]}}}],"schema":"https://github.com/citation-style-language/schema/raw/master/csl-citation.json"}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[89]</w:t>
      </w:r>
      <w:r w:rsidRPr="00ED5246">
        <w:rPr>
          <w:rFonts w:ascii="Times New Roman" w:hAnsi="Times New Roman" w:cs="Times New Roman"/>
        </w:rPr>
        <w:fldChar w:fldCharType="end"/>
      </w:r>
      <w:r w:rsidRPr="00ED5246">
        <w:rPr>
          <w:rFonts w:ascii="Times New Roman" w:hAnsi="Times New Roman" w:cs="Times New Roman"/>
        </w:rPr>
        <w:t xml:space="preserve">, higher Medicare Advantage penetration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{"citationID":"MKC1QaRs","properties":{"formattedCitation":"[89]","plainCitation":"[89]","noteIndex":0},"citationItems":[{"id":67912,"uris":["http://zotero.org/groups/5108666/items/TAJEC4G8"],"itemData":{"id":67912,"type":"article-journal","abstract":"OBJECTIVES: Successful discharge of nursing home (NH) residents to community has been reported in Nursing Home Compare (NHCompare) as a quality indicator, yet it is likely influenced by the availability of home- and community-based services (HCBS). Medicaid NH reimbursement rates and bed-hold policies have been shown to be related to quality of care, which may also affect successful discharge. This study explores the relationship of state Medicaid long-term care policies and successful discharge.\nDESIGN: Longitudinal study of Medicaid policies and NHCompare successful discharge rates over 3 time periods, 2014-2015, 2015-2016, and 2016-2017, using generalized estimating equation models.\nSETTING AND PARTICIPANTS: 11,694 unique NHs.\nMEASURES: Risk-adjusted rates of successful discharge were downloaded from NHCompare. Truven's \"Medicaid Expenditures for Long-term Services and Supports\" reports provided states' expenditures on HCBS and NHs. Details of bed-hold policies in 2014 were obtained from the Medicaid and CHIP Payment and Access Commission. Data on NH and market characteristics were extracted from LTCFocUs.org and Area Health Resources File.\nRESULTS: The national average-adjusted successful discharge rates were 49.7%, 56.8%, and 56.2% in 2014-2015, 2015-2016, and 2016-2017, respectively. In 2015, states spent between 30.6% (Mississippi) and 82.2% (Oregon) on HCBS, with an overall average of 53.1%. States reimbursed NHs, on average, $185.7 per resident day. Five percent increase in Medicaid spending for HCBS was statistically significantly associated with 0.47% higher successful discharge rates. Compared to NHs in states with reimbursement rates in the first quartile (≤$152), NHs in the second ($153-$178), third ($179-$212), and fourth (≥$213) quartiles were associated with 2.33%, 1.86%, and 1.15% higher successful discharge rates (all P &lt; .01). Results were stronger in states without bed-hold policies.\nCONCLUSIONS/IMPLICATIONS: This study provides promising evidence to state governments that shifting expenditures from institutions to communities as well as more generous reimbursements to NHs may improve quality of care in NHs.","container-title":"Journal of the American Medical Directors Association","DOI":"10.1016/j.jamda.2019.01.153","ISSN":"1538-9375","issue":"2","journalAbbreviation":"J Am Med Dir Assoc","language":"eng","note":"PMID: 30922865","page":"248-253.e1","source":"PubMed","title":"Medicaid Long-term Care Policies and Rates of Nursing Home Successful Discharge to Community","volume":"21","author":[{"family":"Xu","given":"Huiwen"},{"family":"Intrator","given":"Orna"}],"issued":{"date-parts":[["2020",2]]}}}],"schema":"https://github.com/citation-style-language/schema/raw/master/csl-citation.json"}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[89]</w:t>
      </w:r>
      <w:r w:rsidRPr="00ED5246">
        <w:rPr>
          <w:rFonts w:ascii="Times New Roman" w:hAnsi="Times New Roman" w:cs="Times New Roman"/>
        </w:rPr>
        <w:fldChar w:fldCharType="end"/>
      </w:r>
      <w:r w:rsidRPr="00ED5246">
        <w:rPr>
          <w:rFonts w:ascii="Times New Roman" w:hAnsi="Times New Roman" w:cs="Times New Roman"/>
        </w:rPr>
        <w:t xml:space="preserve">, the absence of bed-hold policies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{"citationID":"T5wXJfQi","properties":{"formattedCitation":"[89]","plainCitation":"[89]","noteIndex":0},"citationItems":[{"id":67912,"uris":["http://zotero.org/groups/5108666/items/TAJEC4G8"],"itemData":{"id":67912,"type":"article-journal","abstract":"OBJECTIVES: Successful discharge of nursing home (NH) residents to community has been reported in Nursing Home Compare (NHCompare) as a quality indicator, yet it is likely influenced by the availability of home- and community-based services (HCBS). Medicaid NH reimbursement rates and bed-hold policies have been shown to be related to quality of care, which may also affect successful discharge. This study explores the relationship of state Medicaid long-term care policies and successful discharge.\nDESIGN: Longitudinal study of Medicaid policies and NHCompare successful discharge rates over 3 time periods, 2014-2015, 2015-2016, and 2016-2017, using generalized estimating equation models.\nSETTING AND PARTICIPANTS: 11,694 unique NHs.\nMEASURES: Risk-adjusted rates of successful discharge were downloaded from NHCompare. Truven's \"Medicaid Expenditures for Long-term Services and Supports\" reports provided states' expenditures on HCBS and NHs. Details of bed-hold policies in 2014 were obtained from the Medicaid and CHIP Payment and Access Commission. Data on NH and market characteristics were extracted from LTCFocUs.org and Area Health Resources File.\nRESULTS: The national average-adjusted successful discharge rates were 49.7%, 56.8%, and 56.2% in 2014-2015, 2015-2016, and 2016-2017, respectively. In 2015, states spent between 30.6% (Mississippi) and 82.2% (Oregon) on HCBS, with an overall average of 53.1%. States reimbursed NHs, on average, $185.7 per resident day. Five percent increase in Medicaid spending for HCBS was statistically significantly associated with 0.47% higher successful discharge rates. Compared to NHs in states with reimbursement rates in the first quartile (≤$152), NHs in the second ($153-$178), third ($179-$212), and fourth (≥$213) quartiles were associated with 2.33%, 1.86%, and 1.15% higher successful discharge rates (all P &lt; .01). Results were stronger in states without bed-hold policies.\nCONCLUSIONS/IMPLICATIONS: This study provides promising evidence to state governments that shifting expenditures from institutions to communities as well as more generous reimbursements to NHs may improve quality of care in NHs.","container-title":"Journal of the American Medical Directors Association","DOI":"10.1016/j.jamda.2019.01.153","ISSN":"1538-9375","issue":"2","journalAbbreviation":"J Am Med Dir Assoc","language":"eng","note":"PMID: 30922865","page":"248-253.e1","source":"PubMed","title":"Medicaid Long-term Care Policies and Rates of Nursing Home Successful Discharge to Community","volume":"21","author":[{"family":"Xu","given":"Huiwen"},{"family":"Intrator","given":"Orna"}],"issued":{"date-parts":[["2020",2]]}}}],"schema":"https://github.com/citation-style-language/schema/raw/master/csl-citation.json"}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[89]</w:t>
      </w:r>
      <w:r w:rsidRPr="00ED5246">
        <w:rPr>
          <w:rFonts w:ascii="Times New Roman" w:hAnsi="Times New Roman" w:cs="Times New Roman"/>
        </w:rPr>
        <w:fldChar w:fldCharType="end"/>
      </w:r>
      <w:r w:rsidRPr="00ED5246">
        <w:rPr>
          <w:rFonts w:ascii="Times New Roman" w:hAnsi="Times New Roman" w:cs="Times New Roman"/>
        </w:rPr>
        <w:t xml:space="preserve">, and a greater proportion of </w:t>
      </w:r>
      <w:r w:rsidRPr="00ED5246">
        <w:rPr>
          <w:rFonts w:ascii="Times New Roman" w:hAnsi="Times New Roman" w:cs="Times New Roman"/>
        </w:rPr>
        <w:lastRenderedPageBreak/>
        <w:t xml:space="preserve">Medicare-funded residents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{"citationID":"Ac1H36Bj","properties":{"formattedCitation":"[92]","plainCitation":"[92]","noteIndex":0},"citationItems":[{"id":38750,"uris":["http://zotero.org/groups/5108666/items/8M4LXWMW"],"itemData":{"id":38750,"type":"article-journal","abstract":"Objective Using a socio-ecological model, this study examines the influence of facility characteristics on the transition of nursing home residents to the community after a short stay (within 90 days of admission) or long stay (365 days of admission) across states with different long-term services and supports systems. Data Source Data were drawn from the Minimum Data Set, the federal Online Survey, Certification, and Reporting (OSCAR) database, the Area Health Resource File, and the LTCFocUs.org database for all free-standing, certified nursing homes in California (n = 1,127) and Florida (n = 657) from July 2007 to June 2008. Study Design Hierarchical generalized linear models were used to examine the impact of facility characteristics on the probability of transitioning to the community. Principal Findings Facility characteristics, including size, occupancy, ownership, average length of stay, proportion of Medicare and Medicaid residents, and the proportion of residents admitted from acute care facilities are associated with discharge but differed by state and whether the discharge occurred after a short or long stay. Conclusion Short- and long-stay nursing home discharge to the community is affected by resident, facility, and sometimes market characteristics, with Medicaid consistently influencing discharge in both states.Copyright © Health Research and Educational Trust.","archive":"Embase","container-title":"Health Services Research","DOI":"10.1111/1475-6773.12340","ISSN":"0017-9124","issue":"2","journalAbbreviation":"Health Serv. Res.","language":"English","page":"645-666","title":"Community Discharge of Nursing Home Residents: The Role of Facility Characteristics","volume":"51","author":[{"literal":"Holup A.A."},{"literal":"Gassoumis Z.D."},{"literal":"Wilber K.H."},{"literal":"Hyer K."}],"issued":{"date-parts":[["2016"]]}}}],"schema":"https://github.com/citation-style-language/schema/raw/master/csl-citation.json"}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[92]</w:t>
      </w:r>
      <w:r w:rsidRPr="00ED5246">
        <w:rPr>
          <w:rFonts w:ascii="Times New Roman" w:hAnsi="Times New Roman" w:cs="Times New Roman"/>
        </w:rPr>
        <w:fldChar w:fldCharType="end"/>
      </w:r>
      <w:r w:rsidRPr="00ED5246">
        <w:rPr>
          <w:rFonts w:ascii="Times New Roman" w:hAnsi="Times New Roman" w:cs="Times New Roman"/>
        </w:rPr>
        <w:t xml:space="preserve">. Commentary evidence further emphasized the importance of government investment in home-based care models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{"citationID":"VkQaKNV9","properties":{"formattedCitation":"[87]","plainCitation":"[87]","noteIndex":0},"citationItems":[{"id":69502,"uris":["http://zotero.org/users/7655466/items/GGYAM4UA"],"itemData":{"id":69502,"type":"article-journal","container-title":"Journal of the American Geriatrics Society","DOI":"10.1111/jgs.18260","ISSN":"1532-5415","issue":"2","language":"en","license":"© 2023 The Authors. Journal of the American Geriatrics Society published by Wiley Periodicals LLC on behalf of The American Geriatrics Society. This article has been contributed to by U.S. Government employees and their work is in the public domain in the USA. This article has been co-published in Public Policy &amp; Aging Report and Journal of the American Geriatrics Society. The articles are identical except for minor stylistic and spelling differences in keeping with each journal's style. Either citation can be used when citing this article.","note":"_eprint: https://onlinelibrary.wiley.com/doi/pdf/10.1111/jgs.18260","page":"342-348","source":"Wiley Online Library","title":"Paying for Nursing Home Quality: An Elusive But Important Goal","title-short":"Paying for Nursing Home Quality","volume":"71","author":[{"family":"Grabowski","given":"David C."},{"family":"Chen","given":"Amanda"},{"family":"Saliba","given":"Debra"}],"issued":{"date-parts":[["2023"]]}}}],"schema":"https://github.com/citation-style-language/schema/raw/master/csl-citation.json"}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[87]</w:t>
      </w:r>
      <w:r w:rsidRPr="00ED5246">
        <w:rPr>
          <w:rFonts w:ascii="Times New Roman" w:hAnsi="Times New Roman" w:cs="Times New Roman"/>
        </w:rPr>
        <w:fldChar w:fldCharType="end"/>
      </w:r>
      <w:r w:rsidRPr="00ED5246">
        <w:rPr>
          <w:rFonts w:ascii="Times New Roman" w:hAnsi="Times New Roman" w:cs="Times New Roman"/>
        </w:rPr>
        <w:t>, noting that countries investing 3</w:t>
      </w:r>
      <w:r>
        <w:rPr>
          <w:rFonts w:ascii="Times New Roman" w:hAnsi="Times New Roman" w:cs="Times New Roman"/>
        </w:rPr>
        <w:t>-</w:t>
      </w:r>
      <w:r w:rsidRPr="00ED5246">
        <w:rPr>
          <w:rFonts w:ascii="Times New Roman" w:hAnsi="Times New Roman" w:cs="Times New Roman"/>
        </w:rPr>
        <w:t>3.7% of GDP in home care achieve stronger support for transitions.</w:t>
      </w:r>
    </w:p>
    <w:p w14:paraId="18D6E1E9" w14:textId="65267414" w:rsidR="005B0855" w:rsidRPr="00ED5246" w:rsidRDefault="005B0855" w:rsidP="00180C23">
      <w:pPr>
        <w:spacing w:after="0" w:line="480" w:lineRule="auto"/>
        <w:jc w:val="both"/>
        <w:rPr>
          <w:rFonts w:ascii="Times New Roman" w:hAnsi="Times New Roman" w:cs="Times New Roman"/>
        </w:rPr>
      </w:pPr>
      <w:bookmarkStart w:id="27" w:name="_Hlk184211500"/>
      <w:r w:rsidRPr="00ED5246">
        <w:rPr>
          <w:rFonts w:ascii="Times New Roman" w:hAnsi="Times New Roman" w:cs="Times New Roman"/>
          <w:b/>
          <w:bCs/>
        </w:rPr>
        <w:t xml:space="preserve">Person-centered care. </w:t>
      </w:r>
      <w:r w:rsidRPr="00ED5246">
        <w:rPr>
          <w:rFonts w:ascii="Times New Roman" w:hAnsi="Times New Roman" w:cs="Times New Roman"/>
        </w:rPr>
        <w:t xml:space="preserve">Patient preferences considerably influence transitions, with quantitative evidence indicating that residents who expressed a desire for community discharge were 8.82 times more likely to transition successfully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RMRt40tt","properties":{"formattedCitation":"[80]","plainCitation":"[80]","noteIndex":0},"citationItems":[{"id":48873,"uris":["http://zotero.org/groups/5108666/items/WPRD4GNF"],"itemData":{"id":48873,"type":"article-journal","archive":"Scopus","container-title":"Health Services Research","DOI":"10.1111/1475-6773.12795","page":"2787-2802","title":"Modeling Community Discharge of Medicaid Nursing Home Residents: Implications for Money Follows the Person","volume":"53","author":[{"family":"Hass","given":"Z."},{"family":"Woodhouse","given":"M."},{"family":"Kane","given":"R."},{"family":"Arling","given":"G."}],"issued":{"date-parts":[["2018"]]}}}],"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[80]</w:t>
      </w:r>
      <w:r w:rsidRPr="00ED5246">
        <w:rPr>
          <w:rFonts w:ascii="Times New Roman" w:hAnsi="Times New Roman" w:cs="Times New Roman"/>
        </w:rPr>
        <w:fldChar w:fldCharType="end"/>
      </w:r>
      <w:r w:rsidRPr="00ED5246">
        <w:rPr>
          <w:rFonts w:ascii="Times New Roman" w:hAnsi="Times New Roman" w:cs="Times New Roman"/>
        </w:rPr>
        <w:t>. Mixed methods research supported this finding, highlighting the importance of both residents</w:t>
      </w:r>
      <w:r>
        <w:rPr>
          <w:rFonts w:ascii="Times New Roman" w:hAnsi="Times New Roman" w:cs="Times New Roman"/>
        </w:rPr>
        <w:t>’</w:t>
      </w:r>
      <w:r w:rsidRPr="00ED5246">
        <w:rPr>
          <w:rFonts w:ascii="Times New Roman" w:hAnsi="Times New Roman" w:cs="Times New Roman"/>
        </w:rPr>
        <w:t xml:space="preserve"> desire to return to the community</w:t>
      </w:r>
      <w:r>
        <w:rPr>
          <w:rFonts w:ascii="Times New Roman" w:hAnsi="Times New Roman" w:cs="Times New Roman"/>
        </w:rPr>
        <w:t xml:space="preserve"> (n=1) </w:t>
      </w:r>
      <w:r>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{"citationID":"5zhur65W","properties":{"formattedCitation":"[86]","plainCitation":"[86]","noteIndex":0},"citationItems":[{"id":67881,"uris":["http://zotero.org/groups/5108666/items/MSJZJ5FT"],"itemData":{"id":67881,"type":"article-journal","abstract":"Minnesota's Return to Community Initiative (RTCI) is a novel, statewide initiative to assist private paying nursing home residents to return to the community and to remain in that setting without converting to Medicaid. The objective of this manuscript is to describe in detail RTCI's development and design, its key operational components, and characteristics of its clients and their care outcomes. Data on client characteristics and outcomes come from the Minimum Data Set, staff assessments of clients and caregivers, and Medicaid eligibility files. Most clients transitioned by the RTCI had entered the nursing facility from a hospital. Clients overwhelmingly wanted to return to the community and fit a health and functional profile making them good candidates for community discharge. Most clients went to a private residence, living alone or with a spouse; yet, adult children were the most frequent caregivers. At one year of follow-up 76% of individuals were alive and living in the community and only a small percentage (8.2%) had converted to Medicaid. The RTCI holds promise as a successful model for states to adopt in assisting individuals who are at risk to become long stay nursing home residents instead to return to the community.","container-title":"Geriatrics (Basel, Switzerland)","DOI":"10.3390/geriatrics3020018","ISSN":"2308-3417","issue":"2","journalAbbreviation":"Geriatrics (Basel)","language":"eng","note":"PMID: 30228977\nPMCID: PMC6139116","page":"18","source":"PubMed","title":"A Statewide Model for Assisting Nursing Home Residents to Transition Successfully to the Community","volume":"3","author":[{"family":"Buttke","given":"Darci"},{"family":"Cooke","given":"Valerie"},{"family":"Abrahamson","given":"Kathleen"},{"family":"Shippee","given":"Tetyana"},{"family":"Davila","given":"Heather"},{"family":"Kane","given":"Rosalie"},{"family":"Arling","given":"Greg"}],"issued":{"date-parts":[["2018",6]]}}}],"schema":"https://github.com/citation-style-language/schema/raw/master/csl-citation.json"} </w:instrText>
      </w:r>
      <w:r>
        <w:rPr>
          <w:rFonts w:ascii="Times New Roman" w:hAnsi="Times New Roman" w:cs="Times New Roman"/>
        </w:rPr>
        <w:fldChar w:fldCharType="separate"/>
      </w:r>
      <w:r w:rsidR="00180C23" w:rsidRPr="00180C23">
        <w:rPr>
          <w:rFonts w:ascii="Times New Roman" w:hAnsi="Times New Roman" w:cs="Times New Roman"/>
        </w:rPr>
        <w:t>[86]</w:t>
      </w:r>
      <w:r>
        <w:rPr>
          <w:rFonts w:ascii="Times New Roman" w:hAnsi="Times New Roman" w:cs="Times New Roman"/>
        </w:rPr>
        <w:fldChar w:fldCharType="end"/>
      </w:r>
      <w:r w:rsidRPr="00ED5246">
        <w:rPr>
          <w:rFonts w:ascii="Times New Roman" w:hAnsi="Times New Roman" w:cs="Times New Roman"/>
        </w:rPr>
        <w:t xml:space="preserve"> and person-centered care planning approaches (n=</w:t>
      </w:r>
      <w:r>
        <w:rPr>
          <w:rFonts w:ascii="Times New Roman" w:hAnsi="Times New Roman" w:cs="Times New Roman"/>
        </w:rPr>
        <w:t>1</w:t>
      </w:r>
      <w:r w:rsidRPr="00ED5246">
        <w:rPr>
          <w:rFonts w:ascii="Times New Roman" w:hAnsi="Times New Roman" w:cs="Times New Roman"/>
        </w:rPr>
        <w:t xml:space="preserve">)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{"citationID":"MeKLlFnS","properties":{"formattedCitation":"[91]","plainCitation":"[91]","noteIndex":0},"citationItems":[{"id":67876,"uris":["http://zotero.org/groups/5108666/items/NCLTYAMA"],"itemData":{"id":67876,"type":"article-journal","abstract":"This study examined experiences of 156 informal caregivers of older adults who transitioned to the community through the Connecticut Money Follows the Person (MFP) Rebalancing Demonstration after prolonged nursing home stays. Caregiver burden, positive aspects of caregiving, depressive symptoms, anxiety, and comparative subjective stress were examined in relation to caregiver demographics and care receiver characteristics with a cross-sectional survey. Caregivers reported low burden, depressive symptoms, and anxiety, and fairly high levels of positive aspects of caregiving and satisfaction with community services. Most caregivers were less stressed compared to the time the care recipient was in, or before they entered, a nursing home. Live-in caregivers experienced more positive aspects of caregiving, but adult children reported higher burden than other caregivers. Unmet service needs also increased caregiver burden. Programs like MFP are a viable option with broadly positive outcomes from a caregiver's perspective. Enthusiasm for increasing access to community care is growing for older adults who otherwise would reside in nursing homes for extended periods. Identifying unmet service needs and needs for targeted functional support could further enhance caregiver experiences and contribute to the successful transition of older adults to the community.","container-title":"Journal of Aging &amp; Social Policy","DOI":"10.1080/08959420.2016.1187034","ISSN":"1545-0821","issue":"1","journalAbbreviation":"J Aging Soc Policy","language":"eng","note":"PMID: 27195447","page":"20-34","source":"PubMed","title":"Experiences of Informal Caregivers of Older Adults Transitioned From Nursing Homes to the Community Through the Money Follows the Person Demonstration","volume":"29","author":[{"family":"Kristof","given":"Lorand"},{"family":"Fortinsky","given":"Richard H."},{"family":"Kellett","given":"Kathy"},{"family":"Porter","given":"Martha"},{"family":"Robison","given":"Julie"}],"issued":{"date-parts":[["2017"]]}}}],"schema":"https://github.com/citation-style-language/schema/raw/master/csl-citation.json"}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[91]</w:t>
      </w:r>
      <w:r w:rsidRPr="00ED5246">
        <w:rPr>
          <w:rFonts w:ascii="Times New Roman" w:hAnsi="Times New Roman" w:cs="Times New Roman"/>
        </w:rPr>
        <w:fldChar w:fldCharType="end"/>
      </w:r>
      <w:r w:rsidRPr="00ED5246">
        <w:rPr>
          <w:rFonts w:ascii="Times New Roman" w:hAnsi="Times New Roman" w:cs="Times New Roman"/>
        </w:rPr>
        <w:t xml:space="preserve">. Review evidence reinforced these patterns (n=2)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lPImNbOI","properties":{"formattedCitation":"[81,87]","plainCitation":"[81,87]","noteIndex":0},"citationItems":[{"id":49597,"uris":["http://zotero.org/groups/5108666/items/I8K35KVH"],"itemData":{"id":49597,"type":"article-journal","archive":"Scopus","container-title":"BMC Health Services Research","DOI":"10.1186/s12913-017-2571-y","issue":"1","title":"Factors affecting residents transition from long term care facilities to the community: A scoping review","URL":"https://www.scopus.com/inward/record.uri?eid=2-s2.0-85030452199&amp;doi=10.1186%2fs12913-017-2571-y&amp;partnerID=40&amp;md5=ca9ff8ed2985ce5ab76e677b9a87f984","volume":"17","author":[{"family":"Freeman","given":"S."},{"family":"Bishop","given":"K."},{"family":"Spirgiene","given":"L."},{"family":"Koopmans","given":"E."},{"family":"Bothelo","given":"F.C."},{"family":"Fyfe","given":"T."},{"family":"Xiong","given":"B."},{"family":"Patchett","given":"S."},{"family":"MacLeod","given":"M."}],"issued":{"date-parts":[["2017"]]}}},{"id":69502,"uris":["http://zotero.org/users/7655466/items/GGYAM4UA"],"itemData":{"id":69502,"type":"article-journal","container-title":"Journal of the American Geriatrics Society","DOI":"10.1111/jgs.18260","ISSN":"1532-5415","issue":"2","language":"en","license":"© 2023 The Authors. Journal of the American Geriatrics Society published by Wiley Periodicals LLC on behalf of The American Geriatrics Society. This article has been contributed to by U.S. Government employees and their work is in the public domain in the USA. This article has been co-published in Public Policy &amp; Aging Report and Journal of the American Geriatrics Society. The articles are identical except for minor stylistic and spelling differences in keeping with each journal's style. Either citation can be used when citing this article.","note":"_eprint: https://onlinelibrary.wiley.com/doi/pdf/10.1111/jgs.18260","page":"342-348","source":"Wiley Online Library","title":"Paying for Nursing Home Quality: An Elusive But Important Goal","title-short":"Paying for Nursing Home Quality","volume":"71","author":[{"family":"Grabowski","given":"David C."},{"family":"Chen","given":"Amanda"},{"family":"Saliba","given":"Debra"}],"issued":{"date-parts":[["2023"]]}}}],"schema":"https://github.com/citation-style-language/schema/raw/master/csl-citation.json"}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[81,87]</w:t>
      </w:r>
      <w:r w:rsidRPr="00ED5246">
        <w:rPr>
          <w:rFonts w:ascii="Times New Roman" w:hAnsi="Times New Roman" w:cs="Times New Roman"/>
        </w:rPr>
        <w:fldChar w:fldCharType="end"/>
      </w:r>
      <w:r w:rsidRPr="00ED5246">
        <w:rPr>
          <w:rFonts w:ascii="Times New Roman" w:hAnsi="Times New Roman" w:cs="Times New Roman"/>
        </w:rPr>
        <w:t>, underscoring how individual and family preferences for home care, alongside resident-directed care and respect for autonomy, positively influenced transitions.</w:t>
      </w:r>
    </w:p>
    <w:bookmarkEnd w:id="27"/>
    <w:p w14:paraId="06A56B02" w14:textId="2DFDFF67" w:rsidR="005B0855" w:rsidRPr="00ED5246" w:rsidRDefault="005B0855" w:rsidP="005B0855">
      <w:pPr>
        <w:pStyle w:val="Heading3"/>
        <w:numPr>
          <w:ilvl w:val="0"/>
          <w:numId w:val="0"/>
        </w:numPr>
        <w:spacing w:before="0" w:line="480" w:lineRule="auto"/>
        <w:ind w:left="720" w:hanging="720"/>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S5.</w:t>
      </w:r>
      <w:r w:rsidRPr="00ED5246">
        <w:rPr>
          <w:rFonts w:ascii="Times New Roman" w:hAnsi="Times New Roman" w:cs="Times New Roman"/>
          <w:b/>
          <w:color w:val="auto"/>
          <w:sz w:val="22"/>
          <w:szCs w:val="22"/>
        </w:rPr>
        <w:t xml:space="preserve">2. </w:t>
      </w:r>
      <w:r w:rsidR="00B61988">
        <w:rPr>
          <w:rFonts w:ascii="Times New Roman" w:hAnsi="Times New Roman" w:cs="Times New Roman"/>
          <w:b/>
          <w:color w:val="auto"/>
          <w:sz w:val="22"/>
          <w:szCs w:val="22"/>
        </w:rPr>
        <w:t xml:space="preserve">Factors </w:t>
      </w:r>
      <w:r w:rsidR="00C661AC">
        <w:rPr>
          <w:rFonts w:ascii="Times New Roman" w:hAnsi="Times New Roman" w:cs="Times New Roman"/>
          <w:b/>
          <w:color w:val="auto"/>
          <w:sz w:val="22"/>
          <w:szCs w:val="22"/>
        </w:rPr>
        <w:t>i</w:t>
      </w:r>
      <w:r w:rsidR="00B61988">
        <w:rPr>
          <w:rFonts w:ascii="Times New Roman" w:hAnsi="Times New Roman" w:cs="Times New Roman"/>
          <w:b/>
          <w:color w:val="auto"/>
          <w:sz w:val="22"/>
          <w:szCs w:val="22"/>
        </w:rPr>
        <w:t xml:space="preserve">nfluencing </w:t>
      </w:r>
      <w:r w:rsidR="00C661AC">
        <w:rPr>
          <w:rFonts w:ascii="Times New Roman" w:hAnsi="Times New Roman" w:cs="Times New Roman"/>
          <w:b/>
          <w:bCs/>
          <w:color w:val="000000" w:themeColor="text1"/>
          <w:sz w:val="22"/>
          <w:szCs w:val="22"/>
        </w:rPr>
        <w:t>t</w:t>
      </w:r>
      <w:r w:rsidRPr="00ED5246">
        <w:rPr>
          <w:rFonts w:ascii="Times New Roman" w:hAnsi="Times New Roman" w:cs="Times New Roman"/>
          <w:b/>
          <w:bCs/>
          <w:color w:val="000000" w:themeColor="text1"/>
          <w:sz w:val="22"/>
          <w:szCs w:val="22"/>
        </w:rPr>
        <w:t>ransitions from CCC to home care</w:t>
      </w:r>
    </w:p>
    <w:p w14:paraId="1306EA85" w14:textId="336E9296"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b/>
          <w:bCs/>
        </w:rPr>
        <w:t xml:space="preserve">Socio-demographic characteristics. </w:t>
      </w:r>
      <w:r w:rsidRPr="00ED5246">
        <w:rPr>
          <w:rFonts w:ascii="Times New Roman" w:hAnsi="Times New Roman" w:cs="Times New Roman"/>
        </w:rPr>
        <w:t>Age was consistently represented as an influential factor in quantitative</w:t>
      </w:r>
      <w:r>
        <w:rPr>
          <w:rFonts w:ascii="Times New Roman" w:hAnsi="Times New Roman" w:cs="Times New Roman"/>
        </w:rPr>
        <w:t xml:space="preserve"> </w:t>
      </w:r>
      <w:r w:rsidRPr="00ED5246">
        <w:rPr>
          <w:rFonts w:ascii="Times New Roman" w:hAnsi="Times New Roman" w:cs="Times New Roman"/>
        </w:rPr>
        <w:t xml:space="preserve">(n=3)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Rv9ZhGpo","properties":{"formattedCitation":"[93\\uc0\\u8211{}95]","plainCitation":"[93–95]","noteIndex":0},"citationItems":[{"id":37898,"uris":["http://zotero.org/groups/5108666/items/LZLHKIN3"],"itemData":{"id":37898,"type":"article-journal","abstract":"Objective: The aim of this study was to evaluate the effectiveness and identify factors predictive of home discharge in a cohort of patients admitted to the residential Transitional Aged Care Program (r-TACP) after a stay in an acute hospital. Method(s): A retrospective observational cohort study of patients admitted to a single r-TACP unit between 1 January 2014 and 31 December 2017 was carried out. Baseline patient characteristics and discharge outcomes were analyzed. Result(s): Three hundred sixty-nine patients were admitted during the study period. The discharge outcomes were as follows: 68% returned home, 17% went onto residential care, 14% were readmitted to hospital, and 1% died. Factors associated with not returning home were increased age, increased comorbidities, and lower Barthel Index on admission to the r-TACP. Conclusion(s): Our r-TACP is an effective program that successfully returns the majority (67.8%) of older patients home after an acute hospital admission. Older patients with greater comorbidities and poorer baseline functional status in our program were less likely to return home.Copyright © 2019 The Authors. Aging Medicine published by Beijing Hospital and John Wiley &amp; Sons Australia, Ltd.","archive":"Embase","container-title":"Aging Medicine","DOI":"10.1002/agm2.12076","ISSN":"2475-0360 (electronic)","issue":"3","journalAbbreviation":"Aging Med.","language":"English","page":"162-167","title":"Effectiveness and analysis of factors predictive of discharge to home in a 4-year cohort in a residential transitional care unit","volume":"2","author":[{"literal":"Chan D.K.Y."},{"literal":"Zhang S."},{"literal":"Liu Y."},{"literal":"Upton C."},{"literal":"Kurien P.E."},{"literal":"Li R."},{"literal":"Hohenberg M.I."},{"literal":"Hung W.T."}],"issued":{"date-parts":[["2019"]]}}},{"id":42186,"uris":["http://zotero.org/groups/5108666/items/QCJVP2VB"],"itemData":{"id":42186,"type":"article-journal","abstract":"Background: Improved risk factor management and interventions have both been shown to improve mortality in stroke patients. Although this has been a success  for acute care, it has placed a higher burden on stroke rehabilitation  resources.Objectives: This study sought to identify the pre-stroke rehabilitation  admission factors that best predict personal care home discharge.Methods: Using a  retrospective case-control, chart review design, 60 patients discharged to  personal care homes from inpatient stroke rehabilitation between 2008 and 2017  were included. One hundred and eighty-two patients discharged home over the same  time span were randomly selected as controls. Statistical analysis was used to  identify patient factors independently associated with discharge  destination.Results: Patients were more often discharged to personal care homes  if they were older (OR 1.09; CI [1.05-1.15]), had a lower functional independence  measure score (OR 0.95; CI [0.92-0.97]), had cognitive deficits (OR 6.19; CI  [2.37-18.06]), lived alone before their stroke (OR 7.77; CI [2.75-24.55]), and  whether or not there was excessive truncal instability limiting Berg balance  scale measurability (OR 0.17; CI [0.06-0.45] if able to measure). Combined, the  predictive value of personal care home discharge using these variables was  91.6%.Conclusions: A combination of age, admission functional independence  measure, cognitive impairment, pre-stroke living situation, and measurability of  the Berg balance scale on admission to stroke rehabilitation were highly  predictive of eventual personal care home discharge.","container-title":"Topics in stroke rehabilitation","DOI":"10.1080/10749357.2019.1682369","ISSN":"1945-5119 1074-9357","issue":"3","journalAbbreviation":"Top Stroke Rehabil","language":"eng","page":"173-180","title":"Factors associated with community versus personal care home discharges after inpatient stroke rehabilitation: the need for a pre-admission predictive model.","volume":"27","author":[{"family":"Wasserman","given":"Alexander"},{"family":"Thiessen","given":"Michelle"},{"family":"Pooyania","given":"Sepideh"}],"issued":{"date-parts":[["2020",4]]}}},{"id":51027,"uris":["http://zotero.org/groups/5108666/items/ZKRQZ8KQ"],"itemData":{"id":51027,"type":"article-journal","archive":"Scopus","container-title":"Journal of the American Geriatrics Society","DOI":"10.1111/jgs.13677","issue":"10","page":"2043-2051","title":"Volume matters: Returning home after hip fracture","volume":"63","author":[{"family":"Gozalo","given":"P."},{"family":"Leland","given":"N.E."},{"family":"Christian","given":"T.J."},{"family":"Mor","given":"V."},{"family":"Teno","given":"J.M."}],"issued":{"date-parts":[["2015"]]}}}],"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[93–95]</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 xml:space="preserve">and a review </w:t>
      </w:r>
      <w:r w:rsidRPr="00ED5246">
        <w:rPr>
          <w:rFonts w:ascii="Times New Roman" w:hAnsi="Times New Roman" w:cs="Times New Roman"/>
        </w:rPr>
        <w:t>stud</w:t>
      </w:r>
      <w:r>
        <w:rPr>
          <w:rFonts w:ascii="Times New Roman" w:hAnsi="Times New Roman" w:cs="Times New Roman"/>
        </w:rPr>
        <w:t xml:space="preserve">y (n=1) </w:t>
      </w:r>
      <w:r>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W2QXpRo5","properties":{"formattedCitation":"[96]","plainCitation":"[96]","noteIndex":0},"citationItems":[{"id":50695,"uris":["http://zotero.org/groups/5108666/items/6PANXKIG"],"itemData":{"id":50695,"type":"article-journal","archive":"Scopus","container-title":"BMC Geriatrics","DOI":"10.1186/s12877-016-0187-4","issue":"1","title":"Factors influencing home discharge after inpatient rehabilitation of older patients: A systematic review Health services research","URL":"https://www.scopus.com/inward/record.uri?eid=2-s2.0-84954173089&amp;doi=10.1186%2fs12877-016-0187-4&amp;partnerID=40&amp;md5=7192a6cca83d0049c612aebfb8a48025","volume":"16","author":[{"family":"Everink","given":"I.H.J."},{"family":"Van Haastregt","given":"J.C.M."},{"family":"Van Hoof","given":"S.J.M."},{"family":"Schols","given":"J.M.G.A."},{"family":"Kempen","given":"G.I.J.M."}],"issued":{"date-parts":[["2016"]]}}}],"schema":"https://github.com/citation-style-language/schema/raw/master/csl-citation.json"} </w:instrText>
      </w:r>
      <w:r>
        <w:rPr>
          <w:rFonts w:ascii="Times New Roman" w:hAnsi="Times New Roman" w:cs="Times New Roman"/>
        </w:rPr>
        <w:fldChar w:fldCharType="separate"/>
      </w:r>
      <w:r w:rsidR="00180C23" w:rsidRPr="00180C23">
        <w:rPr>
          <w:rFonts w:ascii="Times New Roman" w:hAnsi="Times New Roman" w:cs="Times New Roman"/>
        </w:rPr>
        <w:t>[96]</w:t>
      </w:r>
      <w:r>
        <w:rPr>
          <w:rFonts w:ascii="Times New Roman" w:hAnsi="Times New Roman" w:cs="Times New Roman"/>
        </w:rPr>
        <w:fldChar w:fldCharType="end"/>
      </w:r>
      <w:r>
        <w:rPr>
          <w:rFonts w:ascii="Times New Roman" w:hAnsi="Times New Roman" w:cs="Times New Roman"/>
        </w:rPr>
        <w:t xml:space="preserve"> </w:t>
      </w:r>
      <w:r w:rsidRPr="00ED5246">
        <w:rPr>
          <w:rFonts w:ascii="Times New Roman" w:hAnsi="Times New Roman" w:cs="Times New Roman"/>
        </w:rPr>
        <w:t xml:space="preserve">, with older age </w:t>
      </w:r>
      <w:r>
        <w:rPr>
          <w:rFonts w:ascii="Times New Roman" w:hAnsi="Times New Roman" w:cs="Times New Roman"/>
        </w:rPr>
        <w:t>acting</w:t>
      </w:r>
      <w:r w:rsidRPr="00ED5246">
        <w:rPr>
          <w:rFonts w:ascii="Times New Roman" w:hAnsi="Times New Roman" w:cs="Times New Roman"/>
        </w:rPr>
        <w:t xml:space="preserve"> as a barrier to home transitions. Gender also appeared as a determinant in quantitative research, with female sex associated with successful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{"citationID":"RinPad8J","properties":{"formattedCitation":"[97]","plainCitation":"[97]","noteIndex":0},"citationItems":[{"id":40699,"uris":["http://zotero.org/groups/5108666/items/CAJ4EP6P"],"itemData":{"id":40699,"type":"article-journal","abstract":"BACKGROUND: Post-acute care hospitals are often subject to patient flow pressures because of their intermediary position along the continuum of care between acute care hospitals and community care or residential long-term care settings. The purpose of this study was to identify patient attributes associated with a prolonged length of stay in Complex Continuing Care hospitals., METHODS: Using information collected using the interRAI Resident Assessment Instrument Minimum Data Set 2.0 (MDS 2.0), a sample of 91,113 episodes of care for patients admitted to Complex Continuing Care hospitals between March 31, 2001 and March 31, 2013 was established. All patients in the sample were either discharged to a residential long-term care facility (e.g., nursing home) or to the community. Long-stay patients for each discharge destination were identified based on a length of stay in the 95th percentile. A series of multivariate logistic regression models predicting long-stay patient status for each discharge destination pathway were fit to characterize the association between demographic factors, residential history, health severity measures, and service utilization on prolonged length of stay in post-acute care., RESULTS: Risk factors for prolonged length of stay in the adjusted models included functional and cognitive impairment, greater pressure ulcer risk, paralysis, antibiotic resistant and HIV infection need for a feeding tube, dialysis, tracheostomy, ventilator or a respirator, and psychological therapy. Protective factors included advanced age, medical instability, a greater number of recent hospital and emergency department visits, cancer diagnosis, pneumonia, unsteady gait, a desire to return to the community, and a support person who is positive towards discharge. Aggressive behaviour was only a risk factor for patients discharged to residential long-term care facilities. Cancer diagnosis, antibiotic resistant and HIV infection, and pneumonia were only significant factors for patients discharged to the community., CONCLUSIONS: This study identified several patient attributes and process of care variables that are predictors of prolonged length of stay in post-acute care hospitals. This is valuable information for care planners and health system administrators working to improve patient flow in Complex Continuing Care and other post-acute care settings such as skilled nursing and inpatient rehabilitation facilities.","archive":"Ovid MEDLINE(R) &lt;2019&gt;","container-title":"BMC health services research","DOI":"10.1186/s12913-019-4024-2","ISSN":"1472-6963","issue":"1","journalAbbreviation":"BMC Health Serv Res","page":"218","title":"Clinical predictors of protracted length of stay in Ontario Complex Continuing Care hospitals.","volume":"19","author":[{"family":"Turcotte","given":"Luke A"},{"family":"Perlman","given":"Chris M"},{"family":"Fries","given":"Brant E"},{"family":"Hirdes","given":"John P"}],"issued":{"date-parts":[["2019"]]}}}],"schema":"https://github.com/citation-style-language/schema/raw/master/csl-citation.json"}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[97]</w:t>
      </w:r>
      <w:r w:rsidRPr="00ED5246">
        <w:rPr>
          <w:rFonts w:ascii="Times New Roman" w:hAnsi="Times New Roman" w:cs="Times New Roman"/>
        </w:rPr>
        <w:fldChar w:fldCharType="end"/>
      </w:r>
      <w:r w:rsidRPr="00ED5246">
        <w:rPr>
          <w:rFonts w:ascii="Times New Roman" w:hAnsi="Times New Roman" w:cs="Times New Roman"/>
        </w:rPr>
        <w:t xml:space="preserve">. </w:t>
      </w:r>
      <w:bookmarkStart w:id="28" w:name="_Hlk184036946"/>
      <w:r w:rsidRPr="00ED5246">
        <w:rPr>
          <w:rFonts w:ascii="Times New Roman" w:hAnsi="Times New Roman" w:cs="Times New Roman"/>
        </w:rPr>
        <w:t xml:space="preserve">Race and ethnicity demonstrated notable patterns across study types. Quantitative research identified positive associations between non-white populations and successful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FOfCZfyT","properties":{"formattedCitation":"[98]","plainCitation":"[98]","noteIndex":0},"citationItems":[{"id":46313,"uris":["http://zotero.org/groups/5108666/items/4853Y9QS"],"itemData":{"id":46313,"type":"article-journal","archive":"Scopus","container-title":"Journal of Head Trauma Rehabilitation","DOI":"10.1097/HTR.0000000000000638","issue":"3","page":"E186-E198","title":"Successful community discharge among older adults with traumatic brain injury in skilled nursing facilities","volume":"36","author":[{"family":"Evans","given":"E."},{"family":"Gutman","given":"R."},{"family":"Resnik","given":"L."},{"family":"Zonfrillo","given":"M.R."},{"family":"Lueckel","given":"S.N."},{"family":"Kumar","given":"R.G."},{"family":"DeVone","given":"F."},{"family":"Dams-O'Connor","given":"K."},{"family":"Thomas","given":"K.S."}],"issued":{"date-parts":[["2021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[98]</w:t>
      </w:r>
      <w:r w:rsidRPr="00ED5246">
        <w:rPr>
          <w:rFonts w:ascii="Times New Roman" w:hAnsi="Times New Roman" w:cs="Times New Roman"/>
        </w:rPr>
        <w:fldChar w:fldCharType="end"/>
      </w:r>
      <w:r w:rsidRPr="00ED5246">
        <w:rPr>
          <w:rFonts w:ascii="Times New Roman" w:hAnsi="Times New Roman" w:cs="Times New Roman"/>
        </w:rPr>
        <w:t xml:space="preserve">, a finding further supported by a systematic review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EZyOGlZT","properties":{"formattedCitation":"[96]","plainCitation":"[96]","noteIndex":0},"citationItems":[{"id":50695,"uris":["http://zotero.org/groups/5108666/items/6PANXKIG"],"itemData":{"id":50695,"type":"article-journal","archive":"Scopus","container-title":"BMC Geriatrics","DOI":"10.1186/s12877-016-0187-4","issue":"1","title":"Factors influencing home discharge after inpatient rehabilitation of older patients: A systematic review Health services research","URL":"https://www.scopus.com/inward/record.uri?eid=2-s2.0-84954173089&amp;doi=10.1186%2fs12877-016-0187-4&amp;partnerID=40&amp;md5=7192a6cca83d0049c612aebfb8a48025","volume":"16","author":[{"family":"Everink","given":"I.H.J."},{"family":"Van Haastregt","given":"J.C.M."},{"family":"Van Hoof","given":"S.J.M."},{"family":"Schols","given":"J.M.G.A."},{"family":"Kempen","given":"G.I.J.M."}],"issued":{"date-parts":[["2016"]]}}}],"schema":"https://github.com/citation-style-language/schema/raw/master/csl-citation.json"}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[96]</w:t>
      </w:r>
      <w:r w:rsidRPr="00ED5246">
        <w:rPr>
          <w:rFonts w:ascii="Times New Roman" w:hAnsi="Times New Roman" w:cs="Times New Roman"/>
        </w:rPr>
        <w:fldChar w:fldCharType="end"/>
      </w:r>
      <w:r w:rsidRPr="00ED5246">
        <w:rPr>
          <w:rFonts w:ascii="Times New Roman" w:hAnsi="Times New Roman" w:cs="Times New Roman"/>
        </w:rPr>
        <w:t xml:space="preserve"> that highlighted white ethnicity as a barrier to transitions.</w:t>
      </w:r>
    </w:p>
    <w:bookmarkEnd w:id="28"/>
    <w:p w14:paraId="0B5FAC0A" w14:textId="518E448A"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rPr>
        <w:t xml:space="preserve">Living arrangements showed substantial influence in quantitative studies. Having a support person and not living alone were noted as facilitating factors (n=2)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{"citationID":"XqAGOius","properties":{"formattedCitation":"[97,99]","plainCitation":"[97,99]","noteIndex":0},"citationItems":[{"id":40699,"uris":["http://zotero.org/groups/5108666/items/CAJ4EP6P"],"itemData":{"id":40699,"type":"article-journal","abstract":"BACKGROUND: Post-acute care hospitals are often subject to patient flow pressures because of their intermediary position along the continuum of care between acute care hospitals and community care or residential long-term care settings. The purpose of this study was to identify patient attributes associated with a prolonged length of stay in Complex Continuing Care hospitals., METHODS: Using information collected using the interRAI Resident Assessment Instrument Minimum Data Set 2.0 (MDS 2.0), a sample of 91,113 episodes of care for patients admitted to Complex Continuing Care hospitals between March 31, 2001 and March 31, 2013 was established. All patients in the sample were either discharged to a residential long-term care facility (e.g., nursing home) or to the community. Long-stay patients for each discharge destination were identified based on a length of stay in the 95th percentile. A series of multivariate logistic regression models predicting long-stay patient status for each discharge destination pathway were fit to characterize the association between demographic factors, residential history, health severity measures, and service utilization on prolonged length of stay in post-acute care., RESULTS: Risk factors for prolonged length of stay in the adjusted models included functional and cognitive impairment, greater pressure ulcer risk, paralysis, antibiotic resistant and HIV infection need for a feeding tube, dialysis, tracheostomy, ventilator or a respirator, and psychological therapy. Protective factors included advanced age, medical instability, a greater number of recent hospital and emergency department visits, cancer diagnosis, pneumonia, unsteady gait, a desire to return to the community, and a support person who is positive towards discharge. Aggressive behaviour was only a risk factor for patients discharged to residential long-term care facilities. Cancer diagnosis, antibiotic resistant and HIV infection, and pneumonia were only significant factors for patients discharged to the community., CONCLUSIONS: This study identified several patient attributes and process of care variables that are predictors of prolonged length of stay in post-acute care hospitals. This is valuable information for care planners and health system administrators working to improve patient flow in Complex Continuing Care and other post-acute care settings such as skilled nursing and inpatient rehabilitation facilities.","archive":"Ovid MEDLINE(R) &lt;2019&gt;","container-title":"BMC health services research","DOI":"10.1186/s12913-019-4024-2","ISSN":"1472-6963","issue":"1","journalAbbreviation":"BMC Health Serv Res","page":"218","title":"Clinical predictors of protracted length of stay in Ontario Complex Continuing Care hospitals.","volume":"19","author":[{"family":"Turcotte","given":"Luke A"},{"family":"Perlman","given":"Chris M"},{"family":"Fries","given":"Brant E"},{"family":"Hirdes","given":"John P"}],"issued":{"date-parts":[["2019"]]}}},{"id":69681,"uris":["http://zotero.org/users/7655466/items/IVLARVTM"],"itemData":{"id":69681,"type":"article-journal","abstract":"OBJECTIVE: To evaluate patient characteristics predicting living at home after geriatric rehabilitation.\nDESIGN: Prospective cohort study.\nPATIENTS: A total of 210 patients aged 65 years or older receiving inpatient rehabilitation.\nMETHODS: Candidate predictors evaluated during rehabilitation were: age, vulnerability (Vulnerable Elders Survey), multimorbidity (Cumulative Illness Rating Scale), cognition (Mini-Mental State Examination), depression (Hospital Anxiety and Depression Scale), living alone, previous independence in activities of daily living, fall risk, and mobility at discharge (Timed Up and Go test). Multiple imputation data-sets, bivariate and multiple regression were used to build a predictive model for living at home, which was evaluated at 3-month follow-up.\nRESULTS: A total of 210 patients (mean age 76.0 years, 46.2% women) were included in the study. Of these, 87.6% had been admitted to geriatric rehabilitation directly from acute hospital care. Follow-up was complete in 75.2% of patients. The strongest predictor for living at home was better mobility at discharge (Timed Up and Go test &lt; 20 s), followed by lower multimorbidity, better cognition, and not living alone. In bivariate regression, living at home was also associated with age, fall risk, vulnerability, depression, and previous independence in activities of daily living.\nCONCLUSION: Mobility is the most important predictive factor for living at home after geriatric rehabilitation. Assessment and training of mobility are therefore key aspects in geriatric rehabilitation.","container-title":"Journal of Rehabilitation Medicine","DOI":"10.2340/16501977-2182","ISSN":"1651-2081","issue":"2","journalAbbreviation":"J Rehabil Med","language":"eng","note":"PMID: 28101555","page":"185-190","source":"PubMed","title":"Predictors for living at home after geriatric inpatient rehabilitation: A prospective cohort study","title-short":"Predictors for living at home after geriatric inpatient rehabilitation","volume":"49","author":[{"family":"Kool","given":"Jan"},{"family":"Oesch","given":"Peter"},{"family":"Bachmann","given":"Stefan"}],"issued":{"date-parts":[["2017",1,31]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[97,99]</w:t>
      </w:r>
      <w:r w:rsidRPr="00ED5246">
        <w:rPr>
          <w:rFonts w:ascii="Times New Roman" w:hAnsi="Times New Roman" w:cs="Times New Roman"/>
        </w:rPr>
        <w:fldChar w:fldCharType="end"/>
      </w:r>
      <w:r w:rsidRPr="00ED5246">
        <w:rPr>
          <w:rFonts w:ascii="Times New Roman" w:hAnsi="Times New Roman" w:cs="Times New Roman"/>
        </w:rPr>
        <w:t xml:space="preserve">, while living alone consistently appeared as a barrier (n=3)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{"citationID":"f2U5sOiU","properties":{"formattedCitation":"[94,98,100]","plainCitation":"[94,98,100]","noteIndex":0},"citationItems":[{"id":42186,"uris":["http://zotero.org/groups/5108666/items/QCJVP2VB"],"itemData":{"id":42186,"type":"article-journal","abstract":"Background: Improved risk factor management and interventions have both been shown to improve mortality in stroke patients. Although this has been a success  for acute care, it has placed a higher burden on stroke rehabilitation  resources.Objectives: This study sought to identify the pre-stroke rehabilitation  admission factors that best predict personal care home discharge.Methods: Using a  retrospective case-control, chart review design, 60 patients discharged to  personal care homes from inpatient stroke rehabilitation between 2008 and 2017  were included. One hundred and eighty-two patients discharged home over the same  time span were randomly selected as controls. Statistical analysis was used to  identify patient factors independently associated with discharge  destination.Results: Patients were more often discharged to personal care homes  if they were older (OR 1.09; CI [1.05-1.15]), had a lower functional independence  measure score (OR 0.95; CI [0.92-0.97]), had cognitive deficits (OR 6.19; CI  [2.37-18.06]), lived alone before their stroke (OR 7.77; CI [2.75-24.55]), and  whether or not there was excessive truncal instability limiting Berg balance  scale measurability (OR 0.17; CI [0.06-0.45] if able to measure). Combined, the  predictive value of personal care home discharge using these variables was  91.6%.Conclusions: A combination of age, admission functional independence  measure, cognitive impairment, pre-stroke living situation, and measurability of  the Berg balance scale on admission to stroke rehabilitation were highly  predictive of eventual personal care home discharge.","container-title":"Topics in stroke rehabilitation","DOI":"10.1080/10749357.2019.1682369","ISSN":"1945-5119 1074-9357","issue":"3","journalAbbreviation":"Top Stroke Rehabil","language":"eng","page":"173-180","title":"Factors associated with community versus personal care home discharges after inpatient stroke rehabilitation: the need for a pre-admission predictive model.","volume":"27","author":[{"family":"Wasserman","given":"Alexander"},{"family":"Thiessen","given":"Michelle"},{"family":"Pooyania","given":"Sepideh"}],"issued":{"date-parts":[["2020",4]]}}},{"id":46313,"uris":["http://zotero.org/groups/5108666/items/4853Y9QS"],"itemData":{"id":46313,"type":"article-journal","archive":"Scopus","container-title":"Journal of Head Trauma Rehabilitation","DOI":"10.1097/HTR.0000000000000638","issue":"3","page":"E186-E198","title":"Successful community discharge among older adults with traumatic brain injury in skilled nursing facilities","volume":"36","author":[{"family":"Evans","given":"E."},{"family":"Gutman","given":"R."},{"family":"Resnik","given":"L."},{"family":"Zonfrillo","given":"M.R."},{"family":"Lueckel","given":"S.N."},{"family":"Kumar","given":"R.G."},{"family":"DeVone","given":"F."},{"family":"Dams-O'Connor","given":"K."},{"family":"Thomas","given":"K.S."}],"issued":{"date-parts":[["2021"]]}}},{"id":40771,"uris":["http://zotero.org/groups/5108666/items/HDLLKJ4Q"],"itemData":{"id":40771,"type":"article-journal","abstract":"OBJECTIVES: Our article's primary objective is to examine whether rehabilitation providers can predict which patients discharged from skilled nursing facility (SNF) rehabilitation will be successful in their transition to home, controlling for sociodemographic factors and physical, mental, and social health characteristics., DESIGN: Longitudinal cohort study., SETTING AND PARTICIPANTS: One hundred-twelve English-speaking adults aged 65 years and older admitted to 2 SNF rehabilitation units., MEASURES: Our outcome is time to \"failed transition to home,\" which identified SNF rehabilitation patients who did not successfully transition from the SNF to home during the study. Our primary independent variable consisted of the prediction of medical providers, occupational therapists, physical therapists, and social workers about the likely success of their patients' SNF-to-home transition. We also examined the association of sociodemographic factors and physical, mental, and social health with a failed transition to home., RESULTS: The predictions of occupational and physical therapists were associated with whether patients successfully transitioned from the SNF to their homes in bivariate [hazard ratio (HR) = 4.96, P = .014; HR = 10.91, P = .002, respectively] and multivariate (HR = 5.07, P = .036; HR = 53.33, P = .004) analyses. The predictions of medical providers and social workers, however, were not associated with our outcome in either bivariate (HR = 1.44, P = .512; HR = 0.84, P = .794, respectively) or multivariate (HR = 0.57, P = .487; HR = 0.54, P = .665) analyses. Living alone, more medical conditions, lower physical functioning scores, and greater depression scores were also associated with time to failed transition to home., CONCLUSIONS/IMPLICATIONS: These findings suggest that occupational and physical therapists may be better able to predict post-SNF discharge outcomes than are other rehabilitation providers. Why occupational and physical therapists' predictions are associated with the SNF-to-home outcome whereas the predictions of medical providers and social workers are not is uncertain. A better understanding of the factors informing the postdischarge predictions of occupational and physical therapists may help identify ways to improve the SNF-to-home discharge planning process. Copyright © 2018 AMDA - The Society for Post-Acute and Long-Term Care Medicine. Published by Elsevier Inc. All rights reserved.","archive":"Ovid MEDLINE(R) &lt;2019&gt;","container-title":"Journal of the American Medical Directors Association","DOI":"10.1016/j.jamda.2018.11.015","ISSN":"1538-9375","issue":"4","journalAbbreviation":"J AM MED DIR ASSOC","page":"492-496","title":"Rehabilitation Providers' Prediction of the Likely Success of the SNF-to-Home Transition Differs by Discipline.","volume":"20","author":[{"family":"Simning","given":"Adam"},{"family":"Caprio","given":"Thomas V"},{"family":"Seplaki","given":"Christopher L"},{"family":"Conwell","given":"Yeates"}],"issued":{"date-parts":[["2019"]]}}}],"schema":"https://github.com/citation-style-language/schema/raw/master/csl-citation.json"}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[94,98,100]</w:t>
      </w:r>
      <w:r w:rsidRPr="00ED5246">
        <w:rPr>
          <w:rFonts w:ascii="Times New Roman" w:hAnsi="Times New Roman" w:cs="Times New Roman"/>
        </w:rPr>
        <w:fldChar w:fldCharType="end"/>
      </w:r>
      <w:r w:rsidRPr="00ED5246">
        <w:rPr>
          <w:rFonts w:ascii="Times New Roman" w:hAnsi="Times New Roman" w:cs="Times New Roman"/>
        </w:rPr>
        <w:t xml:space="preserve">. Marital status demonstrated clear associations in systematic review evidence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rMuKTNNU","properties":{"formattedCitation":"[96]","plainCitation":"[96]","noteIndex":0},"citationItems":[{"id":50695,"uris":["http://zotero.org/groups/5108666/items/6PANXKIG"],"itemData":{"id":50695,"type":"article-journal","archive":"Scopus","container-title":"BMC Geriatrics","DOI":"10.1186/s12877-016-0187-4","issue":"1","title":"Factors influencing home discharge after inpatient rehabilitation of older patients: A systematic review Health services research","URL":"https://www.scopus.com/inward/record.uri?eid=2-s2.0-84954173089&amp;doi=10.1186%2fs12877-016-0187-4&amp;partnerID=40&amp;md5=7192a6cca83d0049c612aebfb8a48025","volume":"16","author":[{"family":"Everink","given":"I.H.J."},{"family":"Van Haastregt","given":"J.C.M."},{"family":"Van Hoof","given":"S.J.M."},{"family":"Schols","given":"J.M.G.A."},{"family":"Kempen","given":"G.I.J.M."}],"issued":{"date-parts":[["2016"]]}}}],"schema":"https://github.com/citation-style-language/schema/raw/master/csl-citation.json"}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[96]</w:t>
      </w:r>
      <w:r w:rsidRPr="00ED5246">
        <w:rPr>
          <w:rFonts w:ascii="Times New Roman" w:hAnsi="Times New Roman" w:cs="Times New Roman"/>
        </w:rPr>
        <w:fldChar w:fldCharType="end"/>
      </w:r>
      <w:r w:rsidRPr="00ED5246">
        <w:rPr>
          <w:rFonts w:ascii="Times New Roman" w:hAnsi="Times New Roman" w:cs="Times New Roman"/>
        </w:rPr>
        <w:t>, with being married facilitating transitions and single status hindering them.</w:t>
      </w:r>
    </w:p>
    <w:p w14:paraId="7057A631" w14:textId="2F2CB49E"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b/>
          <w:bCs/>
        </w:rPr>
        <w:t xml:space="preserve">Caregiver support. </w:t>
      </w:r>
      <w:r w:rsidRPr="00ED5246">
        <w:rPr>
          <w:rFonts w:ascii="Times New Roman" w:hAnsi="Times New Roman" w:cs="Times New Roman"/>
        </w:rPr>
        <w:t xml:space="preserve">In transitions from CCC settings, caregiver support was less frequently documented but showed a clear influence. Quantitative evidence identified having a support person with a positive attitude toward discharge as a facilitating factor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{"citationID":"gWL73Va2","properties":{"formattedCitation":"[97]","plainCitation":"[97]","noteIndex":0},"citationItems":[{"id":40699,"uris":["http://zotero.org/groups/5108666/items/CAJ4EP6P"],"itemData":{"id":40699,"type":"article-journal","abstract":"BACKGROUND: Post-acute care hospitals are often subject to patient flow pressures because of their intermediary position along the continuum of care between acute care hospitals and community care or residential long-term care settings. The purpose of this study was to identify patient attributes associated with a prolonged length of stay in Complex Continuing Care hospitals., METHODS: Using information collected using the interRAI Resident Assessment Instrument Minimum Data Set 2.0 (MDS 2.0), a sample of 91,113 episodes of care for patients admitted to Complex Continuing Care hospitals between March 31, 2001 and March 31, 2013 was established. All patients in the sample were either discharged to a residential long-term care facility (e.g., nursing home) or to the community. Long-stay patients for each discharge destination were identified based on a length of stay in the 95th percentile. A series of multivariate logistic regression models predicting long-stay patient status for each discharge destination pathway were fit to characterize the association between demographic factors, residential history, health severity measures, and service utilization on prolonged length of stay in post-acute care., RESULTS: Risk factors for prolonged length of stay in the adjusted models included functional and cognitive impairment, greater pressure ulcer risk, paralysis, antibiotic resistant and HIV infection need for a feeding tube, dialysis, tracheostomy, ventilator or a respirator, and psychological therapy. Protective factors included advanced age, medical instability, a greater number of recent hospital and emergency department visits, cancer diagnosis, pneumonia, unsteady gait, a desire to return to the community, and a support person who is positive towards discharge. Aggressive behaviour was only a risk factor for patients discharged to residential long-term care facilities. Cancer diagnosis, antibiotic resistant and HIV infection, and pneumonia were only significant factors for patients discharged to the community., CONCLUSIONS: This study identified several patient attributes and process of care variables that are predictors of prolonged length of stay in post-acute care hospitals. This is valuable information for care planners and health system administrators working to improve patient flow in Complex Continuing Care and other post-acute care settings such as skilled nursing and inpatient rehabilitation facilities.","archive":"Ovid MEDLINE(R) &lt;2019&gt;","container-title":"BMC health services research","DOI":"10.1186/s12913-019-4024-2","ISSN":"1472-6963","issue":"1","journalAbbreviation":"BMC Health Serv Res","page":"218","title":"Clinical predictors of protracted length of stay in Ontario Complex Continuing Care hospitals.","volume":"19","author":[{"family":"Turcotte","given":"Luke A"},{"family":"Perlman","given":"Chris M"},{"family":"Fries","given":"Brant E"},{"family":"Hirdes","given":"John P"}],"issued":{"date-parts":[["2019"]]}}}],"schema":"https://github.com/citation-style-language/schema/raw/master/csl-citation.json"}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[97]</w:t>
      </w:r>
      <w:r w:rsidRPr="00ED5246">
        <w:rPr>
          <w:rFonts w:ascii="Times New Roman" w:hAnsi="Times New Roman" w:cs="Times New Roman"/>
        </w:rPr>
        <w:fldChar w:fldCharType="end"/>
      </w:r>
      <w:r w:rsidRPr="00ED5246">
        <w:rPr>
          <w:rFonts w:ascii="Times New Roman" w:hAnsi="Times New Roman" w:cs="Times New Roman"/>
        </w:rPr>
        <w:t xml:space="preserve">. Although fewer studies examined caregiver </w:t>
      </w:r>
      <w:r w:rsidRPr="00ED5246">
        <w:rPr>
          <w:rFonts w:ascii="Times New Roman" w:hAnsi="Times New Roman" w:cs="Times New Roman"/>
        </w:rPr>
        <w:lastRenderedPageBreak/>
        <w:t>support in this setting compared to LTC transitions, the available evidence underscored the importance of early caregiver involvement in discharge planning.</w:t>
      </w:r>
    </w:p>
    <w:p w14:paraId="6D8F863B" w14:textId="4419AC5E"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b/>
          <w:bCs/>
        </w:rPr>
        <w:t xml:space="preserve">Health conditions. </w:t>
      </w:r>
      <w:bookmarkStart w:id="29" w:name="_Hlk182842263"/>
      <w:r w:rsidRPr="00ED5246">
        <w:rPr>
          <w:rFonts w:ascii="Times New Roman" w:hAnsi="Times New Roman" w:cs="Times New Roman"/>
        </w:rPr>
        <w:t>Cognitive impairment was</w:t>
      </w:r>
      <w:r>
        <w:rPr>
          <w:rFonts w:ascii="Times New Roman" w:hAnsi="Times New Roman" w:cs="Times New Roman"/>
        </w:rPr>
        <w:t xml:space="preserve"> identified as</w:t>
      </w:r>
      <w:r w:rsidRPr="00ED5246">
        <w:rPr>
          <w:rFonts w:ascii="Times New Roman" w:hAnsi="Times New Roman" w:cs="Times New Roman"/>
        </w:rPr>
        <w:t xml:space="preserve"> a </w:t>
      </w:r>
      <w:r>
        <w:rPr>
          <w:rFonts w:ascii="Times New Roman" w:hAnsi="Times New Roman" w:cs="Times New Roman"/>
        </w:rPr>
        <w:t>significant</w:t>
      </w:r>
      <w:r w:rsidRPr="00ED5246">
        <w:rPr>
          <w:rFonts w:ascii="Times New Roman" w:hAnsi="Times New Roman" w:cs="Times New Roman"/>
        </w:rPr>
        <w:t xml:space="preserve"> obstacle </w:t>
      </w:r>
      <w:r>
        <w:rPr>
          <w:rFonts w:ascii="Times New Roman" w:hAnsi="Times New Roman" w:cs="Times New Roman"/>
        </w:rPr>
        <w:t xml:space="preserve">to transitions </w:t>
      </w:r>
      <w:r w:rsidRPr="00ED5246">
        <w:rPr>
          <w:rFonts w:ascii="Times New Roman" w:hAnsi="Times New Roman" w:cs="Times New Roman"/>
        </w:rPr>
        <w:t>in quantitative studies (n=</w:t>
      </w:r>
      <w:r>
        <w:rPr>
          <w:rFonts w:ascii="Times New Roman" w:hAnsi="Times New Roman" w:cs="Times New Roman"/>
        </w:rPr>
        <w:t>5</w:t>
      </w:r>
      <w:r w:rsidRPr="00ED5246">
        <w:rPr>
          <w:rFonts w:ascii="Times New Roman" w:hAnsi="Times New Roman" w:cs="Times New Roman"/>
        </w:rPr>
        <w:t xml:space="preserve">)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pah8k8ER","properties":{"formattedCitation":"[94,97\\uc0\\u8211{}99,101]","plainCitation":"[94,97–99,101]","noteIndex":0},"citationItems":[{"id":42186,"uris":["http://zotero.org/groups/5108666/items/QCJVP2VB"],"itemData":{"id":42186,"type":"article-journal","abstract":"Background: Improved risk factor management and interventions have both been shown to improve mortality in stroke patients. Although this has been a success  for acute care, it has placed a higher burden on stroke rehabilitation  resources.Objectives: This study sought to identify the pre-stroke rehabilitation  admission factors that best predict personal care home discharge.Methods: Using a  retrospective case-control, chart review design, 60 patients discharged to  personal care homes from inpatient stroke rehabilitation between 2008 and 2017  were included. One hundred and eighty-two patients discharged home over the same  time span were randomly selected as controls. Statistical analysis was used to  identify patient factors independently associated with discharge  destination.Results: Patients were more often discharged to personal care homes  if they were older (OR 1.09; CI [1.05-1.15]), had a lower functional independence  measure score (OR 0.95; CI [0.92-0.97]), had cognitive deficits (OR 6.19; CI  [2.37-18.06]), lived alone before their stroke (OR 7.77; CI [2.75-24.55]), and  whether or not there was excessive truncal instability limiting Berg balance  scale measurability (OR 0.17; CI [0.06-0.45] if able to measure). Combined, the  predictive value of personal care home discharge using these variables was  91.6%.Conclusions: A combination of age, admission functional independence  measure, cognitive impairment, pre-stroke living situation, and measurability of  the Berg balance scale on admission to stroke rehabilitation were highly  predictive of eventual personal care home discharge.","container-title":"Topics in stroke rehabilitation","DOI":"10.1080/10749357.2019.1682369","ISSN":"1945-5119 1074-9357","issue":"3","journalAbbreviation":"Top Stroke Rehabil","language":"eng","page":"173-180","title":"Factors associated with community versus personal care home discharges after inpatient stroke rehabilitation: the need for a pre-admission predictive model.","volume":"27","author":[{"family":"Wasserman","given":"Alexander"},{"family":"Thiessen","given":"Michelle"},{"family":"Pooyania","given":"Sepideh"}],"issued":{"date-parts":[["2020",4]]}}},{"id":40699,"uris":["http://zotero.org/groups/5108666/items/CAJ4EP6P"],"itemData":{"id":40699,"type":"article-journal","abstract":"BACKGROUND: Post-acute care hospitals are often subject to patient flow pressures because of their intermediary position along the continuum of care between acute care hospitals and community care or residential long-term care settings. The purpose of this study was to identify patient attributes associated with a prolonged length of stay in Complex Continuing Care hospitals., METHODS: Using information collected using the interRAI Resident Assessment Instrument Minimum Data Set 2.0 (MDS 2.0), a sample of 91,113 episodes of care for patients admitted to Complex Continuing Care hospitals between March 31, 2001 and March 31, 2013 was established. All patients in the sample were either discharged to a residential long-term care facility (e.g., nursing home) or to the community. Long-stay patients for each discharge destination were identified based on a length of stay in the 95th percentile. A series of multivariate logistic regression models predicting long-stay patient status for each discharge destination pathway were fit to characterize the association between demographic factors, residential history, health severity measures, and service utilization on prolonged length of stay in post-acute care., RESULTS: Risk factors for prolonged length of stay in the adjusted models included functional and cognitive impairment, greater pressure ulcer risk, paralysis, antibiotic resistant and HIV infection need for a feeding tube, dialysis, tracheostomy, ventilator or a respirator, and psychological therapy. Protective factors included advanced age, medical instability, a greater number of recent hospital and emergency department visits, cancer diagnosis, pneumonia, unsteady gait, a desire to return to the community, and a support person who is positive towards discharge. Aggressive behaviour was only a risk factor for patients discharged to residential long-term care facilities. Cancer diagnosis, antibiotic resistant and HIV infection, and pneumonia were only significant factors for patients discharged to the community., CONCLUSIONS: This study identified several patient attributes and process of care variables that are predictors of prolonged length of stay in post-acute care hospitals. This is valuable information for care planners and health system administrators working to improve patient flow in Complex Continuing Care and other post-acute care settings such as skilled nursing and inpatient rehabilitation facilities.","archive":"Ovid MEDLINE(R) &lt;2019&gt;","container-title":"BMC health services research","DOI":"10.1186/s12913-019-4024-2","ISSN":"1472-6963","issue":"1","journalAbbreviation":"BMC Health Serv Res","page":"218","title":"Clinical predictors of protracted length of stay in Ontario Complex Continuing Care hospitals.","volume":"19","author":[{"family":"Turcotte","given":"Luke A"},{"family":"Perlman","given":"Chris M"},{"family":"Fries","given":"Brant E"},{"family":"Hirdes","given":"John P"}],"issued":{"date-parts":[["2019"]]}}},{"id":46313,"uris":["http://zotero.org/groups/5108666/items/4853Y9QS"],"itemData":{"id":46313,"type":"article-journal","archive":"Scopus","container-title":"Journal of Head Trauma Rehabilitation","DOI":"10.1097/HTR.0000000000000638","issue":"3","page":"E186-E198","title":"Successful community discharge among older adults with traumatic brain injury in skilled nursing facilities","volume":"36","author":[{"family":"Evans","given":"E."},{"family":"Gutman","given":"R."},{"family":"Resnik","given":"L."},{"family":"Zonfrillo","given":"M.R."},{"family":"Lueckel","given":"S.N."},{"family":"Kumar","given":"R.G."},{"family":"DeVone","given":"F."},{"family":"Dams-O'Connor","given":"K."},{"family":"Thomas","given":"K.S."}],"issued":{"date-parts":[["2021"]]}}},{"id":69681,"uris":["http://zotero.org/users/7655466/items/IVLARVTM"],"itemData":{"id":69681,"type":"article-journal","abstract":"OBJECTIVE: To evaluate patient characteristics predicting living at home after geriatric rehabilitation.\nDESIGN: Prospective cohort study.\nPATIENTS: A total of 210 patients aged 65 years or older receiving inpatient rehabilitation.\nMETHODS: Candidate predictors evaluated during rehabilitation were: age, vulnerability (Vulnerable Elders Survey), multimorbidity (Cumulative Illness Rating Scale), cognition (Mini-Mental State Examination), depression (Hospital Anxiety and Depression Scale), living alone, previous independence in activities of daily living, fall risk, and mobility at discharge (Timed Up and Go test). Multiple imputation data-sets, bivariate and multiple regression were used to build a predictive model for living at home, which was evaluated at 3-month follow-up.\nRESULTS: A total of 210 patients (mean age 76.0 years, 46.2% women) were included in the study. Of these, 87.6% had been admitted to geriatric rehabilitation directly from acute hospital care. Follow-up was complete in 75.2% of patients. The strongest predictor for living at home was better mobility at discharge (Timed Up and Go test &lt; 20 s), followed by lower multimorbidity, better cognition, and not living alone. In bivariate regression, living at home was also associated with age, fall risk, vulnerability, depression, and previous independence in activities of daily living.\nCONCLUSION: Mobility is the most important predictive factor for living at home after geriatric rehabilitation. Assessment and training of mobility are therefore key aspects in geriatric rehabilitation.","container-title":"Journal of Rehabilitation Medicine","DOI":"10.2340/16501977-2182","ISSN":"1651-2081","issue":"2","journalAbbreviation":"J Rehabil Med","language":"eng","note":"PMID: 28101555","page":"185-190","source":"PubMed","title":"Predictors for living at home after geriatric inpatient rehabilitation: A prospective cohort study","title-short":"Predictors for living at home after geriatric inpatient rehabilitation","volume":"49","author":[{"family":"Kool","given":"Jan"},{"family":"Oesch","given":"Peter"},{"family":"Bachmann","given":"Stefan"}],"issued":{"date-parts":[["2017",1,31]]}}},{"id":81859,"uris":["http://zotero.org/users/7655466/items/P4UTELQZ"],"itemData":{"id":81859,"type":"article-journal","abstract":"OBJECTIVES: Skilled therapies (STs), including audiology, speech-language therapy, occupational therapy, and physical therapy, can address functional deficits in dementia. This study aims to quantify the association between ST and successful discharge after heart failure (HF) hospitalization in persons living with dementia.\nDESIGN: Retrospective cohort study.\nSETTING AND PARTICIPANTS: We included veterans with dementia (VwD) hospitalized for HF in Veterans Affairs (VA) medical centers and then admitted to non-VA skilled nursing facilities (SNFs) from January 2011 to June 2019.\nMETHODS: Follow-up continued 120 days after SNF admission. We measured ST hours per week using MDS admission assessments. We defined successful discharge as SNF discharge occurring within 90 days of SNF admission with MDS discharge status not hospital or institutional setting, and 30 days' survival after discharge without Medicare or VA-paid rehospitalization or reinstitutionalization. We estimated relative risk using multiple variable regression to adjust for measured sources of confounding.\nRESULTS: Our final sample included 8255 VwD. The mean (SD) age was 80 (10) years, and 8074 (98%) were male. Successful discharge occurred in 2776 (34%) of the sample. The median (IQR) weekly hours of ST was 10.4 (7.1-12.1). Sextile 1 received less than 5.2 hours per week of ST. The adjusted relative risk (95% CI) for sextiles 2-6 compared with sextile 1 were, respectively, 2.20 (1.85-2.62), 2.48 (2.09-2.94), 2.52 (2.12-2.99), 2.62 (2.21-3.11), and 2.69 (2.27-3.19).\nDISCUSSION: During SNF care after HF hospitalization, 5.3 or more hours of STs per week was associated with a higher rate of successful discharge, in a roughly dose-dependent fashion, up to a 170% increase in the highest sextile of ST hours.\nCONCLUSIONS AND IMPLICATIONS: Higher ST hours are associated with successful discharge from SNF after HF hospitalization.","container-title":"Journal of the American Medical Directors Association","DOI":"10.1016/j.jamda.2024.105286","ISSN":"1538-9375","issue":"12","journalAbbreviation":"J Am Med Dir Assoc","language":"eng","note":"PMID: 39341605\nPMCID: PMC12094069","page":"105286","source":"PubMed","title":"Skilled Nursing Facility Rehabilitation Intensity and Successful Discharge in Persons with Dementia","volume":"25","author":[{"family":"Bayer","given":"Thomas A."},{"family":"Jiang","given":"Lan"},{"family":"Singh","given":"Mriganka"},{"family":"Kunicki","given":"Zachary J."},{"family":"Browne","given":"Julia W."},{"family":"Nubong","given":"Thomas"},{"family":"Kelso","given":"Catherine M."},{"family":"McGeary","given":"John E."},{"family":"Wu","given":"Wen-Chih"},{"family":"Rudolph","given":"James L."}],"issued":{"date-parts":[["2024",12]]}}}],"schema":"https://github.com/citation-style-language/schema/raw/master/csl-citation.json"}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[94,97–99,101]</w:t>
      </w:r>
      <w:r w:rsidRPr="00ED5246">
        <w:rPr>
          <w:rFonts w:ascii="Times New Roman" w:hAnsi="Times New Roman" w:cs="Times New Roman"/>
        </w:rPr>
        <w:fldChar w:fldCharType="end"/>
      </w:r>
      <w:r>
        <w:rPr>
          <w:rFonts w:ascii="Times New Roman" w:hAnsi="Times New Roman" w:cs="Times New Roman"/>
        </w:rPr>
        <w:t>,</w:t>
      </w:r>
      <w:r w:rsidRPr="00ED5246">
        <w:rPr>
          <w:rFonts w:ascii="Times New Roman" w:hAnsi="Times New Roman" w:cs="Times New Roman"/>
        </w:rPr>
        <w:t xml:space="preserve"> a finding further supported by systematic review evidence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nfJwKHx6","properties":{"formattedCitation":"[96]","plainCitation":"[96]","noteIndex":0},"citationItems":[{"id":50695,"uris":["http://zotero.org/groups/5108666/items/6PANXKIG"],"itemData":{"id":50695,"type":"article-journal","archive":"Scopus","container-title":"BMC Geriatrics","DOI":"10.1186/s12877-016-0187-4","issue":"1","title":"Factors influencing home discharge after inpatient rehabilitation of older patients: A systematic review Health services research","URL":"https://www.scopus.com/inward/record.uri?eid=2-s2.0-84954173089&amp;doi=10.1186%2fs12877-016-0187-4&amp;partnerID=40&amp;md5=7192a6cca83d0049c612aebfb8a48025","volume":"16","author":[{"family":"Everink","given":"I.H.J."},{"family":"Van Haastregt","given":"J.C.M."},{"family":"Van Hoof","given":"S.J.M."},{"family":"Schols","given":"J.M.G.A."},{"family":"Kempen","given":"G.I.J.M."}],"issued":{"date-parts":[["2016"]]}}}],"schema":"https://github.com/citation-style-language/schema/raw/master/csl-citation.json"}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[96]</w:t>
      </w:r>
      <w:r w:rsidRPr="00ED5246">
        <w:rPr>
          <w:rFonts w:ascii="Times New Roman" w:hAnsi="Times New Roman" w:cs="Times New Roman"/>
        </w:rPr>
        <w:fldChar w:fldCharType="end"/>
      </w:r>
      <w:r w:rsidRPr="00ED5246">
        <w:rPr>
          <w:rFonts w:ascii="Times New Roman" w:hAnsi="Times New Roman" w:cs="Times New Roman"/>
        </w:rPr>
        <w:t xml:space="preserve">. Mental health factors, particularly depression, negatively influenced transitions in quantitative research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{"citationID":"qLCHbZGi","properties":{"formattedCitation":"[100]","plainCitation":"[100]","noteIndex":0},"citationItems":[{"id":40771,"uris":["http://zotero.org/groups/5108666/items/HDLLKJ4Q"],"itemData":{"id":40771,"type":"article-journal","abstract":"OBJECTIVES: Our article's primary objective is to examine whether rehabilitation providers can predict which patients discharged from skilled nursing facility (SNF) rehabilitation will be successful in their transition to home, controlling for sociodemographic factors and physical, mental, and social health characteristics., DESIGN: Longitudinal cohort study., SETTING AND PARTICIPANTS: One hundred-twelve English-speaking adults aged 65 years and older admitted to 2 SNF rehabilitation units., MEASURES: Our outcome is time to \"failed transition to home,\" which identified SNF rehabilitation patients who did not successfully transition from the SNF to home during the study. Our primary independent variable consisted of the prediction of medical providers, occupational therapists, physical therapists, and social workers about the likely success of their patients' SNF-to-home transition. We also examined the association of sociodemographic factors and physical, mental, and social health with a failed transition to home., RESULTS: The predictions of occupational and physical therapists were associated with whether patients successfully transitioned from the SNF to their homes in bivariate [hazard ratio (HR) = 4.96, P = .014; HR = 10.91, P = .002, respectively] and multivariate (HR = 5.07, P = .036; HR = 53.33, P = .004) analyses. The predictions of medical providers and social workers, however, were not associated with our outcome in either bivariate (HR = 1.44, P = .512; HR = 0.84, P = .794, respectively) or multivariate (HR = 0.57, P = .487; HR = 0.54, P = .665) analyses. Living alone, more medical conditions, lower physical functioning scores, and greater depression scores were also associated with time to failed transition to home., CONCLUSIONS/IMPLICATIONS: These findings suggest that occupational and physical therapists may be better able to predict post-SNF discharge outcomes than are other rehabilitation providers. Why occupational and physical therapists' predictions are associated with the SNF-to-home outcome whereas the predictions of medical providers and social workers are not is uncertain. A better understanding of the factors informing the postdischarge predictions of occupational and physical therapists may help identify ways to improve the SNF-to-home discharge planning process. Copyright © 2018 AMDA - The Society for Post-Acute and Long-Term Care Medicine. Published by Elsevier Inc. All rights reserved.","archive":"Ovid MEDLINE(R) &lt;2019&gt;","container-title":"Journal of the American Medical Directors Association","DOI":"10.1016/j.jamda.2018.11.015","ISSN":"1538-9375","issue":"4","journalAbbreviation":"J AM MED DIR ASSOC","page":"492-496","title":"Rehabilitation Providers' Prediction of the Likely Success of the SNF-to-Home Transition Differs by Discipline.","volume":"20","author":[{"family":"Simning","given":"Adam"},{"family":"Caprio","given":"Thomas V"},{"family":"Seplaki","given":"Christopher L"},{"family":"Conwell","given":"Yeates"}],"issued":{"date-parts":[["2019"]]}}}],"schema":"https://github.com/citation-style-language/schema/raw/master/csl-citation.json"}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[100]</w:t>
      </w:r>
      <w:r w:rsidRPr="00ED5246">
        <w:rPr>
          <w:rFonts w:ascii="Times New Roman" w:hAnsi="Times New Roman" w:cs="Times New Roman"/>
        </w:rPr>
        <w:fldChar w:fldCharType="end"/>
      </w:r>
      <w:r w:rsidRPr="00ED5246">
        <w:rPr>
          <w:rFonts w:ascii="Times New Roman" w:hAnsi="Times New Roman" w:cs="Times New Roman"/>
        </w:rPr>
        <w:t xml:space="preserve">, with systematic reviews similarly identifying depression as a barrier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ABVfpvKa","properties":{"formattedCitation":"[96]","plainCitation":"[96]","noteIndex":0},"citationItems":[{"id":50695,"uris":["http://zotero.org/groups/5108666/items/6PANXKIG"],"itemData":{"id":50695,"type":"article-journal","archive":"Scopus","container-title":"BMC Geriatrics","DOI":"10.1186/s12877-016-0187-4","issue":"1","title":"Factors influencing home discharge after inpatient rehabilitation of older patients: A systematic review Health services research","URL":"https://www.scopus.com/inward/record.uri?eid=2-s2.0-84954173089&amp;doi=10.1186%2fs12877-016-0187-4&amp;partnerID=40&amp;md5=7192a6cca83d0049c612aebfb8a48025","volume":"16","author":[{"family":"Everink","given":"I.H.J."},{"family":"Van Haastregt","given":"J.C.M."},{"family":"Van Hoof","given":"S.J.M."},{"family":"Schols","given":"J.M.G.A."},{"family":"Kempen","given":"G.I.J.M."}],"issued":{"date-parts":[["2016"]]}}}],"schema":"https://github.com/citation-style-language/schema/raw/master/csl-citation.json"}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[96]</w:t>
      </w:r>
      <w:r w:rsidRPr="00ED5246">
        <w:rPr>
          <w:rFonts w:ascii="Times New Roman" w:hAnsi="Times New Roman" w:cs="Times New Roman"/>
        </w:rPr>
        <w:fldChar w:fldCharType="end"/>
      </w:r>
      <w:r w:rsidRPr="00ED5246">
        <w:rPr>
          <w:rFonts w:ascii="Times New Roman" w:hAnsi="Times New Roman" w:cs="Times New Roman"/>
        </w:rPr>
        <w:t>.</w:t>
      </w:r>
    </w:p>
    <w:p w14:paraId="361D7CF2" w14:textId="5806BF1E" w:rsidR="005B0855" w:rsidRPr="00ED5246" w:rsidRDefault="005B0855" w:rsidP="00180C23">
      <w:pPr>
        <w:spacing w:after="0" w:line="480" w:lineRule="auto"/>
        <w:jc w:val="both"/>
        <w:rPr>
          <w:rFonts w:ascii="Times New Roman" w:hAnsi="Times New Roman" w:cs="Times New Roman"/>
        </w:rPr>
      </w:pPr>
      <w:r w:rsidRPr="00ED5246">
        <w:rPr>
          <w:rFonts w:ascii="Times New Roman" w:hAnsi="Times New Roman" w:cs="Times New Roman"/>
        </w:rPr>
        <w:t>Physical health complexities, including higher comorbidity, were also barriers in quantitative studies (n=</w:t>
      </w:r>
      <w:r>
        <w:rPr>
          <w:rFonts w:ascii="Times New Roman" w:hAnsi="Times New Roman" w:cs="Times New Roman"/>
        </w:rPr>
        <w:t>3</w:t>
      </w:r>
      <w:r w:rsidRPr="00ED5246">
        <w:rPr>
          <w:rFonts w:ascii="Times New Roman" w:hAnsi="Times New Roman" w:cs="Times New Roman"/>
        </w:rPr>
        <w:t xml:space="preserve">)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{"citationID":"EVdbh6y8","properties":{"formattedCitation":"[93,100,101]","plainCitation":"[93,100,101]","noteIndex":0},"citationItems":[{"id":37898,"uris":["http://zotero.org/groups/5108666/items/LZLHKIN3"],"itemData":{"id":37898,"type":"article-journal","abstract":"Objective: The aim of this study was to evaluate the effectiveness and identify factors predictive of home discharge in a cohort of patients admitted to the residential Transitional Aged Care Program (r-TACP) after a stay in an acute hospital. Method(s): A retrospective observational cohort study of patients admitted to a single r-TACP unit between 1 January 2014 and 31 December 2017 was carried out. Baseline patient characteristics and discharge outcomes were analyzed. Result(s): Three hundred sixty-nine patients were admitted during the study period. The discharge outcomes were as follows: 68% returned home, 17% went onto residential care, 14% were readmitted to hospital, and 1% died. Factors associated with not returning home were increased age, increased comorbidities, and lower Barthel Index on admission to the r-TACP. Conclusion(s): Our r-TACP is an effective program that successfully returns the majority (67.8%) of older patients home after an acute hospital admission. Older patients with greater comorbidities and poorer baseline functional status in our program were less likely to return home.Copyright © 2019 The Authors. Aging Medicine published by Beijing Hospital and John Wiley &amp; Sons Australia, Ltd.","archive":"Embase","container-title":"Aging Medicine","DOI":"10.1002/agm2.12076","ISSN":"2475-0360 (electronic)","issue":"3","journalAbbreviation":"Aging Med.","language":"English","page":"162-167","title":"Effectiveness and analysis of factors predictive of discharge to home in a 4-year cohort in a residential transitional care unit","volume":"2","author":[{"literal":"Chan D.K.Y."},{"literal":"Zhang S."},{"literal":"Liu Y."},{"literal":"Upton C."},{"literal":"Kurien P.E."},{"literal":"Li R."},{"literal":"Hohenberg M.I."},{"literal":"Hung W.T."}],"issued":{"date-parts":[["2019"]]}}},{"id":40771,"uris":["http://zotero.org/groups/5108666/items/HDLLKJ4Q"],"itemData":{"id":40771,"type":"article-journal","abstract":"OBJECTIVES: Our article's primary objective is to examine whether rehabilitation providers can predict which patients discharged from skilled nursing facility (SNF) rehabilitation will be successful in their transition to home, controlling for sociodemographic factors and physical, mental, and social health characteristics., DESIGN: Longitudinal cohort study., SETTING AND PARTICIPANTS: One hundred-twelve English-speaking adults aged 65 years and older admitted to 2 SNF rehabilitation units., MEASURES: Our outcome is time to \"failed transition to home,\" which identified SNF rehabilitation patients who did not successfully transition from the SNF to home during the study. Our primary independent variable consisted of the prediction of medical providers, occupational therapists, physical therapists, and social workers about the likely success of their patients' SNF-to-home transition. We also examined the association of sociodemographic factors and physical, mental, and social health with a failed transition to home., RESULTS: The predictions of occupational and physical therapists were associated with whether patients successfully transitioned from the SNF to their homes in bivariate [hazard ratio (HR) = 4.96, P = .014; HR = 10.91, P = .002, respectively] and multivariate (HR = 5.07, P = .036; HR = 53.33, P = .004) analyses. The predictions of medical providers and social workers, however, were not associated with our outcome in either bivariate (HR = 1.44, P = .512; HR = 0.84, P = .794, respectively) or multivariate (HR = 0.57, P = .487; HR = 0.54, P = .665) analyses. Living alone, more medical conditions, lower physical functioning scores, and greater depression scores were also associated with time to failed transition to home., CONCLUSIONS/IMPLICATIONS: These findings suggest that occupational and physical therapists may be better able to predict post-SNF discharge outcomes than are other rehabilitation providers. Why occupational and physical therapists' predictions are associated with the SNF-to-home outcome whereas the predictions of medical providers and social workers are not is uncertain. A better understanding of the factors informing the postdischarge predictions of occupational and physical therapists may help identify ways to improve the SNF-to-home discharge planning process. Copyright © 2018 AMDA - The Society for Post-Acute and Long-Term Care Medicine. Published by Elsevier Inc. All rights reserved.","archive":"Ovid MEDLINE(R) &lt;2019&gt;","container-title":"Journal of the American Medical Directors Association","DOI":"10.1016/j.jamda.2018.11.015","ISSN":"1538-9375","issue":"4","journalAbbreviation":"J AM MED DIR ASSOC","page":"492-496","title":"Rehabilitation Providers' Prediction of the Likely Success of the SNF-to-Home Transition Differs by Discipline.","volume":"20","author":[{"family":"Simning","given":"Adam"},{"family":"Caprio","given":"Thomas V"},{"family":"Seplaki","given":"Christopher L"},{"family":"Conwell","given":"Yeates"}],"issued":{"date-parts":[["2019"]]}}},{"id":81859,"uris":["http://zotero.org/users/7655466/items/P4UTELQZ"],"itemData":{"id":81859,"type":"article-journal","abstract":"OBJECTIVES: Skilled therapies (STs), including audiology, speech-language therapy, occupational therapy, and physical therapy, can address functional deficits in dementia. This study aims to quantify the association between ST and successful discharge after heart failure (HF) hospitalization in persons living with dementia.\nDESIGN: Retrospective cohort study.\nSETTING AND PARTICIPANTS: We included veterans with dementia (VwD) hospitalized for HF in Veterans Affairs (VA) medical centers and then admitted to non-VA skilled nursing facilities (SNFs) from January 2011 to June 2019.\nMETHODS: Follow-up continued 120 days after SNF admission. We measured ST hours per week using MDS admission assessments. We defined successful discharge as SNF discharge occurring within 90 days of SNF admission with MDS discharge status not hospital or institutional setting, and 30 days' survival after discharge without Medicare or VA-paid rehospitalization or reinstitutionalization. We estimated relative risk using multiple variable regression to adjust for measured sources of confounding.\nRESULTS: Our final sample included 8255 VwD. The mean (SD) age was 80 (10) years, and 8074 (98%) were male. Successful discharge occurred in 2776 (34%) of the sample. The median (IQR) weekly hours of ST was 10.4 (7.1-12.1). Sextile 1 received less than 5.2 hours per week of ST. The adjusted relative risk (95% CI) for sextiles 2-6 compared with sextile 1 were, respectively, 2.20 (1.85-2.62), 2.48 (2.09-2.94), 2.52 (2.12-2.99), 2.62 (2.21-3.11), and 2.69 (2.27-3.19).\nDISCUSSION: During SNF care after HF hospitalization, 5.3 or more hours of STs per week was associated with a higher rate of successful discharge, in a roughly dose-dependent fashion, up to a 170% increase in the highest sextile of ST hours.\nCONCLUSIONS AND IMPLICATIONS: Higher ST hours are associated with successful discharge from SNF after HF hospitalization.","container-title":"Journal of the American Medical Directors Association","DOI":"10.1016/j.jamda.2024.105286","ISSN":"1538-9375","issue":"12","journalAbbreviation":"J Am Med Dir Assoc","language":"eng","note":"PMID: 39341605\nPMCID: PMC12094069","page":"105286","source":"PubMed","title":"Skilled Nursing Facility Rehabilitation Intensity and Successful Discharge in Persons with Dementia","volume":"25","author":[{"family":"Bayer","given":"Thomas A."},{"family":"Jiang","given":"Lan"},{"family":"Singh","given":"Mriganka"},{"family":"Kunicki","given":"Zachary J."},{"family":"Browne","given":"Julia W."},{"family":"Nubong","given":"Thomas"},{"family":"Kelso","given":"Catherine M."},{"family":"McGeary","given":"John E."},{"family":"Wu","given":"Wen-Chih"},{"family":"Rudolph","given":"James L."}],"issued":{"date-parts":[["2024",12]]}}}],"schema":"https://github.com/citation-style-language/schema/raw/master/csl-citation.json"}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[93,100,101]</w:t>
      </w:r>
      <w:r w:rsidRPr="00ED5246">
        <w:rPr>
          <w:rFonts w:ascii="Times New Roman" w:hAnsi="Times New Roman" w:cs="Times New Roman"/>
        </w:rPr>
        <w:fldChar w:fldCharType="end"/>
      </w:r>
      <w:r w:rsidRPr="00520A69">
        <w:rPr>
          <w:rFonts w:ascii="Times New Roman" w:hAnsi="Times New Roman" w:cs="Times New Roman"/>
          <w:color w:val="000000" w:themeColor="text1"/>
        </w:rPr>
        <w:t xml:space="preserve">. </w:t>
      </w:r>
      <w:r w:rsidRPr="00ED5246">
        <w:rPr>
          <w:rFonts w:ascii="Times New Roman" w:hAnsi="Times New Roman" w:cs="Times New Roman"/>
        </w:rPr>
        <w:t>Functional status showed its influence across multiple indicators</w:t>
      </w:r>
      <w:r>
        <w:rPr>
          <w:rFonts w:ascii="Times New Roman" w:hAnsi="Times New Roman" w:cs="Times New Roman"/>
        </w:rPr>
        <w:t>.</w:t>
      </w:r>
      <w:r w:rsidRPr="00ED5246">
        <w:rPr>
          <w:rFonts w:ascii="Times New Roman" w:hAnsi="Times New Roman" w:cs="Times New Roman"/>
        </w:rPr>
        <w:t xml:space="preserve"> </w:t>
      </w:r>
      <w:r>
        <w:rPr>
          <w:rFonts w:ascii="Times New Roman" w:hAnsi="Times New Roman" w:cs="Times New Roman"/>
        </w:rPr>
        <w:t>Q</w:t>
      </w:r>
      <w:r w:rsidRPr="00ED5246">
        <w:rPr>
          <w:rFonts w:ascii="Times New Roman" w:hAnsi="Times New Roman" w:cs="Times New Roman"/>
        </w:rPr>
        <w:t xml:space="preserve">uantitative </w:t>
      </w:r>
      <w:r>
        <w:rPr>
          <w:rFonts w:ascii="Times New Roman" w:hAnsi="Times New Roman" w:cs="Times New Roman"/>
        </w:rPr>
        <w:t>and review studies</w:t>
      </w:r>
      <w:r w:rsidRPr="00ED5246">
        <w:rPr>
          <w:rFonts w:ascii="Times New Roman" w:hAnsi="Times New Roman" w:cs="Times New Roman"/>
        </w:rPr>
        <w:t xml:space="preserve"> identified </w:t>
      </w:r>
      <w:r>
        <w:rPr>
          <w:rFonts w:ascii="Times New Roman" w:hAnsi="Times New Roman" w:cs="Times New Roman"/>
        </w:rPr>
        <w:t>reduced</w:t>
      </w:r>
      <w:r w:rsidRPr="00ED5246">
        <w:rPr>
          <w:rFonts w:ascii="Times New Roman" w:hAnsi="Times New Roman" w:cs="Times New Roman"/>
        </w:rPr>
        <w:t xml:space="preserve"> functional independence and decreased ADL performance as significant barriers</w:t>
      </w:r>
      <w:r>
        <w:rPr>
          <w:rFonts w:ascii="Times New Roman" w:hAnsi="Times New Roman" w:cs="Times New Roman"/>
        </w:rPr>
        <w:t xml:space="preserve"> to transitions</w:t>
      </w:r>
      <w:r w:rsidRPr="00ED5246">
        <w:rPr>
          <w:rFonts w:ascii="Times New Roman" w:hAnsi="Times New Roman" w:cs="Times New Roman"/>
        </w:rPr>
        <w:t xml:space="preserve"> (n=</w:t>
      </w:r>
      <w:r>
        <w:rPr>
          <w:rFonts w:ascii="Times New Roman" w:hAnsi="Times New Roman" w:cs="Times New Roman"/>
        </w:rPr>
        <w:t>8</w:t>
      </w:r>
      <w:r w:rsidRPr="00ED5246">
        <w:rPr>
          <w:rFonts w:ascii="Times New Roman" w:hAnsi="Times New Roman" w:cs="Times New Roman"/>
        </w:rPr>
        <w:t xml:space="preserve">) </w:t>
      </w:r>
      <w:r w:rsidRPr="00520A69">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mSo7bafU","properties":{"formattedCitation":"[93,94,96\\uc0\\u8211{}98,100\\uc0\\u8211{}102]","plainCitation":"[93,94,96–98,100–102]","noteIndex":0},"citationItems":[{"id":37898,"uris":["http://zotero.org/groups/5108666/items/LZLHKIN3"],"itemData":{"id":37898,"type":"article-journal","abstract":"Objective: The aim of this study was to evaluate the effectiveness and identify factors predictive of home discharge in a cohort of patients admitted to the residential Transitional Aged Care Program (r-TACP) after a stay in an acute hospital. Method(s): A retrospective observational cohort study of patients admitted to a single r-TACP unit between 1 January 2014 and 31 December 2017 was carried out. Baseline patient characteristics and discharge outcomes were analyzed. Result(s): Three hundred sixty-nine patients were admitted during the study period. The discharge outcomes were as follows: 68% returned home, 17% went onto residential care, 14% were readmitted to hospital, and 1% died. Factors associated with not returning home were increased age, increased comorbidities, and lower Barthel Index on admission to the r-TACP. Conclusion(s): Our r-TACP is an effective program that successfully returns the majority (67.8%) of older patients home after an acute hospital admission. Older patients with greater comorbidities and poorer baseline functional status in our program were less likely to return home.Copyright © 2019 The Authors. Aging Medicine published by Beijing Hospital and John Wiley &amp; Sons Australia, Ltd.","archive":"Embase","container-title":"Aging Medicine","DOI":"10.1002/agm2.12076","ISSN":"2475-0360 (electronic)","issue":"3","journalAbbreviation":"Aging Med.","language":"English","page":"162-167","title":"Effectiveness and analysis of factors predictive of discharge to home in a 4-year cohort in a residential transitional care unit","volume":"2","author":[{"literal":"Chan D.K.Y."},{"literal":"Zhang S."},{"literal":"Liu Y."},{"literal":"Upton C."},{"literal":"Kurien P.E."},{"literal":"Li R."},{"literal":"Hohenberg M.I."},{"literal":"Hung W.T."}],"issued":{"date-parts":[["2019"]]}}},{"id":42186,"uris":["http://zotero.org/groups/5108666/items/QCJVP2VB"],"itemData":{"id":42186,"type":"article-journal","abstract":"Background: Improved risk factor management and interventions have both been shown to improve mortality in stroke patients. Although this has been a success  for acute care, it has placed a higher burden on stroke rehabilitation  resources.Objectives: This study sought to identify the pre-stroke rehabilitation  admission factors that best predict personal care home discharge.Methods: Using a  retrospective case-control, chart review design, 60 patients discharged to  personal care homes from inpatient stroke rehabilitation between 2008 and 2017  were included. One hundred and eighty-two patients discharged home over the same  time span were randomly selected as controls. Statistical analysis was used to  identify patient factors independently associated with discharge  destination.Results: Patients were more often discharged to personal care homes  if they were older (OR 1.09; CI [1.05-1.15]), had a lower functional independence  measure score (OR 0.95; CI [0.92-0.97]), had cognitive deficits (OR 6.19; CI  [2.37-18.06]), lived alone before their stroke (OR 7.77; CI [2.75-24.55]), and  whether or not there was excessive truncal instability limiting Berg balance  scale measurability (OR 0.17; CI [0.06-0.45] if able to measure). Combined, the  predictive value of personal care home discharge using these variables was  91.6%.Conclusions: A combination of age, admission functional independence  measure, cognitive impairment, pre-stroke living situation, and measurability of  the Berg balance scale on admission to stroke rehabilitation were highly  predictive of eventual personal care home discharge.","container-title":"Topics in stroke rehabilitation","DOI":"10.1080/10749357.2019.1682369","ISSN":"1945-5119 1074-9357","issue":"3","journalAbbreviation":"Top Stroke Rehabil","language":"eng","page":"173-180","title":"Factors associated with community versus personal care home discharges after inpatient stroke rehabilitation: the need for a pre-admission predictive model.","volume":"27","author":[{"family":"Wasserman","given":"Alexander"},{"family":"Thiessen","given":"Michelle"},{"family":"Pooyania","given":"Sepideh"}],"issued":{"date-parts":[["2020",4]]}}},{"id":50695,"uris":["http://zotero.org/groups/5108666/items/6PANXKIG"],"itemData":{"id":50695,"type":"article-journal","archive":"Scopus","container-title":"BMC Geriatrics","DOI":"10.1186/s12877-016-0187-4","issue":"1","title":"Factors influencing home discharge after inpatient rehabilitation of older patients: A systematic review Health services research","URL":"https://www.scopus.com/inward/record.uri?eid=2-s2.0-84954173089&amp;doi=10.1186%2fs12877-016-0187-4&amp;partnerID=40&amp;md5=7192a6cca83d0049c612aebfb8a48025","volume":"16","author":[{"family":"Everink","given":"I.H.J."},{"family":"Van Haastregt","given":"J.C.M."},{"family":"Van Hoof","given":"S.J.M."},{"family":"Schols","given":"J.M.G.A."},{"family":"Kempen","given":"G.I.J.M."}],"issued":{"date-parts":[["2016"]]}}},{"id":40699,"uris":["http://zotero.org/groups/5108666/items/CAJ4EP6P"],"itemData":{"id":40699,"type":"article-journal","abstract":"BACKGROUND: Post-acute care hospitals are often subject to patient flow pressures because of their intermediary position along the continuum of care between acute care hospitals and community care or residential long-term care settings. The purpose of this study was to identify patient attributes associated with a prolonged length of stay in Complex Continuing Care hospitals., METHODS: Using information collected using the interRAI Resident Assessment Instrument Minimum Data Set 2.0 (MDS 2.0), a sample of 91,113 episodes of care for patients admitted to Complex Continuing Care hospitals between March 31, 2001 and March 31, 2013 was established. All patients in the sample were either discharged to a residential long-term care facility (e.g., nursing home) or to the community. Long-stay patients for each discharge destination were identified based on a length of stay in the 95th percentile. A series of multivariate logistic regression models predicting long-stay patient status for each discharge destination pathway were fit to characterize the association between demographic factors, residential history, health severity measures, and service utilization on prolonged length of stay in post-acute care., RESULTS: Risk factors for prolonged length of stay in the adjusted models included functional and cognitive impairment, greater pressure ulcer risk, paralysis, antibiotic resistant and HIV infection need for a feeding tube, dialysis, tracheostomy, ventilator or a respirator, and psychological therapy. Protective factors included advanced age, medical instability, a greater number of recent hospital and emergency department visits, cancer diagnosis, pneumonia, unsteady gait, a desire to return to the community, and a support person who is positive towards discharge. Aggressive behaviour was only a risk factor for patients discharged to residential long-term care facilities. Cancer diagnosis, antibiotic resistant and HIV infection, and pneumonia were only significant factors for patients discharged to the community., CONCLUSIONS: This study identified several patient attributes and process of care variables that are predictors of prolonged length of stay in post-acute care hospitals. This is valuable information for care planners and health system administrators working to improve patient flow in Complex Continuing Care and other post-acute care settings such as skilled nursing and inpatient rehabilitation facilities.","archive":"Ovid MEDLINE(R) &lt;2019&gt;","container-title":"BMC health services research","DOI":"10.1186/s12913-019-4024-2","ISSN":"1472-6963","issue":"1","journalAbbreviation":"BMC Health Serv Res","page":"218","title":"Clinical predictors of protracted length of stay in Ontario Complex Continuing Care hospitals.","volume":"19","author":[{"family":"Turcotte","given":"Luke A"},{"family":"Perlman","given":"Chris M"},{"family":"Fries","given":"Brant E"},{"family":"Hirdes","given":"John P"}],"issued":{"date-parts":[["2019"]]}}},{"id":46313,"uris":["http://zotero.org/groups/5108666/items/4853Y9QS"],"itemData":{"id":46313,"type":"article-journal","archive":"Scopus","container-title":"Journal of Head Trauma Rehabilitation","DOI":"10.1097/HTR.0000000000000638","issue":"3","page":"E186-E198","title":"Successful community discharge among older adults with traumatic brain injury in skilled nursing facilities","volume":"36","author":[{"family":"Evans","given":"E."},{"family":"Gutman","given":"R."},{"family":"Resnik","given":"L."},{"family":"Zonfrillo","given":"M.R."},{"family":"Lueckel","given":"S.N."},{"family":"Kumar","given":"R.G."},{"family":"DeVone","given":"F."},{"family":"Dams-O'Connor","given":"K."},{"family":"Thomas","given":"K.S."}],"issued":{"date-parts":[["2021"]]}}},{"id":40771,"uris":["http://zotero.org/groups/5108666/items/HDLLKJ4Q"],"itemData":{"id":40771,"type":"article-journal","abstract":"OBJECTIVES: Our article's primary objective is to examine whether rehabilitation providers can predict which patients discharged from skilled nursing facility (SNF) rehabilitation will be successful in their transition to home, controlling for sociodemographic factors and physical, mental, and social health characteristics., DESIGN: Longitudinal cohort study., SETTING AND PARTICIPANTS: One hundred-twelve English-speaking adults aged 65 years and older admitted to 2 SNF rehabilitation units., MEASURES: Our outcome is time to \"failed transition to home,\" which identified SNF rehabilitation patients who did not successfully transition from the SNF to home during the study. Our primary independent variable consisted of the prediction of medical providers, occupational therapists, physical therapists, and social workers about the likely success of their patients' SNF-to-home transition. We also examined the association of sociodemographic factors and physical, mental, and social health with a failed transition to home., RESULTS: The predictions of occupational and physical therapists were associated with whether patients successfully transitioned from the SNF to their homes in bivariate [hazard ratio (HR) = 4.96, P = .014; HR = 10.91, P = .002, respectively] and multivariate (HR = 5.07, P = .036; HR = 53.33, P = .004) analyses. The predictions of medical providers and social workers, however, were not associated with our outcome in either bivariate (HR = 1.44, P = .512; HR = 0.84, P = .794, respectively) or multivariate (HR = 0.57, P = .487; HR = 0.54, P = .665) analyses. Living alone, more medical conditions, lower physical functioning scores, and greater depression scores were also associated with time to failed transition to home., CONCLUSIONS/IMPLICATIONS: These findings suggest that occupational and physical therapists may be better able to predict post-SNF discharge outcomes than are other rehabilitation providers. Why occupational and physical therapists' predictions are associated with the SNF-to-home outcome whereas the predictions of medical providers and social workers are not is uncertain. A better understanding of the factors informing the postdischarge predictions of occupational and physical therapists may help identify ways to improve the SNF-to-home discharge planning process. Copyright © 2018 AMDA - The Society for Post-Acute and Long-Term Care Medicine. Published by Elsevier Inc. All rights reserved.","archive":"Ovid MEDLINE(R) &lt;2019&gt;","container-title":"Journal of the American Medical Directors Association","DOI":"10.1016/j.jamda.2018.11.015","ISSN":"1538-9375","issue":"4","journalAbbreviation":"J AM MED DIR ASSOC","page":"492-496","title":"Rehabilitation Providers' Prediction of the Likely Success of the SNF-to-Home Transition Differs by Discipline.","volume":"20","author":[{"family":"Simning","given":"Adam"},{"family":"Caprio","given":"Thomas V"},{"family":"Seplaki","given":"Christopher L"},{"family":"Conwell","given":"Yeates"}],"issued":{"date-parts":[["2019"]]}}},{"id":81859,"uris":["http://zotero.org/users/7655466/items/P4UTELQZ"],"itemData":{"id":81859,"type":"article-journal","abstract":"OBJECTIVES: Skilled therapies (STs), including audiology, speech-language therapy, occupational therapy, and physical therapy, can address functional deficits in dementia. This study aims to quantify the association between ST and successful discharge after heart failure (HF) hospitalization in persons living with dementia.\nDESIGN: Retrospective cohort study.\nSETTING AND PARTICIPANTS: We included veterans with dementia (VwD) hospitalized for HF in Veterans Affairs (VA) medical centers and then admitted to non-VA skilled nursing facilities (SNFs) from January 2011 to June 2019.\nMETHODS: Follow-up continued 120 days after SNF admission. We measured ST hours per week using MDS admission assessments. We defined successful discharge as SNF discharge occurring within 90 days of SNF admission with MDS discharge status not hospital or institutional setting, and 30 days' survival after discharge without Medicare or VA-paid rehospitalization or reinstitutionalization. We estimated relative risk using multiple variable regression to adjust for measured sources of confounding.\nRESULTS: Our final sample included 8255 VwD. The mean (SD) age was 80 (10) years, and 8074 (98%) were male. Successful discharge occurred in 2776 (34%) of the sample. The median (IQR) weekly hours of ST was 10.4 (7.1-12.1). Sextile 1 received less than 5.2 hours per week of ST. The adjusted relative risk (95% CI) for sextiles 2-6 compared with sextile 1 were, respectively, 2.20 (1.85-2.62), 2.48 (2.09-2.94), 2.52 (2.12-2.99), 2.62 (2.21-3.11), and 2.69 (2.27-3.19).\nDISCUSSION: During SNF care after HF hospitalization, 5.3 or more hours of STs per week was associated with a higher rate of successful discharge, in a roughly dose-dependent fashion, up to a 170% increase in the highest sextile of ST hours.\nCONCLUSIONS AND IMPLICATIONS: Higher ST hours are associated with successful discharge from SNF after HF hospitalization.","container-title":"Journal of the American Medical Directors Association","DOI":"10.1016/j.jamda.2024.105286","ISSN":"1538-9375","issue":"12","journalAbbreviation":"J Am Med Dir Assoc","language":"eng","note":"PMID: 39341605\nPMCID: PMC12094069","page":"105286","source":"PubMed","title":"Skilled Nursing Facility Rehabilitation Intensity and Successful Discharge in Persons with Dementia","volume":"25","author":[{"family":"Bayer","given":"Thomas A."},{"family":"Jiang","given":"Lan"},{"family":"Singh","given":"Mriganka"},{"family":"Kunicki","given":"Zachary J."},{"family":"Browne","given":"Julia W."},{"family":"Nubong","given":"Thomas"},{"family":"Kelso","given":"Catherine M."},{"family":"McGeary","given":"John E."},{"family":"Wu","given":"Wen-Chih"},{"family":"Rudolph","given":"James L."}],"issued":{"date-parts":[["2024",12]]}}},{"id":39804,"uris":["http://zotero.org/groups/5108666/items/9AU8ZI76"],"itemData":{"id":39804,"type":"article-journal","abstract":"BACKGROUND: The primary purpose of Subacute Care Units (SCU) is to decongest acute hospital wards and facilitate the return of older patients to home., AIMS: We analyzed the clinical characteristics and outcomes of patients admitted to an Italian SCU, and we explored factors associated with discharge to locations other than home (outcome)., METHODS: This retrospective observational cohort study was conducted at a medium-sized suburban hospital, enrolling all patients consecutively admitted to one SCU from October 2017 to February 2020. We collected demographics, cause of admission, comorbidities, cognition, Barthel Index (BI), nutritional status, Clinical Frailty Scale (CFS), length of stay, and discharge destination. Delirium was screened with the 4AT score. We adopted a multivariable conditional logistic regression model to identify the factors associated with the outcome., RESULTS: Frail subjects accounted for 58.6% of 406 patients (mean age 78.2 years, SD 11.6), while 61% were classified as functionally dependent. More than half of patients had relevant comorbidity, approximately 80% had a poor nutritional status, and 25% had pre-existing dementia. The overall prevalence of delirium was 14.5%. Most patients came from a hospital setting; recurrent reasons for admission were infections (70.5%) and heart failure (12.7%). Having a urinary bladder catheter at discharge, being overtly frail (CFS &gt; 8), and low BI score were factors independently associated with not being discharged home., DISCUSSION AND CONCLUSION: The routine assessment of frailty, as expressed by the CFS, may help redirecting the patients eligible for SCU admission. Copyright © 2021. The Author(s).","archive":"Ovid MEDLINE(R) &lt;2022&gt;","container-title":"Aging clinical and experimental research","DOI":"10.1007/s40520-021-01908-w","ISSN":"1720-8319","issue":"1","journalAbbreviation":"Aging Clin Exp Res","page":"95-103","title":"Frailty predicts failure to discharge patients home from a subacute-care unit: a 3-year Italian experience.","volume":"34","author":[{"family":"Mazzola","given":"Paolo"},{"family":"Butto","given":"Valeria"},{"family":"Elli","given":"Simona"},{"family":"Galluccio","given":"Riccardo"},{"family":"Domenici","given":"Giulia"},{"family":"Stella","given":"Valentina"},{"family":"Haas","given":"Justin"},{"family":"Peschi","given":"Gianluca"},{"family":"Monzio Compagnoni","given":"Matteo"},{"family":"Annoni","given":"Giorgio"},{"family":"Bellelli","given":"Giuseppe"}],"issued":{"date-parts":[["2022"]]}}}],"schema":"https://github.com/citation-style-language/schema/raw/master/csl-citation.json"} </w:instrText>
      </w:r>
      <w:r w:rsidRPr="00520A69">
        <w:rPr>
          <w:rFonts w:ascii="Times New Roman" w:hAnsi="Times New Roman" w:cs="Times New Roman"/>
        </w:rPr>
        <w:fldChar w:fldCharType="separate"/>
      </w:r>
      <w:r w:rsidR="00180C23" w:rsidRPr="00180C23">
        <w:rPr>
          <w:rFonts w:ascii="Times New Roman" w:hAnsi="Times New Roman" w:cs="Times New Roman"/>
        </w:rPr>
        <w:t>[93,94,96–98,100–102]</w:t>
      </w:r>
      <w:r w:rsidRPr="00520A69">
        <w:rPr>
          <w:rFonts w:ascii="Times New Roman" w:hAnsi="Times New Roman" w:cs="Times New Roman"/>
        </w:rPr>
        <w:fldChar w:fldCharType="end"/>
      </w:r>
      <w:r w:rsidRPr="00520A69">
        <w:rPr>
          <w:rFonts w:ascii="Times New Roman" w:hAnsi="Times New Roman" w:cs="Times New Roman"/>
        </w:rPr>
        <w:t>, whereas</w:t>
      </w:r>
      <w:r w:rsidRPr="00ED5246">
        <w:rPr>
          <w:rFonts w:ascii="Times New Roman" w:hAnsi="Times New Roman" w:cs="Times New Roman"/>
        </w:rPr>
        <w:t xml:space="preserve"> higher motor function scores </w:t>
      </w:r>
      <w:r>
        <w:rPr>
          <w:rFonts w:ascii="Times New Roman" w:hAnsi="Times New Roman" w:cs="Times New Roman"/>
        </w:rPr>
        <w:t>were found to facilitate transitions</w:t>
      </w:r>
      <w:r w:rsidRPr="00ED5246">
        <w:rPr>
          <w:rFonts w:ascii="Times New Roman" w:hAnsi="Times New Roman" w:cs="Times New Roman"/>
        </w:rPr>
        <w:t xml:space="preserve">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{"citationID":"O1hrSNTk","properties":{"formattedCitation":"[103]","plainCitation":"[103]","noteIndex":0},"citationItems":[{"id":40070,"uris":["http://zotero.org/groups/5108666/items/L7SLNB6R"],"itemData":{"id":40070,"type":"article-journal","abstract":"INTRODUCTION: The aging of society continues to progress in Japan. As aging is more pronounced in rural than in urban societies, rehabilitation can contribute to rural elderly patients' discharge to home after hospitalization for various causes. The relationship between rural elderly patients' improvement of motor and cognitive function in relation to activities of daily life (ADL) through rehabilitation and their discharge to home has not been clarified in rural communities. The purpose of this study was to clarify whether an improvement of ADL can enable elderly hospitalized patients to discharge to their homes in a rural community., METHODS: This retrospective cohort study included 783 consecutive patients aged over 65 years with frailty and multimorbidity who were admitted with acute diseases and underwent active rehabilitation at a rural community hospital. This study was conducted from April 2016 to March 2020. The following patient data were collected from the electronic medical records: age, sex, body mass index, serum albumin, diagnosis on admission, the Charlson Comorbidity Index, living with family or alone, duration of disease from the onset of symptoms to the start of rehabilitation, duration of rehabilitation, care level based on the Japanese insurance system, cognitive and motor components of the functional independence measure (FIM) as the measurement of the level of ADL at both admission and discharge, change in these components of the FIM, and the place to which patients were discharged (home or facility). Two groups of patients were distinguished based on whether the discharge was to home or a facility. Logistic regression was performed to investigate the relationships between patients' characteristics and the effects of rehabilitation determined as a change in the FIM on one hand and to where patients were discharged on the other. The variables with statistically significant differences in the logistic regression were further analyzed to calculate sensitivity, specificity and likelihood ratio with the area under the curve for predicting discharge to home., RESULTS: Patients' average age was 82.1 years, and 33.5% were male. A high score in the motor component of the FIM after rehabilitation and short duration of rehabilitation were statistically related to discharge to home. The cognitive component of the FIM was not associated with discharge to home. The motor-FIM cutoff after rehabilitation was calculated to be 60, resulting in sensitivity, specificity and positive likelihood ratio to predict discharge to home of 0.86, 0.78, and 4.00, respectively., CONCLUSION: This study showed that elderly patients' motor aspect of ADL after rehabilitation in rural community hospitals might predict discharge to home in rural settings. Rehabilitation in rural community hospitals can be effective in rural elderly patients with frailty and multimorbidity. The improvement in physical abilities was more important than cognitive functions for the effective discharge of the elderly patients in this study to their rural homes. By respecting patients' and their families' desires, effective rehabilitation may enable elderly patients to live at home.","archive":"Ovid MEDLINE(R) &lt;2021&gt;","container-title":"Rural and remote health","DOI":"10.22605/RRH6406","ISSN":"1445-6354","issue":"1","journalAbbreviation":"RURAL REMOTE HEALTH","page":"6406","title":"Predicting factors of elderly patients' discharge to home after rehabilitation in rural Japan: a retrospective cohort study.","volume":"21","author":[{"family":"Ohta","given":"Ryuichi"},{"family":"Maeki","given":"Natsumi"},{"family":"Maniwa","given":"Sokichi"},{"family":"Miyakoshi","given":"Koichi"}],"issued":{"date-parts":[["2021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[103]</w:t>
      </w:r>
      <w:r w:rsidRPr="00ED5246">
        <w:rPr>
          <w:rFonts w:ascii="Times New Roman" w:hAnsi="Times New Roman" w:cs="Times New Roman"/>
        </w:rPr>
        <w:fldChar w:fldCharType="end"/>
      </w:r>
      <w:r w:rsidRPr="00ED5246">
        <w:rPr>
          <w:rFonts w:ascii="Times New Roman" w:hAnsi="Times New Roman" w:cs="Times New Roman"/>
        </w:rPr>
        <w:t xml:space="preserve">. Mobility status was another important factor, with better mobility at discharge supporting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{"citationID":"2cmP9z9q","properties":{"formattedCitation":"[99]","plainCitation":"[99]","noteIndex":0},"citationItems":[{"id":69681,"uris":["http://zotero.org/users/7655466/items/IVLARVTM"],"itemData":{"id":69681,"type":"article-journal","abstract":"OBJECTIVE: To evaluate patient characteristics predicting living at home after geriatric rehabilitation.\nDESIGN: Prospective cohort study.\nPATIENTS: A total of 210 patients aged 65 years or older receiving inpatient rehabilitation.\nMETHODS: Candidate predictors evaluated during rehabilitation were: age, vulnerability (Vulnerable Elders Survey), multimorbidity (Cumulative Illness Rating Scale), cognition (Mini-Mental State Examination), depression (Hospital Anxiety and Depression Scale), living alone, previous independence in activities of daily living, fall risk, and mobility at discharge (Timed Up and Go test). Multiple imputation data-sets, bivariate and multiple regression were used to build a predictive model for living at home, which was evaluated at 3-month follow-up.\nRESULTS: A total of 210 patients (mean age 76.0 years, 46.2% women) were included in the study. Of these, 87.6% had been admitted to geriatric rehabilitation directly from acute hospital care. Follow-up was complete in 75.2% of patients. The strongest predictor for living at home was better mobility at discharge (Timed Up and Go test &lt; 20 s), followed by lower multimorbidity, better cognition, and not living alone. In bivariate regression, living at home was also associated with age, fall risk, vulnerability, depression, and previous independence in activities of daily living.\nCONCLUSION: Mobility is the most important predictive factor for living at home after geriatric rehabilitation. Assessment and training of mobility are therefore key aspects in geriatric rehabilitation.","container-title":"Journal of Rehabilitation Medicine","DOI":"10.2340/16501977-2182","ISSN":"1651-2081","issue":"2","journalAbbreviation":"J Rehabil Med","language":"eng","note":"PMID: 28101555","page":"185-190","source":"PubMed","title":"Predictors for living at home after geriatric inpatient rehabilitation: A prospective cohort study","title-short":"Predictors for living at home after geriatric inpatient rehabilitation","volume":"49","author":[{"family":"Kool","given":"Jan"},{"family":"Oesch","given":"Peter"},{"family":"Bachmann","given":"Stefan"}],"issued":{"date-parts":[["2017",1,31]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[99]</w:t>
      </w:r>
      <w:r w:rsidRPr="00ED5246">
        <w:rPr>
          <w:rFonts w:ascii="Times New Roman" w:hAnsi="Times New Roman" w:cs="Times New Roman"/>
        </w:rPr>
        <w:fldChar w:fldCharType="end"/>
      </w:r>
      <w:r w:rsidRPr="00ED5246">
        <w:rPr>
          <w:rFonts w:ascii="Times New Roman" w:hAnsi="Times New Roman" w:cs="Times New Roman"/>
        </w:rPr>
        <w:t xml:space="preserve"> and mobility impairments hindering them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{"citationID":"4LnK3TVW","properties":{"formattedCitation":"[94]","plainCitation":"[94]","noteIndex":0},"citationItems":[{"id":42186,"uris":["http://zotero.org/groups/5108666/items/QCJVP2VB"],"itemData":{"id":42186,"type":"article-journal","abstract":"Background: Improved risk factor management and interventions have both been shown to improve mortality in stroke patients. Although this has been a success  for acute care, it has placed a higher burden on stroke rehabilitation  resources.Objectives: This study sought to identify the pre-stroke rehabilitation  admission factors that best predict personal care home discharge.Methods: Using a  retrospective case-control, chart review design, 60 patients discharged to  personal care homes from inpatient stroke rehabilitation between 2008 and 2017  were included. One hundred and eighty-two patients discharged home over the same  time span were randomly selected as controls. Statistical analysis was used to  identify patient factors independently associated with discharge  destination.Results: Patients were more often discharged to personal care homes  if they were older (OR 1.09; CI [1.05-1.15]), had a lower functional independence  measure score (OR 0.95; CI [0.92-0.97]), had cognitive deficits (OR 6.19; CI  [2.37-18.06]), lived alone before their stroke (OR 7.77; CI [2.75-24.55]), and  whether or not there was excessive truncal instability limiting Berg balance  scale measurability (OR 0.17; CI [0.06-0.45] if able to measure). Combined, the  predictive value of personal care home discharge using these variables was  91.6%.Conclusions: A combination of age, admission functional independence  measure, cognitive impairment, pre-stroke living situation, and measurability of  the Berg balance scale on admission to stroke rehabilitation were highly  predictive of eventual personal care home discharge.","container-title":"Topics in stroke rehabilitation","DOI":"10.1080/10749357.2019.1682369","ISSN":"1945-5119 1074-9357","issue":"3","journalAbbreviation":"Top Stroke Rehabil","language":"eng","page":"173-180","title":"Factors associated with community versus personal care home discharges after inpatient stroke rehabilitation: the need for a pre-admission predictive model.","volume":"27","author":[{"family":"Wasserman","given":"Alexander"},{"family":"Thiessen","given":"Michelle"},{"family":"Pooyania","given":"Sepideh"}],"issued":{"date-parts":[["2020",4]]}}}],"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[94]</w:t>
      </w:r>
      <w:r w:rsidRPr="00ED5246">
        <w:rPr>
          <w:rFonts w:ascii="Times New Roman" w:hAnsi="Times New Roman" w:cs="Times New Roman"/>
        </w:rPr>
        <w:fldChar w:fldCharType="end"/>
      </w:r>
      <w:r w:rsidRPr="00ED5246">
        <w:rPr>
          <w:rFonts w:ascii="Times New Roman" w:hAnsi="Times New Roman" w:cs="Times New Roman"/>
        </w:rPr>
        <w:t xml:space="preserve">. </w:t>
      </w:r>
      <w:r>
        <w:rPr>
          <w:rFonts w:ascii="Times New Roman" w:hAnsi="Times New Roman" w:cs="Times New Roman"/>
        </w:rPr>
        <w:t xml:space="preserve">Moreover, older adults’ positive beliefs about their capability to improve independence with ADLs (n=1) </w:t>
      </w:r>
      <w:r>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zKefR8bW","properties":{"formattedCitation":"[104]","plainCitation":"[104]","noteIndex":0},"citationItems":[{"id":46627,"uris":["http://zotero.org/groups/5108666/items/97YJK8W7"],"itemData":{"id":46627,"type":"paper-conference","archive":"Scopus","DOI":"10.1016/j.apmr.2020.09.375","event-title":"Archives of Physical Medicine and Rehabilitation","page":"480-487","title":"Positive Beliefs and the Likelihood of Successful Community Discharge From Skilled Nursing Facilities","URL":"https://www.scopus.com/inward/record.uri?eid=2-s2.0-85093687065&amp;doi=10.1016%2fj.apmr.2020.09.375&amp;partnerID=40&amp;md5=9a32e026647c5d30d9970346d52907a0","volume":"102","author":[{"family":"Evans","given":"E."},{"family":"Kosar","given":"C.M."},{"family":"Thomas","given":"K.S."}],"issued":{"date-parts":[["2021"]]}}}],"schema":"https://github.com/citation-style-language/schema/raw/master/csl-citation.json"} </w:instrText>
      </w:r>
      <w:r>
        <w:rPr>
          <w:rFonts w:ascii="Times New Roman" w:hAnsi="Times New Roman" w:cs="Times New Roman"/>
        </w:rPr>
        <w:fldChar w:fldCharType="separate"/>
      </w:r>
      <w:r w:rsidR="00180C23" w:rsidRPr="00180C23">
        <w:rPr>
          <w:rFonts w:ascii="Times New Roman" w:hAnsi="Times New Roman" w:cs="Times New Roman"/>
        </w:rPr>
        <w:t>[104]</w:t>
      </w:r>
      <w:r>
        <w:rPr>
          <w:rFonts w:ascii="Times New Roman" w:hAnsi="Times New Roman" w:cs="Times New Roman"/>
        </w:rPr>
        <w:fldChar w:fldCharType="end"/>
      </w:r>
      <w:r>
        <w:rPr>
          <w:rFonts w:ascii="Times New Roman" w:hAnsi="Times New Roman" w:cs="Times New Roman"/>
        </w:rPr>
        <w:t xml:space="preserve"> promoted successful transitions. Lastly</w:t>
      </w:r>
      <w:r w:rsidRPr="00ED5246">
        <w:rPr>
          <w:rFonts w:ascii="Times New Roman" w:hAnsi="Times New Roman" w:cs="Times New Roman"/>
        </w:rPr>
        <w:t xml:space="preserve">, continence status was relevant, with </w:t>
      </w:r>
      <w:r>
        <w:rPr>
          <w:rFonts w:ascii="Times New Roman" w:hAnsi="Times New Roman" w:cs="Times New Roman"/>
        </w:rPr>
        <w:t xml:space="preserve">incontinence identified as a barrier in quantitative evidence </w:t>
      </w:r>
      <w:r w:rsidRPr="00ED5246">
        <w:rPr>
          <w:rFonts w:ascii="Times New Roman" w:hAnsi="Times New Roman" w:cs="Times New Roman"/>
        </w:rPr>
        <w:t xml:space="preserve">(n=1)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dHENabRv","properties":{"formattedCitation":"[98]","plainCitation":"[98]","noteIndex":0},"citationItems":[{"id":46313,"uris":["http://zotero.org/groups/5108666/items/4853Y9QS"],"itemData":{"id":46313,"type":"article-journal","archive":"Scopus","container-title":"Journal of Head Trauma Rehabilitation","DOI":"10.1097/HTR.0000000000000638","issue":"3","page":"E186-E198","title":"Successful community discharge among older adults with traumatic brain injury in skilled nursing facilities","volume":"36","author":[{"family":"Evans","given":"E."},{"family":"Gutman","given":"R."},{"family":"Resnik","given":"L."},{"family":"Zonfrillo","given":"M.R."},{"family":"Lueckel","given":"S.N."},{"family":"Kumar","given":"R.G."},{"family":"DeVone","given":"F."},{"family":"Dams-O'Connor","given":"K."},{"family":"Thomas","given":"K.S."}],"issued":{"date-parts":[["2021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[98]</w:t>
      </w:r>
      <w:r w:rsidRPr="00ED5246">
        <w:rPr>
          <w:rFonts w:ascii="Times New Roman" w:hAnsi="Times New Roman" w:cs="Times New Roman"/>
        </w:rPr>
        <w:fldChar w:fldCharType="end"/>
      </w:r>
      <w:r w:rsidRPr="00ED5246">
        <w:rPr>
          <w:rFonts w:ascii="Times New Roman" w:hAnsi="Times New Roman" w:cs="Times New Roman"/>
        </w:rPr>
        <w:t>.</w:t>
      </w:r>
      <w:r>
        <w:rPr>
          <w:rFonts w:ascii="Times New Roman" w:hAnsi="Times New Roman" w:cs="Times New Roman"/>
        </w:rPr>
        <w:t xml:space="preserve"> </w:t>
      </w:r>
    </w:p>
    <w:p w14:paraId="244F1EF7" w14:textId="45369B8B" w:rsidR="005B0855" w:rsidRPr="00ED5246" w:rsidRDefault="005B0855" w:rsidP="00180C23">
      <w:pPr>
        <w:spacing w:after="0" w:line="480" w:lineRule="auto"/>
        <w:jc w:val="both"/>
        <w:rPr>
          <w:rFonts w:ascii="Times New Roman" w:hAnsi="Times New Roman" w:cs="Times New Roman"/>
        </w:rPr>
      </w:pPr>
      <w:bookmarkStart w:id="30" w:name="_Hlk182842409"/>
      <w:bookmarkEnd w:id="29"/>
      <w:r w:rsidRPr="00ED5246">
        <w:rPr>
          <w:rFonts w:ascii="Times New Roman" w:hAnsi="Times New Roman" w:cs="Times New Roman"/>
          <w:b/>
          <w:bCs/>
        </w:rPr>
        <w:t>Healthcare system.</w:t>
      </w:r>
      <w:r w:rsidRPr="00ED5246">
        <w:rPr>
          <w:rFonts w:ascii="Times New Roman" w:hAnsi="Times New Roman" w:cs="Times New Roman"/>
        </w:rPr>
        <w:t xml:space="preserve"> Staffing was a </w:t>
      </w:r>
      <w:r>
        <w:rPr>
          <w:rFonts w:ascii="Times New Roman" w:hAnsi="Times New Roman" w:cs="Times New Roman"/>
        </w:rPr>
        <w:t>critical</w:t>
      </w:r>
      <w:r w:rsidRPr="00ED5246">
        <w:rPr>
          <w:rFonts w:ascii="Times New Roman" w:hAnsi="Times New Roman" w:cs="Times New Roman"/>
        </w:rPr>
        <w:t xml:space="preserve"> factor, with quantitative studies identifying lower bed-to-nurse ratios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{"citationID":"7R3tO7c1","properties":{"formattedCitation":"[105]","plainCitation":"[105]","noteIndex":0},"citationItems":[{"id":67914,"uris":["http://zotero.org/groups/5108666/items/VWJCZKFB"],"itemData":{"id":67914,"type":"article-journal","abstract":"Objective\nPatients discharged to Skilled Nursing Facilities (SNFs) have worse outcomes than those discharged to home, but whether this is due to differences in facility-level factors in addition to patient characteristics is not known. We aimed to determine whether SNF-level factors including nurse staffing and patient density are associated with outcomes after acute hospitalization for trauma or surgery.\n\nDesign, Setting, Participants, &amp; Measurements\nRetrospective study of patients discharged to Medicare-certified SNFs after trauma or major surgery from 2007–2009. We measured the ratio of beds per nurse and the proportion of trauma and surgery patients at each facility (density). Outcomes were one-year mortality, hospital readmission, and failure to discharge home at first discharge disposition.\n\nResults\nFor 389,133 patients (mean age 78 years, 63% female) admitted to 3,707 SNFs, mortality was 26%, hospital readmission 26%, and failure to discharge home 44%. After adjusting for patient-level factors, SNFs with fewer beds per nurse had lower odds of mortality (OR: trauma 0.84 [95% CI: 0.77–0.91]; surgery 0.80 [0.75–0.86]), readmission (OR: trauma 0.81 [0.74–0.88]; surgery 0.71 [0.65–0.76]) and failure to discharge home (OR: trauma 0.82 [0.74–0.91]; surgery 0.66 [0.60–0.72]). SNFs with greater density of specialty patients (&gt;4.3% surgery, &gt;14.1% trauma) had lower odds of readmission (OR: trauma 0.59 [0.53–0.66]; surgery 0.62 [0.58–0.67]) and failure to discharge home (OR: trauma 0.48 [0.43–0.55]; surgery 0.45 [0.42–0.49]).\n\nConclusion\nThere are modifiable SNF-level factors that influence long-term outcomes and may be targets for intervention. Staffing standardization and SNF specialization may reduce variation of quality in post-acute care.","container-title":"Journal of the American Medical Directors Association","DOI":"10.1016/j.jamda.2017.08.007","ISSN":"1525-8610","issue":"1","journalAbbreviation":"J Am Med Dir Assoc","note":"PMID: 29042263\nPMCID: PMC5742547","page":"70-76.e1","source":"PubMed Central","title":"Facility-Level Factors and Outcomes after Skilled Nursing Facility Admission for Trauma and Surgical Patients","volume":"19","author":[{"family":"Thornblade","given":"Lucas W."},{"family":"Arbabi","given":"Saman"},{"family":"Flum","given":"David R."},{"family":"Qiu","given":"Qian"},{"family":"Fawcett","given":"Vanessa J."},{"family":"Davidson","given":"Giana H."}],"issued":{"date-parts":[["2018",1]]}}}],"schema":"https://github.com/citation-style-language/schema/raw/master/csl-citation.json"}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[105]</w:t>
      </w:r>
      <w:r w:rsidRPr="00ED5246">
        <w:rPr>
          <w:rFonts w:ascii="Times New Roman" w:hAnsi="Times New Roman" w:cs="Times New Roman"/>
        </w:rPr>
        <w:fldChar w:fldCharType="end"/>
      </w:r>
      <w:r w:rsidRPr="00ED5246">
        <w:rPr>
          <w:rFonts w:ascii="Times New Roman" w:hAnsi="Times New Roman" w:cs="Times New Roman"/>
        </w:rPr>
        <w:t xml:space="preserve"> and higher registered nurse (RN) staffing levels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WPoCzVvh","properties":{"formattedCitation":"[95]","plainCitation":"[95]","noteIndex":0},"citationItems":[{"id":51027,"uris":["http://zotero.org/groups/5108666/items/ZKRQZ8KQ"],"itemData":{"id":51027,"type":"article-journal","archive":"Scopus","container-title":"Journal of the American Geriatrics Society","DOI":"10.1111/jgs.13677","issue":"10","page":"2043-2051","title":"Volume matters: Returning home after hip fracture","volume":"63","author":[{"family":"Gozalo","given":"P."},{"family":"Leland","given":"N.E."},{"family":"Christian","given":"T.J."},{"family":"Mor","given":"V."},{"family":"Teno","given":"J.M."}],"issued":{"date-parts":[["2015"]]}}}],"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[95]</w:t>
      </w:r>
      <w:r w:rsidRPr="00ED5246">
        <w:rPr>
          <w:rFonts w:ascii="Times New Roman" w:hAnsi="Times New Roman" w:cs="Times New Roman"/>
        </w:rPr>
        <w:fldChar w:fldCharType="end"/>
      </w:r>
      <w:r w:rsidRPr="00ED5246">
        <w:rPr>
          <w:rFonts w:ascii="Times New Roman" w:hAnsi="Times New Roman" w:cs="Times New Roman"/>
        </w:rPr>
        <w:t xml:space="preserve"> as facilitators of transitions. Conversely, higher ratios of licensed practical nurses (LPNs) to RNs were highlighted as barriers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{"citationID":"OTyxI0sz","properties":{"formattedCitation":"[105]","plainCitation":"[105]","noteIndex":0},"citationItems":[{"id":67914,"uris":["http://zotero.org/groups/5108666/items/VWJCZKFB"],"itemData":{"id":67914,"type":"article-journal","abstract":"Objective\nPatients discharged to Skilled Nursing Facilities (SNFs) have worse outcomes than those discharged to home, but whether this is due to differences in facility-level factors in addition to patient characteristics is not known. We aimed to determine whether SNF-level factors including nurse staffing and patient density are associated with outcomes after acute hospitalization for trauma or surgery.\n\nDesign, Setting, Participants, &amp; Measurements\nRetrospective study of patients discharged to Medicare-certified SNFs after trauma or major surgery from 2007–2009. We measured the ratio of beds per nurse and the proportion of trauma and surgery patients at each facility (density). Outcomes were one-year mortality, hospital readmission, and failure to discharge home at first discharge disposition.\n\nResults\nFor 389,133 patients (mean age 78 years, 63% female) admitted to 3,707 SNFs, mortality was 26%, hospital readmission 26%, and failure to discharge home 44%. After adjusting for patient-level factors, SNFs with fewer beds per nurse had lower odds of mortality (OR: trauma 0.84 [95% CI: 0.77–0.91]; surgery 0.80 [0.75–0.86]), readmission (OR: trauma 0.81 [0.74–0.88]; surgery 0.71 [0.65–0.76]) and failure to discharge home (OR: trauma 0.82 [0.74–0.91]; surgery 0.66 [0.60–0.72]). SNFs with greater density of specialty patients (&gt;4.3% surgery, &gt;14.1% trauma) had lower odds of readmission (OR: trauma 0.59 [0.53–0.66]; surgery 0.62 [0.58–0.67]) and failure to discharge home (OR: trauma 0.48 [0.43–0.55]; surgery 0.45 [0.42–0.49]).\n\nConclusion\nThere are modifiable SNF-level factors that influence long-term outcomes and may be targets for intervention. Staffing standardization and SNF specialization may reduce variation of quality in post-acute care.","container-title":"Journal of the American Medical Directors Association","DOI":"10.1016/j.jamda.2017.08.007","ISSN":"1525-8610","issue":"1","journalAbbreviation":"J Am Med Dir Assoc","note":"PMID: 29042263\nPMCID: PMC5742547","page":"70-76.e1","source":"PubMed Central","title":"Facility-Level Factors and Outcomes after Skilled Nursing Facility Admission for Trauma and Surgical Patients","volume":"19","author":[{"family":"Thornblade","given":"Lucas W."},{"family":"Arbabi","given":"Saman"},{"family":"Flum","given":"David R."},{"family":"Qiu","given":"Qian"},{"family":"Fawcett","given":"Vanessa J."},{"family":"Davidson","given":"Giana H."}],"issued":{"date-parts":[["2018",1]]}}}],"schema":"https://github.com/citation-style-language/schema/raw/master/csl-citation.json"}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[105]</w:t>
      </w:r>
      <w:r w:rsidRPr="00ED5246">
        <w:rPr>
          <w:rFonts w:ascii="Times New Roman" w:hAnsi="Times New Roman" w:cs="Times New Roman"/>
        </w:rPr>
        <w:fldChar w:fldCharType="end"/>
      </w:r>
      <w:r w:rsidRPr="00ED5246">
        <w:rPr>
          <w:rFonts w:ascii="Times New Roman" w:hAnsi="Times New Roman" w:cs="Times New Roman"/>
        </w:rPr>
        <w:t xml:space="preserve">. Facility types also influenced transitions, with hospital-based and nonprofit facilities demonstrating higher discharge rates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7mHtreu7","properties":{"formattedCitation":"[95]","plainCitation":"[95]","noteIndex":0},"citationItems":[{"id":51027,"uris":["http://zotero.org/groups/5108666/items/ZKRQZ8KQ"],"itemData":{"id":51027,"type":"article-journal","archive":"Scopus","container-title":"Journal of the American Geriatrics Society","DOI":"10.1111/jgs.13677","issue":"10","page":"2043-2051","title":"Volume matters: Returning home after hip fracture","volume":"63","author":[{"family":"Gozalo","given":"P."},{"family":"Leland","given":"N.E."},{"family":"Christian","given":"T.J."},{"family":"Mor","given":"V."},{"family":"Teno","given":"J.M."}],"issued":{"date-parts":[["2015"]]}}}],"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[95]</w:t>
      </w:r>
      <w:r w:rsidRPr="00ED5246">
        <w:rPr>
          <w:rFonts w:ascii="Times New Roman" w:hAnsi="Times New Roman" w:cs="Times New Roman"/>
        </w:rPr>
        <w:fldChar w:fldCharType="end"/>
      </w:r>
      <w:r w:rsidRPr="00ED5246">
        <w:rPr>
          <w:rFonts w:ascii="Times New Roman" w:hAnsi="Times New Roman" w:cs="Times New Roman"/>
        </w:rPr>
        <w:t xml:space="preserve">. Several operational factors were also positively associated with successful transitions. Specifically, </w:t>
      </w:r>
      <w:r w:rsidRPr="00ED5246">
        <w:rPr>
          <w:rFonts w:ascii="Times New Roman" w:eastAsia="Aptos" w:hAnsi="Times New Roman" w:cs="Times New Roman"/>
        </w:rPr>
        <w:t xml:space="preserve">a </w:t>
      </w:r>
      <w:r w:rsidRPr="00ED5246">
        <w:rPr>
          <w:rFonts w:ascii="Times New Roman" w:hAnsi="Times New Roman" w:cs="Times New Roman"/>
        </w:rPr>
        <w:t xml:space="preserve">greater density of specialty patients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{"citationID":"kKkc0k0l","properties":{"formattedCitation":"[105]","plainCitation":"[105]","noteIndex":0},"citationItems":[{"id":67914,"uris":["http://zotero.org/groups/5108666/items/VWJCZKFB"],"itemData":{"id":67914,"type":"article-journal","abstract":"Objective\nPatients discharged to Skilled Nursing Facilities (SNFs) have worse outcomes than those discharged to home, but whether this is due to differences in facility-level factors in addition to patient characteristics is not known. We aimed to determine whether SNF-level factors including nurse staffing and patient density are associated with outcomes after acute hospitalization for trauma or surgery.\n\nDesign, Setting, Participants, &amp; Measurements\nRetrospective study of patients discharged to Medicare-certified SNFs after trauma or major surgery from 2007–2009. We measured the ratio of beds per nurse and the proportion of trauma and surgery patients at each facility (density). Outcomes were one-year mortality, hospital readmission, and failure to discharge home at first discharge disposition.\n\nResults\nFor 389,133 patients (mean age 78 years, 63% female) admitted to 3,707 SNFs, mortality was 26%, hospital readmission 26%, and failure to discharge home 44%. After adjusting for patient-level factors, SNFs with fewer beds per nurse had lower odds of mortality (OR: trauma 0.84 [95% CI: 0.77–0.91]; surgery 0.80 [0.75–0.86]), readmission (OR: trauma 0.81 [0.74–0.88]; surgery 0.71 [0.65–0.76]) and failure to discharge home (OR: trauma 0.82 [0.74–0.91]; surgery 0.66 [0.60–0.72]). SNFs with greater density of specialty patients (&gt;4.3% surgery, &gt;14.1% trauma) had lower odds of readmission (OR: trauma 0.59 [0.53–0.66]; surgery 0.62 [0.58–0.67]) and failure to discharge home (OR: trauma 0.48 [0.43–0.55]; surgery 0.45 [0.42–0.49]).\n\nConclusion\nThere are modifiable SNF-level factors that influence long-term outcomes and may be targets for intervention. Staffing standardization and SNF specialization may reduce variation of quality in post-acute care.","container-title":"Journal of the American Medical Directors Association","DOI":"10.1016/j.jamda.2017.08.007","ISSN":"1525-8610","issue":"1","journalAbbreviation":"J Am Med Dir Assoc","note":"PMID: 29042263\nPMCID: PMC5742547","page":"70-76.e1","source":"PubMed Central","title":"Facility-Level Factors and Outcomes after Skilled Nursing Facility Admission for Trauma and Surgical Patients","volume":"19","author":[{"family":"Thornblade","given":"Lucas W."},{"family":"Arbabi","given":"Saman"},{"family":"Flum","given":"David R."},{"family":"Qiu","given":"Qian"},{"family":"Fawcett","given":"Vanessa J."},{"family":"Davidson","given":"Giana H."}],"issued":{"date-parts":[["2018",1]]}}}],"schema":"https://github.com/citation-style-language/schema/raw/master/csl-citation.json"}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[105]</w:t>
      </w:r>
      <w:r w:rsidRPr="00ED5246">
        <w:rPr>
          <w:rFonts w:ascii="Times New Roman" w:hAnsi="Times New Roman" w:cs="Times New Roman"/>
        </w:rPr>
        <w:fldChar w:fldCharType="end"/>
      </w:r>
      <w:r w:rsidRPr="00ED5246">
        <w:rPr>
          <w:rFonts w:ascii="Times New Roman" w:hAnsi="Times New Roman" w:cs="Times New Roman"/>
        </w:rPr>
        <w:t xml:space="preserve">, higher volumes of specific conditions (such as hip fracture admissions)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IK8B4mdA","properties":{"formattedCitation":"[95]","plainCitation":"[95]","noteIndex":0},"citationItems":[{"id":51027,"uris":["http://zotero.org/groups/5108666/items/ZKRQZ8KQ"],"itemData":{"id":51027,"type":"article-journal","archive":"Scopus","container-title":"Journal of the American Geriatrics Society","DOI":"10.1111/jgs.13677","issue":"10","page":"2043-2051","title":"Volume matters: Returning home after hip fracture","volume":"63","author":[{"family":"Gozalo","given":"P."},{"family":"Leland","given":"N.E."},{"family":"Christian","given":"T.J."},{"family":"Mor","given":"V."},{"family":"Teno","given":"J.M."}],"issued":{"date-parts":[["2015"]]}}}],"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[95]</w:t>
      </w:r>
      <w:r w:rsidRPr="00ED5246">
        <w:rPr>
          <w:rFonts w:ascii="Times New Roman" w:hAnsi="Times New Roman" w:cs="Times New Roman"/>
        </w:rPr>
        <w:fldChar w:fldCharType="end"/>
      </w:r>
      <w:r w:rsidRPr="00ED5246">
        <w:rPr>
          <w:rFonts w:ascii="Times New Roman" w:hAnsi="Times New Roman" w:cs="Times New Roman"/>
        </w:rPr>
        <w:t xml:space="preserve">, and the presence of dedicated rehabilitation units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62uJvnjB","properties":{"formattedCitation":"[95]","plainCitation":"[95]","noteIndex":0},"citationItems":[{"id":51027,"uris":["http://zotero.org/groups/5108666/items/ZKRQZ8KQ"],"itemData":{"id":51027,"type":"article-journal","archive":"Scopus","container-title":"Journal of the American Geriatrics Society","DOI":"10.1111/jgs.13677","issue":"10","page":"2043-2051","title":"Volume matters: Returning home after hip fracture","volume":"63","author":[{"family":"Gozalo","given":"P."},{"family":"Leland","given":"N.E."},{"family":"Christian","given":"T.J."},{"family":"Mor","given":"V."},{"family":"Teno","given":"J.M."}],"issued":{"date-parts":[["2015"]]}}}],"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[95]</w:t>
      </w:r>
      <w:r w:rsidRPr="00ED5246">
        <w:rPr>
          <w:rFonts w:ascii="Times New Roman" w:hAnsi="Times New Roman" w:cs="Times New Roman"/>
        </w:rPr>
        <w:fldChar w:fldCharType="end"/>
      </w:r>
      <w:r w:rsidRPr="00ED5246">
        <w:rPr>
          <w:rFonts w:ascii="Times New Roman" w:hAnsi="Times New Roman" w:cs="Times New Roman"/>
        </w:rPr>
        <w:t xml:space="preserve"> all facilitated home care placement. Structured operational models also showed positive effects, with the Siebens Domain Management Model (SDMM) improving discharge rates and reducing length of stay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{"citationID":"vg4YE8Sw","properties":{"formattedCitation":"[106]","plainCitation":"[106]","noteIndex":0},"citationItems":[{"id":67936,"uris":["http://zotero.org/groups/5108666/items/52UY7WI3"],"itemData":{"id":67936,"type":"article-journal","abstract":"OBJECTIVE: To evaluate the Siebens Domain Management Model (SDMM) for geriatric inpatient rehabilitation (IR) to increase functional independence and dispositions to home.\nDESIGN: Before and after study.\nSETTING: IR facility.\nPARTICIPANTS: During 2010 (preintervention), 429 patients aged ≥75 years who were on average admitted to IR 8.2 days postacute care, and during 2012 (postintervention), 524 patients aged ≥75 years who were on average admitted to IR 5.5 days postacute care. Case-mix group (CMG) comorbidity tier severity, preadmission living setting, and living support were similar in both groups.\nINTERVENTION: The SDMM involving weekly adjustments of IR care focused on potential barriers to discharge home.\nMAIN OUTCOME MEASURES: FIM efficiency, length of stay (LOS), and disposition rates to community/home, acute care, and long-term care (LTC) to compare pre-/postintervention facility data and comparison of facility to national CMG-adjusted data from the Uniform Data System for Medical Rehabilitation for both years (2010/2012).\nRESULTS: Pre-/postintervention group admission FIM scores were similar (t=2.96, P&lt;.003), but the preintervention group had on average 2.6 days greater LOS during IR and greater time to onset of IR (8.2 vs 5.5d) from acute care. Preintervention FIM efficiency was 2.1, whereas postintervention FIM efficiency was 2.76, a significant difference (t=4.1, P&lt;.0001). There were significantly more discharges to the community in the postintervention group (74.4%) than the preintervention group (58.5%, χ(2)=26.2, P&lt;.0001). There were significantly fewer patients discharged to LTC in the postintervention group (χ(2)=30.47, P&lt;.0001). The preintervention group did not significantly differ from the 2010 national data, but the postintervention group significantly differed from the 2012 national data for both greater FIM efficiency (t=-5.5, P&lt;.0001) and greater discharge to community (χ(2)=34, P&lt;.0001). LOS decreased by 2.6 days in the postintervention group compared with the preintervention group, whereas LOS decreased by only 0.6 days nationally from 2010 to 2012, a significant difference with postintervention LOS lower than the national data (t=31.1, P&lt;.0001).\nCONCLUSIONS: Use of the SDMM during IR in geriatric patients is associated with increased functional independence and discharges to home/community and reduced institutionalization.","container-title":"Archives of Physical Medicine and Rehabilitation","DOI":"10.1016/j.apmr.2015.03.011","ISSN":"1532-821X","issue":"7","journalAbbreviation":"Arch Phys Med Rehabil","language":"eng","note":"PMID: 25838019","page":"1310-1318","source":"PubMed","title":"Evaluating Siebens Domain Management Model for inpatient rehabilitation to increase functional independence and discharge rate to home in geriatric patients","volume":"96","author":[{"family":"Kushner","given":"David S."},{"family":"Peters","given":"Kenneth M."},{"family":"Johnson-Greene","given":"Doug"}],"issued":{"date-parts":[["2015",7]]}}}],"schema":"https://github.com/citation-style-language/schema/raw/master/csl-citation.json"}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[106]</w:t>
      </w:r>
      <w:r w:rsidRPr="00ED5246">
        <w:rPr>
          <w:rFonts w:ascii="Times New Roman" w:hAnsi="Times New Roman" w:cs="Times New Roman"/>
        </w:rPr>
        <w:fldChar w:fldCharType="end"/>
      </w:r>
      <w:r w:rsidRPr="00ED5246">
        <w:rPr>
          <w:rFonts w:ascii="Times New Roman" w:hAnsi="Times New Roman" w:cs="Times New Roman"/>
        </w:rPr>
        <w:t xml:space="preserve">. Therapy intensity was another significant factor, with higher-intensity therapy </w:t>
      </w:r>
      <w:r w:rsidRPr="00ED5246">
        <w:rPr>
          <w:rFonts w:ascii="Times New Roman" w:hAnsi="Times New Roman" w:cs="Times New Roman"/>
        </w:rPr>
        <w:lastRenderedPageBreak/>
        <w:t>(</w:t>
      </w:r>
      <w:r>
        <w:rPr>
          <w:rFonts w:ascii="Times New Roman" w:hAnsi="Times New Roman" w:cs="Times New Roman"/>
        </w:rPr>
        <w:t>&gt;</w:t>
      </w:r>
      <w:r w:rsidRPr="00ED5246">
        <w:rPr>
          <w:rFonts w:ascii="Times New Roman" w:hAnsi="Times New Roman" w:cs="Times New Roman"/>
        </w:rPr>
        <w:t>60 minutes/day</w:t>
      </w:r>
      <w:r>
        <w:rPr>
          <w:rFonts w:ascii="Times New Roman" w:hAnsi="Times New Roman" w:cs="Times New Roman"/>
        </w:rPr>
        <w:t xml:space="preserve"> or &gt;5.3 hours/week</w:t>
      </w:r>
      <w:r w:rsidRPr="00ED5246">
        <w:rPr>
          <w:rFonts w:ascii="Times New Roman" w:hAnsi="Times New Roman" w:cs="Times New Roman"/>
        </w:rPr>
        <w:t>) associated with increased home care transition rates and shorter lengths of stay (n=</w:t>
      </w:r>
      <w:r>
        <w:rPr>
          <w:rFonts w:ascii="Times New Roman" w:hAnsi="Times New Roman" w:cs="Times New Roman"/>
        </w:rPr>
        <w:t>2</w:t>
      </w:r>
      <w:r w:rsidRPr="00ED5246">
        <w:rPr>
          <w:rFonts w:ascii="Times New Roman" w:hAnsi="Times New Roman" w:cs="Times New Roman"/>
        </w:rPr>
        <w:t xml:space="preserve">)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{"citationID":"uPtH1yw8","properties":{"formattedCitation":"[101,107]","plainCitation":"[101,107]","noteIndex":0},"citationItems":[{"id":81859,"uris":["http://zotero.org/users/7655466/items/P4UTELQZ"],"itemData":{"id":81859,"type":"article-journal","abstract":"OBJECTIVES: Skilled therapies (STs), including audiology, speech-language therapy, occupational therapy, and physical therapy, can address functional deficits in dementia. This study aims to quantify the association between ST and successful discharge after heart failure (HF) hospitalization in persons living with dementia.\nDESIGN: Retrospective cohort study.\nSETTING AND PARTICIPANTS: We included veterans with dementia (VwD) hospitalized for HF in Veterans Affairs (VA) medical centers and then admitted to non-VA skilled nursing facilities (SNFs) from January 2011 to June 2019.\nMETHODS: Follow-up continued 120 days after SNF admission. We measured ST hours per week using MDS admission assessments. We defined successful discharge as SNF discharge occurring within 90 days of SNF admission with MDS discharge status not hospital or institutional setting, and 30 days' survival after discharge without Medicare or VA-paid rehospitalization or reinstitutionalization. We estimated relative risk using multiple variable regression to adjust for measured sources of confounding.\nRESULTS: Our final sample included 8255 VwD. The mean (SD) age was 80 (10) years, and 8074 (98%) were male. Successful discharge occurred in 2776 (34%) of the sample. The median (IQR) weekly hours of ST was 10.4 (7.1-12.1). Sextile 1 received less than 5.2 hours per week of ST. The adjusted relative risk (95% CI) for sextiles 2-6 compared with sextile 1 were, respectively, 2.20 (1.85-2.62), 2.48 (2.09-2.94), 2.52 (2.12-2.99), 2.62 (2.21-3.11), and 2.69 (2.27-3.19).\nDISCUSSION: During SNF care after HF hospitalization, 5.3 or more hours of STs per week was associated with a higher rate of successful discharge, in a roughly dose-dependent fashion, up to a 170% increase in the highest sextile of ST hours.\nCONCLUSIONS AND IMPLICATIONS: Higher ST hours are associated with successful discharge from SNF after HF hospitalization.","container-title":"Journal of the American Medical Directors Association","DOI":"10.1016/j.jamda.2024.105286","ISSN":"1538-9375","issue":"12","journalAbbreviation":"J Am Med Dir Assoc","language":"eng","note":"PMID: 39341605\nPMCID: PMC12094069","page":"105286","source":"PubMed","title":"Skilled Nursing Facility Rehabilitation Intensity and Successful Discharge in Persons with Dementia","volume":"25","author":[{"family":"Bayer","given":"Thomas A."},{"family":"Jiang","given":"Lan"},{"family":"Singh","given":"Mriganka"},{"family":"Kunicki","given":"Zachary J."},{"family":"Browne","given":"Julia W."},{"family":"Nubong","given":"Thomas"},{"family":"Kelso","given":"Catherine M."},{"family":"McGeary","given":"John E."},{"family":"Wu","given":"Wen-Chih"},{"family":"Rudolph","given":"James L."}],"issued":{"date-parts":[["2024",12]]}}},{"id":67903,"uris":["http://zotero.org/groups/5108666/items/GF2IKREP"],"itemData":{"id":67903,"type":"article-journal","abstract":"OBJECTIVES: To determine the association between therapy intensity and discharge outcomes for aged Medicare skilled nursing facilities (SNFs) fee-for-service beneficiaries and to determine the association between therapy intensity and time to community discharge.\nDESIGN: Retrospective observational design.\nSETTING: SNFs.\nPARTICIPANTS: Aged Medicare fee-for-service beneficiaries (N=311,338) in 3605 SNFs.\nINTERVENTIONS: The total minutes of physical therapy, occupational therapy, and speech therapy per day were divided into intensity groups: high (≥60min); medium-high (45-&lt;60min); medium-low (30-&lt;45min); and low (&lt;30min).\nMAIN OUTCOME MEASURES: Four discharge outcomes-community, hospitalization, permanent placement, and death-were examined using a multivariate competing hazards model. For those associated with community discharge, a Poisson multivariate model was used to determine whether length of stay differed by intensity.\nRESULTS: High intensity therapy was associated with more community discharges in comparison to the remaining intensity groups (hazard ratio, .84, .68, and .433 for medium-high, medium-low, and low intensity groups, respectively). More hospitalizations and deaths were found as therapy intensity decreased. Only high intensity therapy was associated with a 2-day shorter length of stay (incident rate ratio, .95).\nCONCLUSIONS: High intensity therapy was associated with desirable discharge outcomes and may shorten SNF length of stay. Despite growing reimbursements to SNFs for rehabilitation services, there may be desirable benefits to beneficiaries who receive high intensity therapy.","container-title":"Archives of Physical Medicine and Rehabilitation","DOI":"10.1016/j.apmr.2017.07.012","ISSN":"1532-821X","issue":"1","journalAbbreviation":"Arch Phys Med Rehabil","language":"eng","note":"PMID: 28860096\nPMCID: PMC5748253","page":"107-115","source":"PubMed","title":"Association Between Therapy Intensity and Discharge Outcomes in Aged Medicare Skilled Nursing Facilities Admissions","volume":"99","author":[{"family":"O'Brien","given":"Suzanne R."},{"family":"Zhang","given":"Ning"}],"issued":{"date-parts":[["2018",1]]}}}],"schema":"https://github.com/citation-style-language/schema/raw/master/csl-citation.json"}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[101,107]</w:t>
      </w:r>
      <w:r w:rsidRPr="00ED5246">
        <w:rPr>
          <w:rFonts w:ascii="Times New Roman" w:hAnsi="Times New Roman" w:cs="Times New Roman"/>
        </w:rPr>
        <w:fldChar w:fldCharType="end"/>
      </w:r>
      <w:r>
        <w:rPr>
          <w:rFonts w:ascii="Times New Roman" w:hAnsi="Times New Roman" w:cs="Times New Roman"/>
        </w:rPr>
        <w:t>.</w:t>
      </w:r>
    </w:p>
    <w:p w14:paraId="0A63B569" w14:textId="0867A0FB" w:rsidR="005B0855" w:rsidRPr="00ED5246" w:rsidRDefault="005B0855" w:rsidP="00180C23">
      <w:pPr>
        <w:spacing w:after="0" w:line="480" w:lineRule="auto"/>
        <w:jc w:val="both"/>
        <w:rPr>
          <w:rFonts w:ascii="Times New Roman" w:hAnsi="Times New Roman" w:cs="Times New Roman"/>
          <w:b/>
          <w:bCs/>
        </w:rPr>
      </w:pPr>
      <w:bookmarkStart w:id="31" w:name="_Hlk184214871"/>
      <w:bookmarkEnd w:id="30"/>
      <w:r w:rsidRPr="00ED5246">
        <w:rPr>
          <w:rFonts w:ascii="Times New Roman" w:hAnsi="Times New Roman" w:cs="Times New Roman"/>
          <w:b/>
          <w:bCs/>
        </w:rPr>
        <w:t xml:space="preserve">Reimbursement and funding policies. </w:t>
      </w:r>
      <w:bookmarkEnd w:id="31"/>
      <w:r>
        <w:rPr>
          <w:rFonts w:ascii="Times New Roman" w:hAnsi="Times New Roman" w:cs="Times New Roman"/>
        </w:rPr>
        <w:t xml:space="preserve">Quantitative research identified Medicaid enrollment as a barrier to successful transitions from CCC to home care (n=1) </w:t>
      </w:r>
      <w:r>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DOtgqBA1","properties":{"formattedCitation":"[98]","plainCitation":"[98]","noteIndex":0},"citationItems":[{"id":46313,"uris":["http://zotero.org/groups/5108666/items/4853Y9QS"],"itemData":{"id":46313,"type":"article-journal","archive":"Scopus","container-title":"Journal of Head Trauma Rehabilitation","DOI":"10.1097/HTR.0000000000000638","issue":"3","page":"E186-E198","title":"Successful community discharge among older adults with traumatic brain injury in skilled nursing facilities","volume":"36","author":[{"family":"Evans","given":"E."},{"family":"Gutman","given":"R."},{"family":"Resnik","given":"L."},{"family":"Zonfrillo","given":"M.R."},{"family":"Lueckel","given":"S.N."},{"family":"Kumar","given":"R.G."},{"family":"DeVone","given":"F."},{"family":"Dams-O'Connor","given":"K."},{"family":"Thomas","given":"K.S."}],"issued":{"date-parts":[["2021"]]}}}],"schema":"https://github.com/citation-style-language/schema/raw/master/csl-citation.json"} </w:instrText>
      </w:r>
      <w:r>
        <w:rPr>
          <w:rFonts w:ascii="Times New Roman" w:hAnsi="Times New Roman" w:cs="Times New Roman"/>
        </w:rPr>
        <w:fldChar w:fldCharType="separate"/>
      </w:r>
      <w:r w:rsidR="00180C23" w:rsidRPr="00180C23">
        <w:rPr>
          <w:rFonts w:ascii="Times New Roman" w:hAnsi="Times New Roman" w:cs="Times New Roman"/>
        </w:rPr>
        <w:t>[98]</w:t>
      </w:r>
      <w:r>
        <w:rPr>
          <w:rFonts w:ascii="Times New Roman" w:hAnsi="Times New Roman" w:cs="Times New Roman"/>
        </w:rPr>
        <w:fldChar w:fldCharType="end"/>
      </w:r>
      <w:r>
        <w:rPr>
          <w:rFonts w:ascii="Times New Roman" w:hAnsi="Times New Roman" w:cs="Times New Roman"/>
        </w:rPr>
        <w:t xml:space="preserve">, while broader Medicaid home care coverage was found to facilitate these transitions (n=1) </w:t>
      </w:r>
      <w:r>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{"citationID":"IglXalf4","properties":{"formattedCitation":"[108]","plainCitation":"[108]","noteIndex":0},"citationItems":[{"id":39914,"uris":["http://zotero.org/groups/5108666/items/DH9538XP"],"itemData":{"id":39914,"type":"article-journal","abstract":"OBJECTIVE: To examine the association between the generosity of Medicaid home- and community-based services (HCBS) and the likelihood of community discharge among Medicare-Medicaid dually enrolled older adults who were newly admitted to skilled nursing facilities (SNFs)., DATA SOURCES: National datasets, including Medicare Master Beneficiary Summary File (MBSF), Medicare Provider and Analysis Review (MedPAR), Medicaid Analytic eXtract (MAX), minimum data set (MDS), and publicly available data at the SNF or county level, were linked., STUDY DESIGN: We measured Medicaid HCBS generosity by its breadth and intensity and described their variation at the county level. A set of linear probability models with SNF fixed effects were estimated to characterize the association between HCBS generosity and likelihood of community discharge from SNFs. We further stratified the analyses by the type of index hospitalizations (medical vs surgical events), age group, and the Medicaid cost-sharing policy for SNF services., DATA EXTRACTION METHODS: The final analytical sample included 224 229 community-dwelling dually enrolled older duals who were newly admitted to SNFs after an acute inpatient event between October 1, 2010, and September 30, 2013., PRINCIPAL FINDINGS: We observed substantial cross-sectional and over-time variations in HCBS breadth and intensity. Regression results indicate that on average, a 10 percentage-point increase in HCBS breadth was associated with a 0.7 percentage-point increase (P &lt; 0.01) in the likelihood of community discharge. Such relationship could be modified by individual factors and state policies: significant effects of HCBS breadth were detected among medical patients (0.7 percentage-point, P &lt; 0.05), individuals aged older than 85 (1.5 percentage-point, P &lt; 0.01), and states with and without lesser-of policies (0.5 and 2.3 percentage-point, respectively, P &lt; 0.05). No significant relationship between HCBS intensity and community discharge was detected., CONCLUSIONS: Higher Medicaid HCBS breadth but not intensity was associated with a greater likelihood of community discharge, and such relationship could be modified by individual factors and state policies. Copyright © 2021 Health Research and Educational Trust.","archive":"Ovid MEDLINE(R) &lt;2021&gt;","container-title":"Health services research","DOI":"10.1111/1475-6773.13690","ISSN":"1475-6773","issue":"6","journalAbbreviation":"Health Serv Res","page":"1156-1167","title":"Medicaid home- and community-based services and discharge from skilled nursing facilities.","volume":"56","author":[{"family":"Wang","given":"Sijiu"},{"family":"Temkin-Greener","given":"Helena"},{"family":"Simning","given":"Adam"},{"family":"Konetzka","given":"R Tamara"},{"family":"Cai","given":"Shubing"}],"issued":{"date-parts":[["2021"]]}}}],"schema":"https://github.com/citation-style-language/schema/raw/master/csl-citation.json"} </w:instrText>
      </w:r>
      <w:r>
        <w:rPr>
          <w:rFonts w:ascii="Times New Roman" w:hAnsi="Times New Roman" w:cs="Times New Roman"/>
        </w:rPr>
        <w:fldChar w:fldCharType="separate"/>
      </w:r>
      <w:r w:rsidR="00180C23" w:rsidRPr="00180C23">
        <w:rPr>
          <w:rFonts w:ascii="Times New Roman" w:hAnsi="Times New Roman" w:cs="Times New Roman"/>
        </w:rPr>
        <w:t>[108]</w:t>
      </w:r>
      <w:r>
        <w:rPr>
          <w:rFonts w:ascii="Times New Roman" w:hAnsi="Times New Roman" w:cs="Times New Roman"/>
        </w:rPr>
        <w:fldChar w:fldCharType="end"/>
      </w:r>
      <w:r>
        <w:rPr>
          <w:rFonts w:ascii="Times New Roman" w:hAnsi="Times New Roman" w:cs="Times New Roman"/>
        </w:rPr>
        <w:t>.</w:t>
      </w:r>
    </w:p>
    <w:p w14:paraId="0413637F" w14:textId="3DE36D75" w:rsidR="008B3021" w:rsidRPr="00180C23" w:rsidRDefault="005B0855" w:rsidP="00180C23">
      <w:pPr>
        <w:spacing w:after="0" w:line="480" w:lineRule="auto"/>
        <w:jc w:val="both"/>
        <w:rPr>
          <w:rFonts w:ascii="Times New Roman" w:hAnsi="Times New Roman" w:cs="Times New Roman"/>
        </w:rPr>
      </w:pPr>
      <w:r w:rsidRPr="00ED5246">
        <w:rPr>
          <w:rFonts w:ascii="Times New Roman" w:hAnsi="Times New Roman" w:cs="Times New Roman"/>
          <w:b/>
          <w:bCs/>
        </w:rPr>
        <w:t xml:space="preserve">Person-centered care. </w:t>
      </w:r>
      <w:r w:rsidRPr="00ED5246">
        <w:rPr>
          <w:rFonts w:ascii="Times New Roman" w:hAnsi="Times New Roman" w:cs="Times New Roman"/>
        </w:rPr>
        <w:t>Quantitative research identified several person-centered facilitating factors, including individuals</w:t>
      </w:r>
      <w:r>
        <w:rPr>
          <w:rFonts w:ascii="Times New Roman" w:hAnsi="Times New Roman" w:cs="Times New Roman"/>
        </w:rPr>
        <w:t>’</w:t>
      </w:r>
      <w:r w:rsidRPr="00ED5246">
        <w:rPr>
          <w:rFonts w:ascii="Times New Roman" w:hAnsi="Times New Roman" w:cs="Times New Roman"/>
        </w:rPr>
        <w:t xml:space="preserve"> desire to return to the community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{"citationID":"WoizR6bg","properties":{"formattedCitation":"[97]","plainCitation":"[97]","noteIndex":0},"citationItems":[{"id":40699,"uris":["http://zotero.org/groups/5108666/items/CAJ4EP6P"],"itemData":{"id":40699,"type":"article-journal","abstract":"BACKGROUND: Post-acute care hospitals are often subject to patient flow pressures because of their intermediary position along the continuum of care between acute care hospitals and community care or residential long-term care settings. The purpose of this study was to identify patient attributes associated with a prolonged length of stay in Complex Continuing Care hospitals., METHODS: Using information collected using the interRAI Resident Assessment Instrument Minimum Data Set 2.0 (MDS 2.0), a sample of 91,113 episodes of care for patients admitted to Complex Continuing Care hospitals between March 31, 2001 and March 31, 2013 was established. All patients in the sample were either discharged to a residential long-term care facility (e.g., nursing home) or to the community. Long-stay patients for each discharge destination were identified based on a length of stay in the 95th percentile. A series of multivariate logistic regression models predicting long-stay patient status for each discharge destination pathway were fit to characterize the association between demographic factors, residential history, health severity measures, and service utilization on prolonged length of stay in post-acute care., RESULTS: Risk factors for prolonged length of stay in the adjusted models included functional and cognitive impairment, greater pressure ulcer risk, paralysis, antibiotic resistant and HIV infection need for a feeding tube, dialysis, tracheostomy, ventilator or a respirator, and psychological therapy. Protective factors included advanced age, medical instability, a greater number of recent hospital and emergency department visits, cancer diagnosis, pneumonia, unsteady gait, a desire to return to the community, and a support person who is positive towards discharge. Aggressive behaviour was only a risk factor for patients discharged to residential long-term care facilities. Cancer diagnosis, antibiotic resistant and HIV infection, and pneumonia were only significant factors for patients discharged to the community., CONCLUSIONS: This study identified several patient attributes and process of care variables that are predictors of prolonged length of stay in post-acute care hospitals. This is valuable information for care planners and health system administrators working to improve patient flow in Complex Continuing Care and other post-acute care settings such as skilled nursing and inpatient rehabilitation facilities.","archive":"Ovid MEDLINE(R) &lt;2019&gt;","container-title":"BMC health services research","DOI":"10.1186/s12913-019-4024-2","ISSN":"1472-6963","issue":"1","journalAbbreviation":"BMC Health Serv Res","page":"218","title":"Clinical predictors of protracted length of stay in Ontario Complex Continuing Care hospitals.","volume":"19","author":[{"family":"Turcotte","given":"Luke A"},{"family":"Perlman","given":"Chris M"},{"family":"Fries","given":"Brant E"},{"family":"Hirdes","given":"John P"}],"issued":{"date-parts":[["2019"]]}}}],"schema":"https://github.com/citation-style-language/schema/raw/master/csl-citation.json"}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[97]</w:t>
      </w:r>
      <w:r w:rsidRPr="00ED5246">
        <w:rPr>
          <w:rFonts w:ascii="Times New Roman" w:hAnsi="Times New Roman" w:cs="Times New Roman"/>
        </w:rPr>
        <w:fldChar w:fldCharType="end"/>
      </w:r>
      <w:r w:rsidRPr="00ED5246">
        <w:rPr>
          <w:rFonts w:ascii="Times New Roman" w:hAnsi="Times New Roman" w:cs="Times New Roman"/>
        </w:rPr>
        <w:t xml:space="preserve">, positive beliefs from both older adults and staff regarding capability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SpCM77AH","properties":{"formattedCitation":"[104]","plainCitation":"[104]","noteIndex":0},"citationItems":[{"id":46627,"uris":["http://zotero.org/groups/5108666/items/97YJK8W7"],"itemData":{"id":46627,"type":"paper-conference","archive":"Scopus","DOI":"10.1016/j.apmr.2020.09.375","event-title":"Archives of Physical Medicine and Rehabilitation","page":"480-487","title":"Positive Beliefs and the Likelihood of Successful Community Discharge From Skilled Nursing Facilities","URL":"https://www.scopus.com/inward/record.uri?eid=2-s2.0-85093687065&amp;doi=10.1016%2fj.apmr.2020.09.375&amp;partnerID=40&amp;md5=9a32e026647c5d30d9970346d52907a0","volume":"102","author":[{"family":"Evans","given":"E."},{"family":"Kosar","given":"C.M."},{"family":"Thomas","given":"K.S."}],"issued":{"date-parts":[["2021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[104]</w:t>
      </w:r>
      <w:r w:rsidRPr="00ED5246">
        <w:rPr>
          <w:rFonts w:ascii="Times New Roman" w:hAnsi="Times New Roman" w:cs="Times New Roman"/>
        </w:rPr>
        <w:fldChar w:fldCharType="end"/>
      </w:r>
      <w:r w:rsidRPr="00ED5246">
        <w:rPr>
          <w:rFonts w:ascii="Times New Roman" w:hAnsi="Times New Roman" w:cs="Times New Roman"/>
        </w:rPr>
        <w:t xml:space="preserve">, and the use of structured person-centered care models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{"citationID":"OlY3h1gM","properties":{"formattedCitation":"[106]","plainCitation":"[106]","noteIndex":0},"citationItems":[{"id":67936,"uris":["http://zotero.org/groups/5108666/items/52UY7WI3"],"itemData":{"id":67936,"type":"article-journal","abstract":"OBJECTIVE: To evaluate the Siebens Domain Management Model (SDMM) for geriatric inpatient rehabilitation (IR) to increase functional independence and dispositions to home.\nDESIGN: Before and after study.\nSETTING: IR facility.\nPARTICIPANTS: During 2010 (preintervention), 429 patients aged ≥75 years who were on average admitted to IR 8.2 days postacute care, and during 2012 (postintervention), 524 patients aged ≥75 years who were on average admitted to IR 5.5 days postacute care. Case-mix group (CMG) comorbidity tier severity, preadmission living setting, and living support were similar in both groups.\nINTERVENTION: The SDMM involving weekly adjustments of IR care focused on potential barriers to discharge home.\nMAIN OUTCOME MEASURES: FIM efficiency, length of stay (LOS), and disposition rates to community/home, acute care, and long-term care (LTC) to compare pre-/postintervention facility data and comparison of facility to national CMG-adjusted data from the Uniform Data System for Medical Rehabilitation for both years (2010/2012).\nRESULTS: Pre-/postintervention group admission FIM scores were similar (t=2.96, P&lt;.003), but the preintervention group had on average 2.6 days greater LOS during IR and greater time to onset of IR (8.2 vs 5.5d) from acute care. Preintervention FIM efficiency was 2.1, whereas postintervention FIM efficiency was 2.76, a significant difference (t=4.1, P&lt;.0001). There were significantly more discharges to the community in the postintervention group (74.4%) than the preintervention group (58.5%, χ(2)=26.2, P&lt;.0001). There were significantly fewer patients discharged to LTC in the postintervention group (χ(2)=30.47, P&lt;.0001). The preintervention group did not significantly differ from the 2010 national data, but the postintervention group significantly differed from the 2012 national data for both greater FIM efficiency (t=-5.5, P&lt;.0001) and greater discharge to community (χ(2)=34, P&lt;.0001). LOS decreased by 2.6 days in the postintervention group compared with the preintervention group, whereas LOS decreased by only 0.6 days nationally from 2010 to 2012, a significant difference with postintervention LOS lower than the national data (t=31.1, P&lt;.0001).\nCONCLUSIONS: Use of the SDMM during IR in geriatric patients is associated with increased functional independence and discharges to home/community and reduced institutionalization.","container-title":"Archives of Physical Medicine and Rehabilitation","DOI":"10.1016/j.apmr.2015.03.011","ISSN":"1532-821X","issue":"7","journalAbbreviation":"Arch Phys Med Rehabil","language":"eng","note":"PMID: 25838019","page":"1310-1318","source":"PubMed","title":"Evaluating Siebens Domain Management Model for inpatient rehabilitation to increase functional independence and discharge rate to home in geriatric patients","volume":"96","author":[{"family":"Kushner","given":"David S."},{"family":"Peters","given":"Kenneth M."},{"family":"Johnson-Greene","given":"Doug"}],"issued":{"date-parts":[["2015",7]]}}}],"schema":"https://github.com/citation-style-language/schema/raw/master/csl-citation.json"}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[106]</w:t>
      </w:r>
      <w:r w:rsidRPr="00ED5246">
        <w:rPr>
          <w:rFonts w:ascii="Times New Roman" w:hAnsi="Times New Roman" w:cs="Times New Roman"/>
        </w:rPr>
        <w:fldChar w:fldCharType="end"/>
      </w:r>
      <w:r w:rsidRPr="00ED5246">
        <w:rPr>
          <w:rFonts w:ascii="Times New Roman" w:hAnsi="Times New Roman" w:cs="Times New Roman"/>
        </w:rPr>
        <w:t xml:space="preserve">. Conversely, negative beliefs from either patients or staff about the ability for independence were reported as barriers to successful transitions (n=1) </w:t>
      </w:r>
      <w:r w:rsidRPr="00ED5246">
        <w:rPr>
          <w:rFonts w:ascii="Times New Roman" w:hAnsi="Times New Roman" w:cs="Times New Roman"/>
        </w:rPr>
        <w:fldChar w:fldCharType="begin"/>
      </w:r>
      <w:r w:rsidR="00180C23">
        <w:rPr>
          <w:rFonts w:ascii="Times New Roman" w:hAnsi="Times New Roman" w:cs="Times New Roman"/>
        </w:rPr>
        <w:instrText xml:space="preserve"> ADDIN ZOTERO_ITEM CSL_CITATION {"citationID":"Q5IEZ4Kr","properties":{"formattedCitation":"[104]","plainCitation":"[104]","noteIndex":0},"citationItems":[{"id":46627,"uris":["http://zotero.org/groups/5108666/items/97YJK8W7"],"itemData":{"id":46627,"type":"paper-conference","archive":"Scopus","DOI":"10.1016/j.apmr.2020.09.375","event-title":"Archives of Physical Medicine and Rehabilitation","page":"480-487","title":"Positive Beliefs and the Likelihood of Successful Community Discharge From Skilled Nursing Facilities","URL":"https://www.scopus.com/inward/record.uri?eid=2-s2.0-85093687065&amp;doi=10.1016%2fj.apmr.2020.09.375&amp;partnerID=40&amp;md5=9a32e026647c5d30d9970346d52907a0","volume":"102","author":[{"family":"Evans","given":"E."},{"family":"Kosar","given":"C.M."},{"family":"Thomas","given":"K.S."}],"issued":{"date-parts":[["2021"]]}}}],"schema":"https://github.com/citation-style-language/schema/raw/master/csl-citation.json"} </w:instrText>
      </w:r>
      <w:r w:rsidRPr="00ED5246">
        <w:rPr>
          <w:rFonts w:ascii="Times New Roman" w:hAnsi="Times New Roman" w:cs="Times New Roman"/>
        </w:rPr>
        <w:fldChar w:fldCharType="separate"/>
      </w:r>
      <w:r w:rsidR="00180C23" w:rsidRPr="00180C23">
        <w:rPr>
          <w:rFonts w:ascii="Times New Roman" w:hAnsi="Times New Roman" w:cs="Times New Roman"/>
        </w:rPr>
        <w:t>[104]</w:t>
      </w:r>
      <w:r w:rsidRPr="00ED5246">
        <w:rPr>
          <w:rFonts w:ascii="Times New Roman" w:hAnsi="Times New Roman" w:cs="Times New Roman"/>
        </w:rPr>
        <w:fldChar w:fldCharType="end"/>
      </w:r>
      <w:r w:rsidRPr="00ED5246">
        <w:rPr>
          <w:rFonts w:ascii="Times New Roman" w:hAnsi="Times New Roman" w:cs="Times New Roman"/>
        </w:rPr>
        <w:t>.</w:t>
      </w:r>
      <w:bookmarkEnd w:id="24"/>
    </w:p>
    <w:p w14:paraId="446FC790" w14:textId="77777777" w:rsidR="00821A3C" w:rsidRPr="00CC2419" w:rsidRDefault="00821A3C">
      <w:pPr>
        <w:rPr>
          <w:rFonts w:ascii="Times New Roman" w:hAnsi="Times New Roman" w:cs="Times New Roman"/>
          <w:color w:val="000000" w:themeColor="text1"/>
          <w:sz w:val="24"/>
          <w:szCs w:val="24"/>
        </w:rPr>
      </w:pPr>
      <w:r w:rsidRPr="00CC2419">
        <w:rPr>
          <w:rFonts w:ascii="Times New Roman" w:hAnsi="Times New Roman" w:cs="Times New Roman"/>
          <w:color w:val="000000" w:themeColor="text1"/>
          <w:sz w:val="24"/>
          <w:szCs w:val="24"/>
        </w:rPr>
        <w:br w:type="page"/>
      </w:r>
    </w:p>
    <w:p w14:paraId="0A1C640A" w14:textId="4A5DF1C3" w:rsidR="00821A3C" w:rsidRPr="00B314B3" w:rsidRDefault="00821A3C" w:rsidP="001A05AC">
      <w:pPr>
        <w:pStyle w:val="Heading2"/>
        <w:numPr>
          <w:ilvl w:val="0"/>
          <w:numId w:val="0"/>
        </w:numPr>
        <w:spacing w:before="0" w:line="480" w:lineRule="auto"/>
        <w:rPr>
          <w:rStyle w:val="LineNumber"/>
          <w:b/>
          <w:bCs/>
          <w:sz w:val="22"/>
          <w:szCs w:val="32"/>
        </w:rPr>
      </w:pPr>
      <w:r w:rsidRPr="00B314B3">
        <w:rPr>
          <w:rStyle w:val="LineNumber"/>
          <w:b/>
          <w:bCs/>
          <w:sz w:val="22"/>
          <w:szCs w:val="32"/>
        </w:rPr>
        <w:lastRenderedPageBreak/>
        <w:t>S</w:t>
      </w:r>
      <w:r w:rsidR="00180C23">
        <w:rPr>
          <w:rStyle w:val="LineNumber"/>
          <w:b/>
          <w:bCs/>
          <w:sz w:val="22"/>
          <w:szCs w:val="32"/>
        </w:rPr>
        <w:t>6</w:t>
      </w:r>
      <w:r w:rsidR="00917C91">
        <w:rPr>
          <w:rStyle w:val="LineNumber"/>
          <w:b/>
          <w:bCs/>
          <w:sz w:val="22"/>
          <w:szCs w:val="32"/>
        </w:rPr>
        <w:t xml:space="preserve">. </w:t>
      </w:r>
      <w:r w:rsidR="00B7434F">
        <w:rPr>
          <w:rStyle w:val="LineNumber"/>
          <w:b/>
          <w:bCs/>
          <w:sz w:val="22"/>
          <w:szCs w:val="32"/>
        </w:rPr>
        <w:t>Frequency of influential factors in community reintegration transitions</w:t>
      </w:r>
    </w:p>
    <w:p w14:paraId="6CB3C0F8" w14:textId="21EEA272" w:rsidR="00821A3C" w:rsidRPr="00B314B3" w:rsidRDefault="00821A3C" w:rsidP="00B314B3">
      <w:pPr>
        <w:spacing w:after="0" w:line="480" w:lineRule="auto"/>
        <w:jc w:val="both"/>
        <w:rPr>
          <w:rStyle w:val="LineNumber"/>
          <w:sz w:val="22"/>
          <w:szCs w:val="28"/>
        </w:rPr>
      </w:pPr>
      <w:r w:rsidRPr="00B314B3">
        <w:rPr>
          <w:rStyle w:val="LineNumber"/>
          <w:sz w:val="22"/>
          <w:szCs w:val="28"/>
        </w:rPr>
        <w:t xml:space="preserve">Table S4 presents the complete list of factors influencing </w:t>
      </w:r>
      <w:r w:rsidR="000D251E" w:rsidRPr="00B314B3">
        <w:rPr>
          <w:rStyle w:val="LineNumber"/>
          <w:sz w:val="22"/>
          <w:szCs w:val="28"/>
        </w:rPr>
        <w:t xml:space="preserve">the transition of </w:t>
      </w:r>
      <w:r w:rsidR="00CA7CB9" w:rsidRPr="00B314B3">
        <w:rPr>
          <w:rStyle w:val="LineNumber"/>
          <w:sz w:val="22"/>
          <w:szCs w:val="28"/>
        </w:rPr>
        <w:t>older adults</w:t>
      </w:r>
      <w:r w:rsidR="000D251E" w:rsidRPr="00B314B3">
        <w:rPr>
          <w:rStyle w:val="LineNumber"/>
          <w:sz w:val="22"/>
          <w:szCs w:val="28"/>
        </w:rPr>
        <w:t xml:space="preserve"> from LTC and CCC to home care </w:t>
      </w:r>
      <w:r w:rsidRPr="00B314B3">
        <w:rPr>
          <w:rStyle w:val="LineNumber"/>
          <w:sz w:val="22"/>
          <w:szCs w:val="28"/>
        </w:rPr>
        <w:t>and their frequency.</w:t>
      </w:r>
    </w:p>
    <w:p w14:paraId="7E71D616" w14:textId="52A6631F" w:rsidR="00821A3C" w:rsidRPr="00CC2419" w:rsidRDefault="00821A3C" w:rsidP="00821A3C">
      <w:pPr>
        <w:pStyle w:val="Caption"/>
        <w:keepNext/>
        <w:spacing w:after="0"/>
        <w:jc w:val="center"/>
        <w:rPr>
          <w:rFonts w:ascii="Times New Roman" w:hAnsi="Times New Roman" w:cs="Times New Roman"/>
          <w:i w:val="0"/>
          <w:iCs w:val="0"/>
          <w:color w:val="000000" w:themeColor="text1"/>
          <w:sz w:val="20"/>
          <w:szCs w:val="20"/>
        </w:rPr>
      </w:pPr>
      <w:r w:rsidRPr="00CC2419">
        <w:rPr>
          <w:rFonts w:ascii="Times New Roman" w:hAnsi="Times New Roman" w:cs="Times New Roman"/>
          <w:b/>
          <w:bCs/>
          <w:i w:val="0"/>
          <w:iCs w:val="0"/>
          <w:color w:val="000000" w:themeColor="text1"/>
          <w:sz w:val="20"/>
          <w:szCs w:val="20"/>
        </w:rPr>
        <w:t>Table S</w:t>
      </w:r>
      <w:r w:rsidRPr="00CC2419">
        <w:rPr>
          <w:rFonts w:ascii="Times New Roman" w:hAnsi="Times New Roman" w:cs="Times New Roman"/>
          <w:b/>
          <w:bCs/>
          <w:i w:val="0"/>
          <w:iCs w:val="0"/>
          <w:color w:val="000000" w:themeColor="text1"/>
          <w:sz w:val="20"/>
          <w:szCs w:val="20"/>
        </w:rPr>
        <w:fldChar w:fldCharType="begin"/>
      </w:r>
      <w:r w:rsidRPr="00CC2419">
        <w:rPr>
          <w:rFonts w:ascii="Times New Roman" w:hAnsi="Times New Roman" w:cs="Times New Roman"/>
          <w:b/>
          <w:bCs/>
          <w:i w:val="0"/>
          <w:iCs w:val="0"/>
          <w:color w:val="000000" w:themeColor="text1"/>
          <w:sz w:val="20"/>
          <w:szCs w:val="20"/>
        </w:rPr>
        <w:instrText xml:space="preserve"> SEQ Table \* ARABIC </w:instrText>
      </w:r>
      <w:r w:rsidRPr="00CC2419">
        <w:rPr>
          <w:rFonts w:ascii="Times New Roman" w:hAnsi="Times New Roman" w:cs="Times New Roman"/>
          <w:b/>
          <w:bCs/>
          <w:i w:val="0"/>
          <w:iCs w:val="0"/>
          <w:color w:val="000000" w:themeColor="text1"/>
          <w:sz w:val="20"/>
          <w:szCs w:val="20"/>
        </w:rPr>
        <w:fldChar w:fldCharType="separate"/>
      </w:r>
      <w:r w:rsidRPr="00CC2419">
        <w:rPr>
          <w:rFonts w:ascii="Times New Roman" w:hAnsi="Times New Roman" w:cs="Times New Roman"/>
          <w:b/>
          <w:bCs/>
          <w:i w:val="0"/>
          <w:iCs w:val="0"/>
          <w:color w:val="000000" w:themeColor="text1"/>
          <w:sz w:val="20"/>
          <w:szCs w:val="20"/>
        </w:rPr>
        <w:t>4</w:t>
      </w:r>
      <w:r w:rsidRPr="00CC2419">
        <w:rPr>
          <w:rFonts w:ascii="Times New Roman" w:hAnsi="Times New Roman" w:cs="Times New Roman"/>
          <w:b/>
          <w:bCs/>
          <w:i w:val="0"/>
          <w:iCs w:val="0"/>
          <w:color w:val="000000" w:themeColor="text1"/>
          <w:sz w:val="20"/>
          <w:szCs w:val="20"/>
        </w:rPr>
        <w:fldChar w:fldCharType="end"/>
      </w:r>
      <w:r w:rsidRPr="00CC2419">
        <w:rPr>
          <w:rFonts w:ascii="Times New Roman" w:hAnsi="Times New Roman" w:cs="Times New Roman"/>
          <w:b/>
          <w:bCs/>
          <w:i w:val="0"/>
          <w:iCs w:val="0"/>
          <w:color w:val="000000" w:themeColor="text1"/>
          <w:sz w:val="20"/>
          <w:szCs w:val="20"/>
        </w:rPr>
        <w:t>.</w:t>
      </w:r>
      <w:r w:rsidRPr="00CC2419">
        <w:rPr>
          <w:rFonts w:ascii="Times New Roman" w:hAnsi="Times New Roman" w:cs="Times New Roman"/>
          <w:i w:val="0"/>
          <w:iCs w:val="0"/>
          <w:color w:val="000000" w:themeColor="text1"/>
          <w:sz w:val="20"/>
          <w:szCs w:val="20"/>
        </w:rPr>
        <w:t xml:space="preserve"> Full list of </w:t>
      </w:r>
      <w:r w:rsidR="0045657B">
        <w:rPr>
          <w:rFonts w:ascii="Times New Roman" w:hAnsi="Times New Roman" w:cs="Times New Roman"/>
          <w:i w:val="0"/>
          <w:iCs w:val="0"/>
          <w:color w:val="000000" w:themeColor="text1"/>
          <w:sz w:val="20"/>
          <w:szCs w:val="20"/>
        </w:rPr>
        <w:t>community reintegration</w:t>
      </w:r>
      <w:r w:rsidRPr="00CC2419">
        <w:rPr>
          <w:rFonts w:ascii="Times New Roman" w:hAnsi="Times New Roman" w:cs="Times New Roman"/>
          <w:i w:val="0"/>
          <w:iCs w:val="0"/>
          <w:color w:val="000000" w:themeColor="text1"/>
          <w:sz w:val="20"/>
          <w:szCs w:val="20"/>
        </w:rPr>
        <w:t xml:space="preserve"> factors</w:t>
      </w:r>
    </w:p>
    <w:tbl>
      <w:tblPr>
        <w:tblStyle w:val="PlainTable1"/>
        <w:tblW w:w="5000" w:type="pct"/>
        <w:jc w:val="center"/>
        <w:tblLook w:val="04A0" w:firstRow="1" w:lastRow="0" w:firstColumn="1" w:lastColumn="0" w:noHBand="0" w:noVBand="1"/>
      </w:tblPr>
      <w:tblGrid>
        <w:gridCol w:w="369"/>
        <w:gridCol w:w="4198"/>
        <w:gridCol w:w="552"/>
        <w:gridCol w:w="572"/>
        <w:gridCol w:w="426"/>
        <w:gridCol w:w="426"/>
        <w:gridCol w:w="426"/>
        <w:gridCol w:w="559"/>
        <w:gridCol w:w="559"/>
        <w:gridCol w:w="426"/>
        <w:gridCol w:w="426"/>
        <w:gridCol w:w="411"/>
      </w:tblGrid>
      <w:tr w:rsidR="0093605B" w:rsidRPr="00B8610D" w14:paraId="1FEB9092" w14:textId="77777777" w:rsidTr="007C5FDD">
        <w:trPr>
          <w:cnfStyle w:val="100000000000" w:firstRow="1" w:lastRow="0" w:firstColumn="0" w:lastColumn="0" w:oddVBand="0" w:evenVBand="0" w:oddHBand="0" w:evenHBand="0" w:firstRowFirstColumn="0" w:firstRowLastColumn="0" w:lastRowFirstColumn="0" w:lastRowLastColumn="0"/>
          <w:trHeight w:val="202"/>
          <w:tblHeader/>
          <w:jc w:val="center"/>
        </w:trPr>
        <w:tc>
          <w:tcPr>
            <w:cnfStyle w:val="001000000000" w:firstRow="0" w:lastRow="0" w:firstColumn="1" w:lastColumn="0" w:oddVBand="0" w:evenVBand="0" w:oddHBand="0" w:evenHBand="0" w:firstRowFirstColumn="0" w:firstRowLastColumn="0" w:lastRowFirstColumn="0" w:lastRowLastColumn="0"/>
            <w:tcW w:w="2442" w:type="pct"/>
            <w:gridSpan w:val="2"/>
            <w:vMerge w:val="restart"/>
            <w:vAlign w:val="center"/>
          </w:tcPr>
          <w:p w14:paraId="1A39D347" w14:textId="72A3996C" w:rsidR="0093605B" w:rsidRPr="00B8610D" w:rsidRDefault="0093605B" w:rsidP="009C1DDF">
            <w:pPr>
              <w:rPr>
                <w:rFonts w:ascii="Times New Roman" w:hAnsi="Times New Roman" w:cs="Times New Roman"/>
                <w:iCs/>
                <w:sz w:val="16"/>
                <w:szCs w:val="16"/>
              </w:rPr>
            </w:pPr>
            <w:r w:rsidRPr="00B8610D">
              <w:rPr>
                <w:rFonts w:asciiTheme="majorBidi" w:hAnsiTheme="majorBidi" w:cstheme="majorBidi"/>
                <w:iCs/>
                <w:sz w:val="16"/>
                <w:szCs w:val="16"/>
              </w:rPr>
              <w:t xml:space="preserve">Factors associated with </w:t>
            </w:r>
            <w:r w:rsidR="00CA7CB9">
              <w:rPr>
                <w:rFonts w:asciiTheme="majorBidi" w:hAnsiTheme="majorBidi" w:cstheme="majorBidi"/>
                <w:iCs/>
                <w:sz w:val="16"/>
                <w:szCs w:val="16"/>
              </w:rPr>
              <w:t>older adults</w:t>
            </w:r>
            <w:r w:rsidR="00CB7B5F">
              <w:rPr>
                <w:rFonts w:asciiTheme="majorBidi" w:hAnsiTheme="majorBidi" w:cstheme="majorBidi"/>
                <w:iCs/>
                <w:sz w:val="16"/>
                <w:szCs w:val="16"/>
              </w:rPr>
              <w:t>’</w:t>
            </w:r>
            <w:r w:rsidRPr="00B8610D">
              <w:rPr>
                <w:rFonts w:asciiTheme="majorBidi" w:hAnsiTheme="majorBidi" w:cstheme="majorBidi"/>
                <w:iCs/>
                <w:sz w:val="16"/>
                <w:szCs w:val="16"/>
              </w:rPr>
              <w:t xml:space="preserve"> </w:t>
            </w:r>
            <w:r>
              <w:rPr>
                <w:rFonts w:asciiTheme="majorBidi" w:hAnsiTheme="majorBidi" w:cstheme="majorBidi"/>
                <w:iCs/>
                <w:sz w:val="16"/>
                <w:szCs w:val="16"/>
              </w:rPr>
              <w:t>community reintegration transitions</w:t>
            </w:r>
            <w:r w:rsidRPr="00B8610D">
              <w:rPr>
                <w:rFonts w:asciiTheme="majorBidi" w:hAnsiTheme="majorBidi" w:cstheme="majorBidi"/>
                <w:iCs/>
                <w:sz w:val="16"/>
                <w:szCs w:val="16"/>
              </w:rPr>
              <w:t xml:space="preserve"> </w:t>
            </w:r>
          </w:p>
        </w:tc>
        <w:tc>
          <w:tcPr>
            <w:tcW w:w="1284" w:type="pct"/>
            <w:gridSpan w:val="5"/>
            <w:shd w:val="clear" w:color="auto" w:fill="FBE4D5" w:themeFill="accent2" w:themeFillTint="33"/>
            <w:vAlign w:val="center"/>
          </w:tcPr>
          <w:p w14:paraId="376B0623" w14:textId="77777777" w:rsidR="0093605B" w:rsidRPr="00B8610D" w:rsidRDefault="0093605B"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LTC to home care</w:t>
            </w:r>
          </w:p>
        </w:tc>
        <w:tc>
          <w:tcPr>
            <w:tcW w:w="1273" w:type="pct"/>
            <w:gridSpan w:val="5"/>
            <w:shd w:val="clear" w:color="auto" w:fill="FFF2CC" w:themeFill="accent4" w:themeFillTint="33"/>
            <w:vAlign w:val="center"/>
          </w:tcPr>
          <w:p w14:paraId="1FD74129" w14:textId="77777777" w:rsidR="0093605B" w:rsidRPr="00B8610D" w:rsidRDefault="0093605B"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CCC to home care</w:t>
            </w:r>
          </w:p>
        </w:tc>
      </w:tr>
      <w:tr w:rsidR="0093605B" w:rsidRPr="00B8610D" w14:paraId="4DF62697" w14:textId="77777777" w:rsidTr="007C5FDD">
        <w:trPr>
          <w:cnfStyle w:val="100000000000" w:firstRow="1" w:lastRow="0" w:firstColumn="0" w:lastColumn="0" w:oddVBand="0" w:evenVBand="0" w:oddHBand="0" w:evenHBand="0" w:firstRowFirstColumn="0" w:firstRowLastColumn="0" w:lastRowFirstColumn="0" w:lastRowLastColumn="0"/>
          <w:trHeight w:val="202"/>
          <w:tblHeader/>
          <w:jc w:val="center"/>
        </w:trPr>
        <w:tc>
          <w:tcPr>
            <w:cnfStyle w:val="001000000000" w:firstRow="0" w:lastRow="0" w:firstColumn="1" w:lastColumn="0" w:oddVBand="0" w:evenVBand="0" w:oddHBand="0" w:evenHBand="0" w:firstRowFirstColumn="0" w:firstRowLastColumn="0" w:lastRowFirstColumn="0" w:lastRowLastColumn="0"/>
            <w:tcW w:w="2442" w:type="pct"/>
            <w:gridSpan w:val="2"/>
            <w:vMerge/>
            <w:vAlign w:val="center"/>
          </w:tcPr>
          <w:p w14:paraId="2B16003D" w14:textId="77777777" w:rsidR="0093605B" w:rsidRPr="00B8610D" w:rsidRDefault="0093605B" w:rsidP="009C1DDF">
            <w:pPr>
              <w:rPr>
                <w:rFonts w:ascii="Times New Roman" w:hAnsi="Times New Roman" w:cs="Times New Roman"/>
                <w:iCs/>
                <w:sz w:val="16"/>
                <w:szCs w:val="16"/>
              </w:rPr>
            </w:pPr>
          </w:p>
        </w:tc>
        <w:tc>
          <w:tcPr>
            <w:tcW w:w="601" w:type="pct"/>
            <w:gridSpan w:val="2"/>
            <w:shd w:val="clear" w:color="auto" w:fill="FBE4D5" w:themeFill="accent2" w:themeFillTint="33"/>
            <w:vAlign w:val="center"/>
          </w:tcPr>
          <w:p w14:paraId="0613FDC7" w14:textId="77777777" w:rsidR="0093605B" w:rsidRPr="00B8610D" w:rsidRDefault="0093605B"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Quantitative</w:t>
            </w:r>
          </w:p>
        </w:tc>
        <w:tc>
          <w:tcPr>
            <w:tcW w:w="683" w:type="pct"/>
            <w:gridSpan w:val="3"/>
            <w:shd w:val="clear" w:color="auto" w:fill="FBE4D5" w:themeFill="accent2" w:themeFillTint="33"/>
            <w:vAlign w:val="center"/>
          </w:tcPr>
          <w:p w14:paraId="47FB780F" w14:textId="77777777" w:rsidR="0093605B" w:rsidRPr="00B8610D" w:rsidRDefault="0093605B" w:rsidP="009C1DDF">
            <w:pPr>
              <w:ind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Qualitative</w:t>
            </w:r>
          </w:p>
        </w:tc>
        <w:tc>
          <w:tcPr>
            <w:tcW w:w="598" w:type="pct"/>
            <w:gridSpan w:val="2"/>
            <w:shd w:val="clear" w:color="auto" w:fill="FFF2CC" w:themeFill="accent4" w:themeFillTint="33"/>
            <w:vAlign w:val="center"/>
          </w:tcPr>
          <w:p w14:paraId="1539BD34" w14:textId="77777777" w:rsidR="0093605B" w:rsidRPr="00B8610D" w:rsidRDefault="0093605B"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Quantitative</w:t>
            </w:r>
          </w:p>
        </w:tc>
        <w:tc>
          <w:tcPr>
            <w:tcW w:w="675" w:type="pct"/>
            <w:gridSpan w:val="3"/>
            <w:shd w:val="clear" w:color="auto" w:fill="FFF2CC" w:themeFill="accent4" w:themeFillTint="33"/>
            <w:vAlign w:val="center"/>
          </w:tcPr>
          <w:p w14:paraId="631C40FD" w14:textId="77777777" w:rsidR="0093605B" w:rsidRPr="00B8610D" w:rsidRDefault="0093605B" w:rsidP="009C1D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Qualitative</w:t>
            </w:r>
          </w:p>
        </w:tc>
      </w:tr>
      <w:tr w:rsidR="0093605B" w:rsidRPr="00B8610D" w14:paraId="0202ACA4" w14:textId="77777777" w:rsidTr="007C5FDD">
        <w:trPr>
          <w:cnfStyle w:val="100000000000" w:firstRow="1" w:lastRow="0" w:firstColumn="0" w:lastColumn="0" w:oddVBand="0" w:evenVBand="0" w:oddHBand="0" w:evenHBand="0" w:firstRowFirstColumn="0" w:firstRowLastColumn="0" w:lastRowFirstColumn="0" w:lastRowLastColumn="0"/>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2442" w:type="pct"/>
            <w:gridSpan w:val="2"/>
            <w:vMerge/>
            <w:vAlign w:val="center"/>
          </w:tcPr>
          <w:p w14:paraId="77335248" w14:textId="77777777" w:rsidR="0093605B" w:rsidRPr="00B8610D" w:rsidRDefault="0093605B" w:rsidP="009C1DDF">
            <w:pPr>
              <w:rPr>
                <w:rFonts w:ascii="Times New Roman" w:hAnsi="Times New Roman" w:cs="Times New Roman"/>
                <w:iCs/>
                <w:sz w:val="16"/>
                <w:szCs w:val="16"/>
              </w:rPr>
            </w:pPr>
          </w:p>
        </w:tc>
        <w:tc>
          <w:tcPr>
            <w:tcW w:w="295" w:type="pct"/>
            <w:shd w:val="clear" w:color="auto" w:fill="FBE4D5" w:themeFill="accent2" w:themeFillTint="33"/>
            <w:textDirection w:val="btLr"/>
            <w:vAlign w:val="center"/>
          </w:tcPr>
          <w:p w14:paraId="06E895C9"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Positive</w:t>
            </w:r>
          </w:p>
        </w:tc>
        <w:tc>
          <w:tcPr>
            <w:tcW w:w="306" w:type="pct"/>
            <w:shd w:val="clear" w:color="auto" w:fill="FBE4D5" w:themeFill="accent2" w:themeFillTint="33"/>
            <w:textDirection w:val="btLr"/>
            <w:vAlign w:val="center"/>
          </w:tcPr>
          <w:p w14:paraId="23C6FCCA"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Negative</w:t>
            </w:r>
          </w:p>
        </w:tc>
        <w:tc>
          <w:tcPr>
            <w:tcW w:w="228" w:type="pct"/>
            <w:shd w:val="clear" w:color="auto" w:fill="FBE4D5" w:themeFill="accent2" w:themeFillTint="33"/>
            <w:textDirection w:val="btLr"/>
            <w:vAlign w:val="center"/>
          </w:tcPr>
          <w:p w14:paraId="23DC90C6"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 xml:space="preserve">Positive </w:t>
            </w:r>
          </w:p>
        </w:tc>
        <w:tc>
          <w:tcPr>
            <w:tcW w:w="228" w:type="pct"/>
            <w:shd w:val="clear" w:color="auto" w:fill="FBE4D5" w:themeFill="accent2" w:themeFillTint="33"/>
            <w:textDirection w:val="btLr"/>
            <w:vAlign w:val="center"/>
          </w:tcPr>
          <w:p w14:paraId="5FAAC907"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Negative</w:t>
            </w:r>
          </w:p>
        </w:tc>
        <w:tc>
          <w:tcPr>
            <w:tcW w:w="228" w:type="pct"/>
            <w:shd w:val="clear" w:color="auto" w:fill="FBE4D5" w:themeFill="accent2" w:themeFillTint="33"/>
            <w:textDirection w:val="btLr"/>
            <w:vAlign w:val="center"/>
          </w:tcPr>
          <w:p w14:paraId="35EF0E39"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Not specified</w:t>
            </w:r>
          </w:p>
        </w:tc>
        <w:tc>
          <w:tcPr>
            <w:tcW w:w="299" w:type="pct"/>
            <w:shd w:val="clear" w:color="auto" w:fill="FFF2CC" w:themeFill="accent4" w:themeFillTint="33"/>
            <w:textDirection w:val="btLr"/>
            <w:vAlign w:val="center"/>
          </w:tcPr>
          <w:p w14:paraId="2F018423"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Positive</w:t>
            </w:r>
          </w:p>
        </w:tc>
        <w:tc>
          <w:tcPr>
            <w:tcW w:w="299" w:type="pct"/>
            <w:shd w:val="clear" w:color="auto" w:fill="FFF2CC" w:themeFill="accent4" w:themeFillTint="33"/>
            <w:textDirection w:val="btLr"/>
            <w:vAlign w:val="center"/>
          </w:tcPr>
          <w:p w14:paraId="68370DFA"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Negative</w:t>
            </w:r>
          </w:p>
        </w:tc>
        <w:tc>
          <w:tcPr>
            <w:tcW w:w="228" w:type="pct"/>
            <w:shd w:val="clear" w:color="auto" w:fill="FFF2CC" w:themeFill="accent4" w:themeFillTint="33"/>
            <w:textDirection w:val="btLr"/>
            <w:vAlign w:val="center"/>
          </w:tcPr>
          <w:p w14:paraId="232012CD"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Positive</w:t>
            </w:r>
          </w:p>
        </w:tc>
        <w:tc>
          <w:tcPr>
            <w:tcW w:w="228" w:type="pct"/>
            <w:shd w:val="clear" w:color="auto" w:fill="FFF2CC" w:themeFill="accent4" w:themeFillTint="33"/>
            <w:textDirection w:val="btLr"/>
            <w:vAlign w:val="center"/>
          </w:tcPr>
          <w:p w14:paraId="207E1A4A"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Negative</w:t>
            </w:r>
          </w:p>
        </w:tc>
        <w:tc>
          <w:tcPr>
            <w:tcW w:w="220" w:type="pct"/>
            <w:shd w:val="clear" w:color="auto" w:fill="FFF2CC" w:themeFill="accent4" w:themeFillTint="33"/>
            <w:textDirection w:val="btLr"/>
            <w:vAlign w:val="center"/>
          </w:tcPr>
          <w:p w14:paraId="20C35E3A" w14:textId="77777777" w:rsidR="0093605B" w:rsidRPr="00B8610D" w:rsidRDefault="0093605B" w:rsidP="009C1DDF">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sz w:val="16"/>
                <w:szCs w:val="16"/>
              </w:rPr>
            </w:pPr>
            <w:r w:rsidRPr="00B8610D">
              <w:rPr>
                <w:rFonts w:ascii="Times New Roman" w:hAnsi="Times New Roman" w:cs="Times New Roman"/>
                <w:iCs/>
                <w:sz w:val="16"/>
                <w:szCs w:val="16"/>
              </w:rPr>
              <w:t>Not specified</w:t>
            </w:r>
          </w:p>
        </w:tc>
      </w:tr>
      <w:tr w:rsidR="0093605B" w:rsidRPr="00B8610D" w14:paraId="63B6E50C" w14:textId="77777777" w:rsidTr="00E407B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FFFFFF" w:themeFill="background1"/>
            <w:vAlign w:val="center"/>
          </w:tcPr>
          <w:p w14:paraId="3BA5D3B0" w14:textId="77777777" w:rsidR="0093605B" w:rsidRPr="00B8610D" w:rsidRDefault="0093605B" w:rsidP="009C1DDF">
            <w:pPr>
              <w:rPr>
                <w:rFonts w:ascii="Times New Roman" w:hAnsi="Times New Roman" w:cs="Times New Roman"/>
                <w:iCs/>
                <w:sz w:val="16"/>
                <w:szCs w:val="16"/>
              </w:rPr>
            </w:pPr>
            <w:r w:rsidRPr="00B8610D">
              <w:rPr>
                <w:rFonts w:ascii="Times New Roman" w:hAnsi="Times New Roman" w:cs="Times New Roman"/>
                <w:iCs/>
                <w:sz w:val="16"/>
                <w:szCs w:val="16"/>
              </w:rPr>
              <w:t>Socio-demographic characteristics</w:t>
            </w:r>
          </w:p>
        </w:tc>
      </w:tr>
      <w:tr w:rsidR="0093605B" w:rsidRPr="00B8610D" w14:paraId="4E34ABAF"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7A7DF398"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4CF7002F"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Gender (Female)</w:t>
            </w:r>
          </w:p>
        </w:tc>
        <w:tc>
          <w:tcPr>
            <w:tcW w:w="295" w:type="pct"/>
            <w:vAlign w:val="center"/>
          </w:tcPr>
          <w:p w14:paraId="3ACEEF8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306" w:type="pct"/>
            <w:vAlign w:val="center"/>
          </w:tcPr>
          <w:p w14:paraId="2FC8E45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8EBC71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84100F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0CECE23"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68C6D65A"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vAlign w:val="center"/>
          </w:tcPr>
          <w:p w14:paraId="2F1A190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73F15A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A2FA2E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4088767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6FC667D5"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55AB4239"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261862E5"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Gender (male)</w:t>
            </w:r>
          </w:p>
        </w:tc>
        <w:tc>
          <w:tcPr>
            <w:tcW w:w="295" w:type="pct"/>
            <w:shd w:val="clear" w:color="auto" w:fill="auto"/>
            <w:vAlign w:val="center"/>
          </w:tcPr>
          <w:p w14:paraId="1096AB0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7F2C227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B32A01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0349E8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DB334EE"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1F0260A9"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3942F0D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81E197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5C4786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2D4CA0E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B38834A"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298A3803"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369398A4"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Higher median family income     </w:t>
            </w:r>
          </w:p>
        </w:tc>
        <w:tc>
          <w:tcPr>
            <w:tcW w:w="295" w:type="pct"/>
          </w:tcPr>
          <w:p w14:paraId="5753A55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tcPr>
          <w:p w14:paraId="3EFAEBA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3B3002F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3BEFBE7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776B90AE"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749A6A27"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62E75F9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614BF73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3A5778A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48BD8F8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08072B34"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321185C6"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6545D93D"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Housing challenges</w:t>
            </w:r>
          </w:p>
        </w:tc>
        <w:tc>
          <w:tcPr>
            <w:tcW w:w="295" w:type="pct"/>
            <w:shd w:val="clear" w:color="auto" w:fill="auto"/>
            <w:vAlign w:val="center"/>
          </w:tcPr>
          <w:p w14:paraId="43ABF0F8" w14:textId="77777777" w:rsidR="0093605B" w:rsidRPr="00B8610D" w:rsidRDefault="0093605B" w:rsidP="009C1DDF">
            <w:pPr>
              <w:ind w:hanging="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364844F1"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0D89AC2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59DABB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CD1154C"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3C2AD6A8"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5279C0E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3EA178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695D6C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1D5CB13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0053C945"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60E504F9"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4CFCA02B"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Living alone and isolation</w:t>
            </w:r>
          </w:p>
        </w:tc>
        <w:tc>
          <w:tcPr>
            <w:tcW w:w="295" w:type="pct"/>
            <w:vAlign w:val="center"/>
          </w:tcPr>
          <w:p w14:paraId="1299780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249F49D0" w14:textId="7B4C03CE" w:rsidR="0093605B" w:rsidRPr="00B8610D" w:rsidRDefault="00D4288E"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28" w:type="pct"/>
            <w:vAlign w:val="center"/>
          </w:tcPr>
          <w:p w14:paraId="0DDF882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37726F8" w14:textId="036FD558" w:rsidR="0093605B" w:rsidRPr="00B8610D" w:rsidRDefault="00D4288E"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2</w:t>
            </w:r>
          </w:p>
        </w:tc>
        <w:tc>
          <w:tcPr>
            <w:tcW w:w="228" w:type="pct"/>
            <w:vAlign w:val="center"/>
          </w:tcPr>
          <w:p w14:paraId="1D1EDA07"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439F0187"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460A80B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228" w:type="pct"/>
            <w:vAlign w:val="center"/>
          </w:tcPr>
          <w:p w14:paraId="1BF8E32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62FB7A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5FA60D2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40AD9D9A" w14:textId="77777777" w:rsidTr="00EC5A37">
        <w:trPr>
          <w:cnfStyle w:val="000000100000" w:firstRow="0" w:lastRow="0" w:firstColumn="0" w:lastColumn="0" w:oddVBand="0" w:evenVBand="0" w:oddHBand="1" w:evenHBand="0" w:firstRowFirstColumn="0" w:firstRowLastColumn="0" w:lastRowFirstColumn="0" w:lastRowLastColumn="0"/>
          <w:cantSplit/>
          <w:trHeight w:val="71"/>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295D1AB5"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73D665E6"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Married</w:t>
            </w:r>
          </w:p>
        </w:tc>
        <w:tc>
          <w:tcPr>
            <w:tcW w:w="295" w:type="pct"/>
            <w:shd w:val="clear" w:color="auto" w:fill="auto"/>
            <w:vAlign w:val="center"/>
          </w:tcPr>
          <w:p w14:paraId="0310101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1A46B6D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5E170E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4B56F7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F81F362"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4762D78F"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shd w:val="clear" w:color="auto" w:fill="auto"/>
            <w:vAlign w:val="center"/>
          </w:tcPr>
          <w:p w14:paraId="35F4647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BBDEE3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0685912" w14:textId="77777777" w:rsidR="0093605B" w:rsidRPr="00B8610D" w:rsidRDefault="0093605B" w:rsidP="009C1DDF">
            <w:pPr>
              <w:ind w:left="-20" w:right="9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7E2DDE1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0D679BCC"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710286BD"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08F7E6CB"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Race (non-white and Hispanic ethnicity)</w:t>
            </w:r>
          </w:p>
        </w:tc>
        <w:tc>
          <w:tcPr>
            <w:tcW w:w="295" w:type="pct"/>
            <w:vAlign w:val="center"/>
          </w:tcPr>
          <w:p w14:paraId="295D9D0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306" w:type="pct"/>
            <w:vAlign w:val="center"/>
          </w:tcPr>
          <w:p w14:paraId="075E515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8624B3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DED79E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A6AF188"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13C0BB10"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vAlign w:val="center"/>
          </w:tcPr>
          <w:p w14:paraId="63D5015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DA07C9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10D8392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5215123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4370F6B6"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5AD0AB36"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1245291C"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Older age</w:t>
            </w:r>
          </w:p>
        </w:tc>
        <w:tc>
          <w:tcPr>
            <w:tcW w:w="295" w:type="pct"/>
            <w:shd w:val="clear" w:color="auto" w:fill="auto"/>
          </w:tcPr>
          <w:p w14:paraId="0246DFA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tcPr>
          <w:p w14:paraId="73FDEFC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4</w:t>
            </w:r>
          </w:p>
        </w:tc>
        <w:tc>
          <w:tcPr>
            <w:tcW w:w="228" w:type="pct"/>
            <w:shd w:val="clear" w:color="auto" w:fill="auto"/>
          </w:tcPr>
          <w:p w14:paraId="6FE4089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1A2AB09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2C691E9"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46D882CB"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7B1E75F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228" w:type="pct"/>
            <w:shd w:val="clear" w:color="auto" w:fill="auto"/>
          </w:tcPr>
          <w:p w14:paraId="5AA17FB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00AD85C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1BF28F5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48B6A5E0"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5FB572C1"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4F0034F9"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Support systems/larger household</w:t>
            </w:r>
          </w:p>
        </w:tc>
        <w:tc>
          <w:tcPr>
            <w:tcW w:w="295" w:type="pct"/>
          </w:tcPr>
          <w:p w14:paraId="55FD0CA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306" w:type="pct"/>
          </w:tcPr>
          <w:p w14:paraId="67DB0E2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59B9C8F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475EFEA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225B0CA1"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1A00416D"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299" w:type="pct"/>
          </w:tcPr>
          <w:p w14:paraId="16DAAA4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5DC2F15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AB122A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188BDD5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47394A26"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22064B5B"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6685B8C0"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Unmarried</w:t>
            </w:r>
          </w:p>
        </w:tc>
        <w:tc>
          <w:tcPr>
            <w:tcW w:w="295" w:type="pct"/>
            <w:shd w:val="clear" w:color="auto" w:fill="auto"/>
          </w:tcPr>
          <w:p w14:paraId="330D7DA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tcPr>
          <w:p w14:paraId="279A830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tcPr>
          <w:p w14:paraId="6DA26E9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0B78E9F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38B4D6F1"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0CA69B18"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6E989C6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6FB49CC4" w14:textId="1A895990" w:rsidR="0093605B" w:rsidRPr="00B8610D" w:rsidRDefault="008B6A3E"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28" w:type="pct"/>
            <w:shd w:val="clear" w:color="auto" w:fill="auto"/>
          </w:tcPr>
          <w:p w14:paraId="7EEEEF8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2F6816A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3E8FEC59"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7BDE72F6"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1FED3B6F"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Younger age</w:t>
            </w:r>
          </w:p>
        </w:tc>
        <w:tc>
          <w:tcPr>
            <w:tcW w:w="295" w:type="pct"/>
            <w:vAlign w:val="center"/>
          </w:tcPr>
          <w:p w14:paraId="6B0DD2B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306" w:type="pct"/>
            <w:vAlign w:val="center"/>
          </w:tcPr>
          <w:p w14:paraId="0C5A661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030B5A8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59B815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9BCEFB3"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00446665" w14:textId="50F7134D" w:rsidR="0093605B" w:rsidRPr="00B8610D" w:rsidRDefault="008B6A3E"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99" w:type="pct"/>
            <w:vAlign w:val="center"/>
          </w:tcPr>
          <w:p w14:paraId="5B18E54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521355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608B46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56FCE2A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47D4099C" w14:textId="77777777" w:rsidTr="00E407B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FFFFFF" w:themeFill="background1"/>
            <w:vAlign w:val="center"/>
          </w:tcPr>
          <w:p w14:paraId="326AD758" w14:textId="77777777" w:rsidR="0093605B" w:rsidRPr="00B8610D" w:rsidRDefault="0093605B" w:rsidP="009C1DDF">
            <w:pPr>
              <w:rPr>
                <w:rFonts w:ascii="Times New Roman" w:hAnsi="Times New Roman" w:cs="Times New Roman"/>
                <w:iCs/>
                <w:sz w:val="16"/>
                <w:szCs w:val="16"/>
              </w:rPr>
            </w:pPr>
            <w:r w:rsidRPr="00B8610D">
              <w:rPr>
                <w:rFonts w:ascii="Times New Roman" w:hAnsi="Times New Roman" w:cs="Times New Roman"/>
                <w:iCs/>
                <w:sz w:val="16"/>
                <w:szCs w:val="16"/>
              </w:rPr>
              <w:t>Caregiver support</w:t>
            </w:r>
          </w:p>
        </w:tc>
      </w:tr>
      <w:tr w:rsidR="0093605B" w:rsidRPr="00B8610D" w14:paraId="6BBBD60F"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2C8179D1"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7E2B2016"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Caregiver availability          </w:t>
            </w:r>
          </w:p>
        </w:tc>
        <w:tc>
          <w:tcPr>
            <w:tcW w:w="295" w:type="pct"/>
            <w:vAlign w:val="center"/>
          </w:tcPr>
          <w:p w14:paraId="577AF20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22A441D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27E0D7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08D7C24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8453080"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7162915D" w14:textId="1D8851AE" w:rsidR="0093605B" w:rsidRPr="00B8610D" w:rsidRDefault="003A1122"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99" w:type="pct"/>
            <w:vAlign w:val="center"/>
          </w:tcPr>
          <w:p w14:paraId="6D6F881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AC46BA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0C63311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545F6BE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2788626"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200FE66D"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1D07A982"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Caregiver burden               </w:t>
            </w:r>
          </w:p>
        </w:tc>
        <w:tc>
          <w:tcPr>
            <w:tcW w:w="295" w:type="pct"/>
            <w:shd w:val="clear" w:color="auto" w:fill="auto"/>
          </w:tcPr>
          <w:p w14:paraId="49FEA5C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tcPr>
          <w:p w14:paraId="4929F2E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695818D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3BE3EF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tcPr>
          <w:p w14:paraId="64831094"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131FDF1A"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48BE9A0C" w14:textId="3AF43FAC" w:rsidR="0093605B" w:rsidRPr="00B8610D" w:rsidRDefault="00AC486A"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28" w:type="pct"/>
            <w:shd w:val="clear" w:color="auto" w:fill="auto"/>
          </w:tcPr>
          <w:p w14:paraId="5328A1A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58CDDDE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6CC6D22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0BB69E94"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04BF15FB"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31BAFE2C"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Family/unpaid caregiver issues  </w:t>
            </w:r>
          </w:p>
        </w:tc>
        <w:tc>
          <w:tcPr>
            <w:tcW w:w="295" w:type="pct"/>
          </w:tcPr>
          <w:p w14:paraId="6DB5BC7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tcPr>
          <w:p w14:paraId="700C234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tcPr>
          <w:p w14:paraId="1CB34DC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25BB175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57C4FB6"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5D0AB56F"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7EDF45A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567F175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64AE529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0EA2843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65507FD5"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77EE4584"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0AEDCA2C"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Insufficient support            </w:t>
            </w:r>
          </w:p>
        </w:tc>
        <w:tc>
          <w:tcPr>
            <w:tcW w:w="295" w:type="pct"/>
            <w:shd w:val="clear" w:color="auto" w:fill="auto"/>
          </w:tcPr>
          <w:p w14:paraId="5F71BF2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tcPr>
          <w:p w14:paraId="29BEBB0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15197AB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0D85BEC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228" w:type="pct"/>
            <w:shd w:val="clear" w:color="auto" w:fill="auto"/>
          </w:tcPr>
          <w:p w14:paraId="5EF3F11D"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4F75E12B"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784BFD3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163E3BF1"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6C8E43E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28D0977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CDC7155"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5C44FE05"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5DD1F861"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Strong care partner support     </w:t>
            </w:r>
          </w:p>
        </w:tc>
        <w:tc>
          <w:tcPr>
            <w:tcW w:w="295" w:type="pct"/>
          </w:tcPr>
          <w:p w14:paraId="5B32970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tcPr>
          <w:p w14:paraId="3ED8AFB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9D93CC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tcPr>
          <w:p w14:paraId="3DFE1EA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58E9A2A9"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161212A0"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4E6146D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04E6665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5F1DE9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7AF53AC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AB03687"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1FF494BC"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04FAB562" w14:textId="204131AA" w:rsidR="0093605B" w:rsidRPr="00B8610D" w:rsidRDefault="00EC5A37"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Supporting</w:t>
            </w:r>
            <w:r w:rsidR="0093605B" w:rsidRPr="00B8610D">
              <w:rPr>
                <w:rFonts w:ascii="Times New Roman" w:hAnsi="Times New Roman" w:cs="Times New Roman"/>
                <w:iCs/>
                <w:sz w:val="16"/>
                <w:szCs w:val="16"/>
              </w:rPr>
              <w:t xml:space="preserve"> person positive attitude</w:t>
            </w:r>
          </w:p>
        </w:tc>
        <w:tc>
          <w:tcPr>
            <w:tcW w:w="295" w:type="pct"/>
            <w:shd w:val="clear" w:color="auto" w:fill="auto"/>
          </w:tcPr>
          <w:p w14:paraId="210D363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tcPr>
          <w:p w14:paraId="12E585A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0A44BE1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0A3E611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161E6653"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27484AE1"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shd w:val="clear" w:color="auto" w:fill="auto"/>
          </w:tcPr>
          <w:p w14:paraId="1B6D739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50F7C67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4C84901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14981D7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434F91B3" w14:textId="77777777" w:rsidTr="00E407BF">
        <w:trPr>
          <w:trHeight w:val="202"/>
          <w:jc w:val="center"/>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FFFFFF" w:themeFill="background1"/>
            <w:vAlign w:val="center"/>
          </w:tcPr>
          <w:p w14:paraId="4528A505" w14:textId="77777777" w:rsidR="0093605B" w:rsidRPr="00B8610D" w:rsidRDefault="0093605B" w:rsidP="009C1DDF">
            <w:pPr>
              <w:ind w:left="-72" w:right="-50"/>
              <w:rPr>
                <w:rFonts w:ascii="Times New Roman" w:hAnsi="Times New Roman" w:cs="Times New Roman"/>
                <w:iCs/>
                <w:sz w:val="16"/>
                <w:szCs w:val="16"/>
              </w:rPr>
            </w:pPr>
            <w:r w:rsidRPr="00B8610D">
              <w:rPr>
                <w:rFonts w:ascii="Times New Roman" w:hAnsi="Times New Roman" w:cs="Times New Roman"/>
                <w:iCs/>
                <w:sz w:val="16"/>
                <w:szCs w:val="16"/>
              </w:rPr>
              <w:t xml:space="preserve">  Health conditions</w:t>
            </w:r>
          </w:p>
        </w:tc>
      </w:tr>
      <w:tr w:rsidR="00EC5A37" w:rsidRPr="00B8610D" w14:paraId="285CEE39" w14:textId="77777777" w:rsidTr="00301C70">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656342CE" w14:textId="77777777" w:rsidR="00EC5A37" w:rsidRPr="00B8610D" w:rsidRDefault="00EC5A37" w:rsidP="00EC5A37">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2C06CD20" w14:textId="2F6D814E" w:rsidR="00EC5A37" w:rsidRPr="00B8610D" w:rsidRDefault="00EC5A37" w:rsidP="00EC5A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ADL dependencies              </w:t>
            </w:r>
          </w:p>
        </w:tc>
        <w:tc>
          <w:tcPr>
            <w:tcW w:w="295" w:type="pct"/>
            <w:shd w:val="clear" w:color="auto" w:fill="auto"/>
            <w:vAlign w:val="center"/>
          </w:tcPr>
          <w:p w14:paraId="1BF81ADF" w14:textId="17065798"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182B931D" w14:textId="695B15EB" w:rsidR="00EC5A37" w:rsidRPr="00B8610D" w:rsidRDefault="00EC5A37" w:rsidP="00EC5A37">
            <w:pPr>
              <w:ind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228" w:type="pct"/>
            <w:shd w:val="clear" w:color="auto" w:fill="auto"/>
            <w:vAlign w:val="center"/>
          </w:tcPr>
          <w:p w14:paraId="5AB7788E" w14:textId="6664BEF2"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B98C231" w14:textId="41FE3D4E"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E5EAD24" w14:textId="5182A8AF" w:rsidR="00EC5A37" w:rsidRPr="00B8610D" w:rsidRDefault="00EC5A37" w:rsidP="00EC5A37">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512501AA" w14:textId="1C8E2921" w:rsidR="00EC5A37" w:rsidRPr="00B8610D" w:rsidRDefault="00EC5A37" w:rsidP="00EC5A37">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13BDAA75" w14:textId="14CC8B84"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4</w:t>
            </w:r>
          </w:p>
        </w:tc>
        <w:tc>
          <w:tcPr>
            <w:tcW w:w="228" w:type="pct"/>
            <w:shd w:val="clear" w:color="auto" w:fill="auto"/>
            <w:vAlign w:val="center"/>
          </w:tcPr>
          <w:p w14:paraId="6E40F9DB" w14:textId="06110718"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DBE3EF8" w14:textId="5649E9C7"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1682860A" w14:textId="6C9A4AC3"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EB97A45"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5E95548B"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21D95481"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Better health/medical stability</w:t>
            </w:r>
          </w:p>
        </w:tc>
        <w:tc>
          <w:tcPr>
            <w:tcW w:w="295" w:type="pct"/>
          </w:tcPr>
          <w:p w14:paraId="298BA3F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tcPr>
          <w:p w14:paraId="6D1D2E8A" w14:textId="77777777" w:rsidR="0093605B" w:rsidRPr="00B8610D" w:rsidRDefault="0093605B" w:rsidP="009C1DDF">
            <w:pPr>
              <w:ind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38F43B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tcPr>
          <w:p w14:paraId="7A26A12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3701E3F6"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5E93193A"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4C3B9D2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2608241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215DD1D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2748CBA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5D7B6B15" w14:textId="77777777" w:rsidTr="00EC5A37">
        <w:trPr>
          <w:cnfStyle w:val="000000100000" w:firstRow="0" w:lastRow="0" w:firstColumn="0" w:lastColumn="0" w:oddVBand="0" w:evenVBand="0" w:oddHBand="1" w:evenHBand="0" w:firstRowFirstColumn="0" w:firstRowLastColumn="0" w:lastRowFirstColumn="0" w:lastRowLastColumn="0"/>
          <w:cantSplit/>
          <w:trHeight w:val="223"/>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0BE39B6B" w14:textId="77777777" w:rsidR="00EC5A37" w:rsidRPr="00B8610D" w:rsidRDefault="00EC5A37" w:rsidP="00EC5A37">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35CE1AA2" w14:textId="2E41AC6C" w:rsidR="00EC5A37" w:rsidRPr="00B8610D" w:rsidRDefault="00EC5A37" w:rsidP="00EC5A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Behavioral challenges          </w:t>
            </w:r>
          </w:p>
        </w:tc>
        <w:tc>
          <w:tcPr>
            <w:tcW w:w="295" w:type="pct"/>
            <w:shd w:val="clear" w:color="auto" w:fill="auto"/>
            <w:vAlign w:val="center"/>
          </w:tcPr>
          <w:p w14:paraId="3EE08C9F" w14:textId="2880702C"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477F8C73" w14:textId="625BFFA8"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228" w:type="pct"/>
            <w:shd w:val="clear" w:color="auto" w:fill="auto"/>
            <w:vAlign w:val="center"/>
          </w:tcPr>
          <w:p w14:paraId="033BE5B5" w14:textId="7E6BA84B"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BE800A2" w14:textId="03244467" w:rsidR="00EC5A37" w:rsidRPr="00B8610D" w:rsidRDefault="00EC5A37" w:rsidP="00EC5A37">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E6D2350" w14:textId="2160E056" w:rsidR="00EC5A37" w:rsidRPr="00B8610D" w:rsidRDefault="00EC5A37" w:rsidP="00EC5A37">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3BF0AA73" w14:textId="1C8B1093" w:rsidR="00EC5A37" w:rsidRPr="00B8610D" w:rsidRDefault="00EC5A37" w:rsidP="00EC5A37">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1AC7D752" w14:textId="1E078CE7"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F9C1A96" w14:textId="22B547EC"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2B4D65E" w14:textId="1F94DF96"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0E90A0F4" w14:textId="2D522F79" w:rsidR="00EC5A37" w:rsidRPr="00B8610D" w:rsidRDefault="00EC5A37" w:rsidP="00EC5A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0A82060" w14:textId="77777777" w:rsidTr="00EC5A37">
        <w:trPr>
          <w:cantSplit/>
          <w:trHeight w:val="223"/>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222E6C04"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69F2A686" w14:textId="5947B926"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Cognitive impairment </w:t>
            </w:r>
            <w:r w:rsidR="00987FD3">
              <w:rPr>
                <w:rFonts w:ascii="Times New Roman" w:hAnsi="Times New Roman" w:cs="Times New Roman"/>
                <w:iCs/>
                <w:sz w:val="16"/>
                <w:szCs w:val="16"/>
              </w:rPr>
              <w:t>(</w:t>
            </w:r>
            <w:r w:rsidR="007C5FDD">
              <w:rPr>
                <w:rFonts w:ascii="Times New Roman" w:hAnsi="Times New Roman" w:cs="Times New Roman"/>
                <w:iCs/>
                <w:sz w:val="16"/>
                <w:szCs w:val="16"/>
              </w:rPr>
              <w:t>including</w:t>
            </w:r>
            <w:r w:rsidR="00987FD3">
              <w:rPr>
                <w:rFonts w:ascii="Times New Roman" w:hAnsi="Times New Roman" w:cs="Times New Roman"/>
                <w:iCs/>
                <w:sz w:val="16"/>
                <w:szCs w:val="16"/>
              </w:rPr>
              <w:t xml:space="preserve"> </w:t>
            </w:r>
            <w:r w:rsidR="00E738F4">
              <w:rPr>
                <w:rFonts w:ascii="Times New Roman" w:hAnsi="Times New Roman" w:cs="Times New Roman"/>
                <w:iCs/>
                <w:sz w:val="16"/>
                <w:szCs w:val="16"/>
              </w:rPr>
              <w:t>Dementia)</w:t>
            </w:r>
            <w:r w:rsidR="00E738F4" w:rsidRPr="00B8610D">
              <w:rPr>
                <w:rFonts w:ascii="Times New Roman" w:hAnsi="Times New Roman" w:cs="Times New Roman"/>
                <w:iCs/>
                <w:sz w:val="16"/>
                <w:szCs w:val="16"/>
              </w:rPr>
              <w:t xml:space="preserve">  </w:t>
            </w:r>
            <w:r w:rsidRPr="00B8610D">
              <w:rPr>
                <w:rFonts w:ascii="Times New Roman" w:hAnsi="Times New Roman" w:cs="Times New Roman"/>
                <w:iCs/>
                <w:sz w:val="16"/>
                <w:szCs w:val="16"/>
              </w:rPr>
              <w:t xml:space="preserve">   </w:t>
            </w:r>
          </w:p>
        </w:tc>
        <w:tc>
          <w:tcPr>
            <w:tcW w:w="295" w:type="pct"/>
            <w:vAlign w:val="center"/>
          </w:tcPr>
          <w:p w14:paraId="1CEB510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0A91288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7</w:t>
            </w:r>
          </w:p>
        </w:tc>
        <w:tc>
          <w:tcPr>
            <w:tcW w:w="228" w:type="pct"/>
            <w:vAlign w:val="center"/>
          </w:tcPr>
          <w:p w14:paraId="7DCD985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35A29C1"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4500BD89"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4874043D"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25D37F5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228" w:type="pct"/>
            <w:vAlign w:val="center"/>
          </w:tcPr>
          <w:p w14:paraId="3DC8E4A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EF8AF6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0" w:type="pct"/>
            <w:vAlign w:val="center"/>
          </w:tcPr>
          <w:p w14:paraId="056E39B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E03F248" w14:textId="77777777" w:rsidTr="00EC5A37">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7CEF0459"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7886C5BC"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EC5A37">
              <w:rPr>
                <w:rFonts w:ascii="Times New Roman" w:hAnsi="Times New Roman" w:cs="Times New Roman"/>
                <w:iCs/>
                <w:sz w:val="16"/>
                <w:szCs w:val="16"/>
              </w:rPr>
              <w:t xml:space="preserve">Continence     </w:t>
            </w:r>
            <w:r w:rsidRPr="00B8610D">
              <w:rPr>
                <w:rFonts w:ascii="Times New Roman" w:hAnsi="Times New Roman" w:cs="Times New Roman"/>
                <w:iCs/>
                <w:sz w:val="16"/>
                <w:szCs w:val="16"/>
                <w:shd w:val="clear" w:color="auto" w:fill="E2EFD9" w:themeFill="accent6" w:themeFillTint="33"/>
              </w:rPr>
              <w:t xml:space="preserve">     </w:t>
            </w:r>
            <w:r w:rsidRPr="00B8610D">
              <w:rPr>
                <w:rFonts w:ascii="Times New Roman" w:hAnsi="Times New Roman" w:cs="Times New Roman"/>
                <w:iCs/>
                <w:sz w:val="16"/>
                <w:szCs w:val="16"/>
              </w:rPr>
              <w:t xml:space="preserve">         </w:t>
            </w:r>
          </w:p>
        </w:tc>
        <w:tc>
          <w:tcPr>
            <w:tcW w:w="295" w:type="pct"/>
            <w:shd w:val="clear" w:color="auto" w:fill="auto"/>
            <w:vAlign w:val="center"/>
          </w:tcPr>
          <w:p w14:paraId="655CC3C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306" w:type="pct"/>
            <w:shd w:val="clear" w:color="auto" w:fill="auto"/>
            <w:vAlign w:val="center"/>
          </w:tcPr>
          <w:p w14:paraId="32D01E6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52A750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8D9AA05"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15C7F78"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64930FF5"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78D8236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16D270B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23A2D8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2CF0D40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4155B0FF" w14:textId="77777777" w:rsidTr="00EC5A37">
        <w:trPr>
          <w:trHeight w:val="260"/>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08F7A281" w14:textId="77777777" w:rsidR="00EC5A37" w:rsidRPr="00B8610D" w:rsidRDefault="00EC5A37" w:rsidP="00EC5A37">
            <w:pPr>
              <w:pStyle w:val="ListParagraph"/>
              <w:numPr>
                <w:ilvl w:val="0"/>
                <w:numId w:val="1"/>
              </w:numPr>
              <w:jc w:val="center"/>
              <w:rPr>
                <w:rFonts w:ascii="Times New Roman" w:hAnsi="Times New Roman" w:cs="Times New Roman"/>
                <w:iCs/>
                <w:sz w:val="16"/>
                <w:szCs w:val="16"/>
              </w:rPr>
            </w:pPr>
          </w:p>
        </w:tc>
        <w:tc>
          <w:tcPr>
            <w:tcW w:w="2245" w:type="pct"/>
            <w:vAlign w:val="center"/>
          </w:tcPr>
          <w:p w14:paraId="1F21DAD9" w14:textId="14689FCC" w:rsidR="00EC5A37" w:rsidRPr="00B8610D" w:rsidRDefault="00EC5A37" w:rsidP="00EC5A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Depression/anxiety</w:t>
            </w:r>
          </w:p>
        </w:tc>
        <w:tc>
          <w:tcPr>
            <w:tcW w:w="295" w:type="pct"/>
            <w:vAlign w:val="center"/>
          </w:tcPr>
          <w:p w14:paraId="70D58235" w14:textId="0CC7231D" w:rsidR="00EC5A37" w:rsidRPr="00B8610D" w:rsidRDefault="00EC5A37" w:rsidP="00EC5A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49F1211E" w14:textId="0000D9BC" w:rsidR="00EC5A37" w:rsidRPr="00B8610D" w:rsidRDefault="00EC5A37" w:rsidP="00EC5A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 </w:t>
            </w:r>
            <w:r w:rsidR="00E5081C">
              <w:rPr>
                <w:rFonts w:ascii="Times New Roman" w:hAnsi="Times New Roman" w:cs="Times New Roman"/>
                <w:iCs/>
                <w:sz w:val="16"/>
                <w:szCs w:val="16"/>
              </w:rPr>
              <w:t>4</w:t>
            </w:r>
          </w:p>
        </w:tc>
        <w:tc>
          <w:tcPr>
            <w:tcW w:w="228" w:type="pct"/>
            <w:vAlign w:val="center"/>
          </w:tcPr>
          <w:p w14:paraId="42904B19" w14:textId="22B975F2" w:rsidR="00EC5A37" w:rsidRPr="00B8610D" w:rsidRDefault="00EC5A37" w:rsidP="00EC5A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49DD7B3" w14:textId="3FEE7E4F" w:rsidR="00EC5A37" w:rsidRPr="00B8610D" w:rsidRDefault="00EC5A37" w:rsidP="00EC5A37">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2668AACC" w14:textId="3B707BC9" w:rsidR="00EC5A37" w:rsidRPr="00B8610D" w:rsidRDefault="00EC5A37" w:rsidP="00EC5A37">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186D1380" w14:textId="654994C0" w:rsidR="00EC5A37" w:rsidRPr="00B8610D" w:rsidRDefault="00EC5A37" w:rsidP="00EC5A37">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2B91E29A" w14:textId="52DC7592" w:rsidR="00EC5A37" w:rsidRPr="00B8610D" w:rsidRDefault="00EC5A37" w:rsidP="00EC5A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16AF0444" w14:textId="6E974A7D" w:rsidR="00EC5A37" w:rsidRPr="00B8610D" w:rsidRDefault="00EC5A37" w:rsidP="00EC5A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34361C5" w14:textId="3D117F31" w:rsidR="00EC5A37" w:rsidRPr="00B8610D" w:rsidRDefault="00EC5A37" w:rsidP="00EC5A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0" w:type="pct"/>
            <w:vAlign w:val="center"/>
          </w:tcPr>
          <w:p w14:paraId="5B0A9DD4" w14:textId="63495649" w:rsidR="00EC5A37" w:rsidRPr="00B8610D" w:rsidRDefault="00EC5A37" w:rsidP="00EC5A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056BD075"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66A68D52"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1E886253"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Functional Independence</w:t>
            </w:r>
          </w:p>
        </w:tc>
        <w:tc>
          <w:tcPr>
            <w:tcW w:w="295" w:type="pct"/>
            <w:shd w:val="clear" w:color="auto" w:fill="auto"/>
            <w:vAlign w:val="center"/>
          </w:tcPr>
          <w:p w14:paraId="7130D45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306" w:type="pct"/>
            <w:shd w:val="clear" w:color="auto" w:fill="auto"/>
            <w:vAlign w:val="center"/>
          </w:tcPr>
          <w:p w14:paraId="794E93F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68FA23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F4F8520"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8B318B6"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59C7A9CD"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shd w:val="clear" w:color="auto" w:fill="auto"/>
            <w:vAlign w:val="center"/>
          </w:tcPr>
          <w:p w14:paraId="5BC9F35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D89309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319DE7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5278F56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34AB6164"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1428D007"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7CC166DE"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Greater comorbidities (the Charlson Comorbidity Index)</w:t>
            </w:r>
          </w:p>
        </w:tc>
        <w:tc>
          <w:tcPr>
            <w:tcW w:w="295" w:type="pct"/>
            <w:vAlign w:val="center"/>
          </w:tcPr>
          <w:p w14:paraId="22945A0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304F3A8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A85216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05FA738"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09EBC4D"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24AAAF37"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4310914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228" w:type="pct"/>
            <w:vAlign w:val="center"/>
          </w:tcPr>
          <w:p w14:paraId="6DA1D80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4EAA90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6963CC8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48417496"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2DC41232"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55FACBF9"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Having had a hip fracture</w:t>
            </w:r>
          </w:p>
        </w:tc>
        <w:tc>
          <w:tcPr>
            <w:tcW w:w="295" w:type="pct"/>
            <w:shd w:val="clear" w:color="auto" w:fill="auto"/>
            <w:vAlign w:val="center"/>
          </w:tcPr>
          <w:p w14:paraId="116FF80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0F8C20C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DD3520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EFDE207"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CD5156F"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45A43CEF"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48C26F2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62FB65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F73DD4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2AFD08A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74C68426"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122285BF"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5171AF67"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Mobility status              </w:t>
            </w:r>
          </w:p>
        </w:tc>
        <w:tc>
          <w:tcPr>
            <w:tcW w:w="295" w:type="pct"/>
          </w:tcPr>
          <w:p w14:paraId="1162D30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tcPr>
          <w:p w14:paraId="1747118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C79562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75EA8FF2"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42A13432"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3D5C309D"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tcPr>
          <w:p w14:paraId="14C1D7B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tcPr>
          <w:p w14:paraId="6B7C874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235E90C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7DE5D26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386C8B7B"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7EC89D03"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713C7BFD"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No Active cardiac pathology</w:t>
            </w:r>
          </w:p>
        </w:tc>
        <w:tc>
          <w:tcPr>
            <w:tcW w:w="295" w:type="pct"/>
            <w:shd w:val="clear" w:color="auto" w:fill="auto"/>
            <w:vAlign w:val="center"/>
          </w:tcPr>
          <w:p w14:paraId="386D9B8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5FF3BB2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45F4A0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6A7518B"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BF03663"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1963353B"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shd w:val="clear" w:color="auto" w:fill="auto"/>
            <w:vAlign w:val="center"/>
          </w:tcPr>
          <w:p w14:paraId="0DFDD3E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DB80D7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8E9EE1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4160C4D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345B6396"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2C9379EE"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30B97B8D"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Physical health challenges     </w:t>
            </w:r>
          </w:p>
        </w:tc>
        <w:tc>
          <w:tcPr>
            <w:tcW w:w="295" w:type="pct"/>
            <w:vAlign w:val="center"/>
          </w:tcPr>
          <w:p w14:paraId="56C58CC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73B60C0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228" w:type="pct"/>
            <w:vAlign w:val="center"/>
          </w:tcPr>
          <w:p w14:paraId="29F9283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6878EC8"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297D643A"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4A7AC92E"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6384C7D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228" w:type="pct"/>
            <w:vAlign w:val="center"/>
          </w:tcPr>
          <w:p w14:paraId="77F2A28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251C35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05C0111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F760A20"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5FA02F3D"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1F412622"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Relatively better health (not being in the end stages of a disease and no heart failure diagnosis)</w:t>
            </w:r>
          </w:p>
        </w:tc>
        <w:tc>
          <w:tcPr>
            <w:tcW w:w="295" w:type="pct"/>
            <w:shd w:val="clear" w:color="auto" w:fill="auto"/>
            <w:vAlign w:val="center"/>
          </w:tcPr>
          <w:p w14:paraId="21609A3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3</w:t>
            </w:r>
          </w:p>
        </w:tc>
        <w:tc>
          <w:tcPr>
            <w:tcW w:w="306" w:type="pct"/>
            <w:shd w:val="clear" w:color="auto" w:fill="auto"/>
            <w:vAlign w:val="center"/>
          </w:tcPr>
          <w:p w14:paraId="12088B0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CCAE9C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3F776DC1"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3BA65B2"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00DC3CAD"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1C10789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EEFE89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4BBC29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0225CEA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0CC008BB"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6E6F5A92"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40F28801"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Substance use</w:t>
            </w:r>
          </w:p>
        </w:tc>
        <w:tc>
          <w:tcPr>
            <w:tcW w:w="295" w:type="pct"/>
            <w:vAlign w:val="center"/>
          </w:tcPr>
          <w:p w14:paraId="335856A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5F01C2D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19BF74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76A952B"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0EE970CF"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2C99750A"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162BD12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A04B5A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1BA207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2C7B2ED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7457DD2D"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55102C43"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687EE3EC" w14:textId="2318AD53"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The resident</w:t>
            </w:r>
            <w:r w:rsidR="00CB7B5F">
              <w:rPr>
                <w:rFonts w:ascii="Times New Roman" w:hAnsi="Times New Roman" w:cs="Times New Roman"/>
                <w:iCs/>
                <w:sz w:val="16"/>
                <w:szCs w:val="16"/>
              </w:rPr>
              <w:t>’</w:t>
            </w:r>
            <w:r w:rsidRPr="00B8610D">
              <w:rPr>
                <w:rFonts w:ascii="Times New Roman" w:hAnsi="Times New Roman" w:cs="Times New Roman"/>
                <w:iCs/>
                <w:sz w:val="16"/>
                <w:szCs w:val="16"/>
              </w:rPr>
              <w:t>s Return to Community Initiative</w:t>
            </w:r>
            <w:r w:rsidR="00CB7B5F">
              <w:rPr>
                <w:rFonts w:ascii="Times New Roman" w:hAnsi="Times New Roman" w:cs="Times New Roman"/>
                <w:iCs/>
                <w:sz w:val="16"/>
                <w:szCs w:val="16"/>
              </w:rPr>
              <w:t>’</w:t>
            </w:r>
            <w:r w:rsidRPr="00B8610D">
              <w:rPr>
                <w:rFonts w:ascii="Times New Roman" w:hAnsi="Times New Roman" w:cs="Times New Roman"/>
                <w:iCs/>
                <w:sz w:val="16"/>
                <w:szCs w:val="16"/>
              </w:rPr>
              <w:t>s score</w:t>
            </w:r>
          </w:p>
        </w:tc>
        <w:tc>
          <w:tcPr>
            <w:tcW w:w="295" w:type="pct"/>
            <w:shd w:val="clear" w:color="auto" w:fill="auto"/>
            <w:vAlign w:val="center"/>
          </w:tcPr>
          <w:p w14:paraId="66FACFE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3F07358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29D36A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445E6B4"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8B058E9"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204FD476"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3196896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722531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ADB74C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501C9A4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5E48937" w14:textId="77777777" w:rsidTr="00E407BF">
        <w:trPr>
          <w:trHeight w:val="202"/>
          <w:jc w:val="center"/>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FFFFFF" w:themeFill="background1"/>
            <w:vAlign w:val="center"/>
          </w:tcPr>
          <w:p w14:paraId="69CCEE72" w14:textId="77777777" w:rsidR="0093605B" w:rsidRPr="00B8610D" w:rsidRDefault="0093605B" w:rsidP="009C1DDF">
            <w:pPr>
              <w:ind w:left="-72" w:right="33"/>
              <w:rPr>
                <w:rFonts w:ascii="Times New Roman" w:hAnsi="Times New Roman" w:cs="Times New Roman"/>
                <w:iCs/>
                <w:sz w:val="16"/>
                <w:szCs w:val="16"/>
              </w:rPr>
            </w:pPr>
            <w:r w:rsidRPr="00B8610D">
              <w:rPr>
                <w:rFonts w:ascii="Times New Roman" w:hAnsi="Times New Roman" w:cs="Times New Roman"/>
                <w:iCs/>
                <w:sz w:val="16"/>
                <w:szCs w:val="16"/>
              </w:rPr>
              <w:t xml:space="preserve">  Healthcare system (operational efficiency)</w:t>
            </w:r>
          </w:p>
        </w:tc>
      </w:tr>
      <w:tr w:rsidR="0093605B" w:rsidRPr="00B8610D" w14:paraId="66C7C9E0"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5B710235"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196E9594"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Length of stay               </w:t>
            </w:r>
          </w:p>
        </w:tc>
        <w:tc>
          <w:tcPr>
            <w:tcW w:w="295" w:type="pct"/>
            <w:shd w:val="clear" w:color="auto" w:fill="auto"/>
            <w:vAlign w:val="center"/>
          </w:tcPr>
          <w:p w14:paraId="426D1EF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6F48C4A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55AD81A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C54B478"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89C4BA4"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7F0EA9B7"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7091DB3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69307F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1A5AA3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7B7F896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11350536"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199887E5"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0BA216CA"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Staff per 100 beds           </w:t>
            </w:r>
          </w:p>
        </w:tc>
        <w:tc>
          <w:tcPr>
            <w:tcW w:w="295" w:type="pct"/>
            <w:vAlign w:val="center"/>
          </w:tcPr>
          <w:p w14:paraId="6450F88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vAlign w:val="center"/>
          </w:tcPr>
          <w:p w14:paraId="115A64C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3D7E53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C80D25C"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512DE6E"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0FEBCE9F"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6462672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E1B2DC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3B7645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0D91108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276FB68F"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3A159221"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6893C797"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Concerns about access to healthcare and personal safety in the community</w:t>
            </w:r>
          </w:p>
        </w:tc>
        <w:tc>
          <w:tcPr>
            <w:tcW w:w="295" w:type="pct"/>
            <w:shd w:val="clear" w:color="auto" w:fill="auto"/>
            <w:vAlign w:val="center"/>
          </w:tcPr>
          <w:p w14:paraId="085CD04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6BAE5D1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B36823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52E54D2"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2D78B1CA"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0A496063"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3C036CD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A723FE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C0A60A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752BABE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C90872E"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03BB5169"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442EEB3B"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Consistency of LTCF care</w:t>
            </w:r>
          </w:p>
        </w:tc>
        <w:tc>
          <w:tcPr>
            <w:tcW w:w="295" w:type="pct"/>
            <w:vAlign w:val="center"/>
          </w:tcPr>
          <w:p w14:paraId="5703183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306" w:type="pct"/>
            <w:vAlign w:val="center"/>
          </w:tcPr>
          <w:p w14:paraId="2CC4D16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5A1DA3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D3E7275"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FB9EEF5"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7B1121F7"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5B50EF5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AFA20E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8CC873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596C589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1BB3F0D4"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3F9ECB20"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49E3552E"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Consumer engagement challenges</w:t>
            </w:r>
          </w:p>
        </w:tc>
        <w:tc>
          <w:tcPr>
            <w:tcW w:w="295" w:type="pct"/>
            <w:shd w:val="clear" w:color="auto" w:fill="auto"/>
            <w:vAlign w:val="center"/>
          </w:tcPr>
          <w:p w14:paraId="3147954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2236E79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2F60409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A999594"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10C0A43"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15F2685C"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0F9A57D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F293C8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C0319C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7E01876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315B084"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612AC543"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40DE89C9"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Expanding the number of home care workers</w:t>
            </w:r>
          </w:p>
        </w:tc>
        <w:tc>
          <w:tcPr>
            <w:tcW w:w="295" w:type="pct"/>
            <w:vAlign w:val="center"/>
          </w:tcPr>
          <w:p w14:paraId="3458B3D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49F743E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DF59D4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429ED5BA"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27A17DC"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00F24438"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692FBE0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79A20C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EE78E5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344C6D9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163504E1"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2221B6A9"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02692ADE"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Facility size</w:t>
            </w:r>
          </w:p>
        </w:tc>
        <w:tc>
          <w:tcPr>
            <w:tcW w:w="295" w:type="pct"/>
            <w:shd w:val="clear" w:color="auto" w:fill="auto"/>
            <w:vAlign w:val="center"/>
          </w:tcPr>
          <w:p w14:paraId="179E465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2DFD3A3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66AF532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F16E792"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CBEC067"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1CE80CB5"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0D3C34B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9BE92A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F0D633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3FA41E8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E227895" w14:textId="77777777" w:rsidTr="00EC5A37">
        <w:trPr>
          <w:trHeight w:val="89"/>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0B08F6AC"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71EBCA2C"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Ownership type               </w:t>
            </w:r>
          </w:p>
        </w:tc>
        <w:tc>
          <w:tcPr>
            <w:tcW w:w="295" w:type="pct"/>
            <w:vAlign w:val="center"/>
          </w:tcPr>
          <w:p w14:paraId="7DB7E1D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vAlign w:val="center"/>
          </w:tcPr>
          <w:p w14:paraId="125F9F4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796EBDE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878804B"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1DE7F69"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3FCAA188"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vAlign w:val="center"/>
          </w:tcPr>
          <w:p w14:paraId="5BA3B5B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27E5EF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50DA90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681B65E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6E868C45"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0B78E883"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387CB126"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Implementation of the Siebens Domain Management Model (SDMM)</w:t>
            </w:r>
          </w:p>
        </w:tc>
        <w:tc>
          <w:tcPr>
            <w:tcW w:w="295" w:type="pct"/>
            <w:shd w:val="clear" w:color="auto" w:fill="auto"/>
            <w:vAlign w:val="center"/>
          </w:tcPr>
          <w:p w14:paraId="22A4C431"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260746E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0388B4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443D778"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9ADE4AD"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6F2A66AA"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shd w:val="clear" w:color="auto" w:fill="auto"/>
            <w:vAlign w:val="center"/>
          </w:tcPr>
          <w:p w14:paraId="48B1856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D57467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837F83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163AF2F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3B4B8579"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3AC01DEA"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774874BE"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Improved information about community-based care options</w:t>
            </w:r>
          </w:p>
        </w:tc>
        <w:tc>
          <w:tcPr>
            <w:tcW w:w="295" w:type="pct"/>
            <w:vAlign w:val="center"/>
          </w:tcPr>
          <w:p w14:paraId="31B39BF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5272AE1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48D890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14CE1E12"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264542F"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1DFE5908"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41AA461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C4FFDC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3C7AD2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7E4BC18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1FA97D16"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42D651E7"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3310E236"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LPN to RN ratio              </w:t>
            </w:r>
          </w:p>
        </w:tc>
        <w:tc>
          <w:tcPr>
            <w:tcW w:w="295" w:type="pct"/>
            <w:shd w:val="clear" w:color="auto" w:fill="auto"/>
          </w:tcPr>
          <w:p w14:paraId="29C2FC8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tcPr>
          <w:p w14:paraId="385F52E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3BFC9C7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650C8488"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2C4551CA"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7A5F79F0"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3BD5D7E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tcPr>
          <w:p w14:paraId="15C9CD7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9DBCEF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00A045F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BC02BEB"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443072BC"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11AE6F0D"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Occupancy rate</w:t>
            </w:r>
          </w:p>
        </w:tc>
        <w:tc>
          <w:tcPr>
            <w:tcW w:w="295" w:type="pct"/>
            <w:vAlign w:val="center"/>
          </w:tcPr>
          <w:p w14:paraId="6BE7124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vAlign w:val="center"/>
          </w:tcPr>
          <w:p w14:paraId="1AB5DFE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E5A6E5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E48C564"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8C984D7"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75F9FB27"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1224F93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F7951C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C430BD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132B35E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2D6F7482"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1661D561"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42439938"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Possible medical complications that may occur during geriatric IR</w:t>
            </w:r>
          </w:p>
        </w:tc>
        <w:tc>
          <w:tcPr>
            <w:tcW w:w="295" w:type="pct"/>
            <w:shd w:val="clear" w:color="auto" w:fill="auto"/>
            <w:vAlign w:val="center"/>
          </w:tcPr>
          <w:p w14:paraId="3659CEE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2E63AB1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0A87C0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AAA37F7"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F31AD0A"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7FC815D8"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39FB0F0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6F7C80A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660128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7EB2D3A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06AEBD5D"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27D55EFE"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3FA9FFDA"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Proportion of Medicaid residents</w:t>
            </w:r>
          </w:p>
        </w:tc>
        <w:tc>
          <w:tcPr>
            <w:tcW w:w="295" w:type="pct"/>
            <w:vAlign w:val="center"/>
          </w:tcPr>
          <w:p w14:paraId="77C9364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7D33DA5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494D382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2709261"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3AC5507"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2546B374"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245F2EA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28E6BE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CCE5A9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7375BBB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346E7070"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7601766C"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31290C2A"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Receiving Medicare-certified home health agency services</w:t>
            </w:r>
          </w:p>
        </w:tc>
        <w:tc>
          <w:tcPr>
            <w:tcW w:w="295" w:type="pct"/>
            <w:shd w:val="clear" w:color="auto" w:fill="auto"/>
            <w:vAlign w:val="center"/>
          </w:tcPr>
          <w:p w14:paraId="0EC475B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21E4816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6457F1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32AAA45"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6D2E305"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735C1B5E"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2F92DC3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016CF3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6187BB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2450378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307B6478"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0BDC35FB"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1A0FA7FE"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Rehabilitation programs     </w:t>
            </w:r>
          </w:p>
        </w:tc>
        <w:tc>
          <w:tcPr>
            <w:tcW w:w="295" w:type="pct"/>
            <w:vAlign w:val="center"/>
          </w:tcPr>
          <w:p w14:paraId="65AC6B8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vAlign w:val="center"/>
          </w:tcPr>
          <w:p w14:paraId="22A5F2F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367785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37FECA2"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DA5CC95"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7CA63FC6"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vAlign w:val="center"/>
          </w:tcPr>
          <w:p w14:paraId="10E9925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BA0779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0619919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1DF3E3E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5D18E546"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08CA2EFB"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4F790F6D" w14:textId="69FFC841" w:rsidR="0093605B" w:rsidRPr="00B8610D" w:rsidRDefault="00BC261C"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R</w:t>
            </w:r>
            <w:r w:rsidR="00400B0F">
              <w:rPr>
                <w:rFonts w:ascii="Times New Roman" w:hAnsi="Times New Roman" w:cs="Times New Roman"/>
                <w:iCs/>
                <w:sz w:val="16"/>
                <w:szCs w:val="16"/>
              </w:rPr>
              <w:t xml:space="preserve">egistered </w:t>
            </w:r>
            <w:r w:rsidR="00E407BF">
              <w:rPr>
                <w:rFonts w:ascii="Times New Roman" w:hAnsi="Times New Roman" w:cs="Times New Roman"/>
                <w:iCs/>
                <w:sz w:val="16"/>
                <w:szCs w:val="16"/>
              </w:rPr>
              <w:t>Nurse</w:t>
            </w:r>
            <w:r w:rsidR="00E407BF" w:rsidRPr="00B8610D">
              <w:rPr>
                <w:rFonts w:ascii="Times New Roman" w:hAnsi="Times New Roman" w:cs="Times New Roman"/>
                <w:iCs/>
                <w:sz w:val="16"/>
                <w:szCs w:val="16"/>
              </w:rPr>
              <w:t>-t</w:t>
            </w:r>
            <w:r w:rsidR="0093605B" w:rsidRPr="00B8610D">
              <w:rPr>
                <w:rFonts w:ascii="Times New Roman" w:hAnsi="Times New Roman" w:cs="Times New Roman"/>
                <w:iCs/>
                <w:sz w:val="16"/>
                <w:szCs w:val="16"/>
              </w:rPr>
              <w:t xml:space="preserve">o-total nurse ratio      </w:t>
            </w:r>
          </w:p>
        </w:tc>
        <w:tc>
          <w:tcPr>
            <w:tcW w:w="295" w:type="pct"/>
            <w:shd w:val="clear" w:color="auto" w:fill="auto"/>
          </w:tcPr>
          <w:p w14:paraId="7251A3E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tcPr>
          <w:p w14:paraId="410AF1C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5BEA0CC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3CF8EB96"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3472A34C"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2CEF713A"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shd w:val="clear" w:color="auto" w:fill="auto"/>
          </w:tcPr>
          <w:p w14:paraId="78D7970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01C918D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1ACBE14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1A8E387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1D5C56D"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1F20A98A"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4314D751"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Rural location              </w:t>
            </w:r>
          </w:p>
        </w:tc>
        <w:tc>
          <w:tcPr>
            <w:tcW w:w="295" w:type="pct"/>
          </w:tcPr>
          <w:p w14:paraId="1195238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tcPr>
          <w:p w14:paraId="217FE6F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tcPr>
          <w:p w14:paraId="42CCD9D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47CED358"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648EAB90"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50588FEC"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70963E0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4ED7797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3B5B0D0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2F0F1CE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0F1264C0"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3103E72D"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7DC8777F"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Service availability        </w:t>
            </w:r>
          </w:p>
        </w:tc>
        <w:tc>
          <w:tcPr>
            <w:tcW w:w="295" w:type="pct"/>
            <w:shd w:val="clear" w:color="auto" w:fill="auto"/>
          </w:tcPr>
          <w:p w14:paraId="0E9D2E4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tcPr>
          <w:p w14:paraId="3F0576C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tcPr>
          <w:p w14:paraId="4FAA2BA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4E594F1A"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228" w:type="pct"/>
            <w:shd w:val="clear" w:color="auto" w:fill="auto"/>
          </w:tcPr>
          <w:p w14:paraId="533C8371"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538B6E93"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271DE62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41133D7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1A29A2C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4A57382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0DBFC50A"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5B5328EC"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2055DE12"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Specialty patient density   </w:t>
            </w:r>
          </w:p>
        </w:tc>
        <w:tc>
          <w:tcPr>
            <w:tcW w:w="295" w:type="pct"/>
          </w:tcPr>
          <w:p w14:paraId="1935277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tcPr>
          <w:p w14:paraId="2736D7C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7E0153F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40041E5"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68ECA32A"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593C6C35"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tcPr>
          <w:p w14:paraId="7E1000F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47013FF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600EBB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3C5E6E7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90F097E"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10F6B7E6"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63F9ACEC"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Specialized support targeting mental health and substance use needs</w:t>
            </w:r>
          </w:p>
        </w:tc>
        <w:tc>
          <w:tcPr>
            <w:tcW w:w="295" w:type="pct"/>
            <w:shd w:val="clear" w:color="auto" w:fill="auto"/>
            <w:vAlign w:val="center"/>
          </w:tcPr>
          <w:p w14:paraId="7C6BC6A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4DB1DF18"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BC88C7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17C2590D"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5DEFFB2"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27041D71"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63EA405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CB3C7C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803627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04E5A59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24AB5F83"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50EC0CFA"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0ABAA35F"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The proportion of residents admitted directly from acute care facilities</w:t>
            </w:r>
          </w:p>
        </w:tc>
        <w:tc>
          <w:tcPr>
            <w:tcW w:w="295" w:type="pct"/>
            <w:vAlign w:val="center"/>
          </w:tcPr>
          <w:p w14:paraId="351A311B"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306" w:type="pct"/>
            <w:vAlign w:val="center"/>
          </w:tcPr>
          <w:p w14:paraId="48DA981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050AC9C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09EAF1EB"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154F8111"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26172199"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6070BBC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FE1A3C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E54F03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4B916A6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66AC8B5C"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5D7BEE9E"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767E0EEB"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Therapy Intensity (physical therapy, occupational therapy, and speech therapy)</w:t>
            </w:r>
          </w:p>
        </w:tc>
        <w:tc>
          <w:tcPr>
            <w:tcW w:w="295" w:type="pct"/>
            <w:shd w:val="clear" w:color="auto" w:fill="auto"/>
            <w:vAlign w:val="center"/>
          </w:tcPr>
          <w:p w14:paraId="5D0F404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2D23091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421856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0506F75E"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74C80CD"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4CF62664"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shd w:val="clear" w:color="auto" w:fill="auto"/>
            <w:vAlign w:val="center"/>
          </w:tcPr>
          <w:p w14:paraId="1A2BB62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9F7B84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F64776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5C45391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5A20312B"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046B3E5D"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21442584"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Undergoing rehab services</w:t>
            </w:r>
          </w:p>
        </w:tc>
        <w:tc>
          <w:tcPr>
            <w:tcW w:w="295" w:type="pct"/>
            <w:vAlign w:val="center"/>
          </w:tcPr>
          <w:p w14:paraId="4E60077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vAlign w:val="center"/>
          </w:tcPr>
          <w:p w14:paraId="550BBAF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3E0FB7C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C09E2F2"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2544AB6"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16C2F812"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50B376B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0FDF5DA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071952A0"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71836E0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531330A8"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200B34EF"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68FA8765"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Volume of hip fracture admissions</w:t>
            </w:r>
          </w:p>
        </w:tc>
        <w:tc>
          <w:tcPr>
            <w:tcW w:w="295" w:type="pct"/>
            <w:shd w:val="clear" w:color="auto" w:fill="auto"/>
            <w:vAlign w:val="center"/>
          </w:tcPr>
          <w:p w14:paraId="6E290DF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vAlign w:val="center"/>
          </w:tcPr>
          <w:p w14:paraId="3809F2F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70BA714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B9792B2"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40E3869D"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73B0079A"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4320A59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67D7B6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6F5022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206162A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536E4325" w14:textId="77777777" w:rsidTr="00E407BF">
        <w:trPr>
          <w:trHeight w:val="202"/>
          <w:jc w:val="center"/>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FFFFFF" w:themeFill="background1"/>
            <w:vAlign w:val="center"/>
          </w:tcPr>
          <w:p w14:paraId="223E8482" w14:textId="77777777" w:rsidR="0093605B" w:rsidRPr="00B8610D" w:rsidRDefault="0093605B" w:rsidP="009C1DDF">
            <w:pPr>
              <w:ind w:left="-72" w:right="-50"/>
              <w:rPr>
                <w:rFonts w:ascii="Times New Roman" w:hAnsi="Times New Roman" w:cs="Times New Roman"/>
                <w:iCs/>
                <w:sz w:val="16"/>
                <w:szCs w:val="16"/>
              </w:rPr>
            </w:pPr>
            <w:r w:rsidRPr="00B8610D">
              <w:rPr>
                <w:rFonts w:ascii="Times New Roman" w:hAnsi="Times New Roman" w:cs="Times New Roman"/>
                <w:iCs/>
                <w:sz w:val="16"/>
                <w:szCs w:val="16"/>
              </w:rPr>
              <w:t>Reimbursement and funding policies</w:t>
            </w:r>
          </w:p>
        </w:tc>
      </w:tr>
      <w:tr w:rsidR="0093605B" w:rsidRPr="00B8610D" w14:paraId="4149AB7E"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4812CD10"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1451CADD"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Bed-hold policies           </w:t>
            </w:r>
          </w:p>
        </w:tc>
        <w:tc>
          <w:tcPr>
            <w:tcW w:w="295" w:type="pct"/>
            <w:shd w:val="clear" w:color="auto" w:fill="auto"/>
          </w:tcPr>
          <w:p w14:paraId="20E030E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tcPr>
          <w:p w14:paraId="53C1566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3B1D702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363AEB3"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52320DE0"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654B2629"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0F03E04B"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22C05837"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48050DF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04F4E03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1F4BAB33"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4244C5A2"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635EAEEB"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Medicaid spending on home care</w:t>
            </w:r>
          </w:p>
        </w:tc>
        <w:tc>
          <w:tcPr>
            <w:tcW w:w="295" w:type="pct"/>
          </w:tcPr>
          <w:p w14:paraId="426949C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tcPr>
          <w:p w14:paraId="5C3F6FE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08B4648F"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0B82768D"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270AC655"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63676CD0"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11C661C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02A1A63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0E72A28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5ED15235"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13045CD1"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34F3853E"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7D4B5A76" w14:textId="77777777"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Medicare-funded residents    </w:t>
            </w:r>
          </w:p>
        </w:tc>
        <w:tc>
          <w:tcPr>
            <w:tcW w:w="295" w:type="pct"/>
            <w:shd w:val="clear" w:color="auto" w:fill="auto"/>
          </w:tcPr>
          <w:p w14:paraId="4EDA50E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tcPr>
          <w:p w14:paraId="285DDD39"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33FC957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BFFEF0B"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248264E5"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39656E3F"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0343448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46A98AA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138C956"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2A90E09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EC5A37" w:rsidRPr="00B8610D" w14:paraId="4B782C1B"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2969899B"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50D0C451"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Medicare Advantage           </w:t>
            </w:r>
          </w:p>
        </w:tc>
        <w:tc>
          <w:tcPr>
            <w:tcW w:w="295" w:type="pct"/>
          </w:tcPr>
          <w:p w14:paraId="74083C6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tcPr>
          <w:p w14:paraId="7B031C1A"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415A110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374CE016"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B3D86F5"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226F2C1D"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1DFC1679"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6AF6F3C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1EF3E321"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0D5D32F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85E811E"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5C40D881"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3EBEBEC1" w14:textId="458D7037" w:rsidR="0093605B" w:rsidRPr="00B8610D" w:rsidRDefault="00FC0918"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LTC</w:t>
            </w:r>
            <w:r w:rsidR="0093605B" w:rsidRPr="00B8610D">
              <w:rPr>
                <w:rFonts w:ascii="Times New Roman" w:hAnsi="Times New Roman" w:cs="Times New Roman"/>
                <w:iCs/>
                <w:sz w:val="16"/>
                <w:szCs w:val="16"/>
              </w:rPr>
              <w:t xml:space="preserve"> reimbursements            </w:t>
            </w:r>
          </w:p>
        </w:tc>
        <w:tc>
          <w:tcPr>
            <w:tcW w:w="295" w:type="pct"/>
            <w:shd w:val="clear" w:color="auto" w:fill="auto"/>
          </w:tcPr>
          <w:p w14:paraId="36A8CF8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306" w:type="pct"/>
            <w:shd w:val="clear" w:color="auto" w:fill="auto"/>
          </w:tcPr>
          <w:p w14:paraId="052F1B1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B2FAE3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6F3AE119"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40DA5E9D"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146C817B"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tcPr>
          <w:p w14:paraId="21B01A5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7BF00A9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tcPr>
          <w:p w14:paraId="42D44F60"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tcPr>
          <w:p w14:paraId="65F5F901"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C60814" w:rsidRPr="00B8610D" w14:paraId="2F01FBAA" w14:textId="77777777" w:rsidTr="006B497E">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4401AD24" w14:textId="77777777" w:rsidR="00C60814" w:rsidRPr="00B8610D" w:rsidRDefault="00C60814" w:rsidP="00C60814">
            <w:pPr>
              <w:pStyle w:val="ListParagraph"/>
              <w:numPr>
                <w:ilvl w:val="0"/>
                <w:numId w:val="1"/>
              </w:numPr>
              <w:jc w:val="center"/>
              <w:rPr>
                <w:rFonts w:ascii="Times New Roman" w:hAnsi="Times New Roman" w:cs="Times New Roman"/>
                <w:iCs/>
                <w:sz w:val="16"/>
                <w:szCs w:val="16"/>
              </w:rPr>
            </w:pPr>
          </w:p>
        </w:tc>
        <w:tc>
          <w:tcPr>
            <w:tcW w:w="2245" w:type="pct"/>
            <w:vAlign w:val="center"/>
          </w:tcPr>
          <w:p w14:paraId="0F5C1FD3" w14:textId="31160CF9" w:rsidR="00C60814" w:rsidRDefault="00C60814" w:rsidP="00C6081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Medicaid enrolment</w:t>
            </w:r>
          </w:p>
        </w:tc>
        <w:tc>
          <w:tcPr>
            <w:tcW w:w="295" w:type="pct"/>
            <w:vAlign w:val="center"/>
          </w:tcPr>
          <w:p w14:paraId="5C3DA66F" w14:textId="35FC754A" w:rsidR="00C60814" w:rsidRPr="00B8610D" w:rsidRDefault="00C60814" w:rsidP="00C608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vAlign w:val="center"/>
          </w:tcPr>
          <w:p w14:paraId="4426E6C9" w14:textId="312C60A4" w:rsidR="00C60814" w:rsidRPr="00B8610D" w:rsidRDefault="00C60814" w:rsidP="00C608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23708D87" w14:textId="0E84355E" w:rsidR="00C60814" w:rsidRPr="00B8610D" w:rsidRDefault="00C60814" w:rsidP="00C608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FF24C16" w14:textId="01001D10" w:rsidR="00C60814" w:rsidRPr="00B8610D" w:rsidRDefault="00C60814" w:rsidP="00C60814">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7D5DABE0" w14:textId="7C678DFB" w:rsidR="00C60814" w:rsidRPr="00B8610D" w:rsidRDefault="00C60814" w:rsidP="00C60814">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0D979FF2" w14:textId="2BBEC59B" w:rsidR="00C60814" w:rsidRPr="00B8610D" w:rsidRDefault="00C60814" w:rsidP="00C60814">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0CDFCC3A" w14:textId="50AF8E38" w:rsidR="00C60814" w:rsidRPr="00B8610D" w:rsidRDefault="00C60814" w:rsidP="00C608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vAlign w:val="center"/>
          </w:tcPr>
          <w:p w14:paraId="00AA8139" w14:textId="79EFDC0C" w:rsidR="00C60814" w:rsidRPr="00B8610D" w:rsidRDefault="00C60814" w:rsidP="00C608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282C2B5E" w14:textId="01D9B32C" w:rsidR="00C60814" w:rsidRPr="00B8610D" w:rsidRDefault="00C60814" w:rsidP="00C608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41888FD0" w14:textId="17BB4760" w:rsidR="00C60814" w:rsidRPr="00B8610D" w:rsidRDefault="00C60814" w:rsidP="00C6081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380DBB51" w14:textId="77777777" w:rsidTr="00E407B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FFFFFF" w:themeFill="background1"/>
            <w:vAlign w:val="center"/>
          </w:tcPr>
          <w:p w14:paraId="4C8C2900" w14:textId="77777777" w:rsidR="0093605B" w:rsidRPr="00B8610D" w:rsidRDefault="0093605B" w:rsidP="009C1DDF">
            <w:pPr>
              <w:rPr>
                <w:rFonts w:ascii="Times New Roman" w:hAnsi="Times New Roman" w:cs="Times New Roman"/>
                <w:iCs/>
                <w:sz w:val="16"/>
                <w:szCs w:val="16"/>
              </w:rPr>
            </w:pPr>
            <w:r w:rsidRPr="00B8610D">
              <w:rPr>
                <w:rFonts w:ascii="Times New Roman" w:hAnsi="Times New Roman" w:cs="Times New Roman"/>
                <w:iCs/>
                <w:sz w:val="16"/>
                <w:szCs w:val="16"/>
              </w:rPr>
              <w:t>Person-centered care</w:t>
            </w:r>
          </w:p>
        </w:tc>
      </w:tr>
      <w:tr w:rsidR="00EC5A37" w:rsidRPr="00B8610D" w14:paraId="07244227"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603BFC57"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784C87A5" w14:textId="2916BE42"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Having a preference</w:t>
            </w:r>
            <w:r w:rsidR="00B7435E">
              <w:rPr>
                <w:rFonts w:ascii="Times New Roman" w:hAnsi="Times New Roman" w:cs="Times New Roman"/>
                <w:iCs/>
                <w:sz w:val="16"/>
                <w:szCs w:val="16"/>
              </w:rPr>
              <w:t>/desire</w:t>
            </w:r>
            <w:r w:rsidRPr="00B8610D">
              <w:rPr>
                <w:rFonts w:ascii="Times New Roman" w:hAnsi="Times New Roman" w:cs="Times New Roman"/>
                <w:iCs/>
                <w:sz w:val="16"/>
                <w:szCs w:val="16"/>
              </w:rPr>
              <w:t xml:space="preserve"> for discharge to the community</w:t>
            </w:r>
          </w:p>
        </w:tc>
        <w:tc>
          <w:tcPr>
            <w:tcW w:w="295" w:type="pct"/>
            <w:vAlign w:val="center"/>
          </w:tcPr>
          <w:p w14:paraId="2AFCB051" w14:textId="1D932928" w:rsidR="0093605B" w:rsidRPr="00B8610D" w:rsidRDefault="00B7435E"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306" w:type="pct"/>
            <w:vAlign w:val="center"/>
          </w:tcPr>
          <w:p w14:paraId="3B04D224"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42FE8A31" w14:textId="2FDF8DB0" w:rsidR="0093605B" w:rsidRPr="00B8610D" w:rsidRDefault="00B7435E"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3</w:t>
            </w:r>
          </w:p>
        </w:tc>
        <w:tc>
          <w:tcPr>
            <w:tcW w:w="228" w:type="pct"/>
            <w:vAlign w:val="center"/>
          </w:tcPr>
          <w:p w14:paraId="3A084ED8"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6BC59486"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vAlign w:val="center"/>
          </w:tcPr>
          <w:p w14:paraId="15DFD3A4" w14:textId="6F5D57E4" w:rsidR="0093605B" w:rsidRPr="00B8610D" w:rsidRDefault="00B7435E"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99" w:type="pct"/>
            <w:vAlign w:val="center"/>
          </w:tcPr>
          <w:p w14:paraId="46C6F0E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59149BD8"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vAlign w:val="center"/>
          </w:tcPr>
          <w:p w14:paraId="06AB83B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vAlign w:val="center"/>
          </w:tcPr>
          <w:p w14:paraId="7CE8B99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33BEE49F"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150A8E7D"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51090D5A" w14:textId="0BE42C60"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Negative beliefs about patient</w:t>
            </w:r>
            <w:r w:rsidR="00CB7B5F">
              <w:rPr>
                <w:rFonts w:ascii="Times New Roman" w:hAnsi="Times New Roman" w:cs="Times New Roman"/>
                <w:iCs/>
                <w:sz w:val="16"/>
                <w:szCs w:val="16"/>
              </w:rPr>
              <w:t>’</w:t>
            </w:r>
            <w:r w:rsidRPr="00B8610D">
              <w:rPr>
                <w:rFonts w:ascii="Times New Roman" w:hAnsi="Times New Roman" w:cs="Times New Roman"/>
                <w:iCs/>
                <w:sz w:val="16"/>
                <w:szCs w:val="16"/>
              </w:rPr>
              <w:t>s capability to increase independence with ADLs</w:t>
            </w:r>
          </w:p>
        </w:tc>
        <w:tc>
          <w:tcPr>
            <w:tcW w:w="295" w:type="pct"/>
            <w:shd w:val="clear" w:color="auto" w:fill="auto"/>
            <w:vAlign w:val="center"/>
          </w:tcPr>
          <w:p w14:paraId="63521B8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shd w:val="clear" w:color="auto" w:fill="auto"/>
            <w:vAlign w:val="center"/>
          </w:tcPr>
          <w:p w14:paraId="5FF6B7BF" w14:textId="15C7EB66" w:rsidR="0093605B" w:rsidRPr="00B8610D" w:rsidRDefault="0040518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228" w:type="pct"/>
            <w:shd w:val="clear" w:color="auto" w:fill="auto"/>
            <w:vAlign w:val="center"/>
          </w:tcPr>
          <w:p w14:paraId="16F412F3"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C87B1B8"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6CB9B795"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2BC4C3DE"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369AF57D" w14:textId="6B743C23" w:rsidR="0093605B" w:rsidRPr="00B8610D" w:rsidRDefault="0040518D"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71C88E14"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5FF9505"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2904AF1E"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7A654793"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3D556F9E"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11A7E1A9"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PCC planning approaches      </w:t>
            </w:r>
          </w:p>
        </w:tc>
        <w:tc>
          <w:tcPr>
            <w:tcW w:w="295" w:type="pct"/>
          </w:tcPr>
          <w:p w14:paraId="7088BB0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tcPr>
          <w:p w14:paraId="487BE2F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53BE2AD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2</w:t>
            </w:r>
          </w:p>
        </w:tc>
        <w:tc>
          <w:tcPr>
            <w:tcW w:w="228" w:type="pct"/>
          </w:tcPr>
          <w:p w14:paraId="417F4F08"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4C07AB37"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5D40377E"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99" w:type="pct"/>
          </w:tcPr>
          <w:p w14:paraId="039DC6CD"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56E05AC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78072F86"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46B7207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1D91A274" w14:textId="77777777" w:rsidTr="00EC5A3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97" w:type="pct"/>
            <w:shd w:val="clear" w:color="auto" w:fill="auto"/>
            <w:vAlign w:val="center"/>
          </w:tcPr>
          <w:p w14:paraId="1A77C425"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shd w:val="clear" w:color="auto" w:fill="auto"/>
            <w:vAlign w:val="center"/>
          </w:tcPr>
          <w:p w14:paraId="7FAC8F16" w14:textId="15B890D0" w:rsidR="0093605B" w:rsidRPr="00B8610D" w:rsidRDefault="0093605B" w:rsidP="009C1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Positive beliefs about the patient</w:t>
            </w:r>
            <w:r w:rsidR="00CB7B5F">
              <w:rPr>
                <w:rFonts w:ascii="Times New Roman" w:hAnsi="Times New Roman" w:cs="Times New Roman"/>
                <w:iCs/>
                <w:sz w:val="16"/>
                <w:szCs w:val="16"/>
              </w:rPr>
              <w:t>’</w:t>
            </w:r>
            <w:r w:rsidRPr="00B8610D">
              <w:rPr>
                <w:rFonts w:ascii="Times New Roman" w:hAnsi="Times New Roman" w:cs="Times New Roman"/>
                <w:iCs/>
                <w:sz w:val="16"/>
                <w:szCs w:val="16"/>
              </w:rPr>
              <w:t>s capability to increase independence with ADLs</w:t>
            </w:r>
          </w:p>
        </w:tc>
        <w:tc>
          <w:tcPr>
            <w:tcW w:w="295" w:type="pct"/>
            <w:shd w:val="clear" w:color="auto" w:fill="auto"/>
            <w:vAlign w:val="center"/>
          </w:tcPr>
          <w:p w14:paraId="19FA426B" w14:textId="5224FA7D" w:rsidR="0093605B" w:rsidRPr="00B8610D" w:rsidRDefault="00A7785C"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w:t>
            </w:r>
          </w:p>
        </w:tc>
        <w:tc>
          <w:tcPr>
            <w:tcW w:w="306" w:type="pct"/>
            <w:shd w:val="clear" w:color="auto" w:fill="auto"/>
            <w:vAlign w:val="center"/>
          </w:tcPr>
          <w:p w14:paraId="30D2CD6D"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221F9E2C"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3203D414" w14:textId="77777777" w:rsidR="0093605B" w:rsidRPr="00B8610D" w:rsidRDefault="0093605B" w:rsidP="009C1DDF">
            <w:pPr>
              <w:ind w:left="-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57EBD1CA" w14:textId="77777777" w:rsidR="0093605B" w:rsidRPr="00B8610D" w:rsidRDefault="0093605B" w:rsidP="009C1DDF">
            <w:pPr>
              <w:ind w:right="3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0CDC1A03" w14:textId="77777777" w:rsidR="0093605B" w:rsidRPr="00B8610D" w:rsidRDefault="0093605B" w:rsidP="009C1DDF">
            <w:pPr>
              <w:ind w:left="-72" w:right="-5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shd w:val="clear" w:color="auto" w:fill="auto"/>
            <w:vAlign w:val="center"/>
          </w:tcPr>
          <w:p w14:paraId="72DEA095" w14:textId="5DBDB711" w:rsidR="0093605B" w:rsidRPr="00B8610D" w:rsidRDefault="00A7785C"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1</w:t>
            </w:r>
          </w:p>
        </w:tc>
        <w:tc>
          <w:tcPr>
            <w:tcW w:w="228" w:type="pct"/>
            <w:shd w:val="clear" w:color="auto" w:fill="auto"/>
            <w:vAlign w:val="center"/>
          </w:tcPr>
          <w:p w14:paraId="61C35682"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shd w:val="clear" w:color="auto" w:fill="auto"/>
            <w:vAlign w:val="center"/>
          </w:tcPr>
          <w:p w14:paraId="1DDAA61A"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shd w:val="clear" w:color="auto" w:fill="auto"/>
            <w:vAlign w:val="center"/>
          </w:tcPr>
          <w:p w14:paraId="6822E3FF" w14:textId="77777777" w:rsidR="0093605B" w:rsidRPr="00B8610D" w:rsidRDefault="0093605B" w:rsidP="009C1D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r w:rsidR="0093605B" w:rsidRPr="00B8610D" w14:paraId="20CF6ACF" w14:textId="77777777" w:rsidTr="00EC5A37">
        <w:trPr>
          <w:trHeight w:val="202"/>
          <w:jc w:val="center"/>
        </w:trPr>
        <w:tc>
          <w:tcPr>
            <w:cnfStyle w:val="001000000000" w:firstRow="0" w:lastRow="0" w:firstColumn="1" w:lastColumn="0" w:oddVBand="0" w:evenVBand="0" w:oddHBand="0" w:evenHBand="0" w:firstRowFirstColumn="0" w:firstRowLastColumn="0" w:lastRowFirstColumn="0" w:lastRowLastColumn="0"/>
            <w:tcW w:w="197" w:type="pct"/>
            <w:vAlign w:val="center"/>
          </w:tcPr>
          <w:p w14:paraId="7711F66F" w14:textId="77777777" w:rsidR="0093605B" w:rsidRPr="00B8610D" w:rsidRDefault="0093605B" w:rsidP="0093605B">
            <w:pPr>
              <w:pStyle w:val="ListParagraph"/>
              <w:numPr>
                <w:ilvl w:val="0"/>
                <w:numId w:val="1"/>
              </w:numPr>
              <w:jc w:val="center"/>
              <w:rPr>
                <w:rFonts w:ascii="Times New Roman" w:hAnsi="Times New Roman" w:cs="Times New Roman"/>
                <w:iCs/>
                <w:sz w:val="16"/>
                <w:szCs w:val="16"/>
              </w:rPr>
            </w:pPr>
          </w:p>
        </w:tc>
        <w:tc>
          <w:tcPr>
            <w:tcW w:w="2245" w:type="pct"/>
            <w:vAlign w:val="center"/>
          </w:tcPr>
          <w:p w14:paraId="0727E64E" w14:textId="77777777" w:rsidR="0093605B" w:rsidRPr="00B8610D" w:rsidRDefault="0093605B" w:rsidP="009C1D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 xml:space="preserve">Resident autonomy           </w:t>
            </w:r>
          </w:p>
        </w:tc>
        <w:tc>
          <w:tcPr>
            <w:tcW w:w="295" w:type="pct"/>
          </w:tcPr>
          <w:p w14:paraId="20BAFA0E"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306" w:type="pct"/>
          </w:tcPr>
          <w:p w14:paraId="4017BC02"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69947928" w14:textId="33440697" w:rsidR="0093605B" w:rsidRPr="00B8610D" w:rsidRDefault="009D43CF"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Pr>
                <w:rFonts w:ascii="Times New Roman" w:hAnsi="Times New Roman" w:cs="Times New Roman"/>
                <w:iCs/>
                <w:sz w:val="16"/>
                <w:szCs w:val="16"/>
              </w:rPr>
              <w:t>1</w:t>
            </w:r>
          </w:p>
        </w:tc>
        <w:tc>
          <w:tcPr>
            <w:tcW w:w="228" w:type="pct"/>
          </w:tcPr>
          <w:p w14:paraId="7FF8EAF7" w14:textId="77777777" w:rsidR="0093605B" w:rsidRPr="00B8610D" w:rsidRDefault="0093605B" w:rsidP="009C1DDF">
            <w:pPr>
              <w:ind w:left="-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0B5AF41A" w14:textId="77777777" w:rsidR="0093605B" w:rsidRPr="00B8610D" w:rsidRDefault="0093605B" w:rsidP="009C1DDF">
            <w:pPr>
              <w:ind w:right="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3B53525A" w14:textId="77777777" w:rsidR="0093605B" w:rsidRPr="00B8610D" w:rsidRDefault="0093605B" w:rsidP="009C1DDF">
            <w:pPr>
              <w:ind w:left="-72" w:right="-5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99" w:type="pct"/>
          </w:tcPr>
          <w:p w14:paraId="068B166C"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20E7EAE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8" w:type="pct"/>
          </w:tcPr>
          <w:p w14:paraId="7C2B6633"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c>
          <w:tcPr>
            <w:tcW w:w="220" w:type="pct"/>
          </w:tcPr>
          <w:p w14:paraId="27FC9AE7" w14:textId="77777777" w:rsidR="0093605B" w:rsidRPr="00B8610D" w:rsidRDefault="0093605B" w:rsidP="009C1D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B8610D">
              <w:rPr>
                <w:rFonts w:ascii="Times New Roman" w:hAnsi="Times New Roman" w:cs="Times New Roman"/>
                <w:iCs/>
                <w:sz w:val="16"/>
                <w:szCs w:val="16"/>
              </w:rPr>
              <w:t>-</w:t>
            </w:r>
          </w:p>
        </w:tc>
      </w:tr>
    </w:tbl>
    <w:p w14:paraId="3E4DEFCB" w14:textId="3C7E3B89" w:rsidR="00180C23" w:rsidRDefault="00180C23" w:rsidP="007B3C27">
      <w:pPr>
        <w:tabs>
          <w:tab w:val="left" w:pos="2588"/>
        </w:tabs>
        <w:rPr>
          <w:rFonts w:ascii="Times New Roman" w:hAnsi="Times New Roman" w:cs="Times New Roman"/>
          <w:color w:val="000000" w:themeColor="text1"/>
          <w:sz w:val="24"/>
          <w:szCs w:val="24"/>
        </w:rPr>
      </w:pPr>
    </w:p>
    <w:p w14:paraId="51BEC8E4" w14:textId="77777777" w:rsidR="00180C23" w:rsidRDefault="00180C2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946CEF4" w14:textId="70C27AEE" w:rsidR="00D13C91" w:rsidRDefault="00180C23" w:rsidP="00180C23">
      <w:pPr>
        <w:pStyle w:val="Heading1"/>
        <w:numPr>
          <w:ilvl w:val="0"/>
          <w:numId w:val="0"/>
        </w:numPr>
        <w:spacing w:before="0" w:line="480" w:lineRule="auto"/>
        <w:ind w:left="432" w:hanging="432"/>
        <w:rPr>
          <w:rFonts w:ascii="Times New Roman" w:hAnsi="Times New Roman" w:cs="Times New Roman"/>
          <w:b/>
          <w:bCs/>
          <w:color w:val="000000" w:themeColor="text1"/>
          <w:sz w:val="22"/>
          <w:szCs w:val="22"/>
        </w:rPr>
      </w:pPr>
      <w:r w:rsidRPr="00180C23">
        <w:rPr>
          <w:rFonts w:ascii="Times New Roman" w:hAnsi="Times New Roman" w:cs="Times New Roman"/>
          <w:b/>
          <w:bCs/>
          <w:color w:val="000000" w:themeColor="text1"/>
          <w:sz w:val="22"/>
          <w:szCs w:val="22"/>
        </w:rPr>
        <w:lastRenderedPageBreak/>
        <w:t>References</w:t>
      </w:r>
    </w:p>
    <w:p w14:paraId="0AEF0819"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fldChar w:fldCharType="begin"/>
      </w:r>
      <w:r w:rsidRPr="00180C23">
        <w:rPr>
          <w:rFonts w:ascii="Times New Roman" w:hAnsi="Times New Roman" w:cs="Times New Roman"/>
          <w:sz w:val="20"/>
          <w:szCs w:val="20"/>
        </w:rPr>
        <w:instrText xml:space="preserve"> ADDIN ZOTERO_BIBL {"uncited":[],"omitted":[],"custom":[]} CSL_BIBLIOGRAPHY </w:instrText>
      </w:r>
      <w:r w:rsidRPr="00180C23">
        <w:rPr>
          <w:rFonts w:ascii="Times New Roman" w:hAnsi="Times New Roman" w:cs="Times New Roman"/>
          <w:sz w:val="20"/>
          <w:szCs w:val="20"/>
        </w:rPr>
        <w:fldChar w:fldCharType="separate"/>
      </w:r>
      <w:r w:rsidRPr="00180C23">
        <w:rPr>
          <w:rFonts w:ascii="Times New Roman" w:hAnsi="Times New Roman" w:cs="Times New Roman"/>
          <w:sz w:val="20"/>
          <w:szCs w:val="20"/>
        </w:rPr>
        <w:t>[1]</w:t>
      </w:r>
      <w:r w:rsidRPr="00180C23">
        <w:rPr>
          <w:rFonts w:ascii="Times New Roman" w:hAnsi="Times New Roman" w:cs="Times New Roman"/>
          <w:sz w:val="20"/>
          <w:szCs w:val="20"/>
        </w:rPr>
        <w:tab/>
        <w:t>Gaughan J, Gravelle H, Santos R, Siciliani L. Long-term care provision, hospital bed blocking, and discharge destination for hip fracture and stroke patients. Int J Health Econ Manag 2017;17:311–31. https://doi.org/10.1007/s10754-017-9214-z.</w:t>
      </w:r>
    </w:p>
    <w:p w14:paraId="0F1667F9"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w:t>
      </w:r>
      <w:r w:rsidRPr="00180C23">
        <w:rPr>
          <w:rFonts w:ascii="Times New Roman" w:hAnsi="Times New Roman" w:cs="Times New Roman"/>
          <w:sz w:val="20"/>
          <w:szCs w:val="20"/>
        </w:rPr>
        <w:tab/>
        <w:t>Young DL, Engels R, Colantuoni E, Friedman LA, Hoyer EH. Machine learning prediction of hospital patient need for post-acute care using an admission mobility measure is robust across patient diagnoses. Health Policy and Technology 2023;12:100754. https://doi.org/10.1016/j.hlpt.2023.100754.</w:t>
      </w:r>
    </w:p>
    <w:p w14:paraId="699F7A78"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w:t>
      </w:r>
      <w:r w:rsidRPr="00180C23">
        <w:rPr>
          <w:rFonts w:ascii="Times New Roman" w:hAnsi="Times New Roman" w:cs="Times New Roman"/>
          <w:sz w:val="20"/>
          <w:szCs w:val="20"/>
        </w:rPr>
        <w:tab/>
        <w:t>Kasteridis P, Mason A, Goddard M, Jacobs R, Santos R, Rodriguez-Sanchez B, et al. Risk of Care Home Placement following Acute Hospital Admission: Effects of a Pay-for-Performance Scheme for Dementia. PLoS One 2016;11:e0155850. https://doi.org/10.1371/journal.pone.0155850.</w:t>
      </w:r>
    </w:p>
    <w:p w14:paraId="262A449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w:t>
      </w:r>
      <w:r w:rsidRPr="00180C23">
        <w:rPr>
          <w:rFonts w:ascii="Times New Roman" w:hAnsi="Times New Roman" w:cs="Times New Roman"/>
          <w:sz w:val="20"/>
          <w:szCs w:val="20"/>
        </w:rPr>
        <w:tab/>
        <w:t>Moriwaki M, Hayashida K, Ogata Y. Factors associated with non-home discharge of patients hospitalized for hip fracture: A nationwide retrospective study using the Japanese diagnostic procedure combination database. Medicine (Baltimore) 2023;102:e33138. https://doi.org/10.1097/MD.0000000000033138.</w:t>
      </w:r>
    </w:p>
    <w:p w14:paraId="3E95CCB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w:t>
      </w:r>
      <w:r w:rsidRPr="00180C23">
        <w:rPr>
          <w:rFonts w:ascii="Times New Roman" w:hAnsi="Times New Roman" w:cs="Times New Roman"/>
          <w:sz w:val="20"/>
          <w:szCs w:val="20"/>
        </w:rPr>
        <w:tab/>
        <w:t>Inneh IA, Clair AJ, Slover JD, Iorio R. Disparities in Discharge Destination After Lower Extremity Joint Arthroplasty: Analysis of 7924 Patients in an Urban Setting. Journal of Arthroplasty 2016;31:2700–4. https://doi.org/10.1016/j.arth.2016.05.027.</w:t>
      </w:r>
    </w:p>
    <w:p w14:paraId="13DA5D7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w:t>
      </w:r>
      <w:r w:rsidRPr="00180C23">
        <w:rPr>
          <w:rFonts w:ascii="Times New Roman" w:hAnsi="Times New Roman" w:cs="Times New Roman"/>
          <w:sz w:val="20"/>
          <w:szCs w:val="20"/>
        </w:rPr>
        <w:tab/>
        <w:t>van Dartel D, Vermeer M, Folbert EC, Arends AJ, Vollenbroek-Hutten MMR, Hegeman JH. Early Predictors for Discharge to Geriatric Rehabilitation after Hip Fracture Treatment of Older Patients. J AM MED DIR ASSOC 2021;22:2454–60. https://doi.org/10.1016/j.jamda.2021.03.026.</w:t>
      </w:r>
    </w:p>
    <w:p w14:paraId="3B4197A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w:t>
      </w:r>
      <w:r w:rsidRPr="00180C23">
        <w:rPr>
          <w:rFonts w:ascii="Times New Roman" w:hAnsi="Times New Roman" w:cs="Times New Roman"/>
          <w:sz w:val="20"/>
          <w:szCs w:val="20"/>
        </w:rPr>
        <w:tab/>
        <w:t>Kramer DB, Reynolds MR, Normand S-L, Parzynski CS, Spertus JA, Mor V, et al. Nursing Home Use After Implantable Cardioverter-Defibrillator Implantation in Older Adults: Results from the National Cardiovascular Data Registry. J Am Geriatr Soc 2017;65:340–7. https://doi.org/10.1111/jgs.14520.</w:t>
      </w:r>
    </w:p>
    <w:p w14:paraId="5E636BD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w:t>
      </w:r>
      <w:r w:rsidRPr="00180C23">
        <w:rPr>
          <w:rFonts w:ascii="Times New Roman" w:hAnsi="Times New Roman" w:cs="Times New Roman"/>
          <w:sz w:val="20"/>
          <w:szCs w:val="20"/>
        </w:rPr>
        <w:tab/>
        <w:t>Schwarzkopf R., Ho J., Quinn J.R., Snir N., Mukamel D. Factors Influencing Discharge Destination After Total Knee Arthroplasty: A Database Analysis. Geriatr Orthop Surg Rehabit 2016;7:95–9. https://doi.org/10.1177/2151458516645635.</w:t>
      </w:r>
    </w:p>
    <w:p w14:paraId="272DA56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w:t>
      </w:r>
      <w:r w:rsidRPr="00180C23">
        <w:rPr>
          <w:rFonts w:ascii="Times New Roman" w:hAnsi="Times New Roman" w:cs="Times New Roman"/>
          <w:sz w:val="20"/>
          <w:szCs w:val="20"/>
        </w:rPr>
        <w:tab/>
        <w:t>Ross JH, Wood N, Simmons A, Lua-Mailland LL, Wallace SL, Chapman GC. Nonhome Discharge in Patients Undergoing Pelvic Reconstructive Surgery: A National Analysis. Urogynecology (Phila) 2023. https://doi.org/10.1097/SPV.0000000000001347.</w:t>
      </w:r>
    </w:p>
    <w:p w14:paraId="1D2E0E2C"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w:t>
      </w:r>
      <w:r w:rsidRPr="00180C23">
        <w:rPr>
          <w:rFonts w:ascii="Times New Roman" w:hAnsi="Times New Roman" w:cs="Times New Roman"/>
          <w:sz w:val="20"/>
          <w:szCs w:val="20"/>
        </w:rPr>
        <w:tab/>
        <w:t>Okoh A.K., Ozturk E., Gold J., Siddiqui E., Dhaduk N., Haik B., et al. Risk scoring model for prediction of non-home discharge after transcatheter aortic valve replacement. J Geriatr Cardiol 2020;17:621–7. https://doi.org/10.11909/j.issn.1671-5411.2020.10.002.</w:t>
      </w:r>
    </w:p>
    <w:p w14:paraId="0AE26D9A"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[11]</w:t>
      </w:r>
      <w:r w:rsidRPr="00180C23">
        <w:rPr>
          <w:rFonts w:ascii="Times New Roman" w:hAnsi="Times New Roman" w:cs="Times New Roman"/>
          <w:sz w:val="20"/>
          <w:szCs w:val="20"/>
        </w:rPr>
        <w:tab/>
        <w:t>Dutta D, Thornton D, Bowen E. Using population-based routinely collected data from the Sentinel Stroke National Audit Programme to investigate factors associated with discharge to care home after rehabilitation. Clinical Rehabilitation 2018;32:1108–18. https://doi.org/10.1177/0269215517748715.</w:t>
      </w:r>
    </w:p>
    <w:p w14:paraId="2B93689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[12]</w:t>
      </w:r>
      <w:r w:rsidRPr="00180C23">
        <w:rPr>
          <w:rFonts w:ascii="Times New Roman" w:hAnsi="Times New Roman" w:cs="Times New Roman"/>
          <w:sz w:val="20"/>
          <w:szCs w:val="20"/>
        </w:rPr>
        <w:tab/>
        <w:t>Schaefer MS, Hammer M, Platzbecker K, Santer P, Grabitz SD, Murugappan KR, et al. What Factors Predict Adverse Discharge Disposition in Patients Older Than 60 Years Undergoing Lower-extremity Surgery? The Adverse Discharge in Older Patients after Lower-extremity Surgery (ADELES) Risk Score. Clin Orthop 2021;479:546–7. https://doi.org/10.1097/CORR.0000000000001532.</w:t>
      </w:r>
    </w:p>
    <w:p w14:paraId="512032C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[13]</w:t>
      </w:r>
      <w:r w:rsidRPr="00180C23">
        <w:rPr>
          <w:rFonts w:ascii="Times New Roman" w:hAnsi="Times New Roman" w:cs="Times New Roman"/>
          <w:sz w:val="20"/>
          <w:szCs w:val="20"/>
        </w:rPr>
        <w:tab/>
        <w:t>Ramanan M, Kumar A, Anstey C, Shekar K. Non-home discharge after cardiac surgery in Australia and New Zealand: a cross-sectional study. BMJ Open 2021;11:e049187. https://doi.org/10.1136/bmjopen-2021-049187.</w:t>
      </w:r>
    </w:p>
    <w:p w14:paraId="5B4A13C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[14]</w:t>
      </w:r>
      <w:r w:rsidRPr="00180C23">
        <w:rPr>
          <w:rFonts w:ascii="Times New Roman" w:hAnsi="Times New Roman" w:cs="Times New Roman"/>
          <w:sz w:val="20"/>
          <w:szCs w:val="20"/>
        </w:rPr>
        <w:tab/>
        <w:t>Schumacher R, Walder B, Delhumeau C, Müri RM. Predictors of inpatient (neuro)rehabilitation after acute care of severe traumatic brain injury: An epidemiological study. Brain Inj 2016;30:1186–93. https://doi.org/10.1080/02699052.2016.1183821.</w:t>
      </w:r>
    </w:p>
    <w:p w14:paraId="43E4A3D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[15]</w:t>
      </w:r>
      <w:r w:rsidRPr="00180C23">
        <w:rPr>
          <w:rFonts w:ascii="Times New Roman" w:hAnsi="Times New Roman" w:cs="Times New Roman"/>
          <w:sz w:val="20"/>
          <w:szCs w:val="20"/>
        </w:rPr>
        <w:tab/>
        <w:t>Burton JK, Ferguson EEC, Barugh AJ, Walesby KE, MacLullich AMJ, Shenkin SD, et al. Predicting Discharge to Institutional Long-Term Care After Stroke: A Systematic Review and Metaanalysis. J Am Geriatr Soc 2018;66:161–9. https://doi.org/10.1111/jgs.15101.</w:t>
      </w:r>
    </w:p>
    <w:p w14:paraId="356D2E1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[16]</w:t>
      </w:r>
      <w:r w:rsidRPr="00180C23">
        <w:rPr>
          <w:rFonts w:ascii="Times New Roman" w:hAnsi="Times New Roman" w:cs="Times New Roman"/>
          <w:sz w:val="20"/>
          <w:szCs w:val="20"/>
        </w:rPr>
        <w:tab/>
        <w:t>Thomeer MB, Mudrazija S, Angel JL. How do race and Hispanic ethnicity affect nursing home admission? Evidence from the Health and Retirement Study. J Gerontol B Psychol Sci Soc Sci 2015;70:628–38. https://doi.org/10.1093/geronb/gbu114.</w:t>
      </w:r>
    </w:p>
    <w:p w14:paraId="388E05C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[17]</w:t>
      </w:r>
      <w:r w:rsidRPr="00180C23">
        <w:rPr>
          <w:rFonts w:ascii="Times New Roman" w:hAnsi="Times New Roman" w:cs="Times New Roman"/>
          <w:sz w:val="20"/>
          <w:szCs w:val="20"/>
        </w:rPr>
        <w:tab/>
        <w:t>Wahlsten LR, Smedegaard L, Brorson S, Gislason G, Palm H. Living settings and cognitive impairment are stronger predictors of nursing home admission after hip fracture surgery than physical comorbidities A nationwide Danish cohort study. Injury 2020;51:2289–94. https://doi.org/10.1016/j.injury.2020.06.041.</w:t>
      </w:r>
    </w:p>
    <w:p w14:paraId="3B8103A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[18]</w:t>
      </w:r>
      <w:r w:rsidRPr="00180C23">
        <w:rPr>
          <w:rFonts w:ascii="Times New Roman" w:hAnsi="Times New Roman" w:cs="Times New Roman"/>
          <w:sz w:val="20"/>
          <w:szCs w:val="20"/>
        </w:rPr>
        <w:tab/>
        <w:t>Basic D, Shanley C. Frailty in an older inpatient population: using the clinical frailty scale to predict patient outcomes. J Aging Health 2015;27:670–85. https://doi.org/10.1177/0898264314558202.</w:t>
      </w:r>
    </w:p>
    <w:p w14:paraId="5F750AE2"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lastRenderedPageBreak/>
        <w:t>[19]</w:t>
      </w:r>
      <w:r w:rsidRPr="00180C23">
        <w:rPr>
          <w:rFonts w:ascii="Times New Roman" w:hAnsi="Times New Roman" w:cs="Times New Roman"/>
          <w:sz w:val="20"/>
          <w:szCs w:val="20"/>
        </w:rPr>
        <w:tab/>
        <w:t>Misquitta K, Reid N, Hubbard RE, Gordon EH. Factors associated with entry to residential care in frail older inpatients. Australas J Ageing 2023;42:720–7. https://doi.org/10.1111/ajag.13231.</w:t>
      </w:r>
    </w:p>
    <w:p w14:paraId="282F605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[20]</w:t>
      </w:r>
      <w:r w:rsidRPr="00180C23">
        <w:rPr>
          <w:rFonts w:ascii="Times New Roman" w:hAnsi="Times New Roman" w:cs="Times New Roman"/>
          <w:sz w:val="20"/>
          <w:szCs w:val="20"/>
        </w:rPr>
        <w:tab/>
        <w:t>Burton JK, Ciminata G, Lynch E, Shenkin SD, Geue C, Quinn TJ. Understanding Pathways into Care homes using Data (UnPiCD study): a retrospective cohort study using national linked health and social care data. Age and Ageing 2022;51. https://doi.org/10.1093/ageing/afac304.</w:t>
      </w:r>
    </w:p>
    <w:p w14:paraId="3C8E993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[21]</w:t>
      </w:r>
      <w:r w:rsidRPr="00180C23">
        <w:rPr>
          <w:rFonts w:ascii="Times New Roman" w:hAnsi="Times New Roman" w:cs="Times New Roman"/>
          <w:sz w:val="20"/>
          <w:szCs w:val="20"/>
        </w:rPr>
        <w:tab/>
        <w:t>Lera J, Pascual-Sáez M, Cantarero-Prieto D. Socioeconomic Inequality in the Use of Long-Term Care among European Older Adults: An Empirical Approach Using the SHARE Survey. Int J Environ Res Public Health 2020;18:20. https://doi.org/10.3390/ijerph18010020.</w:t>
      </w:r>
    </w:p>
    <w:p w14:paraId="459940CE"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[22]</w:t>
      </w:r>
      <w:r w:rsidRPr="00180C23">
        <w:rPr>
          <w:rFonts w:ascii="Times New Roman" w:hAnsi="Times New Roman" w:cs="Times New Roman"/>
          <w:sz w:val="20"/>
          <w:szCs w:val="20"/>
        </w:rPr>
        <w:tab/>
        <w:t>Kosteniuk JG, Morgan DG, Elliot V, Froehlich Chow A, Bayly M, Watson E, et al. A Scoping Review of Care Trajectories across Multiple Settings for Persons with Dementia. Can J Aging 2022;41:71–95. https://doi.org/10.1017/S0714980821000167.</w:t>
      </w:r>
    </w:p>
    <w:p w14:paraId="2357E68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[23]</w:t>
      </w:r>
      <w:r w:rsidRPr="00180C23">
        <w:rPr>
          <w:rFonts w:ascii="Times New Roman" w:hAnsi="Times New Roman" w:cs="Times New Roman"/>
          <w:sz w:val="20"/>
          <w:szCs w:val="20"/>
        </w:rPr>
        <w:tab/>
        <w:t>Sizing Up the Challenge: Meeting the Demand for Long-Term Care in Canada. The Conference Board of Canada 2017. https://www.conferenceboard.ca/product/sizing-up-the-challenge-meeting-the-demand-for-long-term-care-in-canada/ (accessed July 30, 2023).</w:t>
      </w:r>
    </w:p>
    <w:p w14:paraId="7E3435D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[24]</w:t>
      </w:r>
      <w:r w:rsidRPr="00180C23">
        <w:rPr>
          <w:rFonts w:ascii="Times New Roman" w:hAnsi="Times New Roman" w:cs="Times New Roman"/>
          <w:sz w:val="20"/>
          <w:szCs w:val="20"/>
        </w:rPr>
        <w:tab/>
        <w:t>Mitchell R, Harvey L, Draper B, Brodaty H, Close J. Risk factors associated with residential aged care, respite and transitional aged care admission for older people following an injury-related hospitalisation. Archives of Gerontology and Geriatrics 2017;72:59–66. https://doi.org/10.1016/j.archger.2017.05.012.</w:t>
      </w:r>
    </w:p>
    <w:p w14:paraId="34016C2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[25]</w:t>
      </w:r>
      <w:r w:rsidRPr="00180C23">
        <w:rPr>
          <w:rFonts w:ascii="Times New Roman" w:hAnsi="Times New Roman" w:cs="Times New Roman"/>
          <w:sz w:val="20"/>
          <w:szCs w:val="20"/>
        </w:rPr>
        <w:tab/>
        <w:t>Conca A, Koch D, Regez K, Kutz A, Haubitz S, Schuetz P, et al. Sciendo. International Journal of Health Professions 2022;9:59–66. https://doi.org/10.2478/ijhp-2022-0005.</w:t>
      </w:r>
    </w:p>
    <w:p w14:paraId="359F6DFC"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[26]</w:t>
      </w:r>
      <w:r w:rsidRPr="00180C23">
        <w:rPr>
          <w:rFonts w:ascii="Times New Roman" w:hAnsi="Times New Roman" w:cs="Times New Roman"/>
          <w:sz w:val="20"/>
          <w:szCs w:val="20"/>
        </w:rPr>
        <w:tab/>
        <w:t>Harrison JK, Walesby KE, Hamilton L, Armstrong C, Starr JM, Reynish EL, et al. Predicting discharge to institutional long-term care following acute hospitalisation: a systematic review and meta-analysis. Age Ageing 2017;46:547–58. https://doi.org/10.1093/ageing/afx047.</w:t>
      </w:r>
    </w:p>
    <w:p w14:paraId="404B378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[27]</w:t>
      </w:r>
      <w:r w:rsidRPr="00180C23">
        <w:rPr>
          <w:rFonts w:ascii="Times New Roman" w:hAnsi="Times New Roman" w:cs="Times New Roman"/>
          <w:sz w:val="20"/>
          <w:szCs w:val="20"/>
        </w:rPr>
        <w:tab/>
        <w:t>Tollette J, Heh V, Wiseman JM, Quatman-Yates CC, Moroi S, Quatman CE. Impact of vision impairment on discharge destination for patients with hip fracture. J Clin Orthop Trauma 2024;50:102377. https://doi.org/10.1016/j.jcot.2024.102377.</w:t>
      </w:r>
    </w:p>
    <w:p w14:paraId="209D63B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[28]</w:t>
      </w:r>
      <w:r w:rsidRPr="00180C23">
        <w:rPr>
          <w:rFonts w:ascii="Times New Roman" w:hAnsi="Times New Roman" w:cs="Times New Roman"/>
          <w:sz w:val="20"/>
          <w:szCs w:val="20"/>
        </w:rPr>
        <w:tab/>
        <w:t>Canadian Institute for Health Information,. Seniors in Transition - Exploring Pathways Across the Care Continuum. 2017.</w:t>
      </w:r>
    </w:p>
    <w:p w14:paraId="51068BF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[29]</w:t>
      </w:r>
      <w:r w:rsidRPr="00180C23">
        <w:rPr>
          <w:rFonts w:ascii="Times New Roman" w:hAnsi="Times New Roman" w:cs="Times New Roman"/>
          <w:sz w:val="20"/>
          <w:szCs w:val="20"/>
        </w:rPr>
        <w:tab/>
        <w:t>Brown CL, Menec V. Health, Social, and Functional Characteristics of Older Adults With Continuing Care Needs: Implications for Integrated Care. Journal of Aging &amp; Health 2019;31:1085–105. https://doi.org/10.1177/0898264318759856.</w:t>
      </w:r>
    </w:p>
    <w:p w14:paraId="03345694"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[30]</w:t>
      </w:r>
      <w:r w:rsidRPr="00180C23">
        <w:rPr>
          <w:rFonts w:ascii="Times New Roman" w:hAnsi="Times New Roman" w:cs="Times New Roman"/>
          <w:sz w:val="20"/>
          <w:szCs w:val="20"/>
        </w:rPr>
        <w:tab/>
        <w:t>Sebban A, Lesclide E, Bonin-Guillaume S, Campana M, Grino M, Franqui C. Previous in-home physiotherapy prevents institutionalization after short-term hospitalization in community-dwelling older dependent people. Aging Clinical and Experimental Research 2020;32:1271–7. https://doi.org/10.1007/s40520-019-01310-7.</w:t>
      </w:r>
    </w:p>
    <w:p w14:paraId="09EA291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[31]</w:t>
      </w:r>
      <w:r w:rsidRPr="00180C23">
        <w:rPr>
          <w:rFonts w:ascii="Times New Roman" w:hAnsi="Times New Roman" w:cs="Times New Roman"/>
          <w:sz w:val="20"/>
          <w:szCs w:val="20"/>
        </w:rPr>
        <w:tab/>
        <w:t>Tochimoto S, Kitamura M, Hino S, Kitamura T. Predictors of home discharge among patients hospitalized for behavioural and psychological symptoms of dementia. Psychogeriatrics 2015;15:248–54. https://doi.org/10.1111/psyg.12114.</w:t>
      </w:r>
    </w:p>
    <w:p w14:paraId="7735EE4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[32]</w:t>
      </w:r>
      <w:r w:rsidRPr="00180C23">
        <w:rPr>
          <w:rFonts w:ascii="Times New Roman" w:hAnsi="Times New Roman" w:cs="Times New Roman"/>
          <w:sz w:val="20"/>
          <w:szCs w:val="20"/>
        </w:rPr>
        <w:tab/>
        <w:t>Koskas P, Pons-Peyneau C, Romdhani M, Houenou-Quenum N, Galleron S, Drunat O. Hospital Discharge Decisions Concerning Older Patients: Understanding the Underlying Process. Can J Aging 2019;38:90–9. https://doi.org/10.1017/S0714980818000442.</w:t>
      </w:r>
    </w:p>
    <w:p w14:paraId="6B022139"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[33]</w:t>
      </w:r>
      <w:r w:rsidRPr="00180C23">
        <w:rPr>
          <w:rFonts w:ascii="Times New Roman" w:hAnsi="Times New Roman" w:cs="Times New Roman"/>
          <w:sz w:val="20"/>
          <w:szCs w:val="20"/>
        </w:rPr>
        <w:tab/>
        <w:t>Glance LG, Joynt Maddox KE, Stone PW, Shang J, Furuya EY, Chastain AM, et al. COVID-19 Pandemic and Racial and Ethnic Disparities in Long-Term Nursing Home Stay or Death Following Hospital Discharge. JAMA Netw Open 2025;8:e2456816. https://doi.org/10.1001/jamanetworkopen.2024.56816.</w:t>
      </w:r>
    </w:p>
    <w:p w14:paraId="4BC16EBC"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[34]</w:t>
      </w:r>
      <w:r w:rsidRPr="00180C23">
        <w:rPr>
          <w:rFonts w:ascii="Times New Roman" w:hAnsi="Times New Roman" w:cs="Times New Roman"/>
          <w:sz w:val="20"/>
          <w:szCs w:val="20"/>
        </w:rPr>
        <w:tab/>
        <w:t>Kobewka DM, Mulpuru S, Chassé M, Thavorn K, Lavallée LT, English SW, et al. Predicting the need for supportive services after discharged from hospital: a systematic review. BMC Health Services Research 2020;20:161. https://doi.org/10.1186/s12913-020-4972-6.</w:t>
      </w:r>
    </w:p>
    <w:p w14:paraId="56C1F2D8"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[35]</w:t>
      </w:r>
      <w:r w:rsidRPr="00180C23">
        <w:rPr>
          <w:rFonts w:ascii="Times New Roman" w:hAnsi="Times New Roman" w:cs="Times New Roman"/>
          <w:sz w:val="20"/>
          <w:szCs w:val="20"/>
        </w:rPr>
        <w:tab/>
        <w:t>Kuzmik A, BeLue R, Resnick B, Rodriguez M, Berish D, Galvin JE, et al. Caregiver preparedness is associated with desire to seek long-term care admission of hospitalized persons with dementia. Int J Geriatr Psychiatry 2023;38:e6006. https://doi.org/10.1002/gps.6006.</w:t>
      </w:r>
    </w:p>
    <w:p w14:paraId="698E2C6C"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[36]</w:t>
      </w:r>
      <w:r w:rsidRPr="00180C23">
        <w:rPr>
          <w:rFonts w:ascii="Times New Roman" w:hAnsi="Times New Roman" w:cs="Times New Roman"/>
          <w:sz w:val="20"/>
          <w:szCs w:val="20"/>
        </w:rPr>
        <w:tab/>
        <w:t>Callahan CM, Tu W, Unroe KT, LaMantia MA, Stump TE, Clark DO. Transitions in Care in a Nationally Representative Sample of Older Americans with Dementia. J Am Geriatr Soc 2015;63:1495–502. https://doi.org/10.1111/jgs.13540.</w:t>
      </w:r>
    </w:p>
    <w:p w14:paraId="0E4B10EA"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[37]</w:t>
      </w:r>
      <w:r w:rsidRPr="00180C23">
        <w:rPr>
          <w:rFonts w:ascii="Times New Roman" w:hAnsi="Times New Roman" w:cs="Times New Roman"/>
          <w:sz w:val="20"/>
          <w:szCs w:val="20"/>
        </w:rPr>
        <w:tab/>
        <w:t>Mitsutake S, Ishizaki T, Edahiro A, Kitamura A, Hirata T, Saito A. The effects of dental visits on the occurrence of acute hospitalization for systemic diseases among patients aged 75 years or older: A propensity score-matched study. Archives of Gerontology and Geriatrics 2023;107. https://doi.org/10.1016/j.archger.2022.104876.</w:t>
      </w:r>
    </w:p>
    <w:p w14:paraId="70D4A72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lastRenderedPageBreak/>
        <w:t>[38]</w:t>
      </w:r>
      <w:r w:rsidRPr="00180C23">
        <w:rPr>
          <w:rFonts w:ascii="Times New Roman" w:hAnsi="Times New Roman" w:cs="Times New Roman"/>
          <w:sz w:val="20"/>
          <w:szCs w:val="20"/>
        </w:rPr>
        <w:tab/>
        <w:t>University M. Evidence-based considerations around long-term care. Default n.d. https://www.mcmasteroptimalaging.org/blog/detail/blog/2022/08/31/evidence-based-considerations-around-long-term-care (accessed July 30, 2023).</w:t>
      </w:r>
    </w:p>
    <w:p w14:paraId="291CEA8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[39]</w:t>
      </w:r>
      <w:r w:rsidRPr="00180C23">
        <w:rPr>
          <w:rFonts w:ascii="Times New Roman" w:hAnsi="Times New Roman" w:cs="Times New Roman"/>
          <w:sz w:val="20"/>
          <w:szCs w:val="20"/>
        </w:rPr>
        <w:tab/>
        <w:t>Don Drummond. Ageing Well - School of Policy Studies - Queen’s University. 2020.</w:t>
      </w:r>
    </w:p>
    <w:p w14:paraId="555DAD1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[40]</w:t>
      </w:r>
      <w:r w:rsidRPr="00180C23">
        <w:rPr>
          <w:rFonts w:ascii="Times New Roman" w:hAnsi="Times New Roman" w:cs="Times New Roman"/>
          <w:sz w:val="20"/>
          <w:szCs w:val="20"/>
        </w:rPr>
        <w:tab/>
        <w:t>Ellis HL, Wan B, Yeung M, Rather A, Mannan I, Bond C, et al. Complementing chronic frailty assessment at hospital admission with an electronic frailty index (FI-Laboratory) comprising routine blood test results. CMAJ 2020;192:E3–8. https://doi.org/10.1503/cmaj.190952.</w:t>
      </w:r>
    </w:p>
    <w:p w14:paraId="05C5E46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[41]</w:t>
      </w:r>
      <w:r w:rsidRPr="00180C23">
        <w:rPr>
          <w:rFonts w:ascii="Times New Roman" w:hAnsi="Times New Roman" w:cs="Times New Roman"/>
          <w:sz w:val="20"/>
          <w:szCs w:val="20"/>
        </w:rPr>
        <w:tab/>
        <w:t>Darvall JN, Loth J, Bose T, Braat S, De Silva A, Story DA, et al. Accuracy of the Clinical Frailty Scale for perioperative frailty screening: a prospective observational study. Can J Anaesth 2020;67:694–705. https://doi.org/10.1007/s12630-020-01610-x.</w:t>
      </w:r>
    </w:p>
    <w:p w14:paraId="13D750B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[42]</w:t>
      </w:r>
      <w:r w:rsidRPr="00180C23">
        <w:rPr>
          <w:rFonts w:ascii="Times New Roman" w:hAnsi="Times New Roman" w:cs="Times New Roman"/>
          <w:sz w:val="20"/>
          <w:szCs w:val="20"/>
        </w:rPr>
        <w:tab/>
        <w:t>Sastry RA, Feler JR, Shao B, Ali R, McNicoll L, Telfeian AE, et al. Frailty independently predicts unfavorable discharge in non-operative traumatic brain injury: A retrospective single-institution cohort study. PLoS ONE 2022;17. https://doi.org/10.1371/journal.pone.0275677.</w:t>
      </w:r>
    </w:p>
    <w:p w14:paraId="463FDFB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[43]</w:t>
      </w:r>
      <w:r w:rsidRPr="00180C23">
        <w:rPr>
          <w:rFonts w:ascii="Times New Roman" w:hAnsi="Times New Roman" w:cs="Times New Roman"/>
          <w:sz w:val="20"/>
          <w:szCs w:val="20"/>
        </w:rPr>
        <w:tab/>
        <w:t>Carbone S, Kokorelias KM, Berta W, Law S, Kuluski K. Stakeholder involvement in care transition planning for older adults and the factors guiding their decision-making: a scoping review. BMJ Open 2022;12:e059446. https://doi.org/10.1136/bmjopen-2021-059446.</w:t>
      </w:r>
    </w:p>
    <w:p w14:paraId="1B76063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[44]</w:t>
      </w:r>
      <w:r w:rsidRPr="00180C23">
        <w:rPr>
          <w:rFonts w:ascii="Times New Roman" w:hAnsi="Times New Roman" w:cs="Times New Roman"/>
          <w:sz w:val="20"/>
          <w:szCs w:val="20"/>
        </w:rPr>
        <w:tab/>
        <w:t>Ahsberg E. Discharge from hospital - a national survey of transition to out-patient care. Scand J Caring Sci 2019;33:329–35. https://doi.org/10.1111/scs.12625.</w:t>
      </w:r>
    </w:p>
    <w:p w14:paraId="19D8145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[45]</w:t>
      </w:r>
      <w:r w:rsidRPr="00180C23">
        <w:rPr>
          <w:rFonts w:ascii="Times New Roman" w:hAnsi="Times New Roman" w:cs="Times New Roman"/>
          <w:sz w:val="20"/>
          <w:szCs w:val="20"/>
        </w:rPr>
        <w:tab/>
        <w:t>Henning-Smith C, Kozhimannil KB, Casey MM, Prasad S. Beyond Clinical Complexity: Nonmedical Barriers to Nursing Home Care for Rural Residents. Journal of Aging and Social Policy 2018;30:109–26. https://doi.org/10.1080/08959420.2018.1430413.</w:t>
      </w:r>
    </w:p>
    <w:p w14:paraId="11910A3A"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[46]</w:t>
      </w:r>
      <w:r w:rsidRPr="00180C23">
        <w:rPr>
          <w:rFonts w:ascii="Times New Roman" w:hAnsi="Times New Roman" w:cs="Times New Roman"/>
          <w:sz w:val="20"/>
          <w:szCs w:val="20"/>
        </w:rPr>
        <w:tab/>
        <w:t>Wieczorek E, Kocot E, Evers S, Sowada C, Pavlova M. Key Care Provision Aspects That Affect Care Transition in the Long-Term Care Systems: Preliminary Review Findings. International Journal of Environmental Research and Public Health 2022;19:6402. https://doi.org/10.3390/ijerph19116402.</w:t>
      </w:r>
    </w:p>
    <w:p w14:paraId="0442048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[47]</w:t>
      </w:r>
      <w:r w:rsidRPr="00180C23">
        <w:rPr>
          <w:rFonts w:ascii="Times New Roman" w:hAnsi="Times New Roman" w:cs="Times New Roman"/>
          <w:sz w:val="20"/>
          <w:szCs w:val="20"/>
        </w:rPr>
        <w:tab/>
        <w:t>Lage DE, Jernigan MC, Chang Y, Grabowski DC, Hsu J, Metlay JP, et al. Living Alone and Discharge to Skilled Nursing Facility Care after Hospitalization in Older Adults. J Am Geriatr Soc 2018;66:100–5. https://doi.org/10.1111/jgs.15150.</w:t>
      </w:r>
    </w:p>
    <w:p w14:paraId="73B45E0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[48]</w:t>
      </w:r>
      <w:r w:rsidRPr="00180C23">
        <w:rPr>
          <w:rFonts w:ascii="Times New Roman" w:hAnsi="Times New Roman" w:cs="Times New Roman"/>
          <w:sz w:val="20"/>
          <w:szCs w:val="20"/>
        </w:rPr>
        <w:tab/>
        <w:t>Pattath P, Odom EC, Tong X, Yin X, Coleman King SM. A Comparison of Acute Ischemic Stroke Patients Discharged to Inpatient Rehabilitation vs a Skilled Nursing Facility: The Paul Coverdell National Acute Stroke Program. Arch Phys Med Rehabil 2023;104:605–11. https://doi.org/10.1016/j.apmr.2022.11.008.</w:t>
      </w:r>
    </w:p>
    <w:p w14:paraId="6987E1B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[49]</w:t>
      </w:r>
      <w:r w:rsidRPr="00180C23">
        <w:rPr>
          <w:rFonts w:ascii="Times New Roman" w:hAnsi="Times New Roman" w:cs="Times New Roman"/>
          <w:sz w:val="20"/>
          <w:szCs w:val="20"/>
        </w:rPr>
        <w:tab/>
        <w:t>Yang M-T, Temkin-Greener H, Veazie P, Cai S. Post-acute care transitions during COVID-19: Racial, ethnic, and socioeconomic differences in older adults with Alzheimer’s disease and related dementia. J Am Geriatr Soc 2024;72:2006–16. https://doi.org/10.1111/jgs.18884.</w:t>
      </w:r>
    </w:p>
    <w:p w14:paraId="1CEC470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[50]</w:t>
      </w:r>
      <w:r w:rsidRPr="00180C23">
        <w:rPr>
          <w:rFonts w:ascii="Times New Roman" w:hAnsi="Times New Roman" w:cs="Times New Roman"/>
          <w:sz w:val="20"/>
          <w:szCs w:val="20"/>
        </w:rPr>
        <w:tab/>
        <w:t>Alberta health services continuing care. Moving to a new home  in continuing care An information and decision-making guide for patients and families 2019.</w:t>
      </w:r>
    </w:p>
    <w:p w14:paraId="2F6D03C6"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[51]</w:t>
      </w:r>
      <w:r w:rsidRPr="00180C23">
        <w:rPr>
          <w:rFonts w:ascii="Times New Roman" w:hAnsi="Times New Roman" w:cs="Times New Roman"/>
          <w:sz w:val="20"/>
          <w:szCs w:val="20"/>
        </w:rPr>
        <w:tab/>
        <w:t>Koch D, Schuetz P, Haubitz S, Kutz A, Mueller B, Weber H, et al. Improving the post-acute care discharge score (PACD) by adding patients’ self-care abilities: A prospective cohort study. PLOS ONE 2019;14:e0214194. https://doi.org/10.1371/journal.pone.0214194.</w:t>
      </w:r>
    </w:p>
    <w:p w14:paraId="043699E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[52]</w:t>
      </w:r>
      <w:r w:rsidRPr="00180C23">
        <w:rPr>
          <w:rFonts w:ascii="Times New Roman" w:hAnsi="Times New Roman" w:cs="Times New Roman"/>
          <w:sz w:val="20"/>
          <w:szCs w:val="20"/>
        </w:rPr>
        <w:tab/>
        <w:t>Yeates EO, Grigorian A, Kuza CM, Nguyen NT, Inaba K, Dolich M, et al. The DEPARTS Score: A Novel Tool for Predicting Discharge Disposition in Geriatric Trauma Patients. Am Surg 2023;89:447–51. https://doi.org/10.1177/00031348211029843.</w:t>
      </w:r>
    </w:p>
    <w:p w14:paraId="3DBBC82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[53]</w:t>
      </w:r>
      <w:r w:rsidRPr="00180C23">
        <w:rPr>
          <w:rFonts w:ascii="Times New Roman" w:hAnsi="Times New Roman" w:cs="Times New Roman"/>
          <w:sz w:val="20"/>
          <w:szCs w:val="20"/>
        </w:rPr>
        <w:tab/>
        <w:t>de Groot AJ, Wattel EM, van Balen R, Hertogh CMPM, van der Wouden JC. Referral to Geriatric Rehabilitation in the Netherlands, an Exploratory Study of Patient Characteristics. Rehabil Nurs 2025;50:66–77. https://doi.org/10.1097/RNJ.0000000000000489.</w:t>
      </w:r>
    </w:p>
    <w:p w14:paraId="67FA5CB4"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[54]</w:t>
      </w:r>
      <w:r w:rsidRPr="00180C23">
        <w:rPr>
          <w:rFonts w:ascii="Times New Roman" w:hAnsi="Times New Roman" w:cs="Times New Roman"/>
          <w:sz w:val="20"/>
          <w:szCs w:val="20"/>
        </w:rPr>
        <w:tab/>
        <w:t>Temkin-Greener H, Yan D, Cai S. Post-acute care transitions and outcomes among Medicare beneficiaries with dementia: Associations with race/ethnicity and dual status. Health Serv Res 2023;58:164–73. https://doi.org/10.1111/1475-6773.14059.</w:t>
      </w:r>
    </w:p>
    <w:p w14:paraId="0AC34BB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[55]</w:t>
      </w:r>
      <w:r w:rsidRPr="00180C23">
        <w:rPr>
          <w:rFonts w:ascii="Times New Roman" w:hAnsi="Times New Roman" w:cs="Times New Roman"/>
          <w:sz w:val="20"/>
          <w:szCs w:val="20"/>
        </w:rPr>
        <w:tab/>
        <w:t>Morris RS, Tignanelli CJ, deRoon-Cassini T, Laud P, Sparapani R. Improved Prediction of Older Adult Discharge After Trauma Using a Novel Machine Learning Paradigm. J Surg Res 2022;270:39–48. https://doi.org/10.1016/j.jss.2021.08.021.</w:t>
      </w:r>
    </w:p>
    <w:p w14:paraId="013D968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[56]</w:t>
      </w:r>
      <w:r w:rsidRPr="00180C23">
        <w:rPr>
          <w:rFonts w:ascii="Times New Roman" w:hAnsi="Times New Roman" w:cs="Times New Roman"/>
          <w:sz w:val="20"/>
          <w:szCs w:val="20"/>
        </w:rPr>
        <w:tab/>
        <w:t>Hirota Y, Shin J-H, Sasaki N, Kunisawa S, Fushimi K, Imanaka Y. Development and validation of prediction models for the discharge destination of elderly patients with aspiration pneumonia. PLoS One 2023;18:e0282272. https://doi.org/10.1371/journal.pone.0282272.</w:t>
      </w:r>
    </w:p>
    <w:p w14:paraId="32C3D4F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[57]</w:t>
      </w:r>
      <w:r w:rsidRPr="00180C23">
        <w:rPr>
          <w:rFonts w:ascii="Times New Roman" w:hAnsi="Times New Roman" w:cs="Times New Roman"/>
          <w:sz w:val="20"/>
          <w:szCs w:val="20"/>
        </w:rPr>
        <w:tab/>
        <w:t>Pappadis MR, Malagaris I, Kuo Y, Leland N, Freburger J, Goodwin JS. Care patterns and predictors of community residence among older patients after hospital discharge for traumatic brain injury. Journal of the American Geriatrics Society 2023;71:1806–18. https://doi.org/10.1111/jgs.18308.</w:t>
      </w:r>
    </w:p>
    <w:p w14:paraId="1DCCE19E"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lastRenderedPageBreak/>
        <w:t>[58]</w:t>
      </w:r>
      <w:r w:rsidRPr="00180C23">
        <w:rPr>
          <w:rFonts w:ascii="Times New Roman" w:hAnsi="Times New Roman" w:cs="Times New Roman"/>
          <w:sz w:val="20"/>
          <w:szCs w:val="20"/>
        </w:rPr>
        <w:tab/>
        <w:t>Kubo K, Kamo T, Momosaki R, Mitsutomi K. Development of a Point System to Predict Discharge to Home for Acute Stroke Patients. PM and R 2021;13:38–44. https://doi.org/10.1002/pmrj.12371.</w:t>
      </w:r>
    </w:p>
    <w:p w14:paraId="57F834F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[59]</w:t>
      </w:r>
      <w:r w:rsidRPr="00180C23">
        <w:rPr>
          <w:rFonts w:ascii="Times New Roman" w:hAnsi="Times New Roman" w:cs="Times New Roman"/>
          <w:sz w:val="20"/>
          <w:szCs w:val="20"/>
        </w:rPr>
        <w:tab/>
        <w:t>Sasaki S, Hayashi T, Masuda M, Kawano O, Yamamoto T, Maeda T. Factors Affecting Home Discharge of Older Adults with Cervical Spinal Cord Injury in Japan Regional Population. Spine Surg Relat Res 2023;7:482–7. https://doi.org/10.22603/ssrr.2023-0045.</w:t>
      </w:r>
    </w:p>
    <w:p w14:paraId="6815B426"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[60]</w:t>
      </w:r>
      <w:r w:rsidRPr="00180C23">
        <w:rPr>
          <w:rFonts w:ascii="Times New Roman" w:hAnsi="Times New Roman" w:cs="Times New Roman"/>
          <w:sz w:val="20"/>
          <w:szCs w:val="20"/>
        </w:rPr>
        <w:tab/>
        <w:t>Gentili S, Calderón-Larrañaga A, Rizzuto D, Gordon AL, Agerholm J, Lennartsson C, et al. Predictors of 15-year transitions across living and care settings in a population of Swedish older adults. Age Ageing 2025;54:afaf006. https://doi.org/10.1093/ageing/afaf006.</w:t>
      </w:r>
    </w:p>
    <w:p w14:paraId="23ACFD0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[61]</w:t>
      </w:r>
      <w:r w:rsidRPr="00180C23">
        <w:rPr>
          <w:rFonts w:ascii="Times New Roman" w:hAnsi="Times New Roman" w:cs="Times New Roman"/>
          <w:sz w:val="20"/>
          <w:szCs w:val="20"/>
        </w:rPr>
        <w:tab/>
        <w:t>Egbujie BA, Tran J, Hirdes JP. Multistate Competing Risk Analysis of Transition Back to the Community Among Long-Term Care Home (LTC) Destined Patients: A Brief Report. J Prim Care Community Health 2023;14:21501319231220742. https://doi.org/10.1177/21501319231220742.</w:t>
      </w:r>
    </w:p>
    <w:p w14:paraId="3E74E77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[62]</w:t>
      </w:r>
      <w:r w:rsidRPr="00180C23">
        <w:rPr>
          <w:rFonts w:ascii="Times New Roman" w:hAnsi="Times New Roman" w:cs="Times New Roman"/>
          <w:sz w:val="20"/>
          <w:szCs w:val="20"/>
        </w:rPr>
        <w:tab/>
        <w:t>Takekawa T, Katagi M, Kobayashi K, Toyoda S, Nakamura T, Yoshida H, et al. Factors influencing home discharge of hospitalized oldest-old patients (≥90 years): A retrospective quantitative case-control study. Geriatric Nursing 2024;60:99–106. https://doi.org/10.1016/j.gerinurse.2024.08.021.</w:t>
      </w:r>
    </w:p>
    <w:p w14:paraId="25E090D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[63]</w:t>
      </w:r>
      <w:r w:rsidRPr="00180C23">
        <w:rPr>
          <w:rFonts w:ascii="Times New Roman" w:hAnsi="Times New Roman" w:cs="Times New Roman"/>
          <w:sz w:val="20"/>
          <w:szCs w:val="20"/>
        </w:rPr>
        <w:tab/>
        <w:t>Abbitt D, Choy K, Robinson TN, Jones EL, Horney C, Sommerville S, et al. Preoperative Risk Factors for Discharge to Facility After Surgery in Geriatric Patients. Am Surg 2024;90:2222–7. https://doi.org/10.1177/00031348241256056.</w:t>
      </w:r>
    </w:p>
    <w:p w14:paraId="3321E61E"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[64]</w:t>
      </w:r>
      <w:r w:rsidRPr="00180C23">
        <w:rPr>
          <w:rFonts w:ascii="Times New Roman" w:hAnsi="Times New Roman" w:cs="Times New Roman"/>
          <w:sz w:val="20"/>
          <w:szCs w:val="20"/>
        </w:rPr>
        <w:tab/>
        <w:t>Liljas AEM, Jensen NK, Pulkki J, Andersen I, Keskimäki I, Burström B, et al. The influence of sociodemographic factors and close relatives at hospital discharge and post hospital care of older people with complex care needs: nurses’ perceptions on health inequity in three Nordic cities. European Journal of Ageing 2022;19:189–200. https://doi.org/10.1007/s10433-022-00701-6.</w:t>
      </w:r>
    </w:p>
    <w:p w14:paraId="3685EE75"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[65]</w:t>
      </w:r>
      <w:r w:rsidRPr="00180C23">
        <w:rPr>
          <w:rFonts w:ascii="Times New Roman" w:hAnsi="Times New Roman" w:cs="Times New Roman"/>
          <w:sz w:val="20"/>
          <w:szCs w:val="20"/>
        </w:rPr>
        <w:tab/>
        <w:t>Miller EA, Intrator O, Gadbois E, Gidmark S, Rudolph JL. VA Staff Perceptions of Barriers and Facilitators to Home-and Community-Based Placement Post-Hospital Discharge. J Aging Soc Policy 2019;31:1–29. https://doi.org/10.1080/08959420.2018.1444889.</w:t>
      </w:r>
    </w:p>
    <w:p w14:paraId="4B19C50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[66]</w:t>
      </w:r>
      <w:r w:rsidRPr="00180C23">
        <w:rPr>
          <w:rFonts w:ascii="Times New Roman" w:hAnsi="Times New Roman" w:cs="Times New Roman"/>
          <w:sz w:val="20"/>
          <w:szCs w:val="20"/>
        </w:rPr>
        <w:tab/>
        <w:t>Beck SH, Eilertsen G, Andersen-Ranberg K, Janssens A, Nielsen DS. In the footstep of the old patient from hospital to home: A qualitative field observation study. Scand J Caring Sci 2024;38:745–55. https://doi.org/10.1111/scs.13257.</w:t>
      </w:r>
    </w:p>
    <w:p w14:paraId="36A7DB02"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[67]</w:t>
      </w:r>
      <w:r w:rsidRPr="00180C23">
        <w:rPr>
          <w:rFonts w:ascii="Times New Roman" w:hAnsi="Times New Roman" w:cs="Times New Roman"/>
          <w:sz w:val="20"/>
          <w:szCs w:val="20"/>
        </w:rPr>
        <w:tab/>
        <w:t>Welsh A, Hanson S, Pfeiffer K, Khoury R, Clark A, Grant K, et al. Facilitating the transition from hospital to home after hip fracture surgery: a qualitative study from the HIP HELPER trial. BMC Geriatrics 2024;24:948. https://doi.org/10.1186/s12877-024-05390-7.</w:t>
      </w:r>
    </w:p>
    <w:p w14:paraId="6089AA2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[68]</w:t>
      </w:r>
      <w:r w:rsidRPr="00180C23">
        <w:rPr>
          <w:rFonts w:ascii="Times New Roman" w:hAnsi="Times New Roman" w:cs="Times New Roman"/>
          <w:sz w:val="20"/>
          <w:szCs w:val="20"/>
        </w:rPr>
        <w:tab/>
        <w:t>Barber B, Weeks L, Steeves-Dorey L, McVeigh W, Stevens S, Moody E, et al. Hospital to Home: Supporting the Transition From Hospital to Home for Older Adults. Canadian Journal of Nursing Research 2022;54:483–96. https://doi.org/10.1177/08445621211044333.</w:t>
      </w:r>
    </w:p>
    <w:p w14:paraId="1C526102"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[69]</w:t>
      </w:r>
      <w:r w:rsidRPr="00180C23">
        <w:rPr>
          <w:rFonts w:ascii="Times New Roman" w:hAnsi="Times New Roman" w:cs="Times New Roman"/>
          <w:sz w:val="20"/>
          <w:szCs w:val="20"/>
        </w:rPr>
        <w:tab/>
        <w:t>Kirschner KL. Drama and Trauma: Unpacking Moral Distress in the Context of Discharge Planning. Narrat Inq Bioeth 2020;10:223–30. https://doi.org/10.1353/nib.2020.0067.</w:t>
      </w:r>
    </w:p>
    <w:p w14:paraId="1F604958"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[70]</w:t>
      </w:r>
      <w:r w:rsidRPr="00180C23">
        <w:rPr>
          <w:rFonts w:ascii="Times New Roman" w:hAnsi="Times New Roman" w:cs="Times New Roman"/>
          <w:sz w:val="20"/>
          <w:szCs w:val="20"/>
        </w:rPr>
        <w:tab/>
        <w:t>Sun M, Liu L, Wang J, Zhuansun M, Xu T, Qian Y, et al. Facilitators and inhibitors in hospital-to-home transitional care for elderly patients with chronic diseases: A meta-synthesis of qualitative studies. Front Public Health 2023;11:1047723. https://doi.org/10.3389/fpubh.2023.1047723.</w:t>
      </w:r>
    </w:p>
    <w:p w14:paraId="4BEA709C"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[71]</w:t>
      </w:r>
      <w:r w:rsidRPr="00180C23">
        <w:rPr>
          <w:rFonts w:ascii="Times New Roman" w:hAnsi="Times New Roman" w:cs="Times New Roman"/>
          <w:sz w:val="20"/>
          <w:szCs w:val="20"/>
        </w:rPr>
        <w:tab/>
        <w:t>Camicia M, Lutz BJ. Nursing’s Role in Successful Transitions Across Settings. Stroke 2016;47:e246–9. https://doi.org/10.1161/STROKEAHA.116.012095.</w:t>
      </w:r>
    </w:p>
    <w:p w14:paraId="7BEF00FC"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[72]</w:t>
      </w:r>
      <w:r w:rsidRPr="00180C23">
        <w:rPr>
          <w:rFonts w:ascii="Times New Roman" w:hAnsi="Times New Roman" w:cs="Times New Roman"/>
          <w:sz w:val="20"/>
          <w:szCs w:val="20"/>
        </w:rPr>
        <w:tab/>
        <w:t>D’Souza AN, Granger CL, Patrick CJ, Kay JE, Said CM. Factors Associated With Discharge Destination in Community-Dwelling Adults Admitted to Acute General Medical Units. J Geriatr Phys Ther 2021;44:94–100. https://doi.org/10.1519/JPT.0000000000000272.</w:t>
      </w:r>
    </w:p>
    <w:p w14:paraId="1B05CE7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[73]</w:t>
      </w:r>
      <w:r w:rsidRPr="00180C23">
        <w:rPr>
          <w:rFonts w:ascii="Times New Roman" w:hAnsi="Times New Roman" w:cs="Times New Roman"/>
          <w:sz w:val="20"/>
          <w:szCs w:val="20"/>
        </w:rPr>
        <w:tab/>
        <w:t>Shimoyama S, Ono T, Ebihara S. Geriatric nutritional risk index and 100-m walk achievement predict discharge to home in elderly patients with heart failure. Geriatr Gerontol Int 2020;20:1029–35. https://doi.org/10.1111/ggi.14014.</w:t>
      </w:r>
    </w:p>
    <w:p w14:paraId="48CE7C14"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[74]</w:t>
      </w:r>
      <w:r w:rsidRPr="00180C23">
        <w:rPr>
          <w:rFonts w:ascii="Times New Roman" w:hAnsi="Times New Roman" w:cs="Times New Roman"/>
          <w:sz w:val="20"/>
          <w:szCs w:val="20"/>
        </w:rPr>
        <w:tab/>
        <w:t>Amakasu K, Inoue T, Watanabe Y. Low phase angle: A predictor of functional status and discharge disposition in acute stroke older patients. Clin Nutr ESPEN 2024;61:197–202. https://doi.org/10.1016/j.clnesp.2024.03.028.</w:t>
      </w:r>
    </w:p>
    <w:p w14:paraId="347AE4B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[75]</w:t>
      </w:r>
      <w:r w:rsidRPr="00180C23">
        <w:rPr>
          <w:rFonts w:ascii="Times New Roman" w:hAnsi="Times New Roman" w:cs="Times New Roman"/>
          <w:sz w:val="20"/>
          <w:szCs w:val="20"/>
        </w:rPr>
        <w:tab/>
        <w:t>Donegan D, Teeling SP, McNamara M, McAweeney E, McGrory L, Mooney R. Calling time on the “dance of the blind reflex”: how collaborative working reduced older persons’ length of stay in acute care and increased home discharge. International Practice Development Journal 2021;11:1–14. https://doi.org/10.19043/ipdj.111.004.</w:t>
      </w:r>
    </w:p>
    <w:p w14:paraId="69A5AF20"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[76]</w:t>
      </w:r>
      <w:r w:rsidRPr="00180C23">
        <w:rPr>
          <w:rFonts w:ascii="Times New Roman" w:hAnsi="Times New Roman" w:cs="Times New Roman"/>
          <w:sz w:val="20"/>
          <w:szCs w:val="20"/>
        </w:rPr>
        <w:tab/>
        <w:t xml:space="preserve">Agerholm J, Jensen NK, Liljas A. Healthcare professionals’ perception of barriers and facilitators for care coordination of older adults with complex care needs being discharged from hospital: A qualitative </w:t>
      </w:r>
      <w:r w:rsidRPr="00180C23">
        <w:rPr>
          <w:rFonts w:ascii="Times New Roman" w:hAnsi="Times New Roman" w:cs="Times New Roman"/>
          <w:sz w:val="20"/>
          <w:szCs w:val="20"/>
        </w:rPr>
        <w:lastRenderedPageBreak/>
        <w:t>comparative study of two Nordic capitals. BMC Geriatr 2023;23:32. https://doi.org/10.1186/s12877-023-03754-z.</w:t>
      </w:r>
    </w:p>
    <w:p w14:paraId="143C4C9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[77]</w:t>
      </w:r>
      <w:r w:rsidRPr="00180C23">
        <w:rPr>
          <w:rFonts w:ascii="Times New Roman" w:hAnsi="Times New Roman" w:cs="Times New Roman"/>
          <w:sz w:val="20"/>
          <w:szCs w:val="20"/>
        </w:rPr>
        <w:tab/>
        <w:t>Turbow SD, Ali MK, Culler SD, Rask KJ, Perkins MM, Clevenger CK, et al. Association of Fragmented Readmissions and Electronic Information Sharing With Discharge Destination Among Older Adults. JAMA Network Open 2023;6:e2313592. https://doi.org/10.1001/jamanetworkopen.2023.13592.</w:t>
      </w:r>
    </w:p>
    <w:p w14:paraId="68543C1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[78]</w:t>
      </w:r>
      <w:r w:rsidRPr="00180C23">
        <w:rPr>
          <w:rFonts w:ascii="Times New Roman" w:hAnsi="Times New Roman" w:cs="Times New Roman"/>
          <w:sz w:val="20"/>
          <w:szCs w:val="20"/>
        </w:rPr>
        <w:tab/>
        <w:t>Bestsennyy O, Chmielewski M, Koffel A. From facility to home: How healthcare could shift by 2025 | McKinsey 2022. https://www.mckinsey.com/industries/healthcare/our-insights/from-facility-to-home-how-healthcare-could-shift-by-2025 (accessed September 14, 2024).</w:t>
      </w:r>
    </w:p>
    <w:p w14:paraId="029301E6"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[79]</w:t>
      </w:r>
      <w:r w:rsidRPr="00180C23">
        <w:rPr>
          <w:rFonts w:ascii="Times New Roman" w:hAnsi="Times New Roman" w:cs="Times New Roman"/>
          <w:sz w:val="20"/>
          <w:szCs w:val="20"/>
        </w:rPr>
        <w:tab/>
        <w:t>Mudrazija S, Thomeer MB, Angel JL. Gender Differences in Institutional Long-Term Care Transitions. Womens Health Issues 2015;25:441–9. https://doi.org/10.1016/j.whi.2015.04.010.</w:t>
      </w:r>
    </w:p>
    <w:p w14:paraId="5CBC9478"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[80]</w:t>
      </w:r>
      <w:r w:rsidRPr="00180C23">
        <w:rPr>
          <w:rFonts w:ascii="Times New Roman" w:hAnsi="Times New Roman" w:cs="Times New Roman"/>
          <w:sz w:val="20"/>
          <w:szCs w:val="20"/>
        </w:rPr>
        <w:tab/>
        <w:t>Hass Z, Woodhouse M, Kane R, Arling G. Modeling Community Discharge of Medicaid Nursing Home Residents: Implications for Money Follows the Person. Health Services Research 2018;53:2787–802. https://doi.org/10.1111/1475-6773.12795.</w:t>
      </w:r>
    </w:p>
    <w:p w14:paraId="4998971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[81]</w:t>
      </w:r>
      <w:r w:rsidRPr="00180C23">
        <w:rPr>
          <w:rFonts w:ascii="Times New Roman" w:hAnsi="Times New Roman" w:cs="Times New Roman"/>
          <w:sz w:val="20"/>
          <w:szCs w:val="20"/>
        </w:rPr>
        <w:tab/>
        <w:t>Freeman S, Bishop K, Spirgiene L, Koopmans E, Bothelo FC, Fyfe T, et al. Factors affecting residents transition from long term care facilities to the community: A scoping review. BMC Health Services Research 2017;17. https://doi.org/10.1186/s12913-017-2571-y.</w:t>
      </w:r>
    </w:p>
    <w:p w14:paraId="7DEA040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[82]</w:t>
      </w:r>
      <w:r w:rsidRPr="00180C23">
        <w:rPr>
          <w:rFonts w:ascii="Times New Roman" w:hAnsi="Times New Roman" w:cs="Times New Roman"/>
          <w:sz w:val="20"/>
          <w:szCs w:val="20"/>
        </w:rPr>
        <w:tab/>
        <w:t>Robison J, Shugrue N, Porter M, Baker K. Challenges to community transitions through Money Follows the Person. Health Serv Res 2020;55:357–66. https://doi.org/10.1111/1475-6773.13267.</w:t>
      </w:r>
    </w:p>
    <w:p w14:paraId="15A89DB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[83]</w:t>
      </w:r>
      <w:r w:rsidRPr="00180C23">
        <w:rPr>
          <w:rFonts w:ascii="Times New Roman" w:hAnsi="Times New Roman" w:cs="Times New Roman"/>
          <w:sz w:val="20"/>
          <w:szCs w:val="20"/>
        </w:rPr>
        <w:tab/>
        <w:t>Morita K, Ono S, Ishimaru M, Matsui H, Naruse T, Yasunaga H. Factors Affecting Discharge to Home of Geriatric Intermediate Care Facility Residents in Japan. Journal of the American Geriatrics Society 2018;66:728–34. https://doi.org/10.1111/jgs.15295.</w:t>
      </w:r>
    </w:p>
    <w:p w14:paraId="00B738F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[84]</w:t>
      </w:r>
      <w:r w:rsidRPr="00180C23">
        <w:rPr>
          <w:rFonts w:ascii="Times New Roman" w:hAnsi="Times New Roman" w:cs="Times New Roman"/>
          <w:sz w:val="20"/>
          <w:szCs w:val="20"/>
        </w:rPr>
        <w:tab/>
        <w:t>Abrahamson K, Hass Z, Arling G. Shall I Stay or Shall I Go? The Choice to Remain in the Nursing Home Among Residents With High Potential for Discharge. Journal of Applied Gerontology 2020;39:863–70. https://doi.org/10.1177/0733464818807818.</w:t>
      </w:r>
    </w:p>
    <w:p w14:paraId="1012350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[85]</w:t>
      </w:r>
      <w:r w:rsidRPr="00180C23">
        <w:rPr>
          <w:rFonts w:ascii="Times New Roman" w:hAnsi="Times New Roman" w:cs="Times New Roman"/>
          <w:sz w:val="20"/>
          <w:szCs w:val="20"/>
        </w:rPr>
        <w:tab/>
        <w:t>Lam K, Cenzer I, Covinsky KE. Return to community living and mortality after moving to a long-term care facility: A nationally representative cohort study. Journal of the American Geriatrics Society 2023;71:569–76. https://doi.org/10.1111/jgs.18144.</w:t>
      </w:r>
    </w:p>
    <w:p w14:paraId="25881AD8"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[86]</w:t>
      </w:r>
      <w:r w:rsidRPr="00180C23">
        <w:rPr>
          <w:rFonts w:ascii="Times New Roman" w:hAnsi="Times New Roman" w:cs="Times New Roman"/>
          <w:sz w:val="20"/>
          <w:szCs w:val="20"/>
        </w:rPr>
        <w:tab/>
        <w:t>Buttke D, Cooke V, Abrahamson K, Shippee T, Davila H, Kane R, et al. A Statewide Model for Assisting Nursing Home Residents to Transition Successfully to the Community. Geriatrics (Basel) 2018;3:18. https://doi.org/10.3390/geriatrics3020018.</w:t>
      </w:r>
    </w:p>
    <w:p w14:paraId="717A874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[87]</w:t>
      </w:r>
      <w:r w:rsidRPr="00180C23">
        <w:rPr>
          <w:rFonts w:ascii="Times New Roman" w:hAnsi="Times New Roman" w:cs="Times New Roman"/>
          <w:sz w:val="20"/>
          <w:szCs w:val="20"/>
        </w:rPr>
        <w:tab/>
        <w:t>Grabowski DC, Chen A, Saliba D. Paying for Nursing Home Quality: An Elusive But Important Goal. Journal of the American Geriatrics Society 2023;71:342–8. https://doi.org/10.1111/jgs.18260.</w:t>
      </w:r>
    </w:p>
    <w:p w14:paraId="04A496D6"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[88]</w:t>
      </w:r>
      <w:r w:rsidRPr="00180C23">
        <w:rPr>
          <w:rFonts w:ascii="Times New Roman" w:hAnsi="Times New Roman" w:cs="Times New Roman"/>
          <w:sz w:val="20"/>
          <w:szCs w:val="20"/>
        </w:rPr>
        <w:tab/>
        <w:t>Campbell-Enns HJ, Campbell M, Rieger KL, Thompson GN, Doupe MB. No Other Safe Care Option: Nursing Home Admission as a Last Resort Strategy. Gerontologist 2020;60:1504–14. https://doi.org/10.1093/geront/gnaa077.</w:t>
      </w:r>
    </w:p>
    <w:p w14:paraId="393B382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[89]</w:t>
      </w:r>
      <w:r w:rsidRPr="00180C23">
        <w:rPr>
          <w:rFonts w:ascii="Times New Roman" w:hAnsi="Times New Roman" w:cs="Times New Roman"/>
          <w:sz w:val="20"/>
          <w:szCs w:val="20"/>
        </w:rPr>
        <w:tab/>
        <w:t>Xu H, Intrator O. Medicaid Long-term Care Policies and Rates of Nursing Home Successful Discharge to Community. J Am Med Dir Assoc 2020;21:248-253.e1. https://doi.org/10.1016/j.jamda.2019.01.153.</w:t>
      </w:r>
    </w:p>
    <w:p w14:paraId="2FE52028"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[90]</w:t>
      </w:r>
      <w:r w:rsidRPr="00180C23">
        <w:rPr>
          <w:rFonts w:ascii="Times New Roman" w:hAnsi="Times New Roman" w:cs="Times New Roman"/>
          <w:sz w:val="20"/>
          <w:szCs w:val="20"/>
        </w:rPr>
        <w:tab/>
        <w:t>Carbone S, Berta W, Law S, Kuluski K. Long-term care transitions during a global pandemic: Planning and decision-making of residents, care partners, and health professionals in Ontario, Canada. PLoS One 2023;18:e0295865. https://doi.org/10.1371/journal.pone.0295865.</w:t>
      </w:r>
    </w:p>
    <w:p w14:paraId="040F7407"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[91]</w:t>
      </w:r>
      <w:r w:rsidRPr="00180C23">
        <w:rPr>
          <w:rFonts w:ascii="Times New Roman" w:hAnsi="Times New Roman" w:cs="Times New Roman"/>
          <w:sz w:val="20"/>
          <w:szCs w:val="20"/>
        </w:rPr>
        <w:tab/>
        <w:t>Kristof L, Fortinsky RH, Kellett K, Porter M, Robison J. Experiences of Informal Caregivers of Older Adults Transitioned From Nursing Homes to the Community Through the Money Follows the Person Demonstration. J Aging Soc Policy 2017;29:20–34. https://doi.org/10.1080/08959420.2016.1187034.</w:t>
      </w:r>
    </w:p>
    <w:p w14:paraId="5FE2EDA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[92]</w:t>
      </w:r>
      <w:r w:rsidRPr="00180C23">
        <w:rPr>
          <w:rFonts w:ascii="Times New Roman" w:hAnsi="Times New Roman" w:cs="Times New Roman"/>
          <w:sz w:val="20"/>
          <w:szCs w:val="20"/>
        </w:rPr>
        <w:tab/>
        <w:t>Holup A.A., Gassoumis Z.D., Wilber K.H., Hyer K. Community Discharge of Nursing Home Residents: The Role of Facility Characteristics. Health Serv Res 2016;51:645–66. https://doi.org/10.1111/1475-6773.12340.</w:t>
      </w:r>
    </w:p>
    <w:p w14:paraId="1FC534CF"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[93]</w:t>
      </w:r>
      <w:r w:rsidRPr="00180C23">
        <w:rPr>
          <w:rFonts w:ascii="Times New Roman" w:hAnsi="Times New Roman" w:cs="Times New Roman"/>
          <w:sz w:val="20"/>
          <w:szCs w:val="20"/>
        </w:rPr>
        <w:tab/>
        <w:t>Chan D.K.Y., Zhang S., Liu Y., Upton C., Kurien P.E., Li R., et al. Effectiveness and analysis of factors predictive of discharge to home in a 4-year cohort in a residential transitional care unit. Aging Med 2019;2:162–7. https://doi.org/10.1002/agm2.12076.</w:t>
      </w:r>
    </w:p>
    <w:p w14:paraId="6B87A1B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[94]</w:t>
      </w:r>
      <w:r w:rsidRPr="00180C23">
        <w:rPr>
          <w:rFonts w:ascii="Times New Roman" w:hAnsi="Times New Roman" w:cs="Times New Roman"/>
          <w:sz w:val="20"/>
          <w:szCs w:val="20"/>
        </w:rPr>
        <w:tab/>
        <w:t>Wasserman A, Thiessen M, Pooyania S. Factors associated with community versus personal care home discharges after inpatient stroke rehabilitation: the need for a pre-admission predictive model. Top Stroke Rehabil 2020;27:173–80. https://doi.org/10.1080/10749357.2019.1682369.</w:t>
      </w:r>
    </w:p>
    <w:p w14:paraId="4D5301D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[95]</w:t>
      </w:r>
      <w:r w:rsidRPr="00180C23">
        <w:rPr>
          <w:rFonts w:ascii="Times New Roman" w:hAnsi="Times New Roman" w:cs="Times New Roman"/>
          <w:sz w:val="20"/>
          <w:szCs w:val="20"/>
        </w:rPr>
        <w:tab/>
        <w:t>Gozalo P, Leland NE, Christian TJ, Mor V, Teno JM. Volume matters: Returning home after hip fracture. Journal of the American Geriatrics Society 2015;63:2043–51. https://doi.org/10.1111/jgs.13677.</w:t>
      </w:r>
    </w:p>
    <w:p w14:paraId="047B0076"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[96]</w:t>
      </w:r>
      <w:r w:rsidRPr="00180C23">
        <w:rPr>
          <w:rFonts w:ascii="Times New Roman" w:hAnsi="Times New Roman" w:cs="Times New Roman"/>
          <w:sz w:val="20"/>
          <w:szCs w:val="20"/>
        </w:rPr>
        <w:tab/>
        <w:t>Everink IHJ, Van Haastregt JCM, Van Hoof SJM, Schols JMGA, Kempen GIJM. Factors influencing home discharge after inpatient rehabilitation of older patients: A systematic review Health services research. BMC Geriatrics 2016;16. https://doi.org/10.1186/s12877-016-0187-4.</w:t>
      </w:r>
    </w:p>
    <w:p w14:paraId="7DCD506E"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lastRenderedPageBreak/>
        <w:t>[97]</w:t>
      </w:r>
      <w:r w:rsidRPr="00180C23">
        <w:rPr>
          <w:rFonts w:ascii="Times New Roman" w:hAnsi="Times New Roman" w:cs="Times New Roman"/>
          <w:sz w:val="20"/>
          <w:szCs w:val="20"/>
        </w:rPr>
        <w:tab/>
        <w:t>Turcotte LA, Perlman CM, Fries BE, Hirdes JP. Clinical predictors of protracted length of stay in Ontario Complex Continuing Care hospitals. BMC Health Serv Res 2019;19:218. https://doi.org/10.1186/s12913-019-4024-2.</w:t>
      </w:r>
    </w:p>
    <w:p w14:paraId="48939A8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[98]</w:t>
      </w:r>
      <w:r w:rsidRPr="00180C23">
        <w:rPr>
          <w:rFonts w:ascii="Times New Roman" w:hAnsi="Times New Roman" w:cs="Times New Roman"/>
          <w:sz w:val="20"/>
          <w:szCs w:val="20"/>
        </w:rPr>
        <w:tab/>
        <w:t>Evans E, Gutman R, Resnik L, Zonfrillo MR, Lueckel SN, Kumar RG, et al. Successful community discharge among older adults with traumatic brain injury in skilled nursing facilities. Journal of Head Trauma Rehabilitation 2021;36:E186–98. https://doi.org/10.1097/HTR.0000000000000638.</w:t>
      </w:r>
    </w:p>
    <w:p w14:paraId="619CE02C"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[99]</w:t>
      </w:r>
      <w:r w:rsidRPr="00180C23">
        <w:rPr>
          <w:rFonts w:ascii="Times New Roman" w:hAnsi="Times New Roman" w:cs="Times New Roman"/>
          <w:sz w:val="20"/>
          <w:szCs w:val="20"/>
        </w:rPr>
        <w:tab/>
        <w:t>Kool J, Oesch P, Bachmann S. Predictors for living at home after geriatric inpatient rehabilitation: A prospective cohort study. J Rehabil Med 2017;49:185–90. https://doi.org/10.2340/16501977-2182.</w:t>
      </w:r>
    </w:p>
    <w:p w14:paraId="5A50E6BA"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[100]</w:t>
      </w:r>
      <w:r w:rsidRPr="00180C23">
        <w:rPr>
          <w:rFonts w:ascii="Times New Roman" w:hAnsi="Times New Roman" w:cs="Times New Roman"/>
          <w:sz w:val="20"/>
          <w:szCs w:val="20"/>
        </w:rPr>
        <w:tab/>
        <w:t>Simning A, Caprio TV, Seplaki CL, Conwell Y. Rehabilitation Providers’ Prediction of the Likely Success of the SNF-to-Home Transition Differs by Discipline. J AM MED DIR ASSOC 2019;20:492–6. https://doi.org/10.1016/j.jamda.2018.11.015.</w:t>
      </w:r>
    </w:p>
    <w:p w14:paraId="6CB0593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[101]</w:t>
      </w:r>
      <w:r w:rsidRPr="00180C23">
        <w:rPr>
          <w:rFonts w:ascii="Times New Roman" w:hAnsi="Times New Roman" w:cs="Times New Roman"/>
          <w:sz w:val="20"/>
          <w:szCs w:val="20"/>
        </w:rPr>
        <w:tab/>
        <w:t>Bayer TA, Jiang L, Singh M, Kunicki ZJ, Browne JW, Nubong T, et al. Skilled Nursing Facility Rehabilitation Intensity and Successful Discharge in Persons with Dementia. J Am Med Dir Assoc 2024;25:105286. https://doi.org/10.1016/j.jamda.2024.105286.</w:t>
      </w:r>
    </w:p>
    <w:p w14:paraId="445C7A09"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[102]</w:t>
      </w:r>
      <w:r w:rsidRPr="00180C23">
        <w:rPr>
          <w:rFonts w:ascii="Times New Roman" w:hAnsi="Times New Roman" w:cs="Times New Roman"/>
          <w:sz w:val="20"/>
          <w:szCs w:val="20"/>
        </w:rPr>
        <w:tab/>
        <w:t>Mazzola P, Butto V, Elli S, Galluccio R, Domenici G, Stella V, et al. Frailty predicts failure to discharge patients home from a subacute-care unit: a 3-year Italian experience. Aging Clin Exp Res 2022;34:95–103. https://doi.org/10.1007/s40520-021-01908-w.</w:t>
      </w:r>
    </w:p>
    <w:p w14:paraId="2AC2954B"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[103]</w:t>
      </w:r>
      <w:r w:rsidRPr="00180C23">
        <w:rPr>
          <w:rFonts w:ascii="Times New Roman" w:hAnsi="Times New Roman" w:cs="Times New Roman"/>
          <w:sz w:val="20"/>
          <w:szCs w:val="20"/>
        </w:rPr>
        <w:tab/>
        <w:t>Ohta R, Maeki N, Maniwa S, Miyakoshi K. Predicting factors of elderly patients’ discharge to home after rehabilitation in rural Japan: a retrospective cohort study. RURAL REMOTE HEALTH 2021;21:6406. https://doi.org/10.22605/RRH6406.</w:t>
      </w:r>
    </w:p>
    <w:p w14:paraId="05E638EA"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[104]</w:t>
      </w:r>
      <w:r w:rsidRPr="00180C23">
        <w:rPr>
          <w:rFonts w:ascii="Times New Roman" w:hAnsi="Times New Roman" w:cs="Times New Roman"/>
          <w:sz w:val="20"/>
          <w:szCs w:val="20"/>
        </w:rPr>
        <w:tab/>
        <w:t>Evans E, Kosar CM, Thomas KS. Positive Beliefs and the Likelihood of Successful Community Discharge From Skilled Nursing Facilities. vol. 102, 2021, p. 480–7. https://doi.org/10.1016/j.apmr.2020.09.375.</w:t>
      </w:r>
    </w:p>
    <w:p w14:paraId="6C22143D"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[105]</w:t>
      </w:r>
      <w:r w:rsidRPr="00180C23">
        <w:rPr>
          <w:rFonts w:ascii="Times New Roman" w:hAnsi="Times New Roman" w:cs="Times New Roman"/>
          <w:sz w:val="20"/>
          <w:szCs w:val="20"/>
        </w:rPr>
        <w:tab/>
        <w:t>Thornblade LW, Arbabi S, Flum DR, Qiu Q, Fawcett VJ, Davidson GH. Facility-Level Factors and Outcomes after Skilled Nursing Facility Admission for Trauma and Surgical Patients. J Am Med Dir Assoc 2018;19:70-76.e1. https://doi.org/10.1016/j.jamda.2017.08.007.</w:t>
      </w:r>
    </w:p>
    <w:p w14:paraId="726F60F1"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[106]</w:t>
      </w:r>
      <w:r w:rsidRPr="00180C23">
        <w:rPr>
          <w:rFonts w:ascii="Times New Roman" w:hAnsi="Times New Roman" w:cs="Times New Roman"/>
          <w:sz w:val="20"/>
          <w:szCs w:val="20"/>
        </w:rPr>
        <w:tab/>
        <w:t>Kushner DS, Peters KM, Johnson-Greene D. Evaluating Siebens Domain Management Model for inpatient rehabilitation to increase functional independence and discharge rate to home in geriatric patients. Arch Phys Med Rehabil 2015;96:1310–8. https://doi.org/10.1016/j.apmr.2015.03.011.</w:t>
      </w:r>
    </w:p>
    <w:p w14:paraId="35E6F643"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[107]</w:t>
      </w:r>
      <w:r w:rsidRPr="00180C23">
        <w:rPr>
          <w:rFonts w:ascii="Times New Roman" w:hAnsi="Times New Roman" w:cs="Times New Roman"/>
          <w:sz w:val="20"/>
          <w:szCs w:val="20"/>
        </w:rPr>
        <w:tab/>
        <w:t>O’Brien SR, Zhang N. Association Between Therapy Intensity and Discharge Outcomes in Aged Medicare Skilled Nursing Facilities Admissions. Arch Phys Med Rehabil 2018;99:107–15. https://doi.org/10.1016/j.apmr.2017.07.012.</w:t>
      </w:r>
    </w:p>
    <w:p w14:paraId="788233CA" w14:textId="77777777" w:rsidR="00180C23" w:rsidRPr="00180C23" w:rsidRDefault="00180C23" w:rsidP="00180C23">
      <w:pPr>
        <w:pStyle w:val="Bibliography"/>
        <w:jc w:val="both"/>
        <w:rPr>
          <w:rFonts w:ascii="Times New Roman" w:hAnsi="Times New Roman" w:cs="Times New Roman"/>
          <w:sz w:val="20"/>
          <w:szCs w:val="20"/>
        </w:rPr>
      </w:pPr>
      <w:r w:rsidRPr="00180C23">
        <w:rPr>
          <w:rFonts w:ascii="Times New Roman" w:hAnsi="Times New Roman" w:cs="Times New Roman"/>
          <w:sz w:val="20"/>
          <w:szCs w:val="20"/>
        </w:rPr>
        <w:t>[108]</w:t>
      </w:r>
      <w:r w:rsidRPr="00180C23">
        <w:rPr>
          <w:rFonts w:ascii="Times New Roman" w:hAnsi="Times New Roman" w:cs="Times New Roman"/>
          <w:sz w:val="20"/>
          <w:szCs w:val="20"/>
        </w:rPr>
        <w:tab/>
        <w:t>Wang S, Temkin-Greener H, Simning A, Konetzka RT, Cai S. Medicaid home- and community-based services and discharge from skilled nursing facilities. Health Serv Res 2021;56:1156–67. https://doi.org/10.1111/1475-6773.13690.</w:t>
      </w:r>
    </w:p>
    <w:p w14:paraId="6EB9A150" w14:textId="2F200F4F" w:rsidR="00180C23" w:rsidRPr="00180C23" w:rsidRDefault="00180C23" w:rsidP="00180C23">
      <w:pPr>
        <w:spacing w:after="0" w:line="240" w:lineRule="auto"/>
        <w:jc w:val="both"/>
        <w:rPr>
          <w:rFonts w:ascii="Times New Roman" w:hAnsi="Times New Roman" w:cs="Times New Roman"/>
          <w:sz w:val="20"/>
          <w:szCs w:val="20"/>
        </w:rPr>
      </w:pPr>
      <w:r w:rsidRPr="00180C23">
        <w:rPr>
          <w:rFonts w:ascii="Times New Roman" w:hAnsi="Times New Roman" w:cs="Times New Roman"/>
          <w:sz w:val="20"/>
          <w:szCs w:val="20"/>
        </w:rPr>
        <w:fldChar w:fldCharType="end"/>
      </w:r>
    </w:p>
    <w:sectPr w:rsidR="00180C23" w:rsidRPr="00180C23" w:rsidSect="007B3C27">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6E333" w14:textId="77777777" w:rsidR="00E00F2D" w:rsidRPr="00CC2419" w:rsidRDefault="00E00F2D" w:rsidP="002A7250">
      <w:pPr>
        <w:spacing w:after="0" w:line="240" w:lineRule="auto"/>
      </w:pPr>
      <w:r w:rsidRPr="00CC2419">
        <w:separator/>
      </w:r>
    </w:p>
  </w:endnote>
  <w:endnote w:type="continuationSeparator" w:id="0">
    <w:p w14:paraId="276E990B" w14:textId="77777777" w:rsidR="00E00F2D" w:rsidRPr="00CC2419" w:rsidRDefault="00E00F2D" w:rsidP="002A7250">
      <w:pPr>
        <w:spacing w:after="0" w:line="240" w:lineRule="auto"/>
      </w:pPr>
      <w:r w:rsidRPr="00CC2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993611328"/>
      <w:docPartObj>
        <w:docPartGallery w:val="Page Numbers (Bottom of Page)"/>
        <w:docPartUnique/>
      </w:docPartObj>
    </w:sdtPr>
    <w:sdtContent>
      <w:sdt>
        <w:sdtPr>
          <w:rPr>
            <w:rFonts w:ascii="Times New Roman" w:hAnsi="Times New Roman" w:cs="Times New Roman"/>
            <w:sz w:val="20"/>
            <w:szCs w:val="20"/>
          </w:rPr>
          <w:id w:val="1728636285"/>
          <w:docPartObj>
            <w:docPartGallery w:val="Page Numbers (Top of Page)"/>
            <w:docPartUnique/>
          </w:docPartObj>
        </w:sdtPr>
        <w:sdtContent>
          <w:p w14:paraId="0BDD4183" w14:textId="1397AF8A" w:rsidR="002A7250" w:rsidRPr="00CC2419" w:rsidRDefault="00E655C1">
            <w:pPr>
              <w:pStyle w:val="Footer"/>
              <w:jc w:val="center"/>
              <w:rPr>
                <w:rFonts w:ascii="Times New Roman" w:hAnsi="Times New Roman" w:cs="Times New Roman"/>
                <w:sz w:val="20"/>
                <w:szCs w:val="20"/>
              </w:rPr>
            </w:pPr>
            <w:r w:rsidRPr="00CC2419">
              <w:rPr>
                <w:rFonts w:ascii="Times New Roman" w:hAnsi="Times New Roman" w:cs="Times New Roman"/>
                <w:sz w:val="20"/>
                <w:szCs w:val="20"/>
              </w:rPr>
              <w:t>Online Supplement: p</w:t>
            </w:r>
            <w:r w:rsidR="002A7250" w:rsidRPr="00CC2419">
              <w:rPr>
                <w:rFonts w:ascii="Times New Roman" w:hAnsi="Times New Roman" w:cs="Times New Roman"/>
                <w:sz w:val="20"/>
                <w:szCs w:val="20"/>
              </w:rPr>
              <w:t xml:space="preserve">age </w:t>
            </w:r>
            <w:r w:rsidR="002A7250" w:rsidRPr="00CC2419">
              <w:rPr>
                <w:rFonts w:ascii="Times New Roman" w:hAnsi="Times New Roman" w:cs="Times New Roman"/>
                <w:sz w:val="20"/>
                <w:szCs w:val="20"/>
              </w:rPr>
              <w:fldChar w:fldCharType="begin"/>
            </w:r>
            <w:r w:rsidR="002A7250" w:rsidRPr="00CC2419">
              <w:rPr>
                <w:rFonts w:ascii="Times New Roman" w:hAnsi="Times New Roman" w:cs="Times New Roman"/>
                <w:sz w:val="20"/>
                <w:szCs w:val="20"/>
              </w:rPr>
              <w:instrText xml:space="preserve"> PAGE </w:instrText>
            </w:r>
            <w:r w:rsidR="002A7250" w:rsidRPr="00CC2419">
              <w:rPr>
                <w:rFonts w:ascii="Times New Roman" w:hAnsi="Times New Roman" w:cs="Times New Roman"/>
                <w:sz w:val="20"/>
                <w:szCs w:val="20"/>
              </w:rPr>
              <w:fldChar w:fldCharType="separate"/>
            </w:r>
            <w:r w:rsidR="002A7250" w:rsidRPr="00CC2419">
              <w:rPr>
                <w:rFonts w:ascii="Times New Roman" w:hAnsi="Times New Roman" w:cs="Times New Roman"/>
                <w:sz w:val="20"/>
                <w:szCs w:val="20"/>
              </w:rPr>
              <w:t>2</w:t>
            </w:r>
            <w:r w:rsidR="002A7250" w:rsidRPr="00CC2419">
              <w:rPr>
                <w:rFonts w:ascii="Times New Roman" w:hAnsi="Times New Roman" w:cs="Times New Roman"/>
                <w:sz w:val="20"/>
                <w:szCs w:val="20"/>
              </w:rPr>
              <w:fldChar w:fldCharType="end"/>
            </w:r>
            <w:r w:rsidR="002A7250" w:rsidRPr="00CC2419">
              <w:rPr>
                <w:rFonts w:ascii="Times New Roman" w:hAnsi="Times New Roman" w:cs="Times New Roman"/>
                <w:sz w:val="20"/>
                <w:szCs w:val="20"/>
              </w:rPr>
              <w:t xml:space="preserve"> of </w:t>
            </w:r>
            <w:r w:rsidR="002A7250" w:rsidRPr="00CC2419">
              <w:rPr>
                <w:rFonts w:ascii="Times New Roman" w:hAnsi="Times New Roman" w:cs="Times New Roman"/>
                <w:sz w:val="20"/>
                <w:szCs w:val="20"/>
              </w:rPr>
              <w:fldChar w:fldCharType="begin"/>
            </w:r>
            <w:r w:rsidR="002A7250" w:rsidRPr="00CC2419">
              <w:rPr>
                <w:rFonts w:ascii="Times New Roman" w:hAnsi="Times New Roman" w:cs="Times New Roman"/>
                <w:sz w:val="20"/>
                <w:szCs w:val="20"/>
              </w:rPr>
              <w:instrText xml:space="preserve"> NUMPAGES  </w:instrText>
            </w:r>
            <w:r w:rsidR="002A7250" w:rsidRPr="00CC2419">
              <w:rPr>
                <w:rFonts w:ascii="Times New Roman" w:hAnsi="Times New Roman" w:cs="Times New Roman"/>
                <w:sz w:val="20"/>
                <w:szCs w:val="20"/>
              </w:rPr>
              <w:fldChar w:fldCharType="separate"/>
            </w:r>
            <w:r w:rsidR="002A7250" w:rsidRPr="00CC2419">
              <w:rPr>
                <w:rFonts w:ascii="Times New Roman" w:hAnsi="Times New Roman" w:cs="Times New Roman"/>
                <w:sz w:val="20"/>
                <w:szCs w:val="20"/>
              </w:rPr>
              <w:t>2</w:t>
            </w:r>
            <w:r w:rsidR="002A7250" w:rsidRPr="00CC2419">
              <w:rPr>
                <w:rFonts w:ascii="Times New Roman" w:hAnsi="Times New Roman" w:cs="Times New Roman"/>
                <w:sz w:val="20"/>
                <w:szCs w:val="20"/>
              </w:rPr>
              <w:fldChar w:fldCharType="end"/>
            </w:r>
          </w:p>
        </w:sdtContent>
      </w:sdt>
    </w:sdtContent>
  </w:sdt>
  <w:p w14:paraId="795CEFB5" w14:textId="77777777" w:rsidR="002A7250" w:rsidRPr="00CC2419" w:rsidRDefault="002A7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669AE" w14:textId="77777777" w:rsidR="00E00F2D" w:rsidRPr="00CC2419" w:rsidRDefault="00E00F2D" w:rsidP="002A7250">
      <w:pPr>
        <w:spacing w:after="0" w:line="240" w:lineRule="auto"/>
      </w:pPr>
      <w:r w:rsidRPr="00CC2419">
        <w:separator/>
      </w:r>
    </w:p>
  </w:footnote>
  <w:footnote w:type="continuationSeparator" w:id="0">
    <w:p w14:paraId="5F55622A" w14:textId="77777777" w:rsidR="00E00F2D" w:rsidRPr="00CC2419" w:rsidRDefault="00E00F2D" w:rsidP="002A7250">
      <w:pPr>
        <w:spacing w:after="0" w:line="240" w:lineRule="auto"/>
      </w:pPr>
      <w:r w:rsidRPr="00CC241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07C"/>
    <w:multiLevelType w:val="hybridMultilevel"/>
    <w:tmpl w:val="63426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B16CB7"/>
    <w:multiLevelType w:val="multilevel"/>
    <w:tmpl w:val="B4E2D5D2"/>
    <w:lvl w:ilvl="0">
      <w:start w:val="1"/>
      <w:numFmt w:val="decimal"/>
      <w:pStyle w:val="Styl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ED1F8B"/>
    <w:multiLevelType w:val="multilevel"/>
    <w:tmpl w:val="04090025"/>
    <w:styleLink w:val="Style2"/>
    <w:lvl w:ilvl="0">
      <w:start w:val="1"/>
      <w:numFmt w:val="decimal"/>
      <w:lvlText w:val="%1"/>
      <w:lvlJc w:val="left"/>
      <w:pPr>
        <w:ind w:left="432" w:hanging="432"/>
      </w:pPr>
      <w:rPr>
        <w:rFonts w:asciiTheme="majorBidi" w:hAnsiTheme="majorBidi"/>
        <w:b/>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63259C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4CB74785"/>
    <w:multiLevelType w:val="hybridMultilevel"/>
    <w:tmpl w:val="00728D8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D580914"/>
    <w:multiLevelType w:val="hybridMultilevel"/>
    <w:tmpl w:val="C65A0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EFB3A5A"/>
    <w:multiLevelType w:val="hybridMultilevel"/>
    <w:tmpl w:val="A15A6C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59400558">
    <w:abstractNumId w:val="4"/>
  </w:num>
  <w:num w:numId="2" w16cid:durableId="586352578">
    <w:abstractNumId w:val="6"/>
  </w:num>
  <w:num w:numId="3" w16cid:durableId="1121874064">
    <w:abstractNumId w:val="1"/>
  </w:num>
  <w:num w:numId="4" w16cid:durableId="95684474">
    <w:abstractNumId w:val="3"/>
  </w:num>
  <w:num w:numId="5" w16cid:durableId="2052802749">
    <w:abstractNumId w:val="2"/>
  </w:num>
  <w:num w:numId="6" w16cid:durableId="1224220446">
    <w:abstractNumId w:val="5"/>
  </w:num>
  <w:num w:numId="7" w16cid:durableId="1979258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xMrE0trQ0MTE3N7NQ0lEKTi0uzszPAykwNqgFAMr1Vz8tAAAA"/>
  </w:docVars>
  <w:rsids>
    <w:rsidRoot w:val="005D79B2"/>
    <w:rsid w:val="00005BB9"/>
    <w:rsid w:val="0002791C"/>
    <w:rsid w:val="0003072D"/>
    <w:rsid w:val="000425F3"/>
    <w:rsid w:val="00054A4C"/>
    <w:rsid w:val="00061AEA"/>
    <w:rsid w:val="000655D1"/>
    <w:rsid w:val="0006693C"/>
    <w:rsid w:val="00080E55"/>
    <w:rsid w:val="00083AD3"/>
    <w:rsid w:val="00084D61"/>
    <w:rsid w:val="00090B87"/>
    <w:rsid w:val="000A574D"/>
    <w:rsid w:val="000B2D1D"/>
    <w:rsid w:val="000D0F31"/>
    <w:rsid w:val="000D251E"/>
    <w:rsid w:val="000E4B63"/>
    <w:rsid w:val="000F2F97"/>
    <w:rsid w:val="00110B52"/>
    <w:rsid w:val="00117416"/>
    <w:rsid w:val="00120A86"/>
    <w:rsid w:val="001220D9"/>
    <w:rsid w:val="001255F0"/>
    <w:rsid w:val="0013310D"/>
    <w:rsid w:val="001472EB"/>
    <w:rsid w:val="001605B9"/>
    <w:rsid w:val="00174152"/>
    <w:rsid w:val="001802D8"/>
    <w:rsid w:val="00180C23"/>
    <w:rsid w:val="00195247"/>
    <w:rsid w:val="001A05AC"/>
    <w:rsid w:val="001A295E"/>
    <w:rsid w:val="001E1255"/>
    <w:rsid w:val="001E1A3B"/>
    <w:rsid w:val="00221A73"/>
    <w:rsid w:val="00236849"/>
    <w:rsid w:val="002377ED"/>
    <w:rsid w:val="00260BDE"/>
    <w:rsid w:val="00271E24"/>
    <w:rsid w:val="00277103"/>
    <w:rsid w:val="00286DAA"/>
    <w:rsid w:val="00291116"/>
    <w:rsid w:val="00296184"/>
    <w:rsid w:val="002A7250"/>
    <w:rsid w:val="002B4544"/>
    <w:rsid w:val="002B4564"/>
    <w:rsid w:val="002C0B23"/>
    <w:rsid w:val="002C2F6F"/>
    <w:rsid w:val="002D42C0"/>
    <w:rsid w:val="002E0BB3"/>
    <w:rsid w:val="002E69E3"/>
    <w:rsid w:val="002F5D20"/>
    <w:rsid w:val="002F7235"/>
    <w:rsid w:val="003046CF"/>
    <w:rsid w:val="003129F1"/>
    <w:rsid w:val="003164BA"/>
    <w:rsid w:val="0032553D"/>
    <w:rsid w:val="00332DE4"/>
    <w:rsid w:val="00347B00"/>
    <w:rsid w:val="003844CA"/>
    <w:rsid w:val="00396442"/>
    <w:rsid w:val="003967F4"/>
    <w:rsid w:val="003A1122"/>
    <w:rsid w:val="003B19D7"/>
    <w:rsid w:val="003B3C64"/>
    <w:rsid w:val="003C0104"/>
    <w:rsid w:val="003C6064"/>
    <w:rsid w:val="003D280E"/>
    <w:rsid w:val="003D6E13"/>
    <w:rsid w:val="00400B0F"/>
    <w:rsid w:val="004042AA"/>
    <w:rsid w:val="0040518D"/>
    <w:rsid w:val="00420D96"/>
    <w:rsid w:val="00421BBF"/>
    <w:rsid w:val="00426527"/>
    <w:rsid w:val="00427944"/>
    <w:rsid w:val="00432FF9"/>
    <w:rsid w:val="00435A97"/>
    <w:rsid w:val="00443D3D"/>
    <w:rsid w:val="004448AB"/>
    <w:rsid w:val="0045110B"/>
    <w:rsid w:val="004515F4"/>
    <w:rsid w:val="00452896"/>
    <w:rsid w:val="0045657B"/>
    <w:rsid w:val="004579D2"/>
    <w:rsid w:val="00460ED4"/>
    <w:rsid w:val="00474F00"/>
    <w:rsid w:val="00485E6E"/>
    <w:rsid w:val="00492D3A"/>
    <w:rsid w:val="004A0726"/>
    <w:rsid w:val="004A1E13"/>
    <w:rsid w:val="004A487C"/>
    <w:rsid w:val="004A6AA4"/>
    <w:rsid w:val="004A71A5"/>
    <w:rsid w:val="004C319C"/>
    <w:rsid w:val="004C50AC"/>
    <w:rsid w:val="004C5D27"/>
    <w:rsid w:val="004E09D0"/>
    <w:rsid w:val="004E0FD5"/>
    <w:rsid w:val="004F5F3B"/>
    <w:rsid w:val="004F78A1"/>
    <w:rsid w:val="00502761"/>
    <w:rsid w:val="00524D5D"/>
    <w:rsid w:val="005266E8"/>
    <w:rsid w:val="00530F9F"/>
    <w:rsid w:val="00586D42"/>
    <w:rsid w:val="00592731"/>
    <w:rsid w:val="005932BA"/>
    <w:rsid w:val="005B0855"/>
    <w:rsid w:val="005B43F3"/>
    <w:rsid w:val="005B7B5D"/>
    <w:rsid w:val="005C1096"/>
    <w:rsid w:val="005C4A15"/>
    <w:rsid w:val="005C7E34"/>
    <w:rsid w:val="005D79B2"/>
    <w:rsid w:val="005D7A09"/>
    <w:rsid w:val="005E64ED"/>
    <w:rsid w:val="005F7026"/>
    <w:rsid w:val="00612C44"/>
    <w:rsid w:val="006200BA"/>
    <w:rsid w:val="00631CBF"/>
    <w:rsid w:val="0064292B"/>
    <w:rsid w:val="0064496F"/>
    <w:rsid w:val="00646175"/>
    <w:rsid w:val="006543E7"/>
    <w:rsid w:val="006646CC"/>
    <w:rsid w:val="006771C8"/>
    <w:rsid w:val="00683647"/>
    <w:rsid w:val="006A28FC"/>
    <w:rsid w:val="006A74DA"/>
    <w:rsid w:val="006B28C6"/>
    <w:rsid w:val="006B4ABA"/>
    <w:rsid w:val="006D2F76"/>
    <w:rsid w:val="006E5145"/>
    <w:rsid w:val="00701FB7"/>
    <w:rsid w:val="00711A1F"/>
    <w:rsid w:val="00721262"/>
    <w:rsid w:val="00722A21"/>
    <w:rsid w:val="00724DCE"/>
    <w:rsid w:val="00726EA2"/>
    <w:rsid w:val="007270F9"/>
    <w:rsid w:val="007358D1"/>
    <w:rsid w:val="00735932"/>
    <w:rsid w:val="00755EB6"/>
    <w:rsid w:val="00765CB5"/>
    <w:rsid w:val="00773356"/>
    <w:rsid w:val="007845A6"/>
    <w:rsid w:val="007B3C27"/>
    <w:rsid w:val="007C5FDD"/>
    <w:rsid w:val="007E36A8"/>
    <w:rsid w:val="007E58CE"/>
    <w:rsid w:val="007E5F93"/>
    <w:rsid w:val="007F17D8"/>
    <w:rsid w:val="00811C35"/>
    <w:rsid w:val="0081404A"/>
    <w:rsid w:val="00821A3C"/>
    <w:rsid w:val="008265C7"/>
    <w:rsid w:val="00842775"/>
    <w:rsid w:val="00861415"/>
    <w:rsid w:val="008626F1"/>
    <w:rsid w:val="008726F5"/>
    <w:rsid w:val="008746C7"/>
    <w:rsid w:val="0088664C"/>
    <w:rsid w:val="008866C6"/>
    <w:rsid w:val="0089178B"/>
    <w:rsid w:val="008923BA"/>
    <w:rsid w:val="00892E52"/>
    <w:rsid w:val="008A6094"/>
    <w:rsid w:val="008B2325"/>
    <w:rsid w:val="008B3021"/>
    <w:rsid w:val="008B6A3E"/>
    <w:rsid w:val="008D1107"/>
    <w:rsid w:val="008D1854"/>
    <w:rsid w:val="008D24AC"/>
    <w:rsid w:val="008D34AF"/>
    <w:rsid w:val="008D464A"/>
    <w:rsid w:val="0090147D"/>
    <w:rsid w:val="00902204"/>
    <w:rsid w:val="009102D1"/>
    <w:rsid w:val="00914BA5"/>
    <w:rsid w:val="009162E6"/>
    <w:rsid w:val="0091700A"/>
    <w:rsid w:val="00917C91"/>
    <w:rsid w:val="00925342"/>
    <w:rsid w:val="00927B08"/>
    <w:rsid w:val="0093228C"/>
    <w:rsid w:val="009356B0"/>
    <w:rsid w:val="0093605B"/>
    <w:rsid w:val="009510ED"/>
    <w:rsid w:val="00954F33"/>
    <w:rsid w:val="00964D2B"/>
    <w:rsid w:val="00965903"/>
    <w:rsid w:val="00966E41"/>
    <w:rsid w:val="00972937"/>
    <w:rsid w:val="00987FD3"/>
    <w:rsid w:val="00995889"/>
    <w:rsid w:val="00995F7B"/>
    <w:rsid w:val="009A5621"/>
    <w:rsid w:val="009A7AD1"/>
    <w:rsid w:val="009B1345"/>
    <w:rsid w:val="009C3510"/>
    <w:rsid w:val="009C49C2"/>
    <w:rsid w:val="009D043A"/>
    <w:rsid w:val="009D20E3"/>
    <w:rsid w:val="009D43CF"/>
    <w:rsid w:val="009D48C2"/>
    <w:rsid w:val="009E7475"/>
    <w:rsid w:val="009F55B5"/>
    <w:rsid w:val="00A04BF9"/>
    <w:rsid w:val="00A075EA"/>
    <w:rsid w:val="00A31F3E"/>
    <w:rsid w:val="00A33334"/>
    <w:rsid w:val="00A349F0"/>
    <w:rsid w:val="00A37A19"/>
    <w:rsid w:val="00A520B2"/>
    <w:rsid w:val="00A632F7"/>
    <w:rsid w:val="00A7785C"/>
    <w:rsid w:val="00A832DD"/>
    <w:rsid w:val="00A91BFA"/>
    <w:rsid w:val="00AA088A"/>
    <w:rsid w:val="00AA68D1"/>
    <w:rsid w:val="00AA7891"/>
    <w:rsid w:val="00AB0661"/>
    <w:rsid w:val="00AB2C2D"/>
    <w:rsid w:val="00AC1D38"/>
    <w:rsid w:val="00AC486A"/>
    <w:rsid w:val="00AD52F1"/>
    <w:rsid w:val="00B2796E"/>
    <w:rsid w:val="00B30E42"/>
    <w:rsid w:val="00B314B3"/>
    <w:rsid w:val="00B316A4"/>
    <w:rsid w:val="00B44D6C"/>
    <w:rsid w:val="00B54193"/>
    <w:rsid w:val="00B60AA1"/>
    <w:rsid w:val="00B61988"/>
    <w:rsid w:val="00B61C4D"/>
    <w:rsid w:val="00B7434F"/>
    <w:rsid w:val="00B7435E"/>
    <w:rsid w:val="00B9516F"/>
    <w:rsid w:val="00B952F7"/>
    <w:rsid w:val="00BA4B57"/>
    <w:rsid w:val="00BA58E8"/>
    <w:rsid w:val="00BA668D"/>
    <w:rsid w:val="00BC25B0"/>
    <w:rsid w:val="00BC261C"/>
    <w:rsid w:val="00BD17D5"/>
    <w:rsid w:val="00C0248C"/>
    <w:rsid w:val="00C07758"/>
    <w:rsid w:val="00C124DB"/>
    <w:rsid w:val="00C13B40"/>
    <w:rsid w:val="00C2397B"/>
    <w:rsid w:val="00C3716E"/>
    <w:rsid w:val="00C44CE3"/>
    <w:rsid w:val="00C53E29"/>
    <w:rsid w:val="00C60814"/>
    <w:rsid w:val="00C661AC"/>
    <w:rsid w:val="00C7559C"/>
    <w:rsid w:val="00C764D9"/>
    <w:rsid w:val="00C874EF"/>
    <w:rsid w:val="00CA293B"/>
    <w:rsid w:val="00CA7CB9"/>
    <w:rsid w:val="00CB7B5F"/>
    <w:rsid w:val="00CC2419"/>
    <w:rsid w:val="00CE1629"/>
    <w:rsid w:val="00CF1079"/>
    <w:rsid w:val="00CF5DC0"/>
    <w:rsid w:val="00D05B14"/>
    <w:rsid w:val="00D13C91"/>
    <w:rsid w:val="00D15AB5"/>
    <w:rsid w:val="00D354DC"/>
    <w:rsid w:val="00D4288E"/>
    <w:rsid w:val="00D44085"/>
    <w:rsid w:val="00D67AED"/>
    <w:rsid w:val="00D708CB"/>
    <w:rsid w:val="00D90C56"/>
    <w:rsid w:val="00DA272A"/>
    <w:rsid w:val="00DA30CE"/>
    <w:rsid w:val="00DC00F5"/>
    <w:rsid w:val="00DD001A"/>
    <w:rsid w:val="00DD06EA"/>
    <w:rsid w:val="00DE0C2B"/>
    <w:rsid w:val="00DE3C09"/>
    <w:rsid w:val="00E00F2D"/>
    <w:rsid w:val="00E01B5D"/>
    <w:rsid w:val="00E1365F"/>
    <w:rsid w:val="00E17F41"/>
    <w:rsid w:val="00E2672D"/>
    <w:rsid w:val="00E31D7C"/>
    <w:rsid w:val="00E407BF"/>
    <w:rsid w:val="00E4283A"/>
    <w:rsid w:val="00E5081C"/>
    <w:rsid w:val="00E51CB4"/>
    <w:rsid w:val="00E5461C"/>
    <w:rsid w:val="00E54772"/>
    <w:rsid w:val="00E551D0"/>
    <w:rsid w:val="00E55586"/>
    <w:rsid w:val="00E57C30"/>
    <w:rsid w:val="00E655C1"/>
    <w:rsid w:val="00E71D07"/>
    <w:rsid w:val="00E738F4"/>
    <w:rsid w:val="00E96FA4"/>
    <w:rsid w:val="00EA41A2"/>
    <w:rsid w:val="00EB35A2"/>
    <w:rsid w:val="00EB5224"/>
    <w:rsid w:val="00EC1915"/>
    <w:rsid w:val="00EC5A37"/>
    <w:rsid w:val="00ED0B2D"/>
    <w:rsid w:val="00EE1F72"/>
    <w:rsid w:val="00EE2940"/>
    <w:rsid w:val="00EE60E0"/>
    <w:rsid w:val="00EE7399"/>
    <w:rsid w:val="00EE7AE2"/>
    <w:rsid w:val="00EF16D0"/>
    <w:rsid w:val="00EF32E1"/>
    <w:rsid w:val="00EF4A20"/>
    <w:rsid w:val="00F2238C"/>
    <w:rsid w:val="00F23C94"/>
    <w:rsid w:val="00F26468"/>
    <w:rsid w:val="00F31BFC"/>
    <w:rsid w:val="00F467B3"/>
    <w:rsid w:val="00F60949"/>
    <w:rsid w:val="00F66AF8"/>
    <w:rsid w:val="00F740B3"/>
    <w:rsid w:val="00F939D3"/>
    <w:rsid w:val="00F9509D"/>
    <w:rsid w:val="00FA19B2"/>
    <w:rsid w:val="00FA58F7"/>
    <w:rsid w:val="00FA746D"/>
    <w:rsid w:val="00FB1E35"/>
    <w:rsid w:val="00FC0918"/>
    <w:rsid w:val="00FC462C"/>
    <w:rsid w:val="00FD6E1E"/>
    <w:rsid w:val="00FE007C"/>
    <w:rsid w:val="00FE3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3390C"/>
  <w15:chartTrackingRefBased/>
  <w15:docId w15:val="{646E08E2-976D-4610-9915-C0A98678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27"/>
    <w:rPr>
      <w:lang w:val="en-US"/>
    </w:rPr>
  </w:style>
  <w:style w:type="paragraph" w:styleId="Heading1">
    <w:name w:val="heading 1"/>
    <w:basedOn w:val="Normal"/>
    <w:next w:val="Normal"/>
    <w:link w:val="Heading1Char"/>
    <w:uiPriority w:val="9"/>
    <w:qFormat/>
    <w:rsid w:val="004A71A5"/>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71A5"/>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71A5"/>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A71A5"/>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71A5"/>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71A5"/>
    <w:pPr>
      <w:keepNext/>
      <w:keepLines/>
      <w:numPr>
        <w:ilvl w:val="5"/>
        <w:numId w:val="4"/>
      </w:numPr>
      <w:tabs>
        <w:tab w:val="num" w:pos="360"/>
      </w:tabs>
      <w:spacing w:before="40" w:after="0"/>
      <w:ind w:left="2916" w:hanging="936"/>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A71A5"/>
    <w:pPr>
      <w:keepNext/>
      <w:keepLines/>
      <w:numPr>
        <w:ilvl w:val="6"/>
        <w:numId w:val="4"/>
      </w:numPr>
      <w:tabs>
        <w:tab w:val="num" w:pos="360"/>
      </w:tabs>
      <w:spacing w:before="40" w:after="0"/>
      <w:ind w:left="3420" w:hanging="108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A71A5"/>
    <w:pPr>
      <w:keepNext/>
      <w:keepLines/>
      <w:numPr>
        <w:ilvl w:val="7"/>
        <w:numId w:val="4"/>
      </w:numPr>
      <w:tabs>
        <w:tab w:val="num" w:pos="360"/>
      </w:tabs>
      <w:spacing w:before="40" w:after="0"/>
      <w:ind w:left="3924" w:hanging="1224"/>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A71A5"/>
    <w:pPr>
      <w:keepNext/>
      <w:keepLines/>
      <w:numPr>
        <w:ilvl w:val="8"/>
        <w:numId w:val="4"/>
      </w:numPr>
      <w:tabs>
        <w:tab w:val="num" w:pos="360"/>
      </w:tabs>
      <w:spacing w:before="40" w:after="0"/>
      <w:ind w:left="4500" w:hanging="14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7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C4A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4A71A5"/>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4A71A5"/>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4A71A5"/>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4A71A5"/>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4A71A5"/>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4A71A5"/>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4A71A5"/>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4A71A5"/>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4A71A5"/>
    <w:rPr>
      <w:rFonts w:asciiTheme="majorHAnsi" w:eastAsiaTheme="majorEastAsia" w:hAnsiTheme="majorHAnsi" w:cstheme="majorBidi"/>
      <w:i/>
      <w:iCs/>
      <w:color w:val="272727" w:themeColor="text1" w:themeTint="D8"/>
      <w:sz w:val="21"/>
      <w:szCs w:val="21"/>
      <w:lang w:val="en-US"/>
    </w:rPr>
  </w:style>
  <w:style w:type="paragraph" w:styleId="NormalWeb">
    <w:name w:val="Normal (Web)"/>
    <w:basedOn w:val="Normal"/>
    <w:uiPriority w:val="99"/>
    <w:unhideWhenUsed/>
    <w:rsid w:val="004A71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71A5"/>
    <w:rPr>
      <w:b/>
      <w:bCs/>
    </w:rPr>
  </w:style>
  <w:style w:type="paragraph" w:styleId="ListParagraph">
    <w:name w:val="List Paragraph"/>
    <w:basedOn w:val="Normal"/>
    <w:uiPriority w:val="34"/>
    <w:qFormat/>
    <w:rsid w:val="004A71A5"/>
    <w:pPr>
      <w:ind w:left="720"/>
      <w:contextualSpacing/>
    </w:pPr>
  </w:style>
  <w:style w:type="character" w:styleId="CommentReference">
    <w:name w:val="annotation reference"/>
    <w:basedOn w:val="DefaultParagraphFont"/>
    <w:uiPriority w:val="99"/>
    <w:semiHidden/>
    <w:unhideWhenUsed/>
    <w:rsid w:val="004A71A5"/>
    <w:rPr>
      <w:sz w:val="16"/>
      <w:szCs w:val="16"/>
    </w:rPr>
  </w:style>
  <w:style w:type="paragraph" w:styleId="CommentText">
    <w:name w:val="annotation text"/>
    <w:basedOn w:val="Normal"/>
    <w:link w:val="CommentTextChar"/>
    <w:uiPriority w:val="99"/>
    <w:unhideWhenUsed/>
    <w:rsid w:val="004A71A5"/>
    <w:pPr>
      <w:spacing w:line="240" w:lineRule="auto"/>
    </w:pPr>
    <w:rPr>
      <w:sz w:val="20"/>
      <w:szCs w:val="20"/>
    </w:rPr>
  </w:style>
  <w:style w:type="character" w:customStyle="1" w:styleId="CommentTextChar">
    <w:name w:val="Comment Text Char"/>
    <w:basedOn w:val="DefaultParagraphFont"/>
    <w:link w:val="CommentText"/>
    <w:uiPriority w:val="99"/>
    <w:rsid w:val="004A71A5"/>
    <w:rPr>
      <w:sz w:val="20"/>
      <w:szCs w:val="20"/>
      <w:lang w:val="en-US"/>
    </w:rPr>
  </w:style>
  <w:style w:type="paragraph" w:styleId="CommentSubject">
    <w:name w:val="annotation subject"/>
    <w:basedOn w:val="CommentText"/>
    <w:next w:val="CommentText"/>
    <w:link w:val="CommentSubjectChar"/>
    <w:uiPriority w:val="99"/>
    <w:semiHidden/>
    <w:unhideWhenUsed/>
    <w:rsid w:val="004A71A5"/>
    <w:rPr>
      <w:b/>
      <w:bCs/>
    </w:rPr>
  </w:style>
  <w:style w:type="character" w:customStyle="1" w:styleId="CommentSubjectChar">
    <w:name w:val="Comment Subject Char"/>
    <w:basedOn w:val="CommentTextChar"/>
    <w:link w:val="CommentSubject"/>
    <w:uiPriority w:val="99"/>
    <w:semiHidden/>
    <w:rsid w:val="004A71A5"/>
    <w:rPr>
      <w:b/>
      <w:bCs/>
      <w:sz w:val="20"/>
      <w:szCs w:val="20"/>
      <w:lang w:val="en-US"/>
    </w:rPr>
  </w:style>
  <w:style w:type="paragraph" w:styleId="FootnoteText">
    <w:name w:val="footnote text"/>
    <w:basedOn w:val="Normal"/>
    <w:link w:val="FootnoteTextChar"/>
    <w:uiPriority w:val="99"/>
    <w:semiHidden/>
    <w:unhideWhenUsed/>
    <w:rsid w:val="004A71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71A5"/>
    <w:rPr>
      <w:sz w:val="20"/>
      <w:szCs w:val="20"/>
      <w:lang w:val="en-US"/>
    </w:rPr>
  </w:style>
  <w:style w:type="character" w:styleId="FootnoteReference">
    <w:name w:val="footnote reference"/>
    <w:basedOn w:val="DefaultParagraphFont"/>
    <w:uiPriority w:val="99"/>
    <w:semiHidden/>
    <w:unhideWhenUsed/>
    <w:rsid w:val="004A71A5"/>
    <w:rPr>
      <w:vertAlign w:val="superscript"/>
    </w:rPr>
  </w:style>
  <w:style w:type="character" w:styleId="Hyperlink">
    <w:name w:val="Hyperlink"/>
    <w:basedOn w:val="DefaultParagraphFont"/>
    <w:uiPriority w:val="99"/>
    <w:unhideWhenUsed/>
    <w:rsid w:val="004A71A5"/>
    <w:rPr>
      <w:color w:val="0563C1"/>
      <w:u w:val="single"/>
    </w:rPr>
  </w:style>
  <w:style w:type="character" w:styleId="FollowedHyperlink">
    <w:name w:val="FollowedHyperlink"/>
    <w:basedOn w:val="DefaultParagraphFont"/>
    <w:uiPriority w:val="99"/>
    <w:semiHidden/>
    <w:unhideWhenUsed/>
    <w:rsid w:val="004A71A5"/>
    <w:rPr>
      <w:color w:val="954F72"/>
      <w:u w:val="single"/>
    </w:rPr>
  </w:style>
  <w:style w:type="paragraph" w:customStyle="1" w:styleId="msonormal0">
    <w:name w:val="msonormal"/>
    <w:basedOn w:val="Normal"/>
    <w:rsid w:val="004A71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4A71A5"/>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4A71A5"/>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4A71A5"/>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4A71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4A71A5"/>
    <w:pPr>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4A71A5"/>
  </w:style>
  <w:style w:type="table" w:customStyle="1" w:styleId="TableGrid1">
    <w:name w:val="Table Grid1"/>
    <w:basedOn w:val="TableNormal"/>
    <w:next w:val="TableGrid"/>
    <w:uiPriority w:val="39"/>
    <w:rsid w:val="004A71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A5"/>
    <w:rPr>
      <w:lang w:val="en-US"/>
    </w:rPr>
  </w:style>
  <w:style w:type="paragraph" w:styleId="Footer">
    <w:name w:val="footer"/>
    <w:basedOn w:val="Normal"/>
    <w:link w:val="FooterChar"/>
    <w:uiPriority w:val="99"/>
    <w:unhideWhenUsed/>
    <w:rsid w:val="004A7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A5"/>
    <w:rPr>
      <w:lang w:val="en-US"/>
    </w:rPr>
  </w:style>
  <w:style w:type="paragraph" w:customStyle="1" w:styleId="Style1">
    <w:name w:val="Style1"/>
    <w:basedOn w:val="Heading1"/>
    <w:link w:val="Style1Char"/>
    <w:qFormat/>
    <w:rsid w:val="004A71A5"/>
    <w:pPr>
      <w:numPr>
        <w:numId w:val="3"/>
      </w:numPr>
      <w:spacing w:before="0" w:line="360" w:lineRule="auto"/>
    </w:pPr>
    <w:rPr>
      <w:rFonts w:asciiTheme="majorBidi" w:hAnsiTheme="majorBidi"/>
      <w:b/>
      <w:bCs/>
      <w:sz w:val="24"/>
      <w:szCs w:val="24"/>
    </w:rPr>
  </w:style>
  <w:style w:type="numbering" w:customStyle="1" w:styleId="Style2">
    <w:name w:val="Style2"/>
    <w:uiPriority w:val="99"/>
    <w:rsid w:val="004A71A5"/>
    <w:pPr>
      <w:numPr>
        <w:numId w:val="5"/>
      </w:numPr>
    </w:pPr>
  </w:style>
  <w:style w:type="character" w:customStyle="1" w:styleId="Style1Char">
    <w:name w:val="Style1 Char"/>
    <w:basedOn w:val="Heading1Char"/>
    <w:link w:val="Style1"/>
    <w:rsid w:val="004A71A5"/>
    <w:rPr>
      <w:rFonts w:asciiTheme="majorBidi" w:eastAsiaTheme="majorEastAsia" w:hAnsiTheme="majorBidi" w:cstheme="majorBidi"/>
      <w:b/>
      <w:bCs/>
      <w:color w:val="2F5496" w:themeColor="accent1" w:themeShade="BF"/>
      <w:sz w:val="24"/>
      <w:szCs w:val="24"/>
      <w:lang w:val="en-US"/>
    </w:rPr>
  </w:style>
  <w:style w:type="paragraph" w:styleId="Bibliography">
    <w:name w:val="Bibliography"/>
    <w:basedOn w:val="Normal"/>
    <w:next w:val="Normal"/>
    <w:uiPriority w:val="37"/>
    <w:unhideWhenUsed/>
    <w:rsid w:val="004A71A5"/>
    <w:pPr>
      <w:tabs>
        <w:tab w:val="left" w:pos="624"/>
      </w:tabs>
      <w:spacing w:after="0" w:line="240" w:lineRule="auto"/>
      <w:ind w:left="624" w:hanging="624"/>
    </w:pPr>
  </w:style>
  <w:style w:type="paragraph" w:styleId="Caption">
    <w:name w:val="caption"/>
    <w:basedOn w:val="Normal"/>
    <w:next w:val="Normal"/>
    <w:uiPriority w:val="35"/>
    <w:unhideWhenUsed/>
    <w:qFormat/>
    <w:rsid w:val="004A71A5"/>
    <w:pPr>
      <w:spacing w:after="200" w:line="240" w:lineRule="auto"/>
    </w:pPr>
    <w:rPr>
      <w:i/>
      <w:iCs/>
      <w:color w:val="44546A" w:themeColor="text2"/>
      <w:sz w:val="18"/>
      <w:szCs w:val="18"/>
    </w:rPr>
  </w:style>
  <w:style w:type="table" w:styleId="PlainTable1">
    <w:name w:val="Plain Table 1"/>
    <w:basedOn w:val="TableNormal"/>
    <w:uiPriority w:val="41"/>
    <w:rsid w:val="004A71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Reference">
    <w:name w:val="Subtle Reference"/>
    <w:basedOn w:val="DefaultParagraphFont"/>
    <w:uiPriority w:val="31"/>
    <w:qFormat/>
    <w:rsid w:val="006D2F76"/>
    <w:rPr>
      <w:smallCaps/>
      <w:color w:val="5A5A5A" w:themeColor="text1" w:themeTint="A5"/>
    </w:rPr>
  </w:style>
  <w:style w:type="character" w:styleId="EndnoteReference">
    <w:name w:val="endnote reference"/>
    <w:basedOn w:val="DefaultParagraphFont"/>
    <w:uiPriority w:val="99"/>
    <w:semiHidden/>
    <w:unhideWhenUsed/>
    <w:rsid w:val="00821A3C"/>
    <w:rPr>
      <w:vertAlign w:val="superscript"/>
    </w:rPr>
  </w:style>
  <w:style w:type="paragraph" w:styleId="Revision">
    <w:name w:val="Revision"/>
    <w:hidden/>
    <w:uiPriority w:val="99"/>
    <w:semiHidden/>
    <w:rsid w:val="00821A3C"/>
    <w:pPr>
      <w:spacing w:after="0" w:line="240" w:lineRule="auto"/>
    </w:pPr>
  </w:style>
  <w:style w:type="character" w:styleId="UnresolvedMention">
    <w:name w:val="Unresolved Mention"/>
    <w:basedOn w:val="DefaultParagraphFont"/>
    <w:uiPriority w:val="99"/>
    <w:semiHidden/>
    <w:unhideWhenUsed/>
    <w:rsid w:val="00821A3C"/>
    <w:rPr>
      <w:color w:val="605E5C"/>
      <w:shd w:val="clear" w:color="auto" w:fill="E1DFDD"/>
    </w:rPr>
  </w:style>
  <w:style w:type="paragraph" w:styleId="Title">
    <w:name w:val="Title"/>
    <w:basedOn w:val="Normal"/>
    <w:next w:val="Normal"/>
    <w:link w:val="TitleChar"/>
    <w:uiPriority w:val="10"/>
    <w:qFormat/>
    <w:rsid w:val="002C2F6F"/>
    <w:pPr>
      <w:spacing w:after="80" w:line="240" w:lineRule="auto"/>
      <w:contextualSpacing/>
    </w:pPr>
    <w:rPr>
      <w:rFonts w:asciiTheme="majorHAnsi" w:eastAsiaTheme="majorEastAsia" w:hAnsiTheme="majorHAnsi" w:cstheme="majorBidi"/>
      <w:i/>
      <w:spacing w:val="-10"/>
      <w:kern w:val="28"/>
      <w:sz w:val="56"/>
      <w:szCs w:val="56"/>
      <w14:ligatures w14:val="standardContextual"/>
    </w:rPr>
  </w:style>
  <w:style w:type="character" w:customStyle="1" w:styleId="TitleChar">
    <w:name w:val="Title Char"/>
    <w:basedOn w:val="DefaultParagraphFont"/>
    <w:link w:val="Title"/>
    <w:uiPriority w:val="10"/>
    <w:rsid w:val="002C2F6F"/>
    <w:rPr>
      <w:rFonts w:asciiTheme="majorHAnsi" w:eastAsiaTheme="majorEastAsia" w:hAnsiTheme="majorHAnsi" w:cstheme="majorBidi"/>
      <w:i/>
      <w:spacing w:val="-10"/>
      <w:kern w:val="28"/>
      <w:sz w:val="56"/>
      <w:szCs w:val="56"/>
      <w:lang w:val="en-US"/>
      <w14:ligatures w14:val="standardContextual"/>
    </w:rPr>
  </w:style>
  <w:style w:type="paragraph" w:styleId="Subtitle">
    <w:name w:val="Subtitle"/>
    <w:basedOn w:val="Normal"/>
    <w:next w:val="Normal"/>
    <w:link w:val="SubtitleChar"/>
    <w:uiPriority w:val="11"/>
    <w:qFormat/>
    <w:rsid w:val="002C2F6F"/>
    <w:pPr>
      <w:numPr>
        <w:ilvl w:val="1"/>
      </w:numPr>
    </w:pPr>
    <w:rPr>
      <w:rFonts w:eastAsiaTheme="majorEastAsia" w:cstheme="majorBidi"/>
      <w: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2F6F"/>
    <w:rPr>
      <w:rFonts w:eastAsiaTheme="majorEastAsia" w:cstheme="majorBidi"/>
      <w: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2C2F6F"/>
    <w:pPr>
      <w:spacing w:before="160"/>
      <w:jc w:val="center"/>
    </w:pPr>
    <w:rPr>
      <w:rFonts w:ascii="Times New Roman" w:hAnsi="Times New Roman" w:cs="Times New Roman"/>
      <w:iCs/>
      <w:color w:val="404040" w:themeColor="text1" w:themeTint="BF"/>
      <w:kern w:val="2"/>
      <w:sz w:val="20"/>
      <w:szCs w:val="20"/>
      <w14:ligatures w14:val="standardContextual"/>
    </w:rPr>
  </w:style>
  <w:style w:type="character" w:customStyle="1" w:styleId="QuoteChar">
    <w:name w:val="Quote Char"/>
    <w:basedOn w:val="DefaultParagraphFont"/>
    <w:link w:val="Quote"/>
    <w:uiPriority w:val="29"/>
    <w:rsid w:val="002C2F6F"/>
    <w:rPr>
      <w:rFonts w:ascii="Times New Roman" w:hAnsi="Times New Roman" w:cs="Times New Roman"/>
      <w:iCs/>
      <w:color w:val="404040" w:themeColor="text1" w:themeTint="BF"/>
      <w:kern w:val="2"/>
      <w:sz w:val="20"/>
      <w:szCs w:val="20"/>
      <w:lang w:val="en-US"/>
      <w14:ligatures w14:val="standardContextual"/>
    </w:rPr>
  </w:style>
  <w:style w:type="character" w:styleId="IntenseEmphasis">
    <w:name w:val="Intense Emphasis"/>
    <w:basedOn w:val="DefaultParagraphFont"/>
    <w:uiPriority w:val="21"/>
    <w:qFormat/>
    <w:rsid w:val="002C2F6F"/>
    <w:rPr>
      <w:i/>
      <w:iCs/>
      <w:color w:val="2F5496" w:themeColor="accent1" w:themeShade="BF"/>
    </w:rPr>
  </w:style>
  <w:style w:type="paragraph" w:styleId="IntenseQuote">
    <w:name w:val="Intense Quote"/>
    <w:basedOn w:val="Normal"/>
    <w:next w:val="Normal"/>
    <w:link w:val="IntenseQuoteChar"/>
    <w:uiPriority w:val="30"/>
    <w:qFormat/>
    <w:rsid w:val="002C2F6F"/>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cs="Times New Roman"/>
      <w:iCs/>
      <w:color w:val="2F5496" w:themeColor="accent1" w:themeShade="BF"/>
      <w:kern w:val="2"/>
      <w:sz w:val="20"/>
      <w:szCs w:val="20"/>
      <w14:ligatures w14:val="standardContextual"/>
    </w:rPr>
  </w:style>
  <w:style w:type="character" w:customStyle="1" w:styleId="IntenseQuoteChar">
    <w:name w:val="Intense Quote Char"/>
    <w:basedOn w:val="DefaultParagraphFont"/>
    <w:link w:val="IntenseQuote"/>
    <w:uiPriority w:val="30"/>
    <w:rsid w:val="002C2F6F"/>
    <w:rPr>
      <w:rFonts w:ascii="Times New Roman" w:hAnsi="Times New Roman" w:cs="Times New Roman"/>
      <w:iCs/>
      <w:color w:val="2F5496" w:themeColor="accent1" w:themeShade="BF"/>
      <w:kern w:val="2"/>
      <w:sz w:val="20"/>
      <w:szCs w:val="20"/>
      <w:lang w:val="en-US"/>
      <w14:ligatures w14:val="standardContextual"/>
    </w:rPr>
  </w:style>
  <w:style w:type="character" w:styleId="IntenseReference">
    <w:name w:val="Intense Reference"/>
    <w:basedOn w:val="DefaultParagraphFont"/>
    <w:uiPriority w:val="32"/>
    <w:qFormat/>
    <w:rsid w:val="002C2F6F"/>
    <w:rPr>
      <w:b/>
      <w:bCs/>
      <w:smallCaps/>
      <w:color w:val="2F5496" w:themeColor="accent1" w:themeShade="BF"/>
      <w:spacing w:val="5"/>
    </w:rPr>
  </w:style>
  <w:style w:type="paragraph" w:customStyle="1" w:styleId="font5">
    <w:name w:val="font5"/>
    <w:basedOn w:val="Normal"/>
    <w:rsid w:val="002C2F6F"/>
    <w:pPr>
      <w:spacing w:before="100" w:beforeAutospacing="1" w:after="100" w:afterAutospacing="1" w:line="240" w:lineRule="auto"/>
    </w:pPr>
    <w:rPr>
      <w:rFonts w:ascii="Tahoma" w:eastAsia="Times New Roman" w:hAnsi="Tahoma" w:cs="Tahoma"/>
      <w:b/>
      <w:bCs/>
      <w:color w:val="000000"/>
      <w:sz w:val="18"/>
      <w:szCs w:val="18"/>
      <w:lang w:eastAsia="en-GB"/>
    </w:rPr>
  </w:style>
  <w:style w:type="paragraph" w:customStyle="1" w:styleId="font6">
    <w:name w:val="font6"/>
    <w:basedOn w:val="Normal"/>
    <w:rsid w:val="002C2F6F"/>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7">
    <w:name w:val="font7"/>
    <w:basedOn w:val="Normal"/>
    <w:rsid w:val="002C2F6F"/>
    <w:pPr>
      <w:spacing w:before="100" w:beforeAutospacing="1" w:after="100" w:afterAutospacing="1" w:line="240" w:lineRule="auto"/>
    </w:pPr>
    <w:rPr>
      <w:rFonts w:ascii="Times New Roman" w:eastAsia="Times New Roman" w:hAnsi="Times New Roman" w:cs="Times New Roman"/>
      <w:color w:val="FF0000"/>
      <w:sz w:val="20"/>
      <w:szCs w:val="20"/>
      <w:lang w:eastAsia="en-GB"/>
    </w:rPr>
  </w:style>
  <w:style w:type="table" w:styleId="TableGridLight">
    <w:name w:val="Grid Table Light"/>
    <w:basedOn w:val="TableNormal"/>
    <w:uiPriority w:val="40"/>
    <w:rsid w:val="002C2F6F"/>
    <w:pPr>
      <w:spacing w:after="0" w:line="240" w:lineRule="auto"/>
    </w:pPr>
    <w:rPr>
      <w:rFonts w:ascii="Times New Roman" w:hAnsi="Times New Roman" w:cs="Times New Roman"/>
      <w:i/>
      <w:kern w:val="2"/>
      <w:sz w:val="20"/>
      <w:szCs w:val="20"/>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unhideWhenUsed/>
    <w:rsid w:val="007B3C27"/>
    <w:rPr>
      <w:rFonts w:ascii="Times New Roman" w:hAnsi="Times New Roman"/>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998661">
      <w:bodyDiv w:val="1"/>
      <w:marLeft w:val="0"/>
      <w:marRight w:val="0"/>
      <w:marTop w:val="0"/>
      <w:marBottom w:val="0"/>
      <w:divBdr>
        <w:top w:val="none" w:sz="0" w:space="0" w:color="auto"/>
        <w:left w:val="none" w:sz="0" w:space="0" w:color="auto"/>
        <w:bottom w:val="none" w:sz="0" w:space="0" w:color="auto"/>
        <w:right w:val="none" w:sz="0" w:space="0" w:color="auto"/>
      </w:divBdr>
    </w:div>
    <w:div w:id="15790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63A8D-06FC-4A16-97EC-85A9DE08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59</Pages>
  <Words>180216</Words>
  <Characters>1005610</Characters>
  <Application>Microsoft Office Word</Application>
  <DocSecurity>0</DocSecurity>
  <Lines>62850</Lines>
  <Paragraphs>49409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Saina Sehatkar Langrodi</dc:creator>
  <cp:keywords/>
  <dc:description/>
  <cp:lastModifiedBy>Saina Sehatkar Langrodi</cp:lastModifiedBy>
  <cp:revision>8</cp:revision>
  <dcterms:created xsi:type="dcterms:W3CDTF">2025-08-08T18:47:00Z</dcterms:created>
  <dcterms:modified xsi:type="dcterms:W3CDTF">2025-08-08T18:54:00Z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89a2f208-07d7-431d-9eea-2a618dd0e080</vt:lpwstr>
  </property>
  <property fmtid="{D5CDD505-2E9C-101B-9397-08002B2CF9AE}" pid="3" name="ZOTERO_PREF_1">
    <vt:lpwstr>&lt;data data-version="3" zotero-version="7.0.22"&gt;&lt;session id="UyJSbRHv"/&gt;&lt;style id="http://www.zotero.org/styles/health-policy" hasBibliography="1" bibliographyStyleHasBeenSet="1"/&gt;&lt;prefs&gt;&lt;pref name="fieldType" value="Field"/&gt;&lt;pref name="dontAskDelayCitatio</vt:lpwstr>
  </property>
  <property fmtid="{D5CDD505-2E9C-101B-9397-08002B2CF9AE}" pid="4" name="ZOTERO_PREF_2">
    <vt:lpwstr>nUpdates" value="true"/&gt;&lt;/prefs&gt;&lt;/data&gt;</vt:lpwstr>
  </property>
</Properties>
</file>