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FD69" w14:textId="294A7FAB" w:rsidR="00C558DA" w:rsidRPr="00C558DA" w:rsidRDefault="00C22AE5" w:rsidP="00C558DA">
      <w:pPr>
        <w:ind w:left="-709"/>
        <w:rPr>
          <w:rFonts w:ascii="Times New Roman" w:hAnsi="Times New Roman" w:cs="Times New Roman"/>
        </w:rPr>
      </w:pPr>
      <w:r w:rsidRPr="00C22AE5">
        <w:rPr>
          <w:rFonts w:ascii="Times New Roman" w:hAnsi="Times New Roman" w:cs="Times New Roman"/>
        </w:rPr>
        <w:t>Supplementary Material 4</w:t>
      </w:r>
      <w:r>
        <w:rPr>
          <w:rFonts w:ascii="Times New Roman" w:hAnsi="Times New Roman" w:cs="Times New Roman"/>
        </w:rPr>
        <w:t xml:space="preserve">: </w:t>
      </w:r>
      <w:r w:rsidR="00C558DA" w:rsidRPr="00C558DA">
        <w:rPr>
          <w:rFonts w:ascii="Times New Roman" w:hAnsi="Times New Roman" w:cs="Times New Roman"/>
        </w:rPr>
        <w:t xml:space="preserve">Quality assessment of the </w:t>
      </w:r>
      <w:r w:rsidR="008309B9">
        <w:rPr>
          <w:rFonts w:ascii="Times New Roman" w:hAnsi="Times New Roman" w:cs="Times New Roman"/>
        </w:rPr>
        <w:t xml:space="preserve">included </w:t>
      </w:r>
      <w:r w:rsidR="00C558DA" w:rsidRPr="00C558DA">
        <w:rPr>
          <w:rFonts w:ascii="Times New Roman" w:hAnsi="Times New Roman" w:cs="Times New Roman"/>
        </w:rPr>
        <w:t>studies</w:t>
      </w:r>
    </w:p>
    <w:p w14:paraId="1713D696" w14:textId="77777777" w:rsidR="00C558DA" w:rsidRDefault="00C558DA" w:rsidP="00C558DA"/>
    <w:tbl>
      <w:tblPr>
        <w:tblStyle w:val="TableGrid"/>
        <w:tblW w:w="15168" w:type="dxa"/>
        <w:tblInd w:w="-714" w:type="dxa"/>
        <w:tblLayout w:type="fixed"/>
        <w:tblLook w:val="04A0" w:firstRow="1" w:lastRow="0" w:firstColumn="1" w:lastColumn="0" w:noHBand="0" w:noVBand="1"/>
      </w:tblPr>
      <w:tblGrid>
        <w:gridCol w:w="2127"/>
        <w:gridCol w:w="1559"/>
        <w:gridCol w:w="1843"/>
        <w:gridCol w:w="1701"/>
        <w:gridCol w:w="1559"/>
        <w:gridCol w:w="1559"/>
        <w:gridCol w:w="1701"/>
        <w:gridCol w:w="1701"/>
        <w:gridCol w:w="1418"/>
      </w:tblGrid>
      <w:tr w:rsidR="0025781E" w:rsidRPr="00633D28" w14:paraId="695C8792" w14:textId="60B0CDFA" w:rsidTr="0025781E">
        <w:tc>
          <w:tcPr>
            <w:tcW w:w="2127" w:type="dxa"/>
          </w:tcPr>
          <w:p w14:paraId="53B7A2DD" w14:textId="77777777" w:rsidR="0025781E" w:rsidRPr="00EC73B8" w:rsidRDefault="0025781E" w:rsidP="0025781E">
            <w:pPr>
              <w:rPr>
                <w:rFonts w:ascii="Times New Roman" w:hAnsi="Times New Roman" w:cs="Times New Roman"/>
                <w:b/>
                <w:bCs/>
                <w:sz w:val="18"/>
                <w:szCs w:val="18"/>
                <w:lang w:val="en-US"/>
              </w:rPr>
            </w:pPr>
            <w:r w:rsidRPr="00EC73B8">
              <w:rPr>
                <w:rFonts w:ascii="Times New Roman" w:hAnsi="Times New Roman" w:cs="Times New Roman"/>
                <w:b/>
                <w:bCs/>
                <w:sz w:val="18"/>
                <w:szCs w:val="18"/>
                <w:lang w:val="en-US"/>
              </w:rPr>
              <w:t xml:space="preserve">Author &amp; year </w:t>
            </w:r>
          </w:p>
          <w:p w14:paraId="34773FE4" w14:textId="77777777" w:rsidR="0025781E" w:rsidRPr="00633D28" w:rsidRDefault="0025781E" w:rsidP="0025781E">
            <w:pPr>
              <w:rPr>
                <w:sz w:val="20"/>
                <w:szCs w:val="20"/>
              </w:rPr>
            </w:pPr>
          </w:p>
        </w:tc>
        <w:tc>
          <w:tcPr>
            <w:tcW w:w="1559" w:type="dxa"/>
          </w:tcPr>
          <w:p w14:paraId="16E5AA23" w14:textId="2C48CF82" w:rsidR="0025781E" w:rsidRPr="00633D28" w:rsidRDefault="0025781E" w:rsidP="0025781E">
            <w:pPr>
              <w:rPr>
                <w:sz w:val="20"/>
                <w:szCs w:val="20"/>
              </w:rPr>
            </w:pPr>
            <w:r w:rsidRPr="00633D28">
              <w:rPr>
                <w:rFonts w:ascii="Times New Roman" w:hAnsi="Times New Roman" w:cs="Times New Roman"/>
                <w:color w:val="000000" w:themeColor="text1"/>
                <w:sz w:val="20"/>
                <w:szCs w:val="20"/>
              </w:rPr>
              <w:t>Clearly defined inclusion criteria</w:t>
            </w:r>
          </w:p>
        </w:tc>
        <w:tc>
          <w:tcPr>
            <w:tcW w:w="1843" w:type="dxa"/>
          </w:tcPr>
          <w:p w14:paraId="4FF5F78D" w14:textId="76AC5ED3" w:rsidR="0025781E" w:rsidRPr="00633D28" w:rsidRDefault="0025781E" w:rsidP="0025781E">
            <w:pPr>
              <w:rPr>
                <w:sz w:val="20"/>
                <w:szCs w:val="20"/>
              </w:rPr>
            </w:pPr>
            <w:r w:rsidRPr="00633D28">
              <w:rPr>
                <w:rFonts w:ascii="Times New Roman" w:hAnsi="Times New Roman" w:cs="Times New Roman"/>
                <w:color w:val="000000" w:themeColor="text1"/>
                <w:sz w:val="20"/>
                <w:szCs w:val="20"/>
              </w:rPr>
              <w:t>Detailed description of study subjects and setting</w:t>
            </w:r>
          </w:p>
        </w:tc>
        <w:tc>
          <w:tcPr>
            <w:tcW w:w="1701" w:type="dxa"/>
          </w:tcPr>
          <w:p w14:paraId="2A26B7DD" w14:textId="4C20D0AA" w:rsidR="0025781E" w:rsidRPr="00633D28" w:rsidRDefault="0025781E" w:rsidP="0025781E">
            <w:pPr>
              <w:rPr>
                <w:sz w:val="20"/>
                <w:szCs w:val="20"/>
              </w:rPr>
            </w:pPr>
            <w:r w:rsidRPr="00633D28">
              <w:rPr>
                <w:rFonts w:ascii="Times New Roman" w:hAnsi="Times New Roman" w:cs="Times New Roman"/>
                <w:color w:val="000000" w:themeColor="text1"/>
                <w:sz w:val="20"/>
                <w:szCs w:val="20"/>
              </w:rPr>
              <w:t>Valid and reliable exposure measurement</w:t>
            </w:r>
          </w:p>
        </w:tc>
        <w:tc>
          <w:tcPr>
            <w:tcW w:w="1559" w:type="dxa"/>
          </w:tcPr>
          <w:p w14:paraId="2A685262" w14:textId="2D27FF1F" w:rsidR="0025781E" w:rsidRPr="00633D28" w:rsidRDefault="0025781E" w:rsidP="0025781E">
            <w:pPr>
              <w:rPr>
                <w:sz w:val="20"/>
                <w:szCs w:val="20"/>
              </w:rPr>
            </w:pPr>
            <w:r w:rsidRPr="00633D28">
              <w:rPr>
                <w:rFonts w:ascii="Times New Roman" w:hAnsi="Times New Roman" w:cs="Times New Roman"/>
                <w:color w:val="000000" w:themeColor="text1"/>
                <w:sz w:val="20"/>
                <w:szCs w:val="20"/>
              </w:rPr>
              <w:t>Use of objective, standard criteria</w:t>
            </w:r>
          </w:p>
        </w:tc>
        <w:tc>
          <w:tcPr>
            <w:tcW w:w="1559" w:type="dxa"/>
          </w:tcPr>
          <w:p w14:paraId="7F2D3CCF" w14:textId="3AEFEB89" w:rsidR="0025781E" w:rsidRPr="00633D28" w:rsidRDefault="0025781E" w:rsidP="0025781E">
            <w:pPr>
              <w:rPr>
                <w:sz w:val="20"/>
                <w:szCs w:val="20"/>
              </w:rPr>
            </w:pPr>
            <w:r w:rsidRPr="00633D28">
              <w:rPr>
                <w:rFonts w:ascii="Times New Roman" w:hAnsi="Times New Roman" w:cs="Times New Roman"/>
                <w:color w:val="000000" w:themeColor="text1"/>
                <w:sz w:val="20"/>
                <w:szCs w:val="20"/>
              </w:rPr>
              <w:t>Identification of confounding factors</w:t>
            </w:r>
          </w:p>
        </w:tc>
        <w:tc>
          <w:tcPr>
            <w:tcW w:w="1701" w:type="dxa"/>
          </w:tcPr>
          <w:p w14:paraId="0582CEC8" w14:textId="02DD885C" w:rsidR="0025781E" w:rsidRPr="00633D28" w:rsidRDefault="0025781E" w:rsidP="0025781E">
            <w:pPr>
              <w:rPr>
                <w:sz w:val="20"/>
                <w:szCs w:val="20"/>
              </w:rPr>
            </w:pPr>
            <w:r w:rsidRPr="00633D28">
              <w:rPr>
                <w:rFonts w:ascii="Times New Roman" w:hAnsi="Times New Roman" w:cs="Times New Roman"/>
                <w:color w:val="000000" w:themeColor="text1"/>
                <w:sz w:val="20"/>
                <w:szCs w:val="20"/>
              </w:rPr>
              <w:t>strategies to address confounding factors</w:t>
            </w:r>
          </w:p>
        </w:tc>
        <w:tc>
          <w:tcPr>
            <w:tcW w:w="1701" w:type="dxa"/>
          </w:tcPr>
          <w:p w14:paraId="0643929F" w14:textId="52E9420D" w:rsidR="0025781E" w:rsidRPr="00633D28" w:rsidRDefault="0025781E" w:rsidP="0025781E">
            <w:pPr>
              <w:rPr>
                <w:sz w:val="20"/>
                <w:szCs w:val="20"/>
              </w:rPr>
            </w:pPr>
            <w:r w:rsidRPr="00633D28">
              <w:rPr>
                <w:rFonts w:ascii="Times New Roman" w:hAnsi="Times New Roman" w:cs="Times New Roman"/>
                <w:color w:val="000000" w:themeColor="text1"/>
                <w:sz w:val="20"/>
                <w:szCs w:val="20"/>
              </w:rPr>
              <w:t>Valid and reliable outcome measurement</w:t>
            </w:r>
          </w:p>
        </w:tc>
        <w:tc>
          <w:tcPr>
            <w:tcW w:w="1418" w:type="dxa"/>
          </w:tcPr>
          <w:p w14:paraId="79DADF3C" w14:textId="67EED8EF" w:rsidR="0025781E" w:rsidRPr="00633D28" w:rsidRDefault="0025781E" w:rsidP="0025781E">
            <w:pPr>
              <w:rPr>
                <w:rFonts w:ascii="Times New Roman" w:hAnsi="Times New Roman" w:cs="Times New Roman"/>
                <w:color w:val="000000" w:themeColor="text1"/>
                <w:sz w:val="20"/>
                <w:szCs w:val="20"/>
              </w:rPr>
            </w:pPr>
            <w:r w:rsidRPr="00633D28">
              <w:rPr>
                <w:rFonts w:ascii="Times New Roman" w:hAnsi="Times New Roman" w:cs="Times New Roman"/>
                <w:color w:val="000000" w:themeColor="text1"/>
                <w:sz w:val="20"/>
                <w:szCs w:val="20"/>
              </w:rPr>
              <w:t>Appropriate statistical analysis</w:t>
            </w:r>
          </w:p>
        </w:tc>
      </w:tr>
      <w:tr w:rsidR="0025781E" w:rsidRPr="00633D28" w14:paraId="6632C7DE" w14:textId="5CB304D2" w:rsidTr="0025781E">
        <w:tc>
          <w:tcPr>
            <w:tcW w:w="2127" w:type="dxa"/>
          </w:tcPr>
          <w:p w14:paraId="32B9D400" w14:textId="46EFCF94" w:rsidR="0025781E" w:rsidRPr="00633D28" w:rsidRDefault="0025781E" w:rsidP="0025781E">
            <w:pPr>
              <w:spacing w:after="160"/>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{"citationID":"BY57PLtG","properties":{"formattedCitation":"(Ramesan et al., 2024)","plainCitation":"(Ramesan et al., 2024)","noteIndex":0},"citationItems":[{"id":5528,"uris":["http://zotero.org/users/6707951/items/ZK554XFT"],"itemData":{"id":5528,"type":"article-journal","abstract":"BACKGROUND: Financial burdens faced by patients in India suffering from chronic kidney disease (CKD) are linked to healthcare access and inadequate insurance coverage. This study analyses out-of-pocket expenses and explores their healthcare utilisation patterns.\nMATERIALS AND METHOD: This time-bound hospital-based cross-sectional study was conducted in a tertiary care hospital in Udupi district, Karnataka, among patients who have undergone haemodialysis (HD) treatment for at least a year. Following ethics approval and CTRI registration, informed consent was obtained from all the patients prior to data collection.\nRESULT: The study involved 109 HD patients. The direct medical and non-medical costs incurred by HD patients were Rs 9,400 (IQR = 13,700) and Rs 3,200 (IQR = 2,000), respectively. The monthly health-related OOPE was Rs 16672.0 (IQR = 14,630.0). Overall, 103 (94.5%) individuals had been hospitalised since they began HD, and 50.5% of patients were hospitalised within the past year. On linear regression analysis, it was observed that the joint monthly income (β 0.134, 95% CI 0.007 - 0.182, P value = 0.048), number of dialyses per week (β 1.14, 95% CI 7541.5 - 16551.07, P value &lt; 0.001), and social security (β -1.02, 95% CI -13463.0 - 7982.56, P value &lt; 0.001) exhibited significant correlations and served as predictors for household out-of-pocket expenditure (HROOPE) experienced by the patients.\nCONCLUSION: The study concludes that people receiving HD incur a considerable financial cost. Additionally, the CKD population uses healthcare services at a notable rate, including frequent hospital stays, visits to outpatient departments (OPDs), and emergency treatment, underscoring the pressing need for an increase in insurance coverage.","container-title":"Journal of Education and Health Promotion","DOI":"10.4103/jehp.jehp_1051_23","ISSN":"2277-9531","journalAbbreviation":"J Educ Health Promot","language":"eng","note":"PMID: 39268421\nPMCID: PMC11392255","page":"186","source":"PubMed","title":"Out-of-pocket expenses and healthcare service utilisation among maintenance haemodialysis patients: A study at a tertiary care hospital in Udupi, Karnataka","title-short":"Out-of-pocket expenses and healthcare service utilisation among maintenance haemodialysis patients","volume":"13","author":[{"family":"Ramesan","given":"Anandhu K."},{"family":"D'Souza","given":"Brayal"},{"family":"Sekaran","given":"Varalakshmi Chandra"}],"issued":{"date-parts":[["2024"]]}}}],"schema":"https://github.com/citation-style-language/schema/raw/master/csl-citation.json"}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Ramesan, 2024</w:t>
            </w:r>
            <w:r>
              <w:rPr>
                <w:rFonts w:ascii="Times New Roman" w:hAnsi="Times New Roman" w:cs="Times New Roman"/>
                <w:sz w:val="18"/>
                <w:szCs w:val="18"/>
                <w:lang w:val="en-US"/>
              </w:rPr>
              <w:fldChar w:fldCharType="end"/>
            </w:r>
          </w:p>
        </w:tc>
        <w:tc>
          <w:tcPr>
            <w:tcW w:w="1559" w:type="dxa"/>
          </w:tcPr>
          <w:p w14:paraId="7C562B12" w14:textId="4F9CA9B1" w:rsidR="0025781E" w:rsidRPr="00633D28" w:rsidRDefault="0025781E" w:rsidP="0025781E">
            <w:pPr>
              <w:jc w:val="center"/>
              <w:rPr>
                <w:b/>
                <w:bCs/>
                <w:sz w:val="20"/>
                <w:szCs w:val="20"/>
              </w:rPr>
            </w:pPr>
            <w:r w:rsidRPr="00633D28">
              <w:rPr>
                <w:b/>
                <w:bCs/>
                <w:sz w:val="20"/>
                <w:szCs w:val="20"/>
              </w:rPr>
              <w:t>✓</w:t>
            </w:r>
          </w:p>
        </w:tc>
        <w:tc>
          <w:tcPr>
            <w:tcW w:w="1843" w:type="dxa"/>
          </w:tcPr>
          <w:p w14:paraId="62C442DF" w14:textId="1E25AA7C" w:rsidR="0025781E" w:rsidRPr="00633D28" w:rsidRDefault="0025781E" w:rsidP="0025781E">
            <w:pPr>
              <w:jc w:val="center"/>
              <w:rPr>
                <w:sz w:val="20"/>
                <w:szCs w:val="20"/>
              </w:rPr>
            </w:pPr>
            <w:r w:rsidRPr="00633D28">
              <w:rPr>
                <w:b/>
                <w:bCs/>
                <w:sz w:val="20"/>
                <w:szCs w:val="20"/>
              </w:rPr>
              <w:t>✓</w:t>
            </w:r>
          </w:p>
        </w:tc>
        <w:tc>
          <w:tcPr>
            <w:tcW w:w="1701" w:type="dxa"/>
          </w:tcPr>
          <w:p w14:paraId="1E464FA3" w14:textId="260A0907" w:rsidR="0025781E" w:rsidRPr="00633D28" w:rsidRDefault="0025781E" w:rsidP="0025781E">
            <w:pPr>
              <w:jc w:val="center"/>
              <w:rPr>
                <w:sz w:val="20"/>
                <w:szCs w:val="20"/>
              </w:rPr>
            </w:pPr>
            <w:r w:rsidRPr="00633D28">
              <w:rPr>
                <w:b/>
                <w:bCs/>
                <w:sz w:val="20"/>
                <w:szCs w:val="20"/>
              </w:rPr>
              <w:t>✓</w:t>
            </w:r>
          </w:p>
        </w:tc>
        <w:tc>
          <w:tcPr>
            <w:tcW w:w="1559" w:type="dxa"/>
          </w:tcPr>
          <w:p w14:paraId="0A69E5E7" w14:textId="6A090AF0" w:rsidR="0025781E" w:rsidRPr="00633D28" w:rsidRDefault="0025781E" w:rsidP="0025781E">
            <w:pPr>
              <w:jc w:val="center"/>
              <w:rPr>
                <w:sz w:val="20"/>
                <w:szCs w:val="20"/>
              </w:rPr>
            </w:pPr>
            <w:r w:rsidRPr="00633D28">
              <w:rPr>
                <w:b/>
                <w:bCs/>
                <w:sz w:val="20"/>
                <w:szCs w:val="20"/>
              </w:rPr>
              <w:t>✓</w:t>
            </w:r>
          </w:p>
        </w:tc>
        <w:tc>
          <w:tcPr>
            <w:tcW w:w="1559" w:type="dxa"/>
          </w:tcPr>
          <w:p w14:paraId="1BA57F8D" w14:textId="046DD5FD"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371AF347" w14:textId="28A1EEE9"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1FF3C755" w14:textId="57F1FCB7" w:rsidR="0025781E" w:rsidRPr="00633D28" w:rsidRDefault="0025781E" w:rsidP="0025781E">
            <w:pPr>
              <w:jc w:val="center"/>
              <w:rPr>
                <w:sz w:val="20"/>
                <w:szCs w:val="20"/>
              </w:rPr>
            </w:pPr>
            <w:r w:rsidRPr="00633D28">
              <w:rPr>
                <w:b/>
                <w:bCs/>
                <w:sz w:val="20"/>
                <w:szCs w:val="20"/>
              </w:rPr>
              <w:t>✓</w:t>
            </w:r>
          </w:p>
        </w:tc>
        <w:tc>
          <w:tcPr>
            <w:tcW w:w="1418" w:type="dxa"/>
          </w:tcPr>
          <w:p w14:paraId="5ACCC813" w14:textId="7978E0ED" w:rsidR="0025781E" w:rsidRPr="00633D28" w:rsidRDefault="0025781E" w:rsidP="0025781E">
            <w:pPr>
              <w:jc w:val="center"/>
              <w:rPr>
                <w:sz w:val="20"/>
                <w:szCs w:val="20"/>
              </w:rPr>
            </w:pPr>
            <w:r w:rsidRPr="00633D28">
              <w:rPr>
                <w:b/>
                <w:bCs/>
                <w:sz w:val="20"/>
                <w:szCs w:val="20"/>
              </w:rPr>
              <w:t>✓</w:t>
            </w:r>
          </w:p>
        </w:tc>
      </w:tr>
      <w:tr w:rsidR="0025781E" w:rsidRPr="00633D28" w14:paraId="7C8AB2C8" w14:textId="7D246E4B" w:rsidTr="0025781E">
        <w:tc>
          <w:tcPr>
            <w:tcW w:w="2127" w:type="dxa"/>
          </w:tcPr>
          <w:p w14:paraId="06A7A7BB" w14:textId="78FB2BB1" w:rsidR="0025781E" w:rsidRPr="00633D28" w:rsidRDefault="0025781E" w:rsidP="0025781E">
            <w:pPr>
              <w:spacing w:after="160"/>
              <w:rPr>
                <w:rFonts w:ascii="Times New Roman" w:hAnsi="Times New Roman" w:cs="Times New Roman"/>
                <w:color w:val="000000" w:themeColor="text1"/>
                <w:sz w:val="20"/>
                <w:szCs w:val="20"/>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ADDIN ZOTERO_ITEM CSL_CITATION {"citationID":"ZBIAfqB0","properties":{"formattedCitation":"(Khura et al., 2022)","plainCitation":"(Khura et al., 2022)","noteIndex":0},"citationItems":[{"id":5439,"uris":["http://zotero.org/users/6707951/items/D23VULIX"],"itemData":{"id":5439,"type":"article-journal","abstract":"Understanding socioeconomic inequalities in non-communicable disease prevalence and preventive care usage can help design effective action plans for health equality programs among India’s aging population. Hypertension (HTN) and diabetes mellitus (DM) are frequently used as model non-communicable diseases for research and policy purposes as these two are the most prevalent NCDs in India and are the leading causes of mortality. For this investigation, data on 31,464 older persons (aged 60 years and above) who took part in the Longitudinal Ageing Survey of India (LASI: 2017–2018) were analyzed. The concentration index was used to assess socioeconomic inequality whereas relative inequalities indices were used to compare HTN, DM, and preventive care usage between the different groups of individuals based on socioeconomic status. The study reveals that wealthy older adults in India had a higher frequency of HTN and DM than the poor elderly. Signiﬁcant differences in the usage of preventive care, such as blood pressure/blood glucose monitoring, were found among people with HTN or DM. Furthermore, economic position, education, type of work, and residential status were identiﬁed as important factors for monitoring inequalities in access to preventive care for HTN and DM. Disparities in non-communicable diseases can be both a cause and an effect of inequality across social strata in India.","container-title":"Geriatrics","DOI":"10.3390/geriatrics7060137","ISSN":"2308-3417","issue":"6","journalAbbreviation":"Geriatrics","language":"en","license":"https://creativecommons.org/licenses/by/4.0/","page":"137","source":"DOI.org (Crossref)","title":"Socioeconomic Inequalities in the Prevalence of Non-Communicable Diseases among Older Adults in India","URL":"https://www.mdpi.com/2308-3417/7/6/137","volume":"7","author":[{"family":"Khura","given":"Bikash"},{"family":"Mohanty","given":"Parimala"},{"family":"Patnaik","given":"Lipilekha"},{"family":"Pradhan","given":"Keerti Bhusan"},{"family":"Khubchandani","given":"Jagdish"},{"family":"Padhi","given":"Bijaya Kumar"}],"accessed":{"date-parts":[["2025",3,13]]},"issued":{"date-parts":[["2022",12,5]]}}}],"schema":"https://github.com/citation-style-language/schema/raw/master/csl-citation.json"} </w:instrText>
            </w:r>
            <w:r>
              <w:rPr>
                <w:rFonts w:ascii="Times New Roman" w:hAnsi="Times New Roman" w:cs="Times New Roman"/>
                <w:sz w:val="18"/>
                <w:szCs w:val="18"/>
              </w:rPr>
              <w:fldChar w:fldCharType="separate"/>
            </w:r>
            <w:r>
              <w:rPr>
                <w:rFonts w:ascii="Times New Roman" w:hAnsi="Times New Roman" w:cs="Times New Roman"/>
                <w:noProof/>
                <w:sz w:val="18"/>
                <w:szCs w:val="18"/>
              </w:rPr>
              <w:t>Khura, 2022</w:t>
            </w:r>
            <w:r>
              <w:rPr>
                <w:rFonts w:ascii="Times New Roman" w:hAnsi="Times New Roman" w:cs="Times New Roman"/>
                <w:sz w:val="18"/>
                <w:szCs w:val="18"/>
              </w:rPr>
              <w:fldChar w:fldCharType="end"/>
            </w:r>
          </w:p>
        </w:tc>
        <w:tc>
          <w:tcPr>
            <w:tcW w:w="1559" w:type="dxa"/>
          </w:tcPr>
          <w:p w14:paraId="13515E92" w14:textId="4A97D44C" w:rsidR="0025781E" w:rsidRPr="00633D28" w:rsidRDefault="0025781E" w:rsidP="0025781E">
            <w:pPr>
              <w:jc w:val="center"/>
              <w:rPr>
                <w:sz w:val="20"/>
                <w:szCs w:val="20"/>
              </w:rPr>
            </w:pPr>
            <w:r w:rsidRPr="00633D28">
              <w:rPr>
                <w:b/>
                <w:bCs/>
                <w:sz w:val="20"/>
                <w:szCs w:val="20"/>
              </w:rPr>
              <w:t>✓</w:t>
            </w:r>
          </w:p>
        </w:tc>
        <w:tc>
          <w:tcPr>
            <w:tcW w:w="1843" w:type="dxa"/>
          </w:tcPr>
          <w:p w14:paraId="07CFEA11" w14:textId="204CB9D2" w:rsidR="0025781E" w:rsidRPr="00633D28" w:rsidRDefault="0025781E" w:rsidP="0025781E">
            <w:pPr>
              <w:jc w:val="center"/>
              <w:rPr>
                <w:sz w:val="20"/>
                <w:szCs w:val="20"/>
              </w:rPr>
            </w:pPr>
            <w:r w:rsidRPr="00633D28">
              <w:rPr>
                <w:b/>
                <w:bCs/>
                <w:sz w:val="20"/>
                <w:szCs w:val="20"/>
              </w:rPr>
              <w:t>✓</w:t>
            </w:r>
          </w:p>
        </w:tc>
        <w:tc>
          <w:tcPr>
            <w:tcW w:w="1701" w:type="dxa"/>
          </w:tcPr>
          <w:p w14:paraId="4E534E3D" w14:textId="0858281C" w:rsidR="0025781E" w:rsidRPr="00633D28" w:rsidRDefault="0025781E" w:rsidP="0025781E">
            <w:pPr>
              <w:jc w:val="center"/>
              <w:rPr>
                <w:sz w:val="20"/>
                <w:szCs w:val="20"/>
              </w:rPr>
            </w:pPr>
            <w:r w:rsidRPr="00633D28">
              <w:rPr>
                <w:b/>
                <w:bCs/>
                <w:sz w:val="20"/>
                <w:szCs w:val="20"/>
              </w:rPr>
              <w:t>✓</w:t>
            </w:r>
          </w:p>
        </w:tc>
        <w:tc>
          <w:tcPr>
            <w:tcW w:w="1559" w:type="dxa"/>
          </w:tcPr>
          <w:p w14:paraId="6CED5F9C" w14:textId="53976DB2" w:rsidR="0025781E" w:rsidRPr="00633D28" w:rsidRDefault="0025781E" w:rsidP="0025781E">
            <w:pPr>
              <w:jc w:val="center"/>
              <w:rPr>
                <w:sz w:val="20"/>
                <w:szCs w:val="20"/>
              </w:rPr>
            </w:pPr>
            <w:r w:rsidRPr="00633D28">
              <w:rPr>
                <w:b/>
                <w:bCs/>
                <w:sz w:val="20"/>
                <w:szCs w:val="20"/>
              </w:rPr>
              <w:t>✓</w:t>
            </w:r>
          </w:p>
        </w:tc>
        <w:tc>
          <w:tcPr>
            <w:tcW w:w="1559" w:type="dxa"/>
          </w:tcPr>
          <w:p w14:paraId="6979E1A0" w14:textId="60093DC0"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3D19E01" w14:textId="16D06B37"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1BA74EE7" w14:textId="443F0E07" w:rsidR="0025781E" w:rsidRPr="00633D28" w:rsidRDefault="0025781E" w:rsidP="0025781E">
            <w:pPr>
              <w:jc w:val="center"/>
              <w:rPr>
                <w:sz w:val="20"/>
                <w:szCs w:val="20"/>
              </w:rPr>
            </w:pPr>
            <w:r w:rsidRPr="00633D28">
              <w:rPr>
                <w:b/>
                <w:bCs/>
                <w:sz w:val="20"/>
                <w:szCs w:val="20"/>
              </w:rPr>
              <w:t>✓</w:t>
            </w:r>
          </w:p>
        </w:tc>
        <w:tc>
          <w:tcPr>
            <w:tcW w:w="1418" w:type="dxa"/>
          </w:tcPr>
          <w:p w14:paraId="79A83AF0" w14:textId="64BA37C7" w:rsidR="0025781E" w:rsidRPr="00633D28" w:rsidRDefault="0025781E" w:rsidP="0025781E">
            <w:pPr>
              <w:jc w:val="center"/>
              <w:rPr>
                <w:sz w:val="20"/>
                <w:szCs w:val="20"/>
              </w:rPr>
            </w:pPr>
            <w:r w:rsidRPr="00633D28">
              <w:rPr>
                <w:b/>
                <w:bCs/>
                <w:sz w:val="20"/>
                <w:szCs w:val="20"/>
              </w:rPr>
              <w:t>✓</w:t>
            </w:r>
          </w:p>
        </w:tc>
      </w:tr>
      <w:tr w:rsidR="0025781E" w:rsidRPr="00633D28" w14:paraId="6B26F71E" w14:textId="45EA0797" w:rsidTr="0025781E">
        <w:tc>
          <w:tcPr>
            <w:tcW w:w="2127" w:type="dxa"/>
          </w:tcPr>
          <w:p w14:paraId="1F89C7F4" w14:textId="56C817B7" w:rsidR="0025781E" w:rsidRPr="00633D28" w:rsidRDefault="0025781E" w:rsidP="0025781E">
            <w:pPr>
              <w:spacing w:after="160"/>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{"citationID":"q3ZRfs2Y","properties":{"formattedCitation":"(Dhania et al., 2021)","plainCitation":"(Dhania et al., 2021)","noteIndex":0},"citationItems":[{"id":5441,"uris":["http://zotero.org/users/6707951/items/MABRYSF3"],"itemData":{"id":5441,"type":"article-journal","abstract":"Background: CKD is a debilitating condition accountable for high morbidity and an overall burden on society and Government. The study objectives were to assess the burden and treatment seeking behaviour of CKD patients and to determine the association of demographic variables with burden and treatment seeking behaviour in CKD patients.\nMethods: A Descriptive survey research design was conducted on CKD Patients. 220 CKD patients were selected and a self-structured burden rating scale was used to assess the level of burden and treatment seeking behaviour checklist was used to find out the level of treatment seeking behaviour in CKD patients. Data were collected through face to face or telephonic interview by using non-probability convenient sampling technique.\nResults: Among 220 patients, majority of CKD patients had hypertension as comorbidity. More than half of CKD patients had moderate level of burden. CKD patients had highest burden in emotional domain. Majority of CKD patients ‘feel muscle cramps’ in level of burden. More than half of CKD patients had fair level of treatment seeking behaviour. CKD patients had highest treatment seeking behaviour in personal domain. There was significant association of burden and treatment seeking behaviour with demographic variables.\nConclusions: Majority of CKD Patients had moderate level of Burden and fair level of treatment seeking behaviour. It was found that there was a significant association of burden and treatment seeking behaviour with demographic variables. The health care seeking behaviour of CKD patients drive them to come for treatment.","container-title":"International Journal Of Community Medicine And Public Health","DOI":"10.18203/2394-6040.ijcmph20213805","ISSN":"2394-6040, 2394-6032","issue":"10","journalAbbreviation":"Int J Community Med Public Health","language":"en","page":"4976","source":"DOI.org (Crossref)","title":"Burden and treatment seeking behaviour in chronic kidney disease patients: a cross-sectional descriptive study","title-short":"Burden and treatment seeking behaviour in chronic kidney disease patients","URL":"https://www.ijcmph.com/index.php/ijcmph/article/view/8597","volume":"8","author":[{"family":"Dhania","given":"Bindiya"},{"family":"Kumar","given":"Ashok"},{"family":"Kalal","given":"Nipin"},{"family":"Bajpai","given":"Nitin Kumar"}],"accessed":{"date-parts":[["2025",3,13]]},"issued":{"date-parts":[["2021",9,27]]}}}],"schema":"https://github.com/citation-style-language/schema/raw/master/csl-citation.json"}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Dhania, 2021</w:t>
            </w:r>
            <w:r>
              <w:rPr>
                <w:rFonts w:ascii="Times New Roman" w:hAnsi="Times New Roman" w:cs="Times New Roman"/>
                <w:sz w:val="18"/>
                <w:szCs w:val="18"/>
                <w:lang w:val="en-US"/>
              </w:rPr>
              <w:fldChar w:fldCharType="end"/>
            </w:r>
          </w:p>
        </w:tc>
        <w:tc>
          <w:tcPr>
            <w:tcW w:w="1559" w:type="dxa"/>
          </w:tcPr>
          <w:p w14:paraId="7A38B15E" w14:textId="3DB84485" w:rsidR="0025781E" w:rsidRPr="00633D28" w:rsidRDefault="0025781E" w:rsidP="0025781E">
            <w:pPr>
              <w:jc w:val="center"/>
              <w:rPr>
                <w:sz w:val="20"/>
                <w:szCs w:val="20"/>
              </w:rPr>
            </w:pPr>
            <w:r w:rsidRPr="00633D28">
              <w:rPr>
                <w:b/>
                <w:bCs/>
                <w:sz w:val="20"/>
                <w:szCs w:val="20"/>
              </w:rPr>
              <w:t>✓</w:t>
            </w:r>
          </w:p>
        </w:tc>
        <w:tc>
          <w:tcPr>
            <w:tcW w:w="1843" w:type="dxa"/>
          </w:tcPr>
          <w:p w14:paraId="53716B8E" w14:textId="3A817213" w:rsidR="0025781E" w:rsidRPr="00633D28" w:rsidRDefault="0025781E" w:rsidP="0025781E">
            <w:pPr>
              <w:jc w:val="center"/>
              <w:rPr>
                <w:sz w:val="20"/>
                <w:szCs w:val="20"/>
              </w:rPr>
            </w:pPr>
            <w:r w:rsidRPr="00633D28">
              <w:rPr>
                <w:b/>
                <w:bCs/>
                <w:sz w:val="20"/>
                <w:szCs w:val="20"/>
              </w:rPr>
              <w:t>✓</w:t>
            </w:r>
          </w:p>
        </w:tc>
        <w:tc>
          <w:tcPr>
            <w:tcW w:w="1701" w:type="dxa"/>
          </w:tcPr>
          <w:p w14:paraId="41380778" w14:textId="390770A5" w:rsidR="0025781E" w:rsidRPr="00633D28" w:rsidRDefault="0025781E" w:rsidP="0025781E">
            <w:pPr>
              <w:jc w:val="center"/>
              <w:rPr>
                <w:sz w:val="20"/>
                <w:szCs w:val="20"/>
              </w:rPr>
            </w:pPr>
            <w:r w:rsidRPr="00633D28">
              <w:rPr>
                <w:b/>
                <w:bCs/>
                <w:sz w:val="20"/>
                <w:szCs w:val="20"/>
              </w:rPr>
              <w:t>✓</w:t>
            </w:r>
          </w:p>
        </w:tc>
        <w:tc>
          <w:tcPr>
            <w:tcW w:w="1559" w:type="dxa"/>
          </w:tcPr>
          <w:p w14:paraId="1D835B1E" w14:textId="735834EE" w:rsidR="0025781E" w:rsidRPr="00633D28" w:rsidRDefault="0025781E" w:rsidP="0025781E">
            <w:pPr>
              <w:jc w:val="center"/>
              <w:rPr>
                <w:sz w:val="20"/>
                <w:szCs w:val="20"/>
              </w:rPr>
            </w:pPr>
            <w:r w:rsidRPr="00633D28">
              <w:rPr>
                <w:b/>
                <w:bCs/>
                <w:sz w:val="20"/>
                <w:szCs w:val="20"/>
              </w:rPr>
              <w:t>✓</w:t>
            </w:r>
          </w:p>
        </w:tc>
        <w:tc>
          <w:tcPr>
            <w:tcW w:w="1559" w:type="dxa"/>
          </w:tcPr>
          <w:p w14:paraId="534B3D2D" w14:textId="63205AC9"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876D8CB" w14:textId="2D257307"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5267975F" w14:textId="4209F2F1" w:rsidR="0025781E" w:rsidRPr="00633D28" w:rsidRDefault="0025781E" w:rsidP="0025781E">
            <w:pPr>
              <w:jc w:val="center"/>
              <w:rPr>
                <w:sz w:val="20"/>
                <w:szCs w:val="20"/>
              </w:rPr>
            </w:pPr>
            <w:r w:rsidRPr="00633D28">
              <w:rPr>
                <w:b/>
                <w:bCs/>
                <w:sz w:val="20"/>
                <w:szCs w:val="20"/>
              </w:rPr>
              <w:t>✓</w:t>
            </w:r>
          </w:p>
        </w:tc>
        <w:tc>
          <w:tcPr>
            <w:tcW w:w="1418" w:type="dxa"/>
          </w:tcPr>
          <w:p w14:paraId="3E32162E" w14:textId="56FAC9F9" w:rsidR="0025781E" w:rsidRPr="00633D28" w:rsidRDefault="0025781E" w:rsidP="0025781E">
            <w:pPr>
              <w:jc w:val="center"/>
              <w:rPr>
                <w:sz w:val="20"/>
                <w:szCs w:val="20"/>
              </w:rPr>
            </w:pPr>
            <w:r w:rsidRPr="00633D28">
              <w:rPr>
                <w:b/>
                <w:bCs/>
                <w:sz w:val="20"/>
                <w:szCs w:val="20"/>
              </w:rPr>
              <w:t>✓</w:t>
            </w:r>
          </w:p>
        </w:tc>
      </w:tr>
      <w:tr w:rsidR="0025781E" w:rsidRPr="00633D28" w14:paraId="3C0F16B5" w14:textId="2289B2E3" w:rsidTr="0025781E">
        <w:tc>
          <w:tcPr>
            <w:tcW w:w="2127" w:type="dxa"/>
          </w:tcPr>
          <w:p w14:paraId="430CE234" w14:textId="5542AF68" w:rsidR="0025781E" w:rsidRPr="00633D28" w:rsidRDefault="0025781E" w:rsidP="0025781E">
            <w:pPr>
              <w:spacing w:after="160"/>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{"citationID":"HlCFaGH7","properties":{"formattedCitation":"(John et al., 2023)","plainCitation":"(John et al., 2023)","noteIndex":0},"citationItems":[{"id":5443,"uris":["http://zotero.org/users/6707951/items/CMT86W3Y"],"itemData":{"id":5443,"type":"article-journal","abstract":"Introduction: The global burden of non-communicable diseases (NCDs) had increased tremendously, causing increased morbidity, mortality and disability among population. Cardiovascular diseases remain as a major NCD affecting public health, accounting for 23% and 30% of the total mortality in rural and urban population, respectively, in India. Health-seeking behavior of women is an important factor in tackling NCDs as it can inﬂuence the health of the family, through inﬂuencing lifestyle and related changes in preventing NCDs.","container-title":"Annals of Geriatric Education and Medical Sciences","DOI":"10.18231/j.agems.2022.011","ISSN":"2348-7348, 2348-7240","issue":"2","journalAbbreviation":"AGEMS","language":"en","page":"47-52","source":"DOI.org (Crossref)","title":"Risk factors and health-seeking behaviours in non-communicable diseases among a community sample of women","URL":"https://agems.in/article-details/18275","volume":"9","author":[{"family":"John","given":"Bindu"},{"family":"Marath","given":"Usha"},{"family":"Babu","given":"Aleena"},{"family":"Jiji","given":"Anit"},{"family":"Babu","given":"Anitta"},{"family":"Joshy","given":"Anu"},{"literal":"Athira Pr"}],"accessed":{"date-parts":[["2025",3,13]]},"issued":{"date-parts":[["2023",2,28]]}}}],"schema":"https://github.com/citation-style-language/schema/raw/master/csl-citation.json"}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John, 2023</w:t>
            </w:r>
            <w:r>
              <w:rPr>
                <w:rFonts w:ascii="Times New Roman" w:hAnsi="Times New Roman" w:cs="Times New Roman"/>
                <w:sz w:val="18"/>
                <w:szCs w:val="18"/>
                <w:lang w:val="en-US"/>
              </w:rPr>
              <w:fldChar w:fldCharType="end"/>
            </w:r>
          </w:p>
        </w:tc>
        <w:tc>
          <w:tcPr>
            <w:tcW w:w="1559" w:type="dxa"/>
          </w:tcPr>
          <w:p w14:paraId="5A709957" w14:textId="61298525" w:rsidR="0025781E" w:rsidRPr="00633D28" w:rsidRDefault="0025781E" w:rsidP="0025781E">
            <w:pPr>
              <w:jc w:val="center"/>
              <w:rPr>
                <w:sz w:val="20"/>
                <w:szCs w:val="20"/>
              </w:rPr>
            </w:pPr>
            <w:r w:rsidRPr="00633D28">
              <w:rPr>
                <w:b/>
                <w:bCs/>
                <w:sz w:val="20"/>
                <w:szCs w:val="20"/>
              </w:rPr>
              <w:t>✓</w:t>
            </w:r>
          </w:p>
        </w:tc>
        <w:tc>
          <w:tcPr>
            <w:tcW w:w="1843" w:type="dxa"/>
          </w:tcPr>
          <w:p w14:paraId="36EB5832" w14:textId="13021301" w:rsidR="0025781E" w:rsidRPr="00633D28" w:rsidRDefault="0025781E" w:rsidP="0025781E">
            <w:pPr>
              <w:jc w:val="center"/>
              <w:rPr>
                <w:sz w:val="20"/>
                <w:szCs w:val="20"/>
              </w:rPr>
            </w:pPr>
            <w:r w:rsidRPr="00633D28">
              <w:rPr>
                <w:b/>
                <w:bCs/>
                <w:sz w:val="20"/>
                <w:szCs w:val="20"/>
              </w:rPr>
              <w:t>✓</w:t>
            </w:r>
          </w:p>
        </w:tc>
        <w:tc>
          <w:tcPr>
            <w:tcW w:w="1701" w:type="dxa"/>
          </w:tcPr>
          <w:p w14:paraId="7DA341D7" w14:textId="2E1DBF7B" w:rsidR="0025781E" w:rsidRPr="00633D28" w:rsidRDefault="00FB0E61" w:rsidP="0025781E">
            <w:pPr>
              <w:jc w:val="center"/>
              <w:rPr>
                <w:sz w:val="20"/>
                <w:szCs w:val="20"/>
              </w:rPr>
            </w:pPr>
            <w:r w:rsidRPr="00633D28">
              <w:rPr>
                <w:rFonts w:ascii="Segoe UI Symbol" w:hAnsi="Segoe UI Symbol" w:cs="Segoe UI Symbol"/>
                <w:b/>
                <w:bCs/>
                <w:sz w:val="20"/>
                <w:szCs w:val="20"/>
              </w:rPr>
              <w:t>☓</w:t>
            </w:r>
          </w:p>
        </w:tc>
        <w:tc>
          <w:tcPr>
            <w:tcW w:w="1559" w:type="dxa"/>
          </w:tcPr>
          <w:p w14:paraId="7B21C079" w14:textId="008E1313" w:rsidR="0025781E" w:rsidRPr="00633D28" w:rsidRDefault="00FB0E61" w:rsidP="0025781E">
            <w:pPr>
              <w:jc w:val="center"/>
              <w:rPr>
                <w:sz w:val="20"/>
                <w:szCs w:val="20"/>
              </w:rPr>
            </w:pPr>
            <w:r w:rsidRPr="00633D28">
              <w:rPr>
                <w:rFonts w:ascii="Segoe UI Symbol" w:hAnsi="Segoe UI Symbol" w:cs="Segoe UI Symbol"/>
                <w:b/>
                <w:bCs/>
                <w:sz w:val="20"/>
                <w:szCs w:val="20"/>
              </w:rPr>
              <w:t>☓</w:t>
            </w:r>
          </w:p>
        </w:tc>
        <w:tc>
          <w:tcPr>
            <w:tcW w:w="1559" w:type="dxa"/>
          </w:tcPr>
          <w:p w14:paraId="58E1ED66" w14:textId="389D7E25"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6E5D3D3D" w14:textId="6338CA2E"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A034F8A" w14:textId="12B9DD92" w:rsidR="0025781E" w:rsidRPr="00633D28" w:rsidRDefault="0025781E" w:rsidP="0025781E">
            <w:pPr>
              <w:jc w:val="center"/>
              <w:rPr>
                <w:sz w:val="20"/>
                <w:szCs w:val="20"/>
              </w:rPr>
            </w:pPr>
            <w:r w:rsidRPr="00633D28">
              <w:rPr>
                <w:b/>
                <w:bCs/>
                <w:sz w:val="20"/>
                <w:szCs w:val="20"/>
              </w:rPr>
              <w:t>✓</w:t>
            </w:r>
          </w:p>
        </w:tc>
        <w:tc>
          <w:tcPr>
            <w:tcW w:w="1418" w:type="dxa"/>
          </w:tcPr>
          <w:p w14:paraId="17A06F95" w14:textId="6E2338E2" w:rsidR="0025781E" w:rsidRPr="00633D28" w:rsidRDefault="0025781E" w:rsidP="0025781E">
            <w:pPr>
              <w:jc w:val="center"/>
              <w:rPr>
                <w:sz w:val="20"/>
                <w:szCs w:val="20"/>
              </w:rPr>
            </w:pPr>
            <w:r w:rsidRPr="00633D28">
              <w:rPr>
                <w:b/>
                <w:bCs/>
                <w:sz w:val="20"/>
                <w:szCs w:val="20"/>
              </w:rPr>
              <w:t>✓</w:t>
            </w:r>
          </w:p>
        </w:tc>
      </w:tr>
      <w:tr w:rsidR="0025781E" w:rsidRPr="00633D28" w14:paraId="16E236F8" w14:textId="00E554B1" w:rsidTr="0025781E">
        <w:tc>
          <w:tcPr>
            <w:tcW w:w="2127" w:type="dxa"/>
          </w:tcPr>
          <w:p w14:paraId="498A4B80" w14:textId="7A500025" w:rsidR="0025781E" w:rsidRPr="00633D28" w:rsidRDefault="0025781E" w:rsidP="0025781E">
            <w:pPr>
              <w:spacing w:after="160"/>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{"citationID":"vRYedg8h","properties":{"formattedCitation":"(Bhattacharyya et al., 2017)","plainCitation":"(Bhattacharyya et al., 2017)","noteIndex":0},"citationItems":[{"id":5445,"uris":["http://zotero.org/users/6707951/items/8KKLWX5T"],"itemData":{"id":5445,"type":"article-journal","abstract":"Background: In India, non-communicable diseases (NCDs) are a serious threat to human resources, as the recent data suggests that one in four Indians are at a risk of dying of NCDs before they reach 70 years of age. Healthcare utilisation is a major policy issue to tackle the threat of non-communicable diseases.\nObjective: The aim of this study was to identify the factors and build a regression model that shows how the various factors affect health care service utilisation for non-communicable diseases across rural and urban households of Udupi taluk, Karnataka. Materials and Methods: A cross-sectional study was done to study the objective. Two-stage cluster sampling technique was used in both rural and urban areas. Thirty villages and 30 urban wards of Udupi taluk were selected by the probability proportional to size (PPS) technique.\nResult: On univariate analysis, the factors found to be significant (p-value &lt; 0.05) were the residence; health insurance; health care provider preference; income; education; waiting time; and distance to the health centre. To adjust for confounders, a multivariable analysis was done with binomial logistic regression which found that health insurance and distance to the health centre were the significant factors that affect outpatient health care utilization for NCD patients in Udupi taluk.\nConclusion: The results of this study show that it is important to concentrate on health insurance for access to health care for chronic diseases and strengthen the primary health care system. The main focus should be on insuring the vulnerable population and concentrate on the primary care of NCDs treatment.","container-title":"International Journal of Medical Science and Public Health","DOI":"10.5455/ijmsph.2017.24062016566","ISSN":"2320-4664","issue":"1","journalAbbreviation":"Int J Med Sci Public Health","language":"en","page":"96","source":"DOI.org (Crossref)","title":"A cross-sectional study to identify the factors associated with utilisation of healthcare for non-communicable diseases in a southern part of India","URL":"https://ejmanager.com/fulltextpdf.php?mno=233761","volume":"6","author":[{"family":"Bhattacharyya","given":"Devarshi"},{"family":"Pattanshetty","given":"Sanjay"},{"family":"Duttagupta","given":"Chandreyee"}],"accessed":{"date-parts":[["2025",3,13]]},"issued":{"date-parts":[["2017"]]}}}],"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Bhattacharyya, 2017</w:t>
            </w:r>
            <w:r>
              <w:rPr>
                <w:rFonts w:ascii="Times New Roman" w:hAnsi="Times New Roman" w:cs="Times New Roman"/>
                <w:sz w:val="18"/>
                <w:szCs w:val="18"/>
                <w:lang w:val="en-US"/>
              </w:rPr>
              <w:fldChar w:fldCharType="end"/>
            </w:r>
          </w:p>
        </w:tc>
        <w:tc>
          <w:tcPr>
            <w:tcW w:w="1559" w:type="dxa"/>
          </w:tcPr>
          <w:p w14:paraId="15947F17" w14:textId="10E5CCB0" w:rsidR="0025781E" w:rsidRPr="00633D28" w:rsidRDefault="0025781E" w:rsidP="0025781E">
            <w:pPr>
              <w:jc w:val="center"/>
              <w:rPr>
                <w:sz w:val="20"/>
                <w:szCs w:val="20"/>
              </w:rPr>
            </w:pPr>
            <w:r w:rsidRPr="00633D28">
              <w:rPr>
                <w:b/>
                <w:bCs/>
                <w:sz w:val="20"/>
                <w:szCs w:val="20"/>
              </w:rPr>
              <w:t>✓</w:t>
            </w:r>
          </w:p>
        </w:tc>
        <w:tc>
          <w:tcPr>
            <w:tcW w:w="1843" w:type="dxa"/>
          </w:tcPr>
          <w:p w14:paraId="1BFA7C4D" w14:textId="519FC782" w:rsidR="0025781E" w:rsidRPr="00633D28" w:rsidRDefault="0025781E" w:rsidP="0025781E">
            <w:pPr>
              <w:jc w:val="center"/>
              <w:rPr>
                <w:sz w:val="20"/>
                <w:szCs w:val="20"/>
              </w:rPr>
            </w:pPr>
            <w:r w:rsidRPr="00633D28">
              <w:rPr>
                <w:b/>
                <w:bCs/>
                <w:sz w:val="20"/>
                <w:szCs w:val="20"/>
              </w:rPr>
              <w:t>✓</w:t>
            </w:r>
          </w:p>
        </w:tc>
        <w:tc>
          <w:tcPr>
            <w:tcW w:w="1701" w:type="dxa"/>
          </w:tcPr>
          <w:p w14:paraId="737F4852" w14:textId="6077BDD6" w:rsidR="0025781E" w:rsidRPr="00633D28" w:rsidRDefault="0025781E" w:rsidP="0025781E">
            <w:pPr>
              <w:jc w:val="center"/>
              <w:rPr>
                <w:sz w:val="20"/>
                <w:szCs w:val="20"/>
              </w:rPr>
            </w:pPr>
            <w:r w:rsidRPr="00633D28">
              <w:rPr>
                <w:b/>
                <w:bCs/>
                <w:sz w:val="20"/>
                <w:szCs w:val="20"/>
              </w:rPr>
              <w:t>✓</w:t>
            </w:r>
          </w:p>
        </w:tc>
        <w:tc>
          <w:tcPr>
            <w:tcW w:w="1559" w:type="dxa"/>
          </w:tcPr>
          <w:p w14:paraId="75067463" w14:textId="2E30D2E4" w:rsidR="0025781E" w:rsidRPr="00633D28" w:rsidRDefault="0025781E" w:rsidP="0025781E">
            <w:pPr>
              <w:jc w:val="center"/>
              <w:rPr>
                <w:sz w:val="20"/>
                <w:szCs w:val="20"/>
              </w:rPr>
            </w:pPr>
            <w:r w:rsidRPr="00633D28">
              <w:rPr>
                <w:b/>
                <w:bCs/>
                <w:sz w:val="20"/>
                <w:szCs w:val="20"/>
              </w:rPr>
              <w:t>✓</w:t>
            </w:r>
          </w:p>
        </w:tc>
        <w:tc>
          <w:tcPr>
            <w:tcW w:w="1559" w:type="dxa"/>
          </w:tcPr>
          <w:p w14:paraId="13ABEAE3" w14:textId="666406FC"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455EAFC0" w14:textId="6B62A592"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5C8935CF" w14:textId="7F75F198" w:rsidR="0025781E" w:rsidRPr="00633D28" w:rsidRDefault="0025781E" w:rsidP="0025781E">
            <w:pPr>
              <w:jc w:val="center"/>
              <w:rPr>
                <w:sz w:val="20"/>
                <w:szCs w:val="20"/>
              </w:rPr>
            </w:pPr>
            <w:r w:rsidRPr="00633D28">
              <w:rPr>
                <w:b/>
                <w:bCs/>
                <w:sz w:val="20"/>
                <w:szCs w:val="20"/>
              </w:rPr>
              <w:t>✓</w:t>
            </w:r>
          </w:p>
        </w:tc>
        <w:tc>
          <w:tcPr>
            <w:tcW w:w="1418" w:type="dxa"/>
          </w:tcPr>
          <w:p w14:paraId="78EEA832" w14:textId="584A37BA" w:rsidR="0025781E" w:rsidRPr="00633D28" w:rsidRDefault="0025781E" w:rsidP="0025781E">
            <w:pPr>
              <w:jc w:val="center"/>
              <w:rPr>
                <w:sz w:val="20"/>
                <w:szCs w:val="20"/>
              </w:rPr>
            </w:pPr>
            <w:r w:rsidRPr="00633D28">
              <w:rPr>
                <w:b/>
                <w:bCs/>
                <w:sz w:val="20"/>
                <w:szCs w:val="20"/>
              </w:rPr>
              <w:t>✓</w:t>
            </w:r>
          </w:p>
        </w:tc>
      </w:tr>
      <w:tr w:rsidR="0025781E" w:rsidRPr="00633D28" w14:paraId="5E344BC1" w14:textId="76B77235" w:rsidTr="0025781E">
        <w:tc>
          <w:tcPr>
            <w:tcW w:w="2127" w:type="dxa"/>
          </w:tcPr>
          <w:p w14:paraId="0295E9A5" w14:textId="6A2283B3" w:rsidR="0025781E" w:rsidRPr="00633D28" w:rsidRDefault="0025781E" w:rsidP="0025781E">
            <w:pPr>
              <w:rPr>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{"citationID":"d7egR07n","properties":{"formattedCitation":"(Nair &amp; Raveendran, 2020)","plainCitation":"(Nair &amp; Raveendran, 2020)","noteIndex":0},"citationItems":[{"id":5447,"uris":["http://zotero.org/users/6707951/items/39Y36PMH"],"itemData":{"id":5447,"type":"article-journal","abstract":"Background: The burden of non-communicable diseases increased significantly in India and Kerala carries the highest burden among Indian states. People with chronic non-communicable diseases (NCDs) are particularly vulnerable to socioeconomic inequality due to their long-term expensive health care needs. Provision of health services through public health facilities will reduce the health care expenses and will increase NCD care utilization. This study aimed to assess socioeconomic-factors related to public health service utilization among four major noncommunicable disease patients in Pathanmthitta district of Kerala.\nMethods: A cross-sectional household survey using WHO CSDH frame work conducted among 715 individuals from 3randomely selected panchayaths in Pathanmthitta district, Kerala. Simple frequencies were used to calculate the prevalence of NCDs in the study population. Chi-square test followed by binary logistics regression was applied (using SPSS 21 statistical package) to examine the effects of demographic and socioeconomic variables of NCD respondents on public health utilization.\nResults: Among 715 household survey respondents 472 (66%) reported as Non-communicable disease (NCD) patient. The majority (60.5%) of NCD respondents reported using government facility for health care irrespective of their socioeconomic status. Chi-square test analysis, ration card status, age, gender, education, occupation, income and economic dependency show significance (p&lt;0.005). Public health utilization was seen to be high in female (OR=7.1, p=0.000), people with lower education (OR=11.5, p≤0.002) and lower income (OR=4.1, p=0.000). Public health facility utilization reported high among partially depended people (OR=39.8, p=0.000).\nConclusions: Irrespective of their socioeconomic status NCD patients wants to reduce their financial burden of health care through the utilization of public health facilities. A comprehensive health care financing scheme for chronic NCD patients which is crucial to protect most vulnerable groups.","container-title":"International Journal Of Community Medicine And Public Health","DOI":"10.18203/2394-6040.ijcmph20202481","ISSN":"2394-6040, 2394-6032","issue":"6","journalAbbreviation":"Int J Community Med Public Health","language":"en","page":"2254","source":"DOI.org (Crossref)","title":"Non-communicable diseases and public health facility utilization: a study in rural Kerala","title-short":"Non-communicable diseases and public health facility utilization","URL":"https://www.ijcmph.com/index.php/ijcmph/article/view/6257","volume":"7","author":[{"family":"Nair","given":"Devi"},{"family":"Raveendran","given":"Krishnanunni"}],"accessed":{"date-parts":[["2025",3,13]]},"issued":{"date-parts":[["2020",5,27]]}}}],"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Nair &amp; Raveendra, 2020)</w:t>
            </w:r>
            <w:r>
              <w:rPr>
                <w:rFonts w:ascii="Times New Roman" w:hAnsi="Times New Roman" w:cs="Times New Roman"/>
                <w:sz w:val="18"/>
                <w:szCs w:val="18"/>
                <w:lang w:val="en-US"/>
              </w:rPr>
              <w:fldChar w:fldCharType="end"/>
            </w:r>
          </w:p>
        </w:tc>
        <w:tc>
          <w:tcPr>
            <w:tcW w:w="1559" w:type="dxa"/>
          </w:tcPr>
          <w:p w14:paraId="29D1A5D4" w14:textId="5AEA3329" w:rsidR="0025781E" w:rsidRPr="00633D28" w:rsidRDefault="0025781E" w:rsidP="0025781E">
            <w:pPr>
              <w:jc w:val="center"/>
              <w:rPr>
                <w:sz w:val="20"/>
                <w:szCs w:val="20"/>
              </w:rPr>
            </w:pPr>
            <w:r w:rsidRPr="00633D28">
              <w:rPr>
                <w:b/>
                <w:bCs/>
                <w:sz w:val="20"/>
                <w:szCs w:val="20"/>
              </w:rPr>
              <w:t>✓</w:t>
            </w:r>
          </w:p>
        </w:tc>
        <w:tc>
          <w:tcPr>
            <w:tcW w:w="1843" w:type="dxa"/>
          </w:tcPr>
          <w:p w14:paraId="28A7A945" w14:textId="79B59E44" w:rsidR="0025781E" w:rsidRPr="00633D28" w:rsidRDefault="0025781E" w:rsidP="0025781E">
            <w:pPr>
              <w:jc w:val="center"/>
              <w:rPr>
                <w:sz w:val="20"/>
                <w:szCs w:val="20"/>
              </w:rPr>
            </w:pPr>
            <w:r w:rsidRPr="00633D28">
              <w:rPr>
                <w:b/>
                <w:bCs/>
                <w:sz w:val="20"/>
                <w:szCs w:val="20"/>
              </w:rPr>
              <w:t>✓</w:t>
            </w:r>
          </w:p>
        </w:tc>
        <w:tc>
          <w:tcPr>
            <w:tcW w:w="1701" w:type="dxa"/>
          </w:tcPr>
          <w:p w14:paraId="431589EB" w14:textId="6CBA9807" w:rsidR="0025781E" w:rsidRPr="00633D28" w:rsidRDefault="0025781E" w:rsidP="0025781E">
            <w:pPr>
              <w:jc w:val="center"/>
              <w:rPr>
                <w:sz w:val="20"/>
                <w:szCs w:val="20"/>
              </w:rPr>
            </w:pPr>
            <w:r w:rsidRPr="00633D28">
              <w:rPr>
                <w:b/>
                <w:bCs/>
                <w:sz w:val="20"/>
                <w:szCs w:val="20"/>
              </w:rPr>
              <w:t>✓</w:t>
            </w:r>
          </w:p>
        </w:tc>
        <w:tc>
          <w:tcPr>
            <w:tcW w:w="1559" w:type="dxa"/>
          </w:tcPr>
          <w:p w14:paraId="2C58CBA6" w14:textId="22173B1D" w:rsidR="0025781E" w:rsidRPr="00633D28" w:rsidRDefault="0025781E" w:rsidP="0025781E">
            <w:pPr>
              <w:jc w:val="center"/>
              <w:rPr>
                <w:sz w:val="20"/>
                <w:szCs w:val="20"/>
              </w:rPr>
            </w:pPr>
            <w:r w:rsidRPr="00633D28">
              <w:rPr>
                <w:b/>
                <w:bCs/>
                <w:sz w:val="20"/>
                <w:szCs w:val="20"/>
              </w:rPr>
              <w:t>✓</w:t>
            </w:r>
          </w:p>
        </w:tc>
        <w:tc>
          <w:tcPr>
            <w:tcW w:w="1559" w:type="dxa"/>
          </w:tcPr>
          <w:p w14:paraId="65895986" w14:textId="3741E0F2"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613C48B0" w14:textId="62FC4B3D"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60BD6E10" w14:textId="6AC23FF7" w:rsidR="0025781E" w:rsidRPr="00633D28" w:rsidRDefault="0025781E" w:rsidP="0025781E">
            <w:pPr>
              <w:jc w:val="center"/>
              <w:rPr>
                <w:sz w:val="20"/>
                <w:szCs w:val="20"/>
              </w:rPr>
            </w:pPr>
            <w:r w:rsidRPr="00633D28">
              <w:rPr>
                <w:b/>
                <w:bCs/>
                <w:sz w:val="20"/>
                <w:szCs w:val="20"/>
              </w:rPr>
              <w:t>✓</w:t>
            </w:r>
          </w:p>
        </w:tc>
        <w:tc>
          <w:tcPr>
            <w:tcW w:w="1418" w:type="dxa"/>
          </w:tcPr>
          <w:p w14:paraId="76A56425" w14:textId="3248BD8D" w:rsidR="0025781E" w:rsidRPr="00633D28" w:rsidRDefault="0025781E" w:rsidP="0025781E">
            <w:pPr>
              <w:jc w:val="center"/>
              <w:rPr>
                <w:sz w:val="20"/>
                <w:szCs w:val="20"/>
              </w:rPr>
            </w:pPr>
            <w:r w:rsidRPr="00633D28">
              <w:rPr>
                <w:b/>
                <w:bCs/>
                <w:sz w:val="20"/>
                <w:szCs w:val="20"/>
              </w:rPr>
              <w:t>✓</w:t>
            </w:r>
          </w:p>
        </w:tc>
      </w:tr>
      <w:tr w:rsidR="00EF00FD" w:rsidRPr="00633D28" w14:paraId="2D4138D0" w14:textId="41FFDA40" w:rsidTr="0025781E">
        <w:tc>
          <w:tcPr>
            <w:tcW w:w="2127" w:type="dxa"/>
          </w:tcPr>
          <w:p w14:paraId="105A7308" w14:textId="49235865" w:rsidR="00EF00FD" w:rsidRPr="00633D28" w:rsidRDefault="00EF00FD" w:rsidP="00EF00FD">
            <w:pPr>
              <w:rPr>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{"citationID":"bCtzVpNT","properties":{"formattedCitation":"(Manoj et al., 2024)","plainCitation":"(Manoj et al., 2024)","noteIndex":0},"citationItems":[{"id":5525,"uris":["http://zotero.org/users/6707951/items/QQE8I2HE"],"itemData":{"id":5525,"type":"article-journal","abstract":"Background: Chronic Kidney Disease (CKD) is a progressive condition associated with significant morbidity, mortality, and healthcare utilization. This longitudinal study aimed to analyze disease progression, healthcare utilization patterns, and the …","container-title":"European Journal of Cardiovascular Medicine","ISSN":"2042-4892","language":"en","page":"46-51","source":"healthcare-bulletin.co.uk","title":"Observational Analysis of Disease Progression and Healthcare Utilization Patterns in Patients with Chronic Kidney Disease: A Longitudinal Study","title-short":"Observational Analysis of Disease Progression and Healthcare Utilization Patterns in Patients with Chronic Kidney Disease","URL":"https://healthcare-bulletin.co.uk/article/observational-analysis-of-disease-progression-and-healthcare-utilization-patterns-in-patients-with-chronic-kidney-disease-a-longitudinal-study-2385/","volume":"14","author":[{"family":"Manoj","given":"Kumar"},{"family":"Sachan","given":"Dr Naveen"},{"family":"Ahmad","given":"Dr Moinuddin"},{"family":"Yadav","given":"Dr Praveen Kumar"}],"accessed":{"date-parts":[["2025",3,17]]},"issued":{"date-parts":[["2024",9,8]]}}}],"schema":"https://github.com/citation-style-language/schema/raw/master/csl-citation.json"}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Manoj, 2024)</w:t>
            </w:r>
            <w:r>
              <w:rPr>
                <w:rFonts w:ascii="Times New Roman" w:hAnsi="Times New Roman" w:cs="Times New Roman"/>
                <w:sz w:val="18"/>
                <w:szCs w:val="18"/>
                <w:lang w:val="en-US"/>
              </w:rPr>
              <w:fldChar w:fldCharType="end"/>
            </w:r>
          </w:p>
        </w:tc>
        <w:tc>
          <w:tcPr>
            <w:tcW w:w="1559" w:type="dxa"/>
          </w:tcPr>
          <w:p w14:paraId="4F262E8B" w14:textId="65B980B6" w:rsidR="00EF00FD" w:rsidRPr="00633D28" w:rsidRDefault="00EF00FD" w:rsidP="00EF00FD">
            <w:pPr>
              <w:jc w:val="center"/>
              <w:rPr>
                <w:sz w:val="20"/>
                <w:szCs w:val="20"/>
              </w:rPr>
            </w:pPr>
            <w:r w:rsidRPr="00633D28">
              <w:rPr>
                <w:b/>
                <w:bCs/>
                <w:sz w:val="20"/>
                <w:szCs w:val="20"/>
              </w:rPr>
              <w:t>✓</w:t>
            </w:r>
          </w:p>
        </w:tc>
        <w:tc>
          <w:tcPr>
            <w:tcW w:w="1843" w:type="dxa"/>
          </w:tcPr>
          <w:p w14:paraId="362BFDBE" w14:textId="478580F4" w:rsidR="00EF00FD" w:rsidRPr="00633D28" w:rsidRDefault="00EF00FD" w:rsidP="00EF00FD">
            <w:pPr>
              <w:jc w:val="center"/>
              <w:rPr>
                <w:sz w:val="20"/>
                <w:szCs w:val="20"/>
              </w:rPr>
            </w:pPr>
            <w:r w:rsidRPr="00633D28">
              <w:rPr>
                <w:b/>
                <w:bCs/>
                <w:sz w:val="20"/>
                <w:szCs w:val="20"/>
              </w:rPr>
              <w:t>✓</w:t>
            </w:r>
          </w:p>
        </w:tc>
        <w:tc>
          <w:tcPr>
            <w:tcW w:w="1701" w:type="dxa"/>
          </w:tcPr>
          <w:p w14:paraId="50B22BAD" w14:textId="79CE0865" w:rsidR="00EF00FD" w:rsidRPr="00633D28" w:rsidRDefault="00EF00FD" w:rsidP="00EF00FD">
            <w:pPr>
              <w:jc w:val="center"/>
              <w:rPr>
                <w:sz w:val="20"/>
                <w:szCs w:val="20"/>
              </w:rPr>
            </w:pPr>
            <w:r w:rsidRPr="00633D28">
              <w:rPr>
                <w:rFonts w:ascii="Segoe UI Symbol" w:hAnsi="Segoe UI Symbol" w:cs="Segoe UI Symbol"/>
                <w:b/>
                <w:bCs/>
                <w:sz w:val="20"/>
                <w:szCs w:val="20"/>
              </w:rPr>
              <w:t>☓</w:t>
            </w:r>
          </w:p>
        </w:tc>
        <w:tc>
          <w:tcPr>
            <w:tcW w:w="1559" w:type="dxa"/>
          </w:tcPr>
          <w:p w14:paraId="5E427AE4" w14:textId="55FD9D82" w:rsidR="00EF00FD" w:rsidRPr="00633D28" w:rsidRDefault="00EF00FD" w:rsidP="00EF00FD">
            <w:pPr>
              <w:jc w:val="center"/>
              <w:rPr>
                <w:sz w:val="20"/>
                <w:szCs w:val="20"/>
              </w:rPr>
            </w:pPr>
            <w:r w:rsidRPr="00633D28">
              <w:rPr>
                <w:rFonts w:ascii="Segoe UI Symbol" w:hAnsi="Segoe UI Symbol" w:cs="Segoe UI Symbol"/>
                <w:b/>
                <w:bCs/>
                <w:sz w:val="20"/>
                <w:szCs w:val="20"/>
              </w:rPr>
              <w:t>☓</w:t>
            </w:r>
          </w:p>
        </w:tc>
        <w:tc>
          <w:tcPr>
            <w:tcW w:w="1559" w:type="dxa"/>
          </w:tcPr>
          <w:p w14:paraId="37715E03" w14:textId="6CE95574" w:rsidR="00EF00FD" w:rsidRPr="00633D28" w:rsidRDefault="00EF00FD" w:rsidP="00EF00FD">
            <w:pPr>
              <w:jc w:val="center"/>
              <w:rPr>
                <w:sz w:val="20"/>
                <w:szCs w:val="20"/>
              </w:rPr>
            </w:pPr>
            <w:r w:rsidRPr="00633D28">
              <w:rPr>
                <w:rFonts w:ascii="Segoe UI Symbol" w:hAnsi="Segoe UI Symbol" w:cs="Segoe UI Symbol"/>
                <w:b/>
                <w:bCs/>
                <w:sz w:val="20"/>
                <w:szCs w:val="20"/>
              </w:rPr>
              <w:t>☓</w:t>
            </w:r>
          </w:p>
        </w:tc>
        <w:tc>
          <w:tcPr>
            <w:tcW w:w="1701" w:type="dxa"/>
          </w:tcPr>
          <w:p w14:paraId="1330631F" w14:textId="27398EE8" w:rsidR="00EF00FD" w:rsidRPr="00633D28" w:rsidRDefault="00EF00FD" w:rsidP="00EF00FD">
            <w:pPr>
              <w:jc w:val="center"/>
              <w:rPr>
                <w:sz w:val="20"/>
                <w:szCs w:val="20"/>
              </w:rPr>
            </w:pPr>
            <w:r w:rsidRPr="00633D28">
              <w:rPr>
                <w:rFonts w:ascii="Segoe UI Symbol" w:hAnsi="Segoe UI Symbol" w:cs="Segoe UI Symbol"/>
                <w:b/>
                <w:bCs/>
                <w:sz w:val="20"/>
                <w:szCs w:val="20"/>
              </w:rPr>
              <w:t>☓</w:t>
            </w:r>
          </w:p>
        </w:tc>
        <w:tc>
          <w:tcPr>
            <w:tcW w:w="1701" w:type="dxa"/>
          </w:tcPr>
          <w:p w14:paraId="4257616C" w14:textId="391CC837" w:rsidR="00EF00FD" w:rsidRPr="00633D28" w:rsidRDefault="00EF00FD" w:rsidP="00EF00FD">
            <w:pPr>
              <w:jc w:val="center"/>
              <w:rPr>
                <w:sz w:val="20"/>
                <w:szCs w:val="20"/>
              </w:rPr>
            </w:pPr>
            <w:r w:rsidRPr="00633D28">
              <w:rPr>
                <w:b/>
                <w:bCs/>
                <w:sz w:val="20"/>
                <w:szCs w:val="20"/>
              </w:rPr>
              <w:t>✓</w:t>
            </w:r>
          </w:p>
        </w:tc>
        <w:tc>
          <w:tcPr>
            <w:tcW w:w="1418" w:type="dxa"/>
          </w:tcPr>
          <w:p w14:paraId="0F649801" w14:textId="2B9CA20A" w:rsidR="00EF00FD" w:rsidRPr="00633D28" w:rsidRDefault="00EF00FD" w:rsidP="00EF00FD">
            <w:pPr>
              <w:jc w:val="center"/>
              <w:rPr>
                <w:sz w:val="20"/>
                <w:szCs w:val="20"/>
              </w:rPr>
            </w:pPr>
            <w:r w:rsidRPr="00633D28">
              <w:rPr>
                <w:b/>
                <w:bCs/>
                <w:sz w:val="20"/>
                <w:szCs w:val="20"/>
              </w:rPr>
              <w:t>✓</w:t>
            </w:r>
          </w:p>
        </w:tc>
      </w:tr>
      <w:tr w:rsidR="00FB0E61" w:rsidRPr="00633D28" w14:paraId="0DB8EEEB" w14:textId="77777777" w:rsidTr="0025781E">
        <w:tc>
          <w:tcPr>
            <w:tcW w:w="2127" w:type="dxa"/>
          </w:tcPr>
          <w:p w14:paraId="6DC69146" w14:textId="6C0309E2" w:rsidR="00FB0E61" w:rsidRPr="00633D28" w:rsidRDefault="00FB0E61" w:rsidP="00FB0E61">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{"citationID":"l3ZTifUD","properties":{"formattedCitation":"(Dutta et al., 2022)","plainCitation":"(Dutta et al., 2022)","noteIndex":0},"citationItems":[{"id":5450,"uris":["http://zotero.org/users/6707951/items/2GP5JF87"],"itemData":{"id":5450,"type":"article-journal","abstract":"India has a double disease burden of chronic infectious and non-communicable diseases (NCDs) like diabetes, cardiovascular diseases, cancers, chronic renal diseases, etc. The Covid-19 pandemic is putting a huge pressure and a profound impact on healthcare systems worldwide. According to WHO rapid survey, 122 countries reported that NCD services are disrupted. To assess treatment seeking behavior of patients with chronic diseases during Covid-19 pandemic a cross-sectional study was conducted among 174 patients with chronic diseases by telephonic interview at NEIGRIHMS, a tertiary care institute in the capital city of the north-eastern state of Meghalaya, Shillong. Of the total patients, 33.3% did not come for regular health visits to the hospital. Characteristics like age (≥60 years), low income (≤15000 Rupee per month), education (illiteracy) and place of stay (outside local district) were significantly associated with irregular health visits of the patients. Education on preventive measures of Covid-19 and improving chronic illness care services by the primary level health institutions including availability of essential drugs may reduce the loss to follow up among patients. Telemedicine services in the primary level health care centers can be used for availability of follow-up services during emergency situations.","container-title":"International Journal of Pharmaceutical Sciences Review and Research","DOI":"10.47583/ijpsrr.2022.v74i02.022","ISSN":"0976044X","journalAbbreviation":"IJPSRR","language":"en","page":"139-143","source":"DOI.org (Crossref)","title":"A Descriptive Study on the Treatment Seeking Behaviour of Patients with Chronic Diseases During Covid-19 Pandemic in a Tertiary Care Institute of North-eastern Region of India","URL":"https://globalresearchonline.net/ijpsrr/v74-2/22.pdf","author":[{"family":"Dutta","given":"Gitashree"},{"family":"Medh2","given":"Gajendra Kumar"},{"family":"Lyngdoh","given":"Markordor"},{"family":"Kumar","given":"Tarun"},{"family":"Pala","given":"Star"}],"accessed":{"date-parts":[["2025",3,13]]},"issued":{"date-parts":[["2022",6,15]]}}}],"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Dutta, 2022</w:t>
            </w:r>
            <w:r>
              <w:rPr>
                <w:rFonts w:ascii="Times New Roman" w:hAnsi="Times New Roman" w:cs="Times New Roman"/>
                <w:sz w:val="18"/>
                <w:szCs w:val="18"/>
                <w:lang w:val="en-US"/>
              </w:rPr>
              <w:fldChar w:fldCharType="end"/>
            </w:r>
          </w:p>
        </w:tc>
        <w:tc>
          <w:tcPr>
            <w:tcW w:w="1559" w:type="dxa"/>
          </w:tcPr>
          <w:p w14:paraId="32F302DA" w14:textId="188BB7A3" w:rsidR="00FB0E61" w:rsidRPr="00633D28" w:rsidRDefault="00FB0E61" w:rsidP="00FB0E61">
            <w:pPr>
              <w:jc w:val="center"/>
              <w:rPr>
                <w:sz w:val="20"/>
                <w:szCs w:val="20"/>
              </w:rPr>
            </w:pPr>
            <w:r w:rsidRPr="00633D28">
              <w:rPr>
                <w:b/>
                <w:bCs/>
                <w:sz w:val="20"/>
                <w:szCs w:val="20"/>
              </w:rPr>
              <w:t>✓</w:t>
            </w:r>
          </w:p>
        </w:tc>
        <w:tc>
          <w:tcPr>
            <w:tcW w:w="1843" w:type="dxa"/>
          </w:tcPr>
          <w:p w14:paraId="2FC1403C" w14:textId="67B0D9D8" w:rsidR="00FB0E61" w:rsidRPr="00633D28" w:rsidRDefault="00FB0E61" w:rsidP="00FB0E61">
            <w:pPr>
              <w:jc w:val="center"/>
              <w:rPr>
                <w:sz w:val="20"/>
                <w:szCs w:val="20"/>
              </w:rPr>
            </w:pPr>
            <w:r w:rsidRPr="00633D28">
              <w:rPr>
                <w:b/>
                <w:bCs/>
                <w:sz w:val="20"/>
                <w:szCs w:val="20"/>
              </w:rPr>
              <w:t>✓</w:t>
            </w:r>
          </w:p>
        </w:tc>
        <w:tc>
          <w:tcPr>
            <w:tcW w:w="1701" w:type="dxa"/>
          </w:tcPr>
          <w:p w14:paraId="23CA0BE0" w14:textId="318D44DB" w:rsidR="00FB0E61" w:rsidRPr="00633D28" w:rsidRDefault="00FB0E61" w:rsidP="00FB0E61">
            <w:pPr>
              <w:jc w:val="center"/>
              <w:rPr>
                <w:sz w:val="20"/>
                <w:szCs w:val="20"/>
              </w:rPr>
            </w:pPr>
            <w:r w:rsidRPr="00633D28">
              <w:rPr>
                <w:rFonts w:ascii="Segoe UI Symbol" w:hAnsi="Segoe UI Symbol" w:cs="Segoe UI Symbol"/>
                <w:b/>
                <w:bCs/>
                <w:sz w:val="20"/>
                <w:szCs w:val="20"/>
              </w:rPr>
              <w:t>☓</w:t>
            </w:r>
          </w:p>
        </w:tc>
        <w:tc>
          <w:tcPr>
            <w:tcW w:w="1559" w:type="dxa"/>
          </w:tcPr>
          <w:p w14:paraId="19364E32" w14:textId="2ED7F8E3" w:rsidR="00FB0E61" w:rsidRPr="00633D28" w:rsidRDefault="00FB0E61" w:rsidP="00FB0E61">
            <w:pPr>
              <w:jc w:val="center"/>
              <w:rPr>
                <w:sz w:val="20"/>
                <w:szCs w:val="20"/>
              </w:rPr>
            </w:pPr>
            <w:r w:rsidRPr="00633D28">
              <w:rPr>
                <w:rFonts w:ascii="Segoe UI Symbol" w:hAnsi="Segoe UI Symbol" w:cs="Segoe UI Symbol"/>
                <w:b/>
                <w:bCs/>
                <w:sz w:val="20"/>
                <w:szCs w:val="20"/>
              </w:rPr>
              <w:t>☓</w:t>
            </w:r>
          </w:p>
        </w:tc>
        <w:tc>
          <w:tcPr>
            <w:tcW w:w="1559" w:type="dxa"/>
          </w:tcPr>
          <w:p w14:paraId="53628205" w14:textId="274E739E" w:rsidR="00FB0E61" w:rsidRPr="00633D28" w:rsidRDefault="00FB0E61" w:rsidP="00FB0E61">
            <w:pPr>
              <w:jc w:val="center"/>
              <w:rPr>
                <w:sz w:val="20"/>
                <w:szCs w:val="20"/>
              </w:rPr>
            </w:pPr>
            <w:r w:rsidRPr="00633D28">
              <w:rPr>
                <w:rFonts w:ascii="Segoe UI Symbol" w:hAnsi="Segoe UI Symbol" w:cs="Segoe UI Symbol"/>
                <w:b/>
                <w:bCs/>
                <w:sz w:val="20"/>
                <w:szCs w:val="20"/>
              </w:rPr>
              <w:t>☓</w:t>
            </w:r>
          </w:p>
        </w:tc>
        <w:tc>
          <w:tcPr>
            <w:tcW w:w="1701" w:type="dxa"/>
          </w:tcPr>
          <w:p w14:paraId="0522D9F4" w14:textId="4451EF0D" w:rsidR="00FB0E61" w:rsidRPr="00633D28" w:rsidRDefault="00FB0E61" w:rsidP="00FB0E61">
            <w:pPr>
              <w:jc w:val="center"/>
              <w:rPr>
                <w:sz w:val="20"/>
                <w:szCs w:val="20"/>
              </w:rPr>
            </w:pPr>
            <w:r w:rsidRPr="00633D28">
              <w:rPr>
                <w:rFonts w:ascii="Segoe UI Symbol" w:hAnsi="Segoe UI Symbol" w:cs="Segoe UI Symbol"/>
                <w:b/>
                <w:bCs/>
                <w:sz w:val="20"/>
                <w:szCs w:val="20"/>
              </w:rPr>
              <w:t>☓</w:t>
            </w:r>
          </w:p>
        </w:tc>
        <w:tc>
          <w:tcPr>
            <w:tcW w:w="1701" w:type="dxa"/>
          </w:tcPr>
          <w:p w14:paraId="25101AD7" w14:textId="2039A586" w:rsidR="00FB0E61" w:rsidRPr="00633D28" w:rsidRDefault="00FB0E61" w:rsidP="00FB0E61">
            <w:pPr>
              <w:jc w:val="center"/>
              <w:rPr>
                <w:sz w:val="20"/>
                <w:szCs w:val="20"/>
              </w:rPr>
            </w:pPr>
            <w:r w:rsidRPr="00633D28">
              <w:rPr>
                <w:b/>
                <w:bCs/>
                <w:sz w:val="20"/>
                <w:szCs w:val="20"/>
              </w:rPr>
              <w:t>✓</w:t>
            </w:r>
          </w:p>
        </w:tc>
        <w:tc>
          <w:tcPr>
            <w:tcW w:w="1418" w:type="dxa"/>
          </w:tcPr>
          <w:p w14:paraId="75E28298" w14:textId="33012EFA" w:rsidR="00FB0E61" w:rsidRPr="00633D28" w:rsidRDefault="00FB0E61" w:rsidP="00FB0E61">
            <w:pPr>
              <w:jc w:val="center"/>
              <w:rPr>
                <w:sz w:val="20"/>
                <w:szCs w:val="20"/>
              </w:rPr>
            </w:pPr>
            <w:r w:rsidRPr="00633D28">
              <w:rPr>
                <w:b/>
                <w:bCs/>
                <w:sz w:val="20"/>
                <w:szCs w:val="20"/>
              </w:rPr>
              <w:t>✓</w:t>
            </w:r>
          </w:p>
        </w:tc>
      </w:tr>
      <w:tr w:rsidR="0025781E" w:rsidRPr="00633D28" w14:paraId="303A2B58" w14:textId="77777777" w:rsidTr="0025781E">
        <w:tc>
          <w:tcPr>
            <w:tcW w:w="2127" w:type="dxa"/>
          </w:tcPr>
          <w:p w14:paraId="67D45EBC" w14:textId="4B9F1238"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{"citationID":"IApYbWHc","properties":{"formattedCitation":"(Sawant &amp; Kokiwar, 2016)","plainCitation":"(Sawant &amp; Kokiwar, 2016)","noteIndex":0},"citationItems":[{"id":5452,"uris":["http://zotero.org/users/6707951/items/J3DPT9T5"],"itemData":{"id":5452,"type":"article-journal","abstract":"Background: Adherence is a complex process and patients’ decisions about how to manage their medications are likely based on economic, physical, psychological, and social considerations. Identifying factors associated with adherence would be of value for family physicians in focusing strategies to enhance patient adherence to antihypertensive medications. The objectives of the study were to knowledge, practices and treatment seeking behavior of patients with diabetes.\nMethods: Present study is a hospital based cross sectional study using interview technique carried out in the Medicine department of Malla Reddy hospital among 64 diabetic patients. Data was collected in predesigned, semi structured questionnaire. Information on socio-demographic profile, knowledge about diabetes, practices about diabetes, treatment seeking behaviour related to diabetes and quality of life was collected and recorded.\nResults: Overall knowledge of patients as assessed by these seven questions was very good. The overall treatment seeking behavior was found to be very good among these patients. It is observed from above table that majority of patients were following practices like wearing shoes regularly and dietary advice. Only 50% of patients had got their eyes checked in the last one year. However, practices such as checking blood sugar levels, blood pressure levels and consulting the physician regularly were not followed, as they should be.\nConclusions: Knowledge of most diabetic patients was good. However, they were not regular with their check-ups. The overall treatment seeking behaviour was in line with modern medicine as well as diet. Diabetic patients were not extensively affected by the disease regarding quality of life. Most patients were able to carry out daily tasks. Still, there is a need of health education as many patients do not have adequate knowledge.","container-title":"International Journal of Community Medicine and Public Health","DOI":"10.18203/2394-6040.ijcmph20160643","ISSN":"2394-6032","journalAbbreviation":"Int J Community Med Public Health","language":"en","page":"741-745","source":"DOI.org (Crossref)","title":"A study of knowledge, practices and treatment seeking behaviour among diabetic patients","URL":"http://ijcmph.com/index.php/ijcmph/article/view/788","author":[{"family":"Sawant","given":"Gokuldas"},{"family":"Kokiwar","given":"Prashant"}],"accessed":{"date-parts":[["2025",3,13]]},"issued":{"date-parts":[["2016"]]}}}],"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Sawant &amp; Kokiwar, 2016</w:t>
            </w:r>
            <w:r>
              <w:rPr>
                <w:rFonts w:ascii="Times New Roman" w:hAnsi="Times New Roman" w:cs="Times New Roman"/>
                <w:sz w:val="18"/>
                <w:szCs w:val="18"/>
                <w:lang w:val="en-US"/>
              </w:rPr>
              <w:fldChar w:fldCharType="end"/>
            </w:r>
          </w:p>
        </w:tc>
        <w:tc>
          <w:tcPr>
            <w:tcW w:w="1559" w:type="dxa"/>
          </w:tcPr>
          <w:p w14:paraId="633D9AE3" w14:textId="4310A2CF" w:rsidR="0025781E" w:rsidRPr="00633D28" w:rsidRDefault="0025781E" w:rsidP="0025781E">
            <w:pPr>
              <w:jc w:val="center"/>
              <w:rPr>
                <w:sz w:val="20"/>
                <w:szCs w:val="20"/>
              </w:rPr>
            </w:pPr>
            <w:r w:rsidRPr="00633D28">
              <w:rPr>
                <w:b/>
                <w:bCs/>
                <w:sz w:val="20"/>
                <w:szCs w:val="20"/>
              </w:rPr>
              <w:t>✓</w:t>
            </w:r>
          </w:p>
        </w:tc>
        <w:tc>
          <w:tcPr>
            <w:tcW w:w="1843" w:type="dxa"/>
          </w:tcPr>
          <w:p w14:paraId="4D6BD1BA" w14:textId="06A21F12" w:rsidR="0025781E" w:rsidRPr="00633D28" w:rsidRDefault="0025781E" w:rsidP="0025781E">
            <w:pPr>
              <w:jc w:val="center"/>
              <w:rPr>
                <w:sz w:val="20"/>
                <w:szCs w:val="20"/>
              </w:rPr>
            </w:pPr>
            <w:r w:rsidRPr="00633D28">
              <w:rPr>
                <w:b/>
                <w:bCs/>
                <w:sz w:val="20"/>
                <w:szCs w:val="20"/>
              </w:rPr>
              <w:t>✓</w:t>
            </w:r>
          </w:p>
        </w:tc>
        <w:tc>
          <w:tcPr>
            <w:tcW w:w="1701" w:type="dxa"/>
          </w:tcPr>
          <w:p w14:paraId="3C59AF8D" w14:textId="446BF3D6" w:rsidR="0025781E" w:rsidRPr="00633D28" w:rsidRDefault="0025781E" w:rsidP="0025781E">
            <w:pPr>
              <w:jc w:val="center"/>
              <w:rPr>
                <w:sz w:val="20"/>
                <w:szCs w:val="20"/>
              </w:rPr>
            </w:pPr>
            <w:r w:rsidRPr="00633D28">
              <w:rPr>
                <w:b/>
                <w:bCs/>
                <w:sz w:val="20"/>
                <w:szCs w:val="20"/>
              </w:rPr>
              <w:t>✓</w:t>
            </w:r>
          </w:p>
        </w:tc>
        <w:tc>
          <w:tcPr>
            <w:tcW w:w="1559" w:type="dxa"/>
          </w:tcPr>
          <w:p w14:paraId="57B08C0A" w14:textId="343A9805" w:rsidR="0025781E" w:rsidRPr="00633D28" w:rsidRDefault="0025781E" w:rsidP="0025781E">
            <w:pPr>
              <w:jc w:val="center"/>
              <w:rPr>
                <w:sz w:val="20"/>
                <w:szCs w:val="20"/>
              </w:rPr>
            </w:pPr>
            <w:r w:rsidRPr="00633D28">
              <w:rPr>
                <w:b/>
                <w:bCs/>
                <w:sz w:val="20"/>
                <w:szCs w:val="20"/>
              </w:rPr>
              <w:t>✓</w:t>
            </w:r>
          </w:p>
        </w:tc>
        <w:tc>
          <w:tcPr>
            <w:tcW w:w="1559" w:type="dxa"/>
          </w:tcPr>
          <w:p w14:paraId="2AF930FA" w14:textId="75188C08"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34D8BC64" w14:textId="162D367E"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79C00C6F" w14:textId="5E8FBA5A" w:rsidR="0025781E" w:rsidRPr="00633D28" w:rsidRDefault="0025781E" w:rsidP="0025781E">
            <w:pPr>
              <w:jc w:val="center"/>
              <w:rPr>
                <w:sz w:val="20"/>
                <w:szCs w:val="20"/>
              </w:rPr>
            </w:pPr>
            <w:r w:rsidRPr="00633D28">
              <w:rPr>
                <w:b/>
                <w:bCs/>
                <w:sz w:val="20"/>
                <w:szCs w:val="20"/>
              </w:rPr>
              <w:t>✓</w:t>
            </w:r>
          </w:p>
        </w:tc>
        <w:tc>
          <w:tcPr>
            <w:tcW w:w="1418" w:type="dxa"/>
          </w:tcPr>
          <w:p w14:paraId="57AA02CC" w14:textId="4F740263" w:rsidR="0025781E" w:rsidRPr="00633D28" w:rsidRDefault="0025781E" w:rsidP="0025781E">
            <w:pPr>
              <w:jc w:val="center"/>
              <w:rPr>
                <w:sz w:val="20"/>
                <w:szCs w:val="20"/>
              </w:rPr>
            </w:pPr>
            <w:r w:rsidRPr="00633D28">
              <w:rPr>
                <w:b/>
                <w:bCs/>
                <w:sz w:val="20"/>
                <w:szCs w:val="20"/>
              </w:rPr>
              <w:t>✓</w:t>
            </w:r>
          </w:p>
        </w:tc>
      </w:tr>
      <w:tr w:rsidR="0025781E" w:rsidRPr="00633D28" w14:paraId="1318E85E" w14:textId="77777777" w:rsidTr="0025781E">
        <w:tc>
          <w:tcPr>
            <w:tcW w:w="2127" w:type="dxa"/>
          </w:tcPr>
          <w:p w14:paraId="0481E40A" w14:textId="308AD692"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{"citationID":"L1T9vuv0","properties":{"formattedCitation":"(Sandipana et al., 2022)","plainCitation":"(Sandipana et al., 2022)","noteIndex":0},"citationItems":[{"id":5458,"uris":["http://zotero.org/users/6707951/items/BSJGMVXW"],"itemData":{"id":5458,"type":"article-journal","abstract":"Background: Globally, noncommunicable diseases (NCD) demand a higher healthcare expenditure. Among NCDs, diabetes mellitus is often associated with multiple, co‑existing chronic conditions. In low‑ and middle‑income countries where most of the healthcare expenditure is borne out of pocket, diabetes management may pose a significant financial stress. Methods: A cross‑sectional study was conducted in 17 urban primary healthcare facilities of Bhubaneswar to assess the healthcare utilization and out‑of‑pocket expenditure among type 2 diabetes patients attending these facilities. Healthcare utilization was determined by the number of visits to healthcare facilities in the last 6 months, and out‑of‑pocket expenditure was assessed by outpatient consultation fees, medicines, travels to health care facilities, and diagnostic tests. Total out‑of‑pocket expenditure was defined as the sum of these costs. Results: The median number of visits in 6 months for diabetes patients with any comorbidity was 4 and 5 for diabetes patients with more than 4 comorbidities. Among the comorbid conditions, depression, stroke, auditory impairment, and acid peptic disease were associated with higher healthcare utilization. The total out‑of‑pocket expense was 2.3 times higher among diabetes patients with any comorbid condition compared to patients with diabetes only. The total median expenditure was higher for diabetes patients having stroke, heart diseases, kidney diseases, and cancer compared with other comorbid conditions. The association of comorbidity in diabetes patients with health care utilization and out‑of‑pocket expenditure is statistically significant after adjustment for sociodemographic characteristics and diabetes duration. Conclusion: Considerable expenditure is incurred by diabetes patients attending primary healthcare facilities for the management of diabetes and other chronic conditions. This is a significant burden for diabetes patients below the poverty line and with limited or no insurance cover. There is a need to increase the coverage of insurance schemes to address the chronic conditions management expenditure of outpatients.","container-title":"Journal of Family Medicine and Primary Care","DOI":"10.4103/jfmpc.jfmpc_1305_21","ISSN":"2249-4863, 2278-7135","issue":"11","language":"en","page":"6714-6725","source":"DOI.org (Crossref)","title":"Health care utilization and out-of-pocket expenditure of type 2 diabetic patients: A study in primary care in Bhubaneswar, India","title-short":"Health care utilization and out-of-pocket expenditure of type 2 diabetic patients","URL":"https://journals.lww.com/10.4103/jfmpc.jfmpc_1305_21","volume":"11","author":[{"family":"Sandipana","given":"Pati"},{"family":"Swain","given":"Subhashisa"},{"family":"Van Den Akker","given":"Marjan"},{"family":"Schellevis","given":"François G."},{"family":"Pati","given":"Sanghamitra"},{"family":"Burgers","given":"Jako S."}],"accessed":{"date-parts":[["2025",3,13]]},"issued":{"date-parts":[["2022",11]]}}}],"schema":"https://github.com/citation-style-language/schema/raw/master/csl-citation.json"}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Sandipana, 2022</w:t>
            </w:r>
            <w:r>
              <w:rPr>
                <w:rFonts w:ascii="Times New Roman" w:hAnsi="Times New Roman" w:cs="Times New Roman"/>
                <w:sz w:val="18"/>
                <w:szCs w:val="18"/>
                <w:lang w:val="en-US"/>
              </w:rPr>
              <w:fldChar w:fldCharType="end"/>
            </w:r>
          </w:p>
        </w:tc>
        <w:tc>
          <w:tcPr>
            <w:tcW w:w="1559" w:type="dxa"/>
          </w:tcPr>
          <w:p w14:paraId="799B0750" w14:textId="7042BAAF" w:rsidR="0025781E" w:rsidRPr="00633D28" w:rsidRDefault="0025781E" w:rsidP="0025781E">
            <w:pPr>
              <w:jc w:val="center"/>
              <w:rPr>
                <w:sz w:val="20"/>
                <w:szCs w:val="20"/>
              </w:rPr>
            </w:pPr>
            <w:r w:rsidRPr="00633D28">
              <w:rPr>
                <w:b/>
                <w:bCs/>
                <w:sz w:val="20"/>
                <w:szCs w:val="20"/>
              </w:rPr>
              <w:t>✓</w:t>
            </w:r>
          </w:p>
        </w:tc>
        <w:tc>
          <w:tcPr>
            <w:tcW w:w="1843" w:type="dxa"/>
          </w:tcPr>
          <w:p w14:paraId="4B747B60" w14:textId="148EA2B9" w:rsidR="0025781E" w:rsidRPr="00633D28" w:rsidRDefault="0025781E" w:rsidP="0025781E">
            <w:pPr>
              <w:jc w:val="center"/>
              <w:rPr>
                <w:sz w:val="20"/>
                <w:szCs w:val="20"/>
              </w:rPr>
            </w:pPr>
            <w:r w:rsidRPr="00633D28">
              <w:rPr>
                <w:b/>
                <w:bCs/>
                <w:sz w:val="20"/>
                <w:szCs w:val="20"/>
              </w:rPr>
              <w:t>✓</w:t>
            </w:r>
          </w:p>
        </w:tc>
        <w:tc>
          <w:tcPr>
            <w:tcW w:w="1701" w:type="dxa"/>
          </w:tcPr>
          <w:p w14:paraId="4EAE00B2" w14:textId="7C764250" w:rsidR="0025781E" w:rsidRPr="00633D28" w:rsidRDefault="0025781E" w:rsidP="0025781E">
            <w:pPr>
              <w:jc w:val="center"/>
              <w:rPr>
                <w:sz w:val="20"/>
                <w:szCs w:val="20"/>
              </w:rPr>
            </w:pPr>
            <w:r w:rsidRPr="00633D28">
              <w:rPr>
                <w:b/>
                <w:bCs/>
                <w:sz w:val="20"/>
                <w:szCs w:val="20"/>
              </w:rPr>
              <w:t>✓</w:t>
            </w:r>
          </w:p>
        </w:tc>
        <w:tc>
          <w:tcPr>
            <w:tcW w:w="1559" w:type="dxa"/>
          </w:tcPr>
          <w:p w14:paraId="045D78F2" w14:textId="46E6C1FF" w:rsidR="0025781E" w:rsidRPr="00633D28" w:rsidRDefault="0025781E" w:rsidP="0025781E">
            <w:pPr>
              <w:jc w:val="center"/>
              <w:rPr>
                <w:sz w:val="20"/>
                <w:szCs w:val="20"/>
              </w:rPr>
            </w:pPr>
            <w:r w:rsidRPr="00633D28">
              <w:rPr>
                <w:b/>
                <w:bCs/>
                <w:sz w:val="20"/>
                <w:szCs w:val="20"/>
              </w:rPr>
              <w:t>✓</w:t>
            </w:r>
          </w:p>
        </w:tc>
        <w:tc>
          <w:tcPr>
            <w:tcW w:w="1559" w:type="dxa"/>
          </w:tcPr>
          <w:p w14:paraId="10F58BF2" w14:textId="0CE9684E"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370686F3" w14:textId="3DA5A669"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1073EF6C" w14:textId="4AED0322" w:rsidR="0025781E" w:rsidRPr="00633D28" w:rsidRDefault="0025781E" w:rsidP="0025781E">
            <w:pPr>
              <w:jc w:val="center"/>
              <w:rPr>
                <w:sz w:val="20"/>
                <w:szCs w:val="20"/>
              </w:rPr>
            </w:pPr>
            <w:r w:rsidRPr="00633D28">
              <w:rPr>
                <w:b/>
                <w:bCs/>
                <w:sz w:val="20"/>
                <w:szCs w:val="20"/>
              </w:rPr>
              <w:t>✓</w:t>
            </w:r>
          </w:p>
        </w:tc>
        <w:tc>
          <w:tcPr>
            <w:tcW w:w="1418" w:type="dxa"/>
          </w:tcPr>
          <w:p w14:paraId="4AB4BF3A" w14:textId="308C7A70" w:rsidR="0025781E" w:rsidRPr="00633D28" w:rsidRDefault="0025781E" w:rsidP="0025781E">
            <w:pPr>
              <w:jc w:val="center"/>
              <w:rPr>
                <w:sz w:val="20"/>
                <w:szCs w:val="20"/>
              </w:rPr>
            </w:pPr>
            <w:r w:rsidRPr="00633D28">
              <w:rPr>
                <w:b/>
                <w:bCs/>
                <w:sz w:val="20"/>
                <w:szCs w:val="20"/>
              </w:rPr>
              <w:t>✓</w:t>
            </w:r>
          </w:p>
        </w:tc>
      </w:tr>
      <w:tr w:rsidR="0025781E" w:rsidRPr="00633D28" w14:paraId="619FBA82" w14:textId="77777777" w:rsidTr="0025781E">
        <w:tc>
          <w:tcPr>
            <w:tcW w:w="2127" w:type="dxa"/>
          </w:tcPr>
          <w:p w14:paraId="18D32F8D" w14:textId="59566BEA"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{"citationID":"uSeMMAy0","properties":{"formattedCitation":"(Mathew &amp; Olickal, 2024)","plainCitation":"(Mathew &amp; Olickal, 2024)","noteIndex":0},"citationItems":[{"id":5456,"uris":["http://zotero.org/users/6707951/items/FSCW9LF9"],"itemData":{"id":5456,"type":"article-journal","abstract":"A\n              BSTRACT\n            \n            \n              Introduction:\n              World Health Organization recommends the integrated management of noncommunicable diseases (NCDs) in primary care. Hence, this study aimed to determine the NCD service utilization from an upgraded primary care center and to find the reasons for nonutilization.\n            \n            \n              Materials and Methods:\n              This community-based cross-sectional analytical study was conducted among 387 individuals aged 30 years and above in a selected upgraded primary care center. A validated semistructured questionnaire was used. A log-binomial regression was done, and adjusted prevalence ratios (aPR) were calculated.\n            \n            \n              Results:\n              \n                The prevalence of utilization of NCD services from upgraded primary care center was 55.3% (95% confidence interval [CI] 50.2–60.3). The screening or treatment service utilization for hypertension, diabetes, and cardiovascular diseases was reported to be 54% (95% CI 48.9–59.1), 37.5% (95% CI 32.6–42.5), and 7.2% (95% CI 4.9–1.3), respectively. The reasons for the nonutilization of services were preference for the private sector (35.3%), distance to the facility (27.2%), and lack of awareness regarding the amenities at family health centers (11.3%). The younger age (aPR = 1.70, 95% CI 1.29–2.23,\n                P\n                = 0.033), unemployment (aPR = 1.46, 95% CI 1.01–2.10,\n                P\n                = 0.043), and social class (aPR = 1.62, 95% CI 1.16–2.26,\n                P\n                = 0.004) were significantly associated with NCD service nonutilization. The willingness to avail of NCD services among nonutilizers was 46.8% and salaried individuals had a high chance of unwillingness (aPR = 5.01, 95% CI 1.69–14.78,\n                P\n                = 0.003) compared to daily waged workers.\n              \n            \n            \n              Conclusion:\n              Nearly half of the participants were not utilized upgraded primary care centers for NCD care. Strengthening outreach services and improving awareness among beneficiaries may improve the utilization in the community.","container-title":"Medical Journal of Dr. D.Y. Patil Vidyapeeth","DOI":"10.4103/mjdrdypu.mjdrdypu_961_22","ISSN":"2589-8302, 2589-8310","issue":"3","language":"en","page":"553-559","source":"DOI.org (Crossref)","title":"Noncommunicable Disease Service Utilization from the Upgraded Primary Care Centers: A Cross-Sectional Study from Kerala, India","title-short":"Noncommunicable Disease Service Utilization from the Upgraded Primary Care Centers","URL":"https://journals.lww.com/10.4103/mjdrdypu.mjdrdypu_961_22","volume":"17","author":[{"family":"Mathew","given":"Resmi"},{"family":"Olickal","given":"Jeby J."}],"accessed":{"date-parts":[["2025",3,13]]},"issued":{"date-parts":[["2024",5]]}}}],"schema":"https://github.com/citation-style-language/schema/raw/master/csl-citation.json"}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Mathew &amp; Olickal, 2024</w:t>
            </w:r>
            <w:r>
              <w:rPr>
                <w:rFonts w:ascii="Times New Roman" w:hAnsi="Times New Roman" w:cs="Times New Roman"/>
                <w:sz w:val="18"/>
                <w:szCs w:val="18"/>
                <w:lang w:val="en-US"/>
              </w:rPr>
              <w:fldChar w:fldCharType="end"/>
            </w:r>
          </w:p>
        </w:tc>
        <w:tc>
          <w:tcPr>
            <w:tcW w:w="1559" w:type="dxa"/>
          </w:tcPr>
          <w:p w14:paraId="76D4EF9F" w14:textId="4B00C376" w:rsidR="0025781E" w:rsidRPr="00633D28" w:rsidRDefault="0025781E" w:rsidP="0025781E">
            <w:pPr>
              <w:jc w:val="center"/>
              <w:rPr>
                <w:sz w:val="20"/>
                <w:szCs w:val="20"/>
              </w:rPr>
            </w:pPr>
            <w:r w:rsidRPr="00633D28">
              <w:rPr>
                <w:b/>
                <w:bCs/>
                <w:sz w:val="20"/>
                <w:szCs w:val="20"/>
              </w:rPr>
              <w:t>✓</w:t>
            </w:r>
          </w:p>
        </w:tc>
        <w:tc>
          <w:tcPr>
            <w:tcW w:w="1843" w:type="dxa"/>
          </w:tcPr>
          <w:p w14:paraId="61F99880" w14:textId="3F055AFD" w:rsidR="0025781E" w:rsidRPr="00633D28" w:rsidRDefault="0025781E" w:rsidP="0025781E">
            <w:pPr>
              <w:jc w:val="center"/>
              <w:rPr>
                <w:sz w:val="20"/>
                <w:szCs w:val="20"/>
              </w:rPr>
            </w:pPr>
            <w:r w:rsidRPr="00633D28">
              <w:rPr>
                <w:b/>
                <w:bCs/>
                <w:sz w:val="20"/>
                <w:szCs w:val="20"/>
              </w:rPr>
              <w:t>✓</w:t>
            </w:r>
          </w:p>
        </w:tc>
        <w:tc>
          <w:tcPr>
            <w:tcW w:w="1701" w:type="dxa"/>
          </w:tcPr>
          <w:p w14:paraId="3F5C5C5D" w14:textId="5FDAF4A4" w:rsidR="0025781E" w:rsidRPr="00633D28" w:rsidRDefault="0025781E" w:rsidP="0025781E">
            <w:pPr>
              <w:jc w:val="center"/>
              <w:rPr>
                <w:sz w:val="20"/>
                <w:szCs w:val="20"/>
              </w:rPr>
            </w:pPr>
            <w:r w:rsidRPr="00633D28">
              <w:rPr>
                <w:b/>
                <w:bCs/>
                <w:sz w:val="20"/>
                <w:szCs w:val="20"/>
              </w:rPr>
              <w:t>✓</w:t>
            </w:r>
          </w:p>
        </w:tc>
        <w:tc>
          <w:tcPr>
            <w:tcW w:w="1559" w:type="dxa"/>
          </w:tcPr>
          <w:p w14:paraId="55502AE9" w14:textId="1DAD26BC" w:rsidR="0025781E" w:rsidRPr="00633D28" w:rsidRDefault="0025781E" w:rsidP="0025781E">
            <w:pPr>
              <w:jc w:val="center"/>
              <w:rPr>
                <w:sz w:val="20"/>
                <w:szCs w:val="20"/>
              </w:rPr>
            </w:pPr>
            <w:r w:rsidRPr="00633D28">
              <w:rPr>
                <w:b/>
                <w:bCs/>
                <w:sz w:val="20"/>
                <w:szCs w:val="20"/>
              </w:rPr>
              <w:t>✓</w:t>
            </w:r>
          </w:p>
        </w:tc>
        <w:tc>
          <w:tcPr>
            <w:tcW w:w="1559" w:type="dxa"/>
          </w:tcPr>
          <w:p w14:paraId="7F8AFF49" w14:textId="21961BC7"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1270A123" w14:textId="3C78CCF0"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5E27ABC" w14:textId="019E1389" w:rsidR="0025781E" w:rsidRPr="00633D28" w:rsidRDefault="0025781E" w:rsidP="0025781E">
            <w:pPr>
              <w:jc w:val="center"/>
              <w:rPr>
                <w:sz w:val="20"/>
                <w:szCs w:val="20"/>
              </w:rPr>
            </w:pPr>
            <w:r w:rsidRPr="00633D28">
              <w:rPr>
                <w:b/>
                <w:bCs/>
                <w:sz w:val="20"/>
                <w:szCs w:val="20"/>
              </w:rPr>
              <w:t>✓</w:t>
            </w:r>
          </w:p>
        </w:tc>
        <w:tc>
          <w:tcPr>
            <w:tcW w:w="1418" w:type="dxa"/>
          </w:tcPr>
          <w:p w14:paraId="5C8B288E" w14:textId="1841F8CD" w:rsidR="0025781E" w:rsidRPr="00633D28" w:rsidRDefault="0025781E" w:rsidP="0025781E">
            <w:pPr>
              <w:jc w:val="center"/>
              <w:rPr>
                <w:sz w:val="20"/>
                <w:szCs w:val="20"/>
              </w:rPr>
            </w:pPr>
            <w:r w:rsidRPr="00633D28">
              <w:rPr>
                <w:b/>
                <w:bCs/>
                <w:sz w:val="20"/>
                <w:szCs w:val="20"/>
              </w:rPr>
              <w:t>✓</w:t>
            </w:r>
          </w:p>
        </w:tc>
      </w:tr>
      <w:tr w:rsidR="0025781E" w:rsidRPr="00633D28" w14:paraId="443F567B" w14:textId="77777777" w:rsidTr="0025781E">
        <w:tc>
          <w:tcPr>
            <w:tcW w:w="2127" w:type="dxa"/>
          </w:tcPr>
          <w:p w14:paraId="74611037" w14:textId="6376D7C8"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{"citationID":"eMmoykM1","properties":{"formattedCitation":"(Sanghamitra et al., 2019)","plainCitation":"(Sanghamitra et al., 2019)","noteIndex":0},"citationItems":[{"id":5531,"uris":["http://zotero.org/users/6707951/items/G8GBMQRZ"],"itemData":{"id":5531,"type":"article-journal","abstract":"Aim:\nThe aim of the study was to explore the care-seeking pathway of rural women living with rheumatoid arthritis (RA) and attending a tertiary health-care facility in Odisha, India.\n\nBackground:\nRA is the third leading chronic health condition and causes severe pain and immense psychosocial stress. The prevalence of RA is three to four times higher in women than in men. Furthermore, in India, women delay care seeking due to the prevailing sociocultural norms. Women report more severe symptoms and greater disability; however, there is a lack of information on their care-seeking pathways.\n\nMethod:\nWe conducted 113 in-depth interviews among RA patients those who visited specialists at the outpatients’ Department of Rheumatology, SCB Medical College Hospital, a tertiary care hospital in Cuttack, Odisha, India. The grounded theory approaches were used for data analysis.\n\nFindings:\nThe key findings included physical pain and psychosocial stress in relation to RA, cultural issues in relation to RA, mapping of the health-care providers for RA, the first point of cares and changes in care-seeking pathways, the perceived challenge for seeking health-care, and coping strategies of patients and social supports. This study explored that the RA patients seek care from multiple providers – untrained, trained and specialist without any gatekeeping. However, the primary health centers were the first point of care for maximum patients due to accessibility and affordability. Furthermore, follow-up care is significant to prevent complication among RA patients; the primary health centers are the gateway for keeping RA patients. Hence, the availability of RA trained providers at primary health center including interprofessional care, such as physiotherapy providers, and proper referral system is essential to convalesce care-seeking pathways.","container-title":"Primary Health Care Research &amp; Development","DOI":"10.1017/S146342361900032X","ISSN":"1463-4236","journalAbbreviation":"Prim Health Care Res Dev","note":"PMID: 32800021\nPMCID: PMC6683238","page":"e83","source":"PubMed Central","title":"Care-seeking pathways, care challenges, and coping experiences of rural women living with rheumatoid arthritis in Odisha, India","URL":"https://www.ncbi.nlm.nih.gov/pmc/articles/PMC6683238/","volume":"20","author":[{"family":"Sanghamitra","given":"Pati"},{"family":"Sahoo","given":"Krushna Chandra"},{"family":"Samal","given":"Mousumi"},{"family":"Jena","given":"Sunita"},{"family":"Mahapatra","given":"Pranab"},{"family":"Sutar","given":"Deepika"},{"family":"Das","given":"Bidyut K."}],"accessed":{"date-parts":[["2025",3,17]]},"issued":{"date-parts":[["2019",7,30]]}}}],"schema":"https://github.com/citation-style-language/schema/raw/master/csl-citation.json"}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Sanghamitra, 2019</w:t>
            </w:r>
            <w:r>
              <w:rPr>
                <w:rFonts w:ascii="Times New Roman" w:hAnsi="Times New Roman" w:cs="Times New Roman"/>
                <w:sz w:val="18"/>
                <w:szCs w:val="18"/>
                <w:lang w:val="en-US"/>
              </w:rPr>
              <w:fldChar w:fldCharType="end"/>
            </w:r>
          </w:p>
        </w:tc>
        <w:tc>
          <w:tcPr>
            <w:tcW w:w="1559" w:type="dxa"/>
          </w:tcPr>
          <w:p w14:paraId="6BAA0370" w14:textId="77575151" w:rsidR="0025781E" w:rsidRPr="00633D28" w:rsidRDefault="0025781E" w:rsidP="0025781E">
            <w:pPr>
              <w:jc w:val="center"/>
              <w:rPr>
                <w:sz w:val="20"/>
                <w:szCs w:val="20"/>
              </w:rPr>
            </w:pPr>
            <w:r w:rsidRPr="00633D28">
              <w:rPr>
                <w:b/>
                <w:bCs/>
                <w:sz w:val="20"/>
                <w:szCs w:val="20"/>
              </w:rPr>
              <w:t>✓</w:t>
            </w:r>
          </w:p>
        </w:tc>
        <w:tc>
          <w:tcPr>
            <w:tcW w:w="1843" w:type="dxa"/>
          </w:tcPr>
          <w:p w14:paraId="7452E37C" w14:textId="4B807633" w:rsidR="0025781E" w:rsidRPr="00633D28" w:rsidRDefault="0025781E" w:rsidP="0025781E">
            <w:pPr>
              <w:jc w:val="center"/>
              <w:rPr>
                <w:sz w:val="20"/>
                <w:szCs w:val="20"/>
              </w:rPr>
            </w:pPr>
            <w:r w:rsidRPr="00633D28">
              <w:rPr>
                <w:b/>
                <w:bCs/>
                <w:sz w:val="20"/>
                <w:szCs w:val="20"/>
              </w:rPr>
              <w:t>✓</w:t>
            </w:r>
          </w:p>
        </w:tc>
        <w:tc>
          <w:tcPr>
            <w:tcW w:w="1701" w:type="dxa"/>
          </w:tcPr>
          <w:p w14:paraId="2AEDF95E" w14:textId="6DE821E6" w:rsidR="0025781E" w:rsidRPr="00633D28" w:rsidRDefault="0025781E" w:rsidP="0025781E">
            <w:pPr>
              <w:jc w:val="center"/>
              <w:rPr>
                <w:sz w:val="20"/>
                <w:szCs w:val="20"/>
              </w:rPr>
            </w:pPr>
            <w:r w:rsidRPr="00633D28">
              <w:rPr>
                <w:b/>
                <w:bCs/>
                <w:sz w:val="20"/>
                <w:szCs w:val="20"/>
              </w:rPr>
              <w:t>✓</w:t>
            </w:r>
          </w:p>
        </w:tc>
        <w:tc>
          <w:tcPr>
            <w:tcW w:w="1559" w:type="dxa"/>
          </w:tcPr>
          <w:p w14:paraId="06846597" w14:textId="16B3BEA2" w:rsidR="0025781E" w:rsidRPr="00633D28" w:rsidRDefault="0025781E" w:rsidP="0025781E">
            <w:pPr>
              <w:jc w:val="center"/>
              <w:rPr>
                <w:sz w:val="20"/>
                <w:szCs w:val="20"/>
              </w:rPr>
            </w:pPr>
            <w:r w:rsidRPr="00633D28">
              <w:rPr>
                <w:b/>
                <w:bCs/>
                <w:sz w:val="20"/>
                <w:szCs w:val="20"/>
              </w:rPr>
              <w:t>✓</w:t>
            </w:r>
          </w:p>
        </w:tc>
        <w:tc>
          <w:tcPr>
            <w:tcW w:w="1559" w:type="dxa"/>
          </w:tcPr>
          <w:p w14:paraId="203A0E8D" w14:textId="1F4D196E"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6E4CEFA4" w14:textId="19384C3A"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18925E2B" w14:textId="28601CA1" w:rsidR="0025781E" w:rsidRPr="00633D28" w:rsidRDefault="0025781E" w:rsidP="0025781E">
            <w:pPr>
              <w:jc w:val="center"/>
              <w:rPr>
                <w:sz w:val="20"/>
                <w:szCs w:val="20"/>
              </w:rPr>
            </w:pPr>
            <w:r w:rsidRPr="00633D28">
              <w:rPr>
                <w:b/>
                <w:bCs/>
                <w:sz w:val="20"/>
                <w:szCs w:val="20"/>
              </w:rPr>
              <w:t>✓</w:t>
            </w:r>
          </w:p>
        </w:tc>
        <w:tc>
          <w:tcPr>
            <w:tcW w:w="1418" w:type="dxa"/>
          </w:tcPr>
          <w:p w14:paraId="42334733" w14:textId="35F28958" w:rsidR="0025781E" w:rsidRPr="00633D28" w:rsidRDefault="0025781E" w:rsidP="0025781E">
            <w:pPr>
              <w:jc w:val="center"/>
              <w:rPr>
                <w:sz w:val="20"/>
                <w:szCs w:val="20"/>
              </w:rPr>
            </w:pPr>
            <w:r w:rsidRPr="00633D28">
              <w:rPr>
                <w:b/>
                <w:bCs/>
                <w:sz w:val="20"/>
                <w:szCs w:val="20"/>
              </w:rPr>
              <w:t>✓</w:t>
            </w:r>
          </w:p>
        </w:tc>
      </w:tr>
      <w:tr w:rsidR="0025781E" w:rsidRPr="00633D28" w14:paraId="7E97C497" w14:textId="77777777" w:rsidTr="0025781E">
        <w:tc>
          <w:tcPr>
            <w:tcW w:w="2127" w:type="dxa"/>
          </w:tcPr>
          <w:p w14:paraId="0EAC595D" w14:textId="61410373"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{"citationID":"xGgsxrV1","properties":{"formattedCitation":"(Goswami &amp; Anand, 2023)","plainCitation":"(Goswami &amp; Anand, 2023)","noteIndex":0},"citationItems":[{"id":5460,"uris":["http://zotero.org/users/6707951/items/XAGRI9Z4"],"itemData":{"id":5460,"type":"article-journal","abstract":"Background and aims  The present study aims to investigate the disparities in healthcare utilization and healthcare burden among individuals with and without diabetes. The prevalence of diabetes is more pronounced among older adults, which can detrimentally influence their health and quality of life while also restricting their capacity to self-manage and giving rise to competing healthcare demands. Thus, it is crucial to understand the implications of diabetes on healthcare demands and expenditures to mitigate its detrimental consequences.\nMethods  Data was used from the initial round of the Longitudinal Aging Study in India (LASI), conducted in 2017–18. The analytical sample included 65,562 individuals aged 45 or above, and 8429 individuals were identified as having diabetes. The primary outcome variable was the out-of-pocket expenditure (OOPE) in the most recent hospitalization. Descriptive statistics and logistic regression are used to find the trend in the prevalence of morbidities both in diabetic and nondiabetic groups. Additionally, quantile regression was used to study the association between the presence of diabetes and the risk of excess healthcare expenditure calculated through out-of-pocket expenditure for hospitalization and expenditure on medicines.\nResults  16% of people with diabetes were hospitalized in the past year, compared to 9% without diabetes. The mean hospitalization length for diabetics was 13.6 days, compared to 6.5 for nondiabetics. Diabetes is significantly associated with higher OOPE for hospitalization across all quintiles, and its effect on hospitalization is weakest in the highest quintile. Having diabetes is also found to be significantly associated with the expenditure on medicines across all quintiles.\nConclusion  The study highlights the need for diabetes awareness programs and interventions integrated into national health policies. The quantile regression model provides crucial insights into the association between diabetes and OOPE for hospitalization and medicine The increase of OOPE for hospitalisation and medicine due to the presence of diabetes emphasizes the need to address the financial burden faced by people with diabetes, highlighting the urgency of prioritizing measures to improve access to affordable care.","container-title":"Journal of Diabetes &amp; Metabolic Disorders","DOI":"10.1007/s40200-023-01319-w","ISSN":"2251-6581","issue":"1","journalAbbreviation":"J Diabetes Metab Disord","language":"en","page":"593-601","source":"DOI.org (Crossref)","title":"Impact of diabetes on healthcare utilization and expenditure among older adults in India","URL":"https://link.springer.com/10.1007/s40200-023-01319-w","volume":"23","author":[{"family":"Goswami","given":"Puja"},{"family":"Anand","given":"Abhishek"}],"accessed":{"date-parts":[["2025",3,13]]},"issued":{"date-parts":[["2023",10,13]]}}}],"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Goswami &amp; Anand, 2023</w:t>
            </w:r>
            <w:r>
              <w:rPr>
                <w:rFonts w:ascii="Times New Roman" w:hAnsi="Times New Roman" w:cs="Times New Roman"/>
                <w:sz w:val="18"/>
                <w:szCs w:val="18"/>
                <w:lang w:val="en-US"/>
              </w:rPr>
              <w:fldChar w:fldCharType="end"/>
            </w:r>
          </w:p>
        </w:tc>
        <w:tc>
          <w:tcPr>
            <w:tcW w:w="1559" w:type="dxa"/>
          </w:tcPr>
          <w:p w14:paraId="036F95EB" w14:textId="6BD78D41" w:rsidR="0025781E" w:rsidRPr="00633D28" w:rsidRDefault="0025781E" w:rsidP="0025781E">
            <w:pPr>
              <w:jc w:val="center"/>
              <w:rPr>
                <w:sz w:val="20"/>
                <w:szCs w:val="20"/>
              </w:rPr>
            </w:pPr>
            <w:r w:rsidRPr="00633D28">
              <w:rPr>
                <w:b/>
                <w:bCs/>
                <w:sz w:val="20"/>
                <w:szCs w:val="20"/>
              </w:rPr>
              <w:t>✓</w:t>
            </w:r>
          </w:p>
        </w:tc>
        <w:tc>
          <w:tcPr>
            <w:tcW w:w="1843" w:type="dxa"/>
          </w:tcPr>
          <w:p w14:paraId="6AD7143D" w14:textId="1A4357A6" w:rsidR="0025781E" w:rsidRPr="00633D28" w:rsidRDefault="0025781E" w:rsidP="0025781E">
            <w:pPr>
              <w:jc w:val="center"/>
              <w:rPr>
                <w:sz w:val="20"/>
                <w:szCs w:val="20"/>
              </w:rPr>
            </w:pPr>
            <w:r w:rsidRPr="00633D28">
              <w:rPr>
                <w:b/>
                <w:bCs/>
                <w:sz w:val="20"/>
                <w:szCs w:val="20"/>
              </w:rPr>
              <w:t>✓</w:t>
            </w:r>
          </w:p>
        </w:tc>
        <w:tc>
          <w:tcPr>
            <w:tcW w:w="1701" w:type="dxa"/>
          </w:tcPr>
          <w:p w14:paraId="58304705" w14:textId="7D696B16" w:rsidR="0025781E" w:rsidRPr="00633D28" w:rsidRDefault="0025781E" w:rsidP="0025781E">
            <w:pPr>
              <w:jc w:val="center"/>
              <w:rPr>
                <w:sz w:val="20"/>
                <w:szCs w:val="20"/>
              </w:rPr>
            </w:pPr>
            <w:r w:rsidRPr="00633D28">
              <w:rPr>
                <w:b/>
                <w:bCs/>
                <w:sz w:val="20"/>
                <w:szCs w:val="20"/>
              </w:rPr>
              <w:t>✓</w:t>
            </w:r>
          </w:p>
        </w:tc>
        <w:tc>
          <w:tcPr>
            <w:tcW w:w="1559" w:type="dxa"/>
          </w:tcPr>
          <w:p w14:paraId="4F216302" w14:textId="08A51982" w:rsidR="0025781E" w:rsidRPr="00633D28" w:rsidRDefault="0025781E" w:rsidP="0025781E">
            <w:pPr>
              <w:jc w:val="center"/>
              <w:rPr>
                <w:sz w:val="20"/>
                <w:szCs w:val="20"/>
              </w:rPr>
            </w:pPr>
            <w:r w:rsidRPr="00633D28">
              <w:rPr>
                <w:b/>
                <w:bCs/>
                <w:sz w:val="20"/>
                <w:szCs w:val="20"/>
              </w:rPr>
              <w:t>✓</w:t>
            </w:r>
          </w:p>
        </w:tc>
        <w:tc>
          <w:tcPr>
            <w:tcW w:w="1559" w:type="dxa"/>
          </w:tcPr>
          <w:p w14:paraId="4EE0158C" w14:textId="72782E49"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5A78330" w14:textId="2F3D017A"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6608E6D" w14:textId="0A370643" w:rsidR="0025781E" w:rsidRPr="00633D28" w:rsidRDefault="0025781E" w:rsidP="0025781E">
            <w:pPr>
              <w:jc w:val="center"/>
              <w:rPr>
                <w:sz w:val="20"/>
                <w:szCs w:val="20"/>
              </w:rPr>
            </w:pPr>
            <w:r w:rsidRPr="00633D28">
              <w:rPr>
                <w:b/>
                <w:bCs/>
                <w:sz w:val="20"/>
                <w:szCs w:val="20"/>
              </w:rPr>
              <w:t>✓</w:t>
            </w:r>
          </w:p>
        </w:tc>
        <w:tc>
          <w:tcPr>
            <w:tcW w:w="1418" w:type="dxa"/>
          </w:tcPr>
          <w:p w14:paraId="414491BD" w14:textId="348BC9A4" w:rsidR="0025781E" w:rsidRPr="00633D28" w:rsidRDefault="0025781E" w:rsidP="0025781E">
            <w:pPr>
              <w:jc w:val="center"/>
              <w:rPr>
                <w:sz w:val="20"/>
                <w:szCs w:val="20"/>
              </w:rPr>
            </w:pPr>
            <w:r w:rsidRPr="00633D28">
              <w:rPr>
                <w:b/>
                <w:bCs/>
                <w:sz w:val="20"/>
                <w:szCs w:val="20"/>
              </w:rPr>
              <w:t>✓</w:t>
            </w:r>
          </w:p>
        </w:tc>
      </w:tr>
      <w:tr w:rsidR="0025781E" w:rsidRPr="00633D28" w14:paraId="63316F28" w14:textId="77777777" w:rsidTr="0025781E">
        <w:tc>
          <w:tcPr>
            <w:tcW w:w="2127" w:type="dxa"/>
          </w:tcPr>
          <w:p w14:paraId="130847FD" w14:textId="162E2CEB"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{"citationID":"ZWtTDLG4","properties":{"formattedCitation":"(Tadisetti et al., 2022)","plainCitation":"(Tadisetti et al., 2022)","noteIndex":0},"citationItems":[{"id":5462,"uris":["http://zotero.org/users/6707951/items/YREW8WB2"],"itemData":{"id":5462,"type":"article-journal","abstract":"Non-communicable diseases (NCDs) are much prevalent now-a-days and majority of the patients utilize different medical devices in order to manage these diseases. Hence, there is a strong need to evaluate the utility of medical devices by the population of these diseases. The current study was aimed to assess the usage of medical devices for disease management in the urban and rural settings of a south Indian district. A cross-sectional study was carried out for 18 months with the subjects who met the inclusion criteria. The subjects were recruited into the study by obtaining the ethics committee approval and informed consent from all subjects. A total of 3,000 subjects were screened and among them 1,024 (34.13%) subjects were recruited, with 593 (57.91%) subjects belonging to rural settings and 431 (42.08%) subjects belonging to urban settings. 559 were male (54.68%) and 464 were female (45.31%). In the subjects selected, patients with diabetes and hypertension covered the major part, with 70.70% among other NCDs. Medical devices usage awareness was observed among 520 (50.78%) subjects of the total recruited subjects, and among them 327 (68.65%) and 193 (37.11%) subjects were urban and rural areas, respectively. Some of the commonly used devices among the subjects were glucometers, digital BP apparatus, thermometer, pulse oximeter, and inhaler machine, which constituted about 186 (35.96%), 82 (15.76%), 181 (34.42%), 24 (4.80%), and 47 (9.03%), respectively. Overall, the awareness of medical device usage among the total subjects recruited was found to be 50.78%, with a slightly higher percentage of awareness in urban areas (62.88%; n = 327) as compared to rural settings (37.11%; n = 193). Hence, it is essential to see that both the rural and urban areas’ population need greater awareness on utilization of medical devices through different initiatives.","container-title":"Journal of Applied Pharmaceutical Science","DOI":"10.7324/JAPS.2022.120918","ISSN":"22313354","journalAbbreviation":"j app pharm sci","language":"en","source":"DOI.org (Crossref)","title":"Prevalence of noncommunicable diseases and usage of healthcare devices among the masses dwelling in South India, Kadapa","URL":"https://japsonline.com/abstract.php?article_id=3657&amp;sts=2","author":[{"family":"Tadisetti","given":"Poornachand"},{"family":"Cheedella","given":"Hari Kumar"},{"family":"Pelluri","given":"Ranakishor"}],"accessed":{"date-parts":[["2025",3,13]]},"issued":{"date-parts":[["2022"]]}}}],"schema":"https://github.com/citation-style-language/schema/raw/master/csl-citation.json"}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Tadisetti, 2022</w:t>
            </w:r>
            <w:r>
              <w:rPr>
                <w:rFonts w:ascii="Times New Roman" w:hAnsi="Times New Roman" w:cs="Times New Roman"/>
                <w:sz w:val="18"/>
                <w:szCs w:val="18"/>
                <w:lang w:val="en-US"/>
              </w:rPr>
              <w:fldChar w:fldCharType="end"/>
            </w:r>
          </w:p>
        </w:tc>
        <w:tc>
          <w:tcPr>
            <w:tcW w:w="1559" w:type="dxa"/>
          </w:tcPr>
          <w:p w14:paraId="3C5C2FCF" w14:textId="4752E7FB" w:rsidR="0025781E" w:rsidRPr="00633D28" w:rsidRDefault="0025781E" w:rsidP="0025781E">
            <w:pPr>
              <w:jc w:val="center"/>
              <w:rPr>
                <w:sz w:val="20"/>
                <w:szCs w:val="20"/>
              </w:rPr>
            </w:pPr>
            <w:r w:rsidRPr="00633D28">
              <w:rPr>
                <w:b/>
                <w:bCs/>
                <w:sz w:val="20"/>
                <w:szCs w:val="20"/>
              </w:rPr>
              <w:t>✓</w:t>
            </w:r>
          </w:p>
        </w:tc>
        <w:tc>
          <w:tcPr>
            <w:tcW w:w="1843" w:type="dxa"/>
          </w:tcPr>
          <w:p w14:paraId="37A2EE4B" w14:textId="24863BF8" w:rsidR="0025781E" w:rsidRPr="00633D28" w:rsidRDefault="0025781E" w:rsidP="0025781E">
            <w:pPr>
              <w:jc w:val="center"/>
              <w:rPr>
                <w:sz w:val="20"/>
                <w:szCs w:val="20"/>
              </w:rPr>
            </w:pPr>
            <w:r w:rsidRPr="00633D28">
              <w:rPr>
                <w:b/>
                <w:bCs/>
                <w:sz w:val="20"/>
                <w:szCs w:val="20"/>
              </w:rPr>
              <w:t>✓</w:t>
            </w:r>
          </w:p>
        </w:tc>
        <w:tc>
          <w:tcPr>
            <w:tcW w:w="1701" w:type="dxa"/>
          </w:tcPr>
          <w:p w14:paraId="009C81C6" w14:textId="503E38D5" w:rsidR="0025781E" w:rsidRPr="00633D28" w:rsidRDefault="0025781E" w:rsidP="0025781E">
            <w:pPr>
              <w:jc w:val="center"/>
              <w:rPr>
                <w:sz w:val="20"/>
                <w:szCs w:val="20"/>
              </w:rPr>
            </w:pPr>
            <w:r w:rsidRPr="00633D28">
              <w:rPr>
                <w:b/>
                <w:bCs/>
                <w:sz w:val="20"/>
                <w:szCs w:val="20"/>
              </w:rPr>
              <w:t>✓</w:t>
            </w:r>
          </w:p>
        </w:tc>
        <w:tc>
          <w:tcPr>
            <w:tcW w:w="1559" w:type="dxa"/>
          </w:tcPr>
          <w:p w14:paraId="0F2B4A32" w14:textId="40D03CBC" w:rsidR="0025781E" w:rsidRPr="00633D28" w:rsidRDefault="0025781E" w:rsidP="0025781E">
            <w:pPr>
              <w:jc w:val="center"/>
              <w:rPr>
                <w:sz w:val="20"/>
                <w:szCs w:val="20"/>
              </w:rPr>
            </w:pPr>
            <w:r w:rsidRPr="00633D28">
              <w:rPr>
                <w:b/>
                <w:bCs/>
                <w:sz w:val="20"/>
                <w:szCs w:val="20"/>
              </w:rPr>
              <w:t>✓</w:t>
            </w:r>
          </w:p>
        </w:tc>
        <w:tc>
          <w:tcPr>
            <w:tcW w:w="1559" w:type="dxa"/>
          </w:tcPr>
          <w:p w14:paraId="0ACA1BA9" w14:textId="690CC425"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693E9EB" w14:textId="6F893DBF"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73818B16" w14:textId="7BF7F909" w:rsidR="0025781E" w:rsidRPr="00633D28" w:rsidRDefault="0025781E" w:rsidP="0025781E">
            <w:pPr>
              <w:jc w:val="center"/>
              <w:rPr>
                <w:sz w:val="20"/>
                <w:szCs w:val="20"/>
              </w:rPr>
            </w:pPr>
            <w:r w:rsidRPr="00633D28">
              <w:rPr>
                <w:b/>
                <w:bCs/>
                <w:sz w:val="20"/>
                <w:szCs w:val="20"/>
              </w:rPr>
              <w:t>✓</w:t>
            </w:r>
          </w:p>
        </w:tc>
        <w:tc>
          <w:tcPr>
            <w:tcW w:w="1418" w:type="dxa"/>
          </w:tcPr>
          <w:p w14:paraId="4BC1C1B7" w14:textId="71C355CB" w:rsidR="0025781E" w:rsidRPr="00633D28" w:rsidRDefault="0025781E" w:rsidP="0025781E">
            <w:pPr>
              <w:jc w:val="center"/>
              <w:rPr>
                <w:sz w:val="20"/>
                <w:szCs w:val="20"/>
              </w:rPr>
            </w:pPr>
            <w:r w:rsidRPr="00633D28">
              <w:rPr>
                <w:b/>
                <w:bCs/>
                <w:sz w:val="20"/>
                <w:szCs w:val="20"/>
              </w:rPr>
              <w:t>✓</w:t>
            </w:r>
          </w:p>
        </w:tc>
      </w:tr>
      <w:tr w:rsidR="0025781E" w:rsidRPr="00633D28" w14:paraId="53C68339" w14:textId="77777777" w:rsidTr="0025781E">
        <w:tc>
          <w:tcPr>
            <w:tcW w:w="2127" w:type="dxa"/>
          </w:tcPr>
          <w:p w14:paraId="06B48FC5" w14:textId="047DFA8F"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{"citationID":"f8OY8lKd","properties":{"formattedCitation":"(Puri &amp; Pati, 2022)","plainCitation":"(Puri &amp; Pati, 2022)","noteIndex":0},"citationItems":[{"id":5464,"uris":["http://zotero.org/users/6707951/items/DBWS5UU3"],"itemData":{"id":5464,"type":"article-journal","abstract":"Objective: The study investigates the magnitude and correlates of non-communicable disease multimorbidity and explores its linkages with health care utilization and out-ofpocket expenditure among aboriginal or tribal older adults.\nMethods: The study employed data on 11,365 older adults from Scheduled Tribes from the Longitudinal Ageing Study in India, 2017-18. A disease score was computed integrating sixteen non-communicable diseases. Descriptive, bivariate, and multivariable analyses were performed to identify the magnitude and correlates of multimorbidity. The study further explored the linkages between selected diseases and multimorbidity with health care utilization and expenditure.\nResults: The ﬁndings suggest that 27.1 and 14.5% of the aboriginal population lived with single or multiple disease, respectively. Hypertension and gastrointestinal disorders were frequent diseases. Higher age, Muslim religion, higher education, unemployment, and afﬂuent background were the major correlates of multimorbidity. Health care utilization, mean expenditure on hospitalization, and outpatient visits increased signiﬁcantly with multimorbidity.\nConclusion: Multimorbidity is emerging as a health care challenge among the aboriginal population. Measures need to be taken to assess the multimorbidity burden and reduce health care expenditure, ensuring health equity among country’s vulnerable population.","container-title":"International Journal of Public Health","DOI":"10.3389/ijph.2022.1604333","ISSN":"1661-8564","journalAbbreviation":"Int J Public Health","language":"en","page":"1604333","source":"DOI.org (Crossref)","title":"Exploring the Linkages Between Non-Communicable Disease Multimorbidity, Health Care Utilization and Expenditure Among Aboriginal Older Adult Population in India","URL":"https://www.ssph-journal.org/articles/10.3389/ijph.2022.1604333/full","volume":"67","author":[{"family":"Puri","given":"Parul"},{"family":"Pati","given":"Sanghamitra"}],"accessed":{"date-parts":[["2025",3,13]]},"issued":{"date-parts":[["2022",3,7]]}}}],"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Puri &amp; Pati, 2022</w:t>
            </w:r>
            <w:r>
              <w:rPr>
                <w:rFonts w:ascii="Times New Roman" w:hAnsi="Times New Roman" w:cs="Times New Roman"/>
                <w:sz w:val="18"/>
                <w:szCs w:val="18"/>
                <w:lang w:val="en-US"/>
              </w:rPr>
              <w:fldChar w:fldCharType="end"/>
            </w:r>
          </w:p>
        </w:tc>
        <w:tc>
          <w:tcPr>
            <w:tcW w:w="1559" w:type="dxa"/>
          </w:tcPr>
          <w:p w14:paraId="58F8670D" w14:textId="529A5B47" w:rsidR="0025781E" w:rsidRPr="00633D28" w:rsidRDefault="0025781E" w:rsidP="0025781E">
            <w:pPr>
              <w:jc w:val="center"/>
              <w:rPr>
                <w:sz w:val="20"/>
                <w:szCs w:val="20"/>
              </w:rPr>
            </w:pPr>
            <w:r w:rsidRPr="00633D28">
              <w:rPr>
                <w:b/>
                <w:bCs/>
                <w:sz w:val="20"/>
                <w:szCs w:val="20"/>
              </w:rPr>
              <w:t>✓</w:t>
            </w:r>
          </w:p>
        </w:tc>
        <w:tc>
          <w:tcPr>
            <w:tcW w:w="1843" w:type="dxa"/>
          </w:tcPr>
          <w:p w14:paraId="4C963F5B" w14:textId="4CB76991" w:rsidR="0025781E" w:rsidRPr="00633D28" w:rsidRDefault="0025781E" w:rsidP="0025781E">
            <w:pPr>
              <w:jc w:val="center"/>
              <w:rPr>
                <w:sz w:val="20"/>
                <w:szCs w:val="20"/>
              </w:rPr>
            </w:pPr>
            <w:r w:rsidRPr="00633D28">
              <w:rPr>
                <w:b/>
                <w:bCs/>
                <w:sz w:val="20"/>
                <w:szCs w:val="20"/>
              </w:rPr>
              <w:t>✓</w:t>
            </w:r>
          </w:p>
        </w:tc>
        <w:tc>
          <w:tcPr>
            <w:tcW w:w="1701" w:type="dxa"/>
          </w:tcPr>
          <w:p w14:paraId="3B095389" w14:textId="7E17175F" w:rsidR="0025781E" w:rsidRPr="00633D28" w:rsidRDefault="0025781E" w:rsidP="0025781E">
            <w:pPr>
              <w:jc w:val="center"/>
              <w:rPr>
                <w:sz w:val="20"/>
                <w:szCs w:val="20"/>
              </w:rPr>
            </w:pPr>
            <w:r w:rsidRPr="00633D28">
              <w:rPr>
                <w:b/>
                <w:bCs/>
                <w:sz w:val="20"/>
                <w:szCs w:val="20"/>
              </w:rPr>
              <w:t>✓</w:t>
            </w:r>
          </w:p>
        </w:tc>
        <w:tc>
          <w:tcPr>
            <w:tcW w:w="1559" w:type="dxa"/>
          </w:tcPr>
          <w:p w14:paraId="6FD68190" w14:textId="0FB6CE18" w:rsidR="0025781E" w:rsidRPr="00633D28" w:rsidRDefault="0025781E" w:rsidP="0025781E">
            <w:pPr>
              <w:jc w:val="center"/>
              <w:rPr>
                <w:sz w:val="20"/>
                <w:szCs w:val="20"/>
              </w:rPr>
            </w:pPr>
            <w:r w:rsidRPr="00633D28">
              <w:rPr>
                <w:b/>
                <w:bCs/>
                <w:sz w:val="20"/>
                <w:szCs w:val="20"/>
              </w:rPr>
              <w:t>✓</w:t>
            </w:r>
          </w:p>
        </w:tc>
        <w:tc>
          <w:tcPr>
            <w:tcW w:w="1559" w:type="dxa"/>
          </w:tcPr>
          <w:p w14:paraId="13356681" w14:textId="5585CB61"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2AA19A4" w14:textId="0DB1C586"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52A65396" w14:textId="7319DBC5" w:rsidR="0025781E" w:rsidRPr="00633D28" w:rsidRDefault="0025781E" w:rsidP="0025781E">
            <w:pPr>
              <w:jc w:val="center"/>
              <w:rPr>
                <w:sz w:val="20"/>
                <w:szCs w:val="20"/>
              </w:rPr>
            </w:pPr>
            <w:r w:rsidRPr="00633D28">
              <w:rPr>
                <w:b/>
                <w:bCs/>
                <w:sz w:val="20"/>
                <w:szCs w:val="20"/>
              </w:rPr>
              <w:t>✓</w:t>
            </w:r>
          </w:p>
        </w:tc>
        <w:tc>
          <w:tcPr>
            <w:tcW w:w="1418" w:type="dxa"/>
          </w:tcPr>
          <w:p w14:paraId="51E18560" w14:textId="6DBF35F1" w:rsidR="0025781E" w:rsidRPr="00633D28" w:rsidRDefault="0025781E" w:rsidP="0025781E">
            <w:pPr>
              <w:jc w:val="center"/>
              <w:rPr>
                <w:sz w:val="20"/>
                <w:szCs w:val="20"/>
              </w:rPr>
            </w:pPr>
            <w:r w:rsidRPr="00633D28">
              <w:rPr>
                <w:b/>
                <w:bCs/>
                <w:sz w:val="20"/>
                <w:szCs w:val="20"/>
              </w:rPr>
              <w:t>✓</w:t>
            </w:r>
          </w:p>
        </w:tc>
      </w:tr>
      <w:tr w:rsidR="0025781E" w:rsidRPr="00633D28" w14:paraId="5F351A48" w14:textId="77777777" w:rsidTr="0025781E">
        <w:tc>
          <w:tcPr>
            <w:tcW w:w="2127" w:type="dxa"/>
          </w:tcPr>
          <w:p w14:paraId="00BF4D56" w14:textId="7001E27D"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{"citationID":"mI3PpJd4","properties":{"formattedCitation":"(Nimesh et al., 2019)","plainCitation":"(Nimesh et al., 2019)","noteIndex":0},"citationItems":[{"id":5466,"uris":["http://zotero.org/users/6707951/items/E9F8BAEU"],"itemData":{"id":5466,"type":"article-journal","abstract":"Background: Management of diabetes is complex and requires multiple lifestyle modifications, drug therapy, and a sustained regular follow‑up. Complexities of health‑seeking pattern in individuals with diabetes have been poorly characterized.\nObjectives: To understand the health‑seeking patterns, and reasons of provider preference and switching among persons with diabetes. Materials and Methods: We performed a mixed methods study in an urban slum setting of Bhopal. This urban slum was chosen as being a field practice area of the institute, a complete sampling frame with listing of households, and individuals with chronic disease conditions (including diabetes) was available. To be included in the study, the individual should have been an adult, aged ≥20 years, and diagnosed as type 2 diabetes mellitus. Descriptive statistical analysis of sociodemographic and disease management variables was performed. For qualitative component, interviews were transcribed and primary coding was done by two investigators followed by condensation of codes into themes or categories. The frequency of these content categories was presented with count and proportions. Results: In total, 60 individuals with diabetes were interviewed. Of all individuals, 36 (60%) were asymptomatic at the time of the first diagnosis, and 57 (95%) were currently under treatment from some healthcare provider. About 25 (41.6%) switched their first provider and remaining continued with the same provider. Second provider was sought by 9 (36%) of 25 patients. Reasons for switching were perceived nonrelief, cost of care, distance of facility, and behavior of care provider.\nConclusions: Healthcare provider switching is common among persons with diabetes which has implications on continuity of care.","container-title":"Journal of Family Medicine and Primary Care","DOI":"10.4103/jfmpc.jfmpc_433_18","ISSN":"2249-4863","issue":"2","journalAbbreviation":"J Family Med Prim Care","language":"en","page":"677","source":"DOI.org (Crossref)","title":"Patterns of healthcare seeking behavior among persons with diabetes in Central India: A mixed method study","title-short":"Patterns of healthcare seeking behavior among persons with diabetes in Central India","URL":"https://journals.lww.com/10.4103/jfmpc.jfmpc_433_18","volume":"8","author":[{"family":"Nimesh","given":"Vv"},{"family":"Halder","given":"Anupam"},{"family":"Mitra","given":"Arun"},{"family":"Kumar","given":"Sanjeev"},{"family":"Joshi","given":"Ankur"},{"family":"Joshi","given":"Rajnish"},{"family":"Pakhare","given":"Abhijit"}],"accessed":{"date-parts":[["2025",3,13]]},"issued":{"date-parts":[["2019"]]}}}],"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Nimesh, 2019)</w:t>
            </w:r>
            <w:r>
              <w:rPr>
                <w:rFonts w:ascii="Times New Roman" w:hAnsi="Times New Roman" w:cs="Times New Roman"/>
                <w:sz w:val="18"/>
                <w:szCs w:val="18"/>
                <w:lang w:val="en-US"/>
              </w:rPr>
              <w:fldChar w:fldCharType="end"/>
            </w:r>
          </w:p>
        </w:tc>
        <w:tc>
          <w:tcPr>
            <w:tcW w:w="1559" w:type="dxa"/>
          </w:tcPr>
          <w:p w14:paraId="544E2D3F" w14:textId="06AC9D7F" w:rsidR="0025781E" w:rsidRPr="00633D28" w:rsidRDefault="0025781E" w:rsidP="0025781E">
            <w:pPr>
              <w:jc w:val="center"/>
              <w:rPr>
                <w:sz w:val="20"/>
                <w:szCs w:val="20"/>
              </w:rPr>
            </w:pPr>
            <w:r w:rsidRPr="00633D28">
              <w:rPr>
                <w:b/>
                <w:bCs/>
                <w:sz w:val="20"/>
                <w:szCs w:val="20"/>
              </w:rPr>
              <w:t>✓</w:t>
            </w:r>
          </w:p>
        </w:tc>
        <w:tc>
          <w:tcPr>
            <w:tcW w:w="1843" w:type="dxa"/>
          </w:tcPr>
          <w:p w14:paraId="562AB2B6" w14:textId="3359BCAA" w:rsidR="0025781E" w:rsidRPr="00633D28" w:rsidRDefault="0025781E" w:rsidP="0025781E">
            <w:pPr>
              <w:jc w:val="center"/>
              <w:rPr>
                <w:sz w:val="20"/>
                <w:szCs w:val="20"/>
              </w:rPr>
            </w:pPr>
            <w:r w:rsidRPr="00633D28">
              <w:rPr>
                <w:b/>
                <w:bCs/>
                <w:sz w:val="20"/>
                <w:szCs w:val="20"/>
              </w:rPr>
              <w:t>✓</w:t>
            </w:r>
          </w:p>
        </w:tc>
        <w:tc>
          <w:tcPr>
            <w:tcW w:w="1701" w:type="dxa"/>
          </w:tcPr>
          <w:p w14:paraId="3F16CE61" w14:textId="56E8891A" w:rsidR="0025781E" w:rsidRPr="00633D28" w:rsidRDefault="0025781E" w:rsidP="0025781E">
            <w:pPr>
              <w:jc w:val="center"/>
              <w:rPr>
                <w:sz w:val="20"/>
                <w:szCs w:val="20"/>
              </w:rPr>
            </w:pPr>
            <w:r w:rsidRPr="00633D28">
              <w:rPr>
                <w:b/>
                <w:bCs/>
                <w:sz w:val="20"/>
                <w:szCs w:val="20"/>
              </w:rPr>
              <w:t>✓</w:t>
            </w:r>
          </w:p>
        </w:tc>
        <w:tc>
          <w:tcPr>
            <w:tcW w:w="1559" w:type="dxa"/>
          </w:tcPr>
          <w:p w14:paraId="68F8260B" w14:textId="730D215E" w:rsidR="0025781E" w:rsidRPr="00633D28" w:rsidRDefault="0025781E" w:rsidP="0025781E">
            <w:pPr>
              <w:jc w:val="center"/>
              <w:rPr>
                <w:sz w:val="20"/>
                <w:szCs w:val="20"/>
              </w:rPr>
            </w:pPr>
            <w:r w:rsidRPr="00633D28">
              <w:rPr>
                <w:b/>
                <w:bCs/>
                <w:sz w:val="20"/>
                <w:szCs w:val="20"/>
              </w:rPr>
              <w:t>✓</w:t>
            </w:r>
          </w:p>
        </w:tc>
        <w:tc>
          <w:tcPr>
            <w:tcW w:w="1559" w:type="dxa"/>
          </w:tcPr>
          <w:p w14:paraId="12D866CA" w14:textId="685DB6E4"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12EC115A" w14:textId="4E625D2F"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562657E" w14:textId="421102A3" w:rsidR="0025781E" w:rsidRPr="00633D28" w:rsidRDefault="0025781E" w:rsidP="0025781E">
            <w:pPr>
              <w:jc w:val="center"/>
              <w:rPr>
                <w:sz w:val="20"/>
                <w:szCs w:val="20"/>
              </w:rPr>
            </w:pPr>
            <w:r w:rsidRPr="00633D28">
              <w:rPr>
                <w:b/>
                <w:bCs/>
                <w:sz w:val="20"/>
                <w:szCs w:val="20"/>
              </w:rPr>
              <w:t>✓</w:t>
            </w:r>
          </w:p>
        </w:tc>
        <w:tc>
          <w:tcPr>
            <w:tcW w:w="1418" w:type="dxa"/>
          </w:tcPr>
          <w:p w14:paraId="2ADC444D" w14:textId="5B855FA7" w:rsidR="0025781E" w:rsidRPr="00633D28" w:rsidRDefault="0025781E" w:rsidP="0025781E">
            <w:pPr>
              <w:jc w:val="center"/>
              <w:rPr>
                <w:sz w:val="20"/>
                <w:szCs w:val="20"/>
              </w:rPr>
            </w:pPr>
            <w:r w:rsidRPr="00633D28">
              <w:rPr>
                <w:b/>
                <w:bCs/>
                <w:sz w:val="20"/>
                <w:szCs w:val="20"/>
              </w:rPr>
              <w:t>✓</w:t>
            </w:r>
          </w:p>
        </w:tc>
      </w:tr>
      <w:tr w:rsidR="0025781E" w:rsidRPr="00633D28" w14:paraId="71A85BD7" w14:textId="77777777" w:rsidTr="0025781E">
        <w:tc>
          <w:tcPr>
            <w:tcW w:w="2127" w:type="dxa"/>
          </w:tcPr>
          <w:p w14:paraId="032F09C1" w14:textId="135ACB80"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{"citationID":"n00bBL5r","properties":{"formattedCitation":"(Chakraborty et al., 2022)","plainCitation":"(Chakraborty et al., 2022)","noteIndex":0},"citationItems":[{"id":5468,"uris":["http://zotero.org/users/6707951/items/RIVC3QIB"],"itemData":{"id":5468,"type":"article-journal","abstract":"Background Elevated blood pressure or hypertension is responsible for around 10 million annual deaths globally, and people residing in low and middle-income countries are disproportionately affected by it. India is no exception, where low rate of treatment seeking for hypertension coupled with widespread out-of-pocket payments (OOPs) have been a challenge. This study assessed the pattern of health care seeking behaviour and financial protection along with the associated factors among hypertensive individuals in rural West Bengal, India.","container-title":"PLOS ONE","DOI":"10.1371/journal.pone.0264314","ISSN":"1932-6203","issue":"2","journalAbbreviation":"PLoS ONE","language":"en","page":"e0264314","source":"DOI.org (Crossref)","title":"Health care seeking behaviour and financial protection of patients with hypertension: A cross-sectional study in rural West Bengal, India","title-short":"Health care seeking behaviour and financial protection of patients with hypertension","URL":"https://dx.plos.org/10.1371/journal.pone.0264314","volume":"17","author":[{"family":"Chakraborty","given":"Sandipta"},{"family":"Rai","given":"Rajesh Kumar"},{"family":"Biswas","given":"Asit Kumar"},{"family":"Barik","given":"Anamitra"},{"family":"Gurung","given":"Preeti"},{"family":"Praveen","given":"Devarsetty"}],"editor":[{"family":"Alam","given":"Khurshid"}],"accessed":{"date-parts":[["2025",3,13]]},"issued":{"date-parts":[["2022",2,25]]}}}],"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Chakraborty, 2022</w:t>
            </w:r>
            <w:r>
              <w:rPr>
                <w:rFonts w:ascii="Times New Roman" w:hAnsi="Times New Roman" w:cs="Times New Roman"/>
                <w:sz w:val="18"/>
                <w:szCs w:val="18"/>
                <w:lang w:val="en-US"/>
              </w:rPr>
              <w:fldChar w:fldCharType="end"/>
            </w:r>
          </w:p>
        </w:tc>
        <w:tc>
          <w:tcPr>
            <w:tcW w:w="1559" w:type="dxa"/>
          </w:tcPr>
          <w:p w14:paraId="7F4B1CAD" w14:textId="2722B76D" w:rsidR="0025781E" w:rsidRPr="00633D28" w:rsidRDefault="0025781E" w:rsidP="0025781E">
            <w:pPr>
              <w:jc w:val="center"/>
              <w:rPr>
                <w:sz w:val="20"/>
                <w:szCs w:val="20"/>
              </w:rPr>
            </w:pPr>
            <w:r w:rsidRPr="00633D28">
              <w:rPr>
                <w:b/>
                <w:bCs/>
                <w:sz w:val="20"/>
                <w:szCs w:val="20"/>
              </w:rPr>
              <w:t>✓</w:t>
            </w:r>
          </w:p>
        </w:tc>
        <w:tc>
          <w:tcPr>
            <w:tcW w:w="1843" w:type="dxa"/>
          </w:tcPr>
          <w:p w14:paraId="7F981D78" w14:textId="14A78932" w:rsidR="0025781E" w:rsidRPr="00633D28" w:rsidRDefault="0025781E" w:rsidP="0025781E">
            <w:pPr>
              <w:jc w:val="center"/>
              <w:rPr>
                <w:sz w:val="20"/>
                <w:szCs w:val="20"/>
              </w:rPr>
            </w:pPr>
            <w:r w:rsidRPr="00633D28">
              <w:rPr>
                <w:b/>
                <w:bCs/>
                <w:sz w:val="20"/>
                <w:szCs w:val="20"/>
              </w:rPr>
              <w:t>✓</w:t>
            </w:r>
          </w:p>
        </w:tc>
        <w:tc>
          <w:tcPr>
            <w:tcW w:w="1701" w:type="dxa"/>
          </w:tcPr>
          <w:p w14:paraId="09AF71C5" w14:textId="31E0925F" w:rsidR="0025781E" w:rsidRPr="00633D28" w:rsidRDefault="0025781E" w:rsidP="0025781E">
            <w:pPr>
              <w:jc w:val="center"/>
              <w:rPr>
                <w:sz w:val="20"/>
                <w:szCs w:val="20"/>
              </w:rPr>
            </w:pPr>
            <w:r w:rsidRPr="00633D28">
              <w:rPr>
                <w:b/>
                <w:bCs/>
                <w:sz w:val="20"/>
                <w:szCs w:val="20"/>
              </w:rPr>
              <w:t>✓</w:t>
            </w:r>
          </w:p>
        </w:tc>
        <w:tc>
          <w:tcPr>
            <w:tcW w:w="1559" w:type="dxa"/>
          </w:tcPr>
          <w:p w14:paraId="2AAC38B5" w14:textId="59C60B42" w:rsidR="0025781E" w:rsidRPr="00633D28" w:rsidRDefault="0025781E" w:rsidP="0025781E">
            <w:pPr>
              <w:jc w:val="center"/>
              <w:rPr>
                <w:sz w:val="20"/>
                <w:szCs w:val="20"/>
              </w:rPr>
            </w:pPr>
            <w:r w:rsidRPr="00633D28">
              <w:rPr>
                <w:b/>
                <w:bCs/>
                <w:sz w:val="20"/>
                <w:szCs w:val="20"/>
              </w:rPr>
              <w:t>✓</w:t>
            </w:r>
          </w:p>
        </w:tc>
        <w:tc>
          <w:tcPr>
            <w:tcW w:w="1559" w:type="dxa"/>
          </w:tcPr>
          <w:p w14:paraId="2C083CB1" w14:textId="62B6156B"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530D09F9" w14:textId="7408A5F3"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36446DB9" w14:textId="219EFA9D" w:rsidR="0025781E" w:rsidRPr="00633D28" w:rsidRDefault="0025781E" w:rsidP="0025781E">
            <w:pPr>
              <w:jc w:val="center"/>
              <w:rPr>
                <w:sz w:val="20"/>
                <w:szCs w:val="20"/>
              </w:rPr>
            </w:pPr>
            <w:r w:rsidRPr="00633D28">
              <w:rPr>
                <w:b/>
                <w:bCs/>
                <w:sz w:val="20"/>
                <w:szCs w:val="20"/>
              </w:rPr>
              <w:t>✓</w:t>
            </w:r>
          </w:p>
        </w:tc>
        <w:tc>
          <w:tcPr>
            <w:tcW w:w="1418" w:type="dxa"/>
          </w:tcPr>
          <w:p w14:paraId="7A322AFE" w14:textId="26B3624F" w:rsidR="0025781E" w:rsidRPr="00633D28" w:rsidRDefault="0025781E" w:rsidP="0025781E">
            <w:pPr>
              <w:jc w:val="center"/>
              <w:rPr>
                <w:sz w:val="20"/>
                <w:szCs w:val="20"/>
              </w:rPr>
            </w:pPr>
            <w:r w:rsidRPr="00633D28">
              <w:rPr>
                <w:b/>
                <w:bCs/>
                <w:sz w:val="20"/>
                <w:szCs w:val="20"/>
              </w:rPr>
              <w:t>✓</w:t>
            </w:r>
          </w:p>
        </w:tc>
      </w:tr>
      <w:tr w:rsidR="0025781E" w:rsidRPr="00633D28" w14:paraId="6127A35E" w14:textId="77777777" w:rsidTr="0025781E">
        <w:tc>
          <w:tcPr>
            <w:tcW w:w="2127" w:type="dxa"/>
          </w:tcPr>
          <w:p w14:paraId="19ED69D2" w14:textId="1D3DAB2B"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{"citationID":"HIhf6usZ","properties":{"formattedCitation":"(Mohandas et al., 2024)","plainCitation":"(Mohandas et al., 2024)","noteIndex":0},"citationItems":[{"id":5470,"uris":["http://zotero.org/users/6707951/items/Q2P9ZD4F"],"itemData":{"id":5470,"type":"article-journal","abstract":"Objectives  To assess the pattern and determinants of healthcare service utilisation among adults with coronary artery disease (CAD) in a rural setting in Kerala, India. Design  A community-­based cross-­sectional analysis conducted within a study cohort. Setting  The study was conducted from January 2022 to March 2022 within the ENDIRA Cohort (Epidemiology of Non-­communicable Diseases In Rural Areas) in the rural part of Aluva municipality of Ernakulam district, Kerala, India, which comprises five adjacent panchayats with a population of approximately 100, 000 individuals. Participants  Patients with CAD aged 35–80 years from the ENDIRA cohort with a history of at least one event of myocardial infarction in the past decade. Outcome measures  The main outcome measured was the inadequacy of healthcare service utilisation among patients with CAD. The factors evaluated included age, gender, socioeconomic status, insurance, out of pocket expenses, choice of health care facility for follow up, distance from health centre as well as reported alcohol use, tobacco use and healthcare satisfaction\nResults  The study encompassed 623 participants with a mean age of 65.12 (±8.55) years, of whom 71% were males. The prevalence of inadequate utilisation of health services was 58.7%. The independent predictors of underutilisation included reported alcohol consumption (adjusted OR (AOR) 2.36; 95% CI 1.41 to 3.95), living more than 20 km from healthcare facilities (AOR 1.96; 95% CI 1.14 to 3.37) as well as the preferences for specific doctors and adequate services at healthcare facilities (AOR 3.43; 95% CI 1.46 to 8.04). The patients with monthly CAD medication expenses exceeding Rs4000 had 0.26 times lesser odds to underuse healthcare services (AOR 0.26; 95% CI 0.10 to 0.65).\nConclusion  The study reveals a suboptimal pattern of healthcare service utilisation among patients with CAD. Ensuring community access to standardised, high-­ quality follow-­up care is crucial for enhancing healthcare utilisation following CAD.","container-title":"BMJ Open","DOI":"10.1136/bmjopen-2024-084468","ISSN":"2044-6055, 2044-6055","issue":"9","journalAbbreviation":"BMJ Open","language":"en","page":"e084468","source":"DOI.org (Crossref)","title":"Healthcare service utilisation among adults with coronary artery disease in rural Aluva, South India: a community-based cross-sectional study","title-short":"Healthcare service utilisation among adults with coronary artery disease in rural Aluva, South India","URL":"https://bmjopen.bmj.com/lookup/doi/10.1136/bmjopen-2024-084468","volume":"14","author":[{"family":"Mohandas","given":"Neeraj Vinod"},{"family":"Vijayakumar","given":"Krishnapillai"},{"family":"Sreedevi","given":"Aswathy"},{"family":"George","given":"Neethu"},{"family":"Menon","given":"Jaideep"},{"family":"Dinesh","given":"Avani"},{"family":"Mohandas","given":"Vinod"}],"accessed":{"date-parts":[["2025",3,13]]},"issued":{"date-parts":[["2024",9]]}}}],"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Mohandas, 2024</w:t>
            </w:r>
            <w:r>
              <w:rPr>
                <w:rFonts w:ascii="Times New Roman" w:hAnsi="Times New Roman" w:cs="Times New Roman"/>
                <w:sz w:val="18"/>
                <w:szCs w:val="18"/>
                <w:lang w:val="en-US"/>
              </w:rPr>
              <w:fldChar w:fldCharType="end"/>
            </w:r>
          </w:p>
        </w:tc>
        <w:tc>
          <w:tcPr>
            <w:tcW w:w="1559" w:type="dxa"/>
          </w:tcPr>
          <w:p w14:paraId="56A5EE31" w14:textId="79E3A377" w:rsidR="0025781E" w:rsidRPr="00633D28" w:rsidRDefault="0025781E" w:rsidP="0025781E">
            <w:pPr>
              <w:jc w:val="center"/>
              <w:rPr>
                <w:sz w:val="20"/>
                <w:szCs w:val="20"/>
              </w:rPr>
            </w:pPr>
            <w:r w:rsidRPr="00633D28">
              <w:rPr>
                <w:b/>
                <w:bCs/>
                <w:sz w:val="20"/>
                <w:szCs w:val="20"/>
              </w:rPr>
              <w:t>✓</w:t>
            </w:r>
          </w:p>
        </w:tc>
        <w:tc>
          <w:tcPr>
            <w:tcW w:w="1843" w:type="dxa"/>
          </w:tcPr>
          <w:p w14:paraId="36AFB128" w14:textId="7A4708EB" w:rsidR="0025781E" w:rsidRPr="00633D28" w:rsidRDefault="0025781E" w:rsidP="0025781E">
            <w:pPr>
              <w:jc w:val="center"/>
              <w:rPr>
                <w:sz w:val="20"/>
                <w:szCs w:val="20"/>
              </w:rPr>
            </w:pPr>
            <w:r w:rsidRPr="00633D28">
              <w:rPr>
                <w:b/>
                <w:bCs/>
                <w:sz w:val="20"/>
                <w:szCs w:val="20"/>
              </w:rPr>
              <w:t>✓</w:t>
            </w:r>
          </w:p>
        </w:tc>
        <w:tc>
          <w:tcPr>
            <w:tcW w:w="1701" w:type="dxa"/>
          </w:tcPr>
          <w:p w14:paraId="0D2C1FD4" w14:textId="0F5C1DE2" w:rsidR="0025781E" w:rsidRPr="00633D28" w:rsidRDefault="0025781E" w:rsidP="0025781E">
            <w:pPr>
              <w:jc w:val="center"/>
              <w:rPr>
                <w:sz w:val="20"/>
                <w:szCs w:val="20"/>
              </w:rPr>
            </w:pPr>
            <w:r w:rsidRPr="00633D28">
              <w:rPr>
                <w:b/>
                <w:bCs/>
                <w:sz w:val="20"/>
                <w:szCs w:val="20"/>
              </w:rPr>
              <w:t>✓</w:t>
            </w:r>
          </w:p>
        </w:tc>
        <w:tc>
          <w:tcPr>
            <w:tcW w:w="1559" w:type="dxa"/>
          </w:tcPr>
          <w:p w14:paraId="70CDC8C0" w14:textId="1DAAC369" w:rsidR="0025781E" w:rsidRPr="00633D28" w:rsidRDefault="0025781E" w:rsidP="0025781E">
            <w:pPr>
              <w:jc w:val="center"/>
              <w:rPr>
                <w:sz w:val="20"/>
                <w:szCs w:val="20"/>
              </w:rPr>
            </w:pPr>
            <w:r w:rsidRPr="00633D28">
              <w:rPr>
                <w:b/>
                <w:bCs/>
                <w:sz w:val="20"/>
                <w:szCs w:val="20"/>
              </w:rPr>
              <w:t>✓</w:t>
            </w:r>
          </w:p>
        </w:tc>
        <w:tc>
          <w:tcPr>
            <w:tcW w:w="1559" w:type="dxa"/>
          </w:tcPr>
          <w:p w14:paraId="219B6B8F" w14:textId="59FF93E3"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6279FF86" w14:textId="6913134F"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7D4CA8D1" w14:textId="6B0112E1" w:rsidR="0025781E" w:rsidRPr="00633D28" w:rsidRDefault="0025781E" w:rsidP="0025781E">
            <w:pPr>
              <w:jc w:val="center"/>
              <w:rPr>
                <w:sz w:val="20"/>
                <w:szCs w:val="20"/>
              </w:rPr>
            </w:pPr>
            <w:r w:rsidRPr="00633D28">
              <w:rPr>
                <w:b/>
                <w:bCs/>
                <w:sz w:val="20"/>
                <w:szCs w:val="20"/>
              </w:rPr>
              <w:t>✓</w:t>
            </w:r>
          </w:p>
        </w:tc>
        <w:tc>
          <w:tcPr>
            <w:tcW w:w="1418" w:type="dxa"/>
          </w:tcPr>
          <w:p w14:paraId="00F564C6" w14:textId="4ACF45F8" w:rsidR="0025781E" w:rsidRPr="00633D28" w:rsidRDefault="0025781E" w:rsidP="0025781E">
            <w:pPr>
              <w:jc w:val="center"/>
              <w:rPr>
                <w:sz w:val="20"/>
                <w:szCs w:val="20"/>
              </w:rPr>
            </w:pPr>
            <w:r w:rsidRPr="00633D28">
              <w:rPr>
                <w:b/>
                <w:bCs/>
                <w:sz w:val="20"/>
                <w:szCs w:val="20"/>
              </w:rPr>
              <w:t>✓</w:t>
            </w:r>
          </w:p>
        </w:tc>
      </w:tr>
      <w:tr w:rsidR="0025781E" w:rsidRPr="00633D28" w14:paraId="7812DB91" w14:textId="77777777" w:rsidTr="0025781E">
        <w:tc>
          <w:tcPr>
            <w:tcW w:w="2127" w:type="dxa"/>
          </w:tcPr>
          <w:p w14:paraId="05C5AFDD" w14:textId="61DC56E7"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{"citationID":"IKdZOQRq","properties":{"formattedCitation":"(Bhor, 2023)","plainCitation":"(Bhor, 2023)","noteIndex":0},"citationItems":[{"id":5472,"uris":["http://zotero.org/users/6707951/items/JYGJRZKS"],"itemData":{"id":5472,"type":"article-journal","abstract":"Background Given that access to healthcare is less challenging in urban India, evidence shows that affordable government healthcare services are underutilized by the vulnerable and disadvantaged groups. There are emerging studies on healthcare seeking behavior in the context of short-term morbidities and communicable diseases that attempted to understand this gap of underutilization of government healthcare services, but similar studies are rare in the context of non-communicable diseases (NCDs) and associated chronic conditions. Given the urban health system is ill- prepared and ill-equipped to deliver NCD services, it is important to understand how the vulnerable and disadvantaged groups seek healthcare for chronic conditions. This article investigates the care-seeking practices of these individuals living in a low-income neighborhood and care-seeking pathways for chronic conditions.","container-title":"PLOS Global Public Health","DOI":"10.1371/journal.pgph.0002074","ISSN":"2767-3375","issue":"6","journalAbbreviation":"PLOS Glob Public Health","language":"en","page":"e0002074","source":"DOI.org (Crossref)","title":"Care-seeking practices for non-communicable chronic conditions in a low-income neighborhood in Southern India","URL":"https://dx.plos.org/10.1371/journal.pgph.0002074","volume":"3","author":[{"family":"Bhor","given":"Nilanjan"}],"editor":[{"family":"Haghparast Bidgoli","given":"Hassan"}],"accessed":{"date-parts":[["2025",3,13]]},"issued":{"date-parts":[["2023",6,29]]}}}],"schema":"https://github.com/citation-style-language/schema/raw/master/csl-citation.json"}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Bhor, 2023</w:t>
            </w:r>
            <w:r>
              <w:rPr>
                <w:rFonts w:ascii="Times New Roman" w:hAnsi="Times New Roman" w:cs="Times New Roman"/>
                <w:sz w:val="18"/>
                <w:szCs w:val="18"/>
                <w:lang w:val="en-US"/>
              </w:rPr>
              <w:fldChar w:fldCharType="end"/>
            </w:r>
          </w:p>
        </w:tc>
        <w:tc>
          <w:tcPr>
            <w:tcW w:w="1559" w:type="dxa"/>
          </w:tcPr>
          <w:p w14:paraId="7CC7B439" w14:textId="2D030863" w:rsidR="0025781E" w:rsidRPr="00633D28" w:rsidRDefault="0025781E" w:rsidP="0025781E">
            <w:pPr>
              <w:jc w:val="center"/>
              <w:rPr>
                <w:sz w:val="20"/>
                <w:szCs w:val="20"/>
              </w:rPr>
            </w:pPr>
            <w:r w:rsidRPr="00633D28">
              <w:rPr>
                <w:b/>
                <w:bCs/>
                <w:sz w:val="20"/>
                <w:szCs w:val="20"/>
              </w:rPr>
              <w:t>✓</w:t>
            </w:r>
          </w:p>
        </w:tc>
        <w:tc>
          <w:tcPr>
            <w:tcW w:w="1843" w:type="dxa"/>
          </w:tcPr>
          <w:p w14:paraId="1459D8A9" w14:textId="122E23B3" w:rsidR="0025781E" w:rsidRPr="00633D28" w:rsidRDefault="0025781E" w:rsidP="0025781E">
            <w:pPr>
              <w:jc w:val="center"/>
              <w:rPr>
                <w:sz w:val="20"/>
                <w:szCs w:val="20"/>
              </w:rPr>
            </w:pPr>
            <w:r w:rsidRPr="00633D28">
              <w:rPr>
                <w:b/>
                <w:bCs/>
                <w:sz w:val="20"/>
                <w:szCs w:val="20"/>
              </w:rPr>
              <w:t>✓</w:t>
            </w:r>
          </w:p>
        </w:tc>
        <w:tc>
          <w:tcPr>
            <w:tcW w:w="1701" w:type="dxa"/>
          </w:tcPr>
          <w:p w14:paraId="55D978BA" w14:textId="5BF312A2" w:rsidR="0025781E" w:rsidRPr="00633D28" w:rsidRDefault="0025781E" w:rsidP="0025781E">
            <w:pPr>
              <w:jc w:val="center"/>
              <w:rPr>
                <w:sz w:val="20"/>
                <w:szCs w:val="20"/>
              </w:rPr>
            </w:pPr>
            <w:r w:rsidRPr="00633D28">
              <w:rPr>
                <w:b/>
                <w:bCs/>
                <w:sz w:val="20"/>
                <w:szCs w:val="20"/>
              </w:rPr>
              <w:t>✓</w:t>
            </w:r>
          </w:p>
        </w:tc>
        <w:tc>
          <w:tcPr>
            <w:tcW w:w="1559" w:type="dxa"/>
          </w:tcPr>
          <w:p w14:paraId="12F94D4B" w14:textId="3B176438" w:rsidR="0025781E" w:rsidRPr="00633D28" w:rsidRDefault="0025781E" w:rsidP="0025781E">
            <w:pPr>
              <w:jc w:val="center"/>
              <w:rPr>
                <w:sz w:val="20"/>
                <w:szCs w:val="20"/>
              </w:rPr>
            </w:pPr>
            <w:r w:rsidRPr="00633D28">
              <w:rPr>
                <w:b/>
                <w:bCs/>
                <w:sz w:val="20"/>
                <w:szCs w:val="20"/>
              </w:rPr>
              <w:t>✓</w:t>
            </w:r>
          </w:p>
        </w:tc>
        <w:tc>
          <w:tcPr>
            <w:tcW w:w="1559" w:type="dxa"/>
          </w:tcPr>
          <w:p w14:paraId="0116E1EF" w14:textId="79F92854"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65E63D54" w14:textId="617C20CF"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4CCB9F80" w14:textId="233E2445" w:rsidR="0025781E" w:rsidRPr="00633D28" w:rsidRDefault="0025781E" w:rsidP="0025781E">
            <w:pPr>
              <w:jc w:val="center"/>
              <w:rPr>
                <w:sz w:val="20"/>
                <w:szCs w:val="20"/>
              </w:rPr>
            </w:pPr>
            <w:r w:rsidRPr="00633D28">
              <w:rPr>
                <w:b/>
                <w:bCs/>
                <w:sz w:val="20"/>
                <w:szCs w:val="20"/>
              </w:rPr>
              <w:t>✓</w:t>
            </w:r>
          </w:p>
        </w:tc>
        <w:tc>
          <w:tcPr>
            <w:tcW w:w="1418" w:type="dxa"/>
          </w:tcPr>
          <w:p w14:paraId="3AB2CA97" w14:textId="0CBC09B2" w:rsidR="0025781E" w:rsidRPr="00633D28" w:rsidRDefault="0025781E" w:rsidP="0025781E">
            <w:pPr>
              <w:jc w:val="center"/>
              <w:rPr>
                <w:sz w:val="20"/>
                <w:szCs w:val="20"/>
              </w:rPr>
            </w:pPr>
            <w:r w:rsidRPr="00633D28">
              <w:rPr>
                <w:b/>
                <w:bCs/>
                <w:sz w:val="20"/>
                <w:szCs w:val="20"/>
              </w:rPr>
              <w:t>✓</w:t>
            </w:r>
          </w:p>
        </w:tc>
      </w:tr>
      <w:tr w:rsidR="0025781E" w:rsidRPr="00633D28" w14:paraId="1BDF4420" w14:textId="77777777" w:rsidTr="0025781E">
        <w:tc>
          <w:tcPr>
            <w:tcW w:w="2127" w:type="dxa"/>
          </w:tcPr>
          <w:p w14:paraId="54D3AC47" w14:textId="5CFEC44B"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{"citationID":"6BYEzxGw","properties":{"formattedCitation":"(Karmakar et al., 2024)","plainCitation":"(Karmakar et al., 2024)","noteIndex":0},"citationItems":[{"id":5474,"uris":["http://zotero.org/users/6707951/items/BCEVDP4S"],"itemData":{"id":5474,"type":"article-journal","abstract":"Abstract\n            Healthcare systems worldwide are grappling with the challenge of providing high-quality healthcare in the face of evolving disease patterns. India, like many other countries, faces a significant treatment gap for various curable impairments, non-communicable diseases (NCDs), and cardiovascular diseases (CVDs). To address their healthcare needs, individuals often relocate in search of better treatment options. However, no studies were conducted to understand the spatial mobility. This paper explores the determinants of spatial mobility for treatment in India using data from NSS 75th round (2017–2018). A total of 64,779 individual medical cases of different diseases were taken into consideration for our analysis. Fixed effect and multinomial regression models were used to understand diseases specific mobility for treatment. It was found that those with CVDs, NCDs, and disabilities are more prone to travel outside their district for medical care. Rural and economically disadvantaged individuals also tend to travel further for treatment. The key factors impacting treatment-seeking mobility include insurance coverage, hospital quality, cost of medicine, and cost of X-rays/surgeries. The study highlights the need for improved policies to address the gap between healthcare needs and infrastructure in India, with a focus on prioritizing the development of local healthcare facilities for disabilities, NCDs, and CVDs.","container-title":"Scientific Reports","DOI":"10.1038/s41598-023-50184-3","ISSN":"2045-2322","issue":"1","journalAbbreviation":"Sci Rep","language":"en","page":"1887","source":"DOI.org (Crossref)","title":"Understanding patients' mobility for treatment seeking in India","URL":"https://www.nature.com/articles/s41598-023-50184-3","volume":"14","author":[{"family":"Karmakar","given":"Ranjan"},{"family":"Reddy","given":"Umenthala Srikanth"},{"family":"Bhagat","given":"Ram Babu"}],"accessed":{"date-parts":[["2025",3,13]]},"issued":{"date-parts":[["2024",1,22]]}}}],"schema":"https://github.com/citation-style-language/schema/raw/master/csl-citation.json"}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Karmakar, 2024</w:t>
            </w:r>
            <w:r>
              <w:rPr>
                <w:rFonts w:ascii="Times New Roman" w:hAnsi="Times New Roman" w:cs="Times New Roman"/>
                <w:sz w:val="18"/>
                <w:szCs w:val="18"/>
                <w:lang w:val="en-US"/>
              </w:rPr>
              <w:fldChar w:fldCharType="end"/>
            </w:r>
          </w:p>
        </w:tc>
        <w:tc>
          <w:tcPr>
            <w:tcW w:w="1559" w:type="dxa"/>
          </w:tcPr>
          <w:p w14:paraId="2083D7F3" w14:textId="6865970D" w:rsidR="0025781E" w:rsidRPr="00633D28" w:rsidRDefault="0025781E" w:rsidP="0025781E">
            <w:pPr>
              <w:jc w:val="center"/>
              <w:rPr>
                <w:sz w:val="20"/>
                <w:szCs w:val="20"/>
              </w:rPr>
            </w:pPr>
            <w:r w:rsidRPr="00633D28">
              <w:rPr>
                <w:b/>
                <w:bCs/>
                <w:sz w:val="20"/>
                <w:szCs w:val="20"/>
              </w:rPr>
              <w:t>✓</w:t>
            </w:r>
          </w:p>
        </w:tc>
        <w:tc>
          <w:tcPr>
            <w:tcW w:w="1843" w:type="dxa"/>
          </w:tcPr>
          <w:p w14:paraId="7D0053F3" w14:textId="0F1C34F7" w:rsidR="0025781E" w:rsidRPr="00633D28" w:rsidRDefault="0025781E" w:rsidP="0025781E">
            <w:pPr>
              <w:jc w:val="center"/>
              <w:rPr>
                <w:sz w:val="20"/>
                <w:szCs w:val="20"/>
              </w:rPr>
            </w:pPr>
            <w:r w:rsidRPr="00633D28">
              <w:rPr>
                <w:b/>
                <w:bCs/>
                <w:sz w:val="20"/>
                <w:szCs w:val="20"/>
              </w:rPr>
              <w:t>✓</w:t>
            </w:r>
          </w:p>
        </w:tc>
        <w:tc>
          <w:tcPr>
            <w:tcW w:w="1701" w:type="dxa"/>
          </w:tcPr>
          <w:p w14:paraId="10A186D8" w14:textId="171EBF26" w:rsidR="0025781E" w:rsidRPr="00633D28" w:rsidRDefault="0025781E" w:rsidP="0025781E">
            <w:pPr>
              <w:jc w:val="center"/>
              <w:rPr>
                <w:sz w:val="20"/>
                <w:szCs w:val="20"/>
              </w:rPr>
            </w:pPr>
            <w:r w:rsidRPr="00633D28">
              <w:rPr>
                <w:b/>
                <w:bCs/>
                <w:sz w:val="20"/>
                <w:szCs w:val="20"/>
              </w:rPr>
              <w:t>✓</w:t>
            </w:r>
          </w:p>
        </w:tc>
        <w:tc>
          <w:tcPr>
            <w:tcW w:w="1559" w:type="dxa"/>
          </w:tcPr>
          <w:p w14:paraId="1FBEBFCC" w14:textId="0B6C805A" w:rsidR="0025781E" w:rsidRPr="00633D28" w:rsidRDefault="0025781E" w:rsidP="0025781E">
            <w:pPr>
              <w:jc w:val="center"/>
              <w:rPr>
                <w:sz w:val="20"/>
                <w:szCs w:val="20"/>
              </w:rPr>
            </w:pPr>
            <w:r w:rsidRPr="00633D28">
              <w:rPr>
                <w:b/>
                <w:bCs/>
                <w:sz w:val="20"/>
                <w:szCs w:val="20"/>
              </w:rPr>
              <w:t>✓</w:t>
            </w:r>
          </w:p>
        </w:tc>
        <w:tc>
          <w:tcPr>
            <w:tcW w:w="1559" w:type="dxa"/>
          </w:tcPr>
          <w:p w14:paraId="73D0B8D7" w14:textId="4C39E91C"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2950181A" w14:textId="0D74FA0E"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00B96B00" w14:textId="22023F83" w:rsidR="0025781E" w:rsidRPr="00633D28" w:rsidRDefault="0025781E" w:rsidP="0025781E">
            <w:pPr>
              <w:jc w:val="center"/>
              <w:rPr>
                <w:sz w:val="20"/>
                <w:szCs w:val="20"/>
              </w:rPr>
            </w:pPr>
            <w:r w:rsidRPr="00633D28">
              <w:rPr>
                <w:b/>
                <w:bCs/>
                <w:sz w:val="20"/>
                <w:szCs w:val="20"/>
              </w:rPr>
              <w:t>✓</w:t>
            </w:r>
          </w:p>
        </w:tc>
        <w:tc>
          <w:tcPr>
            <w:tcW w:w="1418" w:type="dxa"/>
          </w:tcPr>
          <w:p w14:paraId="644A9266" w14:textId="24CCB9E6" w:rsidR="0025781E" w:rsidRPr="00633D28" w:rsidRDefault="0025781E" w:rsidP="0025781E">
            <w:pPr>
              <w:jc w:val="center"/>
              <w:rPr>
                <w:sz w:val="20"/>
                <w:szCs w:val="20"/>
              </w:rPr>
            </w:pPr>
            <w:r w:rsidRPr="00633D28">
              <w:rPr>
                <w:b/>
                <w:bCs/>
                <w:sz w:val="20"/>
                <w:szCs w:val="20"/>
              </w:rPr>
              <w:t>✓</w:t>
            </w:r>
          </w:p>
        </w:tc>
      </w:tr>
      <w:tr w:rsidR="0025781E" w:rsidRPr="00633D28" w14:paraId="6D7DDD62" w14:textId="77777777" w:rsidTr="0025781E">
        <w:tc>
          <w:tcPr>
            <w:tcW w:w="2127" w:type="dxa"/>
          </w:tcPr>
          <w:p w14:paraId="2280B800" w14:textId="34BD4C0F" w:rsidR="0025781E" w:rsidRPr="00633D28" w:rsidRDefault="0025781E" w:rsidP="0025781E">
            <w:pPr>
              <w:rPr>
                <w:rFonts w:ascii="Times New Roman" w:hAnsi="Times New Roman" w:cs="Times New Roman"/>
                <w:noProof/>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{"citationID":"3Hpd6aol","properties":{"formattedCitation":"(Pati et al., 2014)","plainCitation":"(Pati et al., 2014)","noteIndex":0},"citationItems":[{"id":5454,"uris":["http://zotero.org/users/6707951/items/HRWW7WE5"],"itemData":{"id":5454,"type":"article-journal","abstract":"Background: Non communicable disease (NCD) multimorbidity is increasingly becoming common in high income settings but little is known about its epidemiology and associated impacts on citizens and health systems in low and middle-income countries (LMICs). We aim to examine the socio-demographic distribution of NCD multimorbidity (≥2 diseases) and its implications for health care utilization and out-of-pocket expenditure (OOPE) in India.\nMethods: We analyzed cross-sectional nationally representative data from the World Health Organisaion Study on Global Ageing and Adult Health (WHO-SAGE), conducted in India during 2007. Multiple logistic regression was used to determine socio-demographic predictors of self-reported multimorbidity. A two part model was used to assess the relationship between number of NCDs and health care utilization including OOPE.\nResults: 28.5% of the sample population had at least one NCD and 8.9% had NCD multimorbidity. The prevalence of multimorbidity increased from 1.3% in 18–29 year olds to 30.6% in those aged 70 years and above. Mean outpatient visits in the preceding 12 months increased from 2.2 to 6.2 and the percentage reporting an overnight hospital stay in the past 3 years increased from 9% to 29% in those with no NCD and ≥2 NCDs respectively (p &lt;0.001). OOPE incurred during the last outpatient visit increased from INR 272.1 (95% CI = 249.0-295.2) in respondents with no NCDs to INR 454.1 (95% CI = 407.8-500.4) in respondents with ≥2 NCDs. However, we did not find an increase in OOPE during the last inpatient visit with number of NCDs (7865.9 INR for those with zero NCDs compared with 7301.3 for those with ≥2 NCDs). For both outpatient and inpatient OOPE, medicine constitutes the largest proportion of spending (70.7% for outpatient, 53.6% for inpatient visit), followed by spending for health care provider (14.0% for outpatient, 12.2% for inpatient visit).\nConclusion: NCD multimorbidity is common in the Indian adult population and is associated with substantially higher healthcare utilization and OOPE. Strategies to address the growing burden of NCDs in LMICs should include efforts to improve the management of patients with multimorbidity and reduce associated financial burden to individuals and households.","container-title":"BMC Health Services Research","DOI":"10.1186/1472-6963-14-451","ISSN":"1472-6963","issue":"1","journalAbbreviation":"BMC Health Serv Res","language":"en","page":"451","source":"DOI.org (Crossref)","title":"Non communicable disease multimorbidity and associated health care utilization and expenditures in India: cross-sectional study","title-short":"Non communicable disease multimorbidity and associated health care utilization and expenditures in India","URL":"https://bmchealthservres.biomedcentral.com/articles/10.1186/1472-6963-14-451","volume":"14","author":[{"family":"Pati","given":"Sanghamitra"},{"family":"Agrawal","given":"Sutapa"},{"family":"Swain","given":"Subhashisa"},{"family":"Lee","given":"John Tayu"},{"family":"Vellakkal","given":"Sukumar"},{"family":"Hussain","given":"Mohammad Akhtar"},{"family":"Millett","given":"Christopher"}],"accessed":{"date-parts":[["2025",3,13]]},"issued":{"date-parts":[["2014",12]]}}}],"schema":"https://github.com/citation-style-language/schema/raw/master/csl-citation.json"}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Pati, 2014</w:t>
            </w:r>
            <w:r>
              <w:rPr>
                <w:rFonts w:ascii="Times New Roman" w:hAnsi="Times New Roman" w:cs="Times New Roman"/>
                <w:sz w:val="18"/>
                <w:szCs w:val="18"/>
                <w:lang w:val="en-US"/>
              </w:rPr>
              <w:fldChar w:fldCharType="end"/>
            </w:r>
          </w:p>
        </w:tc>
        <w:tc>
          <w:tcPr>
            <w:tcW w:w="1559" w:type="dxa"/>
          </w:tcPr>
          <w:p w14:paraId="468AD6AA" w14:textId="1C60CCCE" w:rsidR="0025781E" w:rsidRPr="00633D28" w:rsidRDefault="0025781E" w:rsidP="0025781E">
            <w:pPr>
              <w:jc w:val="center"/>
              <w:rPr>
                <w:sz w:val="20"/>
                <w:szCs w:val="20"/>
              </w:rPr>
            </w:pPr>
            <w:r w:rsidRPr="00633D28">
              <w:rPr>
                <w:b/>
                <w:bCs/>
                <w:sz w:val="20"/>
                <w:szCs w:val="20"/>
              </w:rPr>
              <w:t>✓</w:t>
            </w:r>
          </w:p>
        </w:tc>
        <w:tc>
          <w:tcPr>
            <w:tcW w:w="1843" w:type="dxa"/>
          </w:tcPr>
          <w:p w14:paraId="575A13FE" w14:textId="48289E47" w:rsidR="0025781E" w:rsidRPr="00633D28" w:rsidRDefault="0025781E" w:rsidP="0025781E">
            <w:pPr>
              <w:jc w:val="center"/>
              <w:rPr>
                <w:sz w:val="20"/>
                <w:szCs w:val="20"/>
              </w:rPr>
            </w:pPr>
            <w:r w:rsidRPr="00633D28">
              <w:rPr>
                <w:b/>
                <w:bCs/>
                <w:sz w:val="20"/>
                <w:szCs w:val="20"/>
              </w:rPr>
              <w:t>✓</w:t>
            </w:r>
          </w:p>
        </w:tc>
        <w:tc>
          <w:tcPr>
            <w:tcW w:w="1701" w:type="dxa"/>
          </w:tcPr>
          <w:p w14:paraId="35BDE81E" w14:textId="1197D6AB" w:rsidR="0025781E" w:rsidRPr="00633D28" w:rsidRDefault="0025781E" w:rsidP="0025781E">
            <w:pPr>
              <w:jc w:val="center"/>
              <w:rPr>
                <w:sz w:val="20"/>
                <w:szCs w:val="20"/>
              </w:rPr>
            </w:pPr>
            <w:r w:rsidRPr="00633D28">
              <w:rPr>
                <w:b/>
                <w:bCs/>
                <w:sz w:val="20"/>
                <w:szCs w:val="20"/>
              </w:rPr>
              <w:t>✓</w:t>
            </w:r>
          </w:p>
        </w:tc>
        <w:tc>
          <w:tcPr>
            <w:tcW w:w="1559" w:type="dxa"/>
          </w:tcPr>
          <w:p w14:paraId="517E8F81" w14:textId="5C84C586" w:rsidR="0025781E" w:rsidRPr="00633D28" w:rsidRDefault="0025781E" w:rsidP="0025781E">
            <w:pPr>
              <w:jc w:val="center"/>
              <w:rPr>
                <w:sz w:val="20"/>
                <w:szCs w:val="20"/>
              </w:rPr>
            </w:pPr>
            <w:r w:rsidRPr="00633D28">
              <w:rPr>
                <w:b/>
                <w:bCs/>
                <w:sz w:val="20"/>
                <w:szCs w:val="20"/>
              </w:rPr>
              <w:t>✓</w:t>
            </w:r>
          </w:p>
        </w:tc>
        <w:tc>
          <w:tcPr>
            <w:tcW w:w="1559" w:type="dxa"/>
          </w:tcPr>
          <w:p w14:paraId="7F542213" w14:textId="6C830F3B"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59AC276A" w14:textId="1642FFD5"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3C70F8BB" w14:textId="4B4B5344" w:rsidR="0025781E" w:rsidRPr="00633D28" w:rsidRDefault="0025781E" w:rsidP="0025781E">
            <w:pPr>
              <w:jc w:val="center"/>
              <w:rPr>
                <w:sz w:val="20"/>
                <w:szCs w:val="20"/>
              </w:rPr>
            </w:pPr>
            <w:r w:rsidRPr="00633D28">
              <w:rPr>
                <w:b/>
                <w:bCs/>
                <w:sz w:val="20"/>
                <w:szCs w:val="20"/>
              </w:rPr>
              <w:t>✓</w:t>
            </w:r>
          </w:p>
        </w:tc>
        <w:tc>
          <w:tcPr>
            <w:tcW w:w="1418" w:type="dxa"/>
          </w:tcPr>
          <w:p w14:paraId="5502F500" w14:textId="5D0463ED" w:rsidR="0025781E" w:rsidRPr="00633D28" w:rsidRDefault="0025781E" w:rsidP="0025781E">
            <w:pPr>
              <w:jc w:val="center"/>
              <w:rPr>
                <w:sz w:val="20"/>
                <w:szCs w:val="20"/>
              </w:rPr>
            </w:pPr>
            <w:r w:rsidRPr="00633D28">
              <w:rPr>
                <w:b/>
                <w:bCs/>
                <w:sz w:val="20"/>
                <w:szCs w:val="20"/>
              </w:rPr>
              <w:t>✓</w:t>
            </w:r>
          </w:p>
        </w:tc>
      </w:tr>
      <w:tr w:rsidR="0025781E" w:rsidRPr="00633D28" w14:paraId="6435A75F" w14:textId="77777777" w:rsidTr="0025781E">
        <w:tc>
          <w:tcPr>
            <w:tcW w:w="2127" w:type="dxa"/>
          </w:tcPr>
          <w:p w14:paraId="3C2D4B57" w14:textId="5D1BBAFB" w:rsidR="0025781E" w:rsidRPr="00633D28" w:rsidRDefault="0025781E" w:rsidP="0025781E">
            <w:pPr>
              <w:rPr>
                <w:rFonts w:ascii="Times New Roman" w:hAnsi="Times New Roman" w:cs="Times New Roman"/>
                <w:noProof/>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{"citationID":"zVMBtcgb","properties":{"formattedCitation":"(Satish et al., 2024)","plainCitation":"(Satish et al., 2024)","noteIndex":0},"citationItems":[{"id":5476,"uris":["http://zotero.org/users/6707951/items/7VJ6D7IY"],"itemData":{"id":5476,"type":"article-journal","abstract":"Background:\n              Rheumatoid arthritis (RA) is a chronic progressive inflammatory condition with high cost of management and significant impact on the patient and healthcare system. Hence, there is a need to estimate and analyze the economic impact of RA.\n            \n            \n              Materials and Methods:\n              It was a cross-sectional prospective follow-up single-center study at a tertiary care hospital conducted over a period of 02 years and 06 months from September 2019 to February 2022 after ethical committee clearance.\n            \n            \n              Results:\n              A total of 189 RA patients were included after excluding 15 patients. The male-to-female ratio was 0.687. The mean age of the study population was 44.74 ± 5.2 years. The mean yearly average cost of management of RA was Rs 29155.1 ± 18234.1, of which 49.6% was direct medical, 19.4% was direct non-medical, and 31% was indirect costs. Of average direct medical costs, cost toward non-steroidal anti-inflammatory drugs (NSAIDs) was 3.1%; conventional disease-modifying antirheumatic drugs (DMARDs) was 36.3%; and laboratory, radiology investigations, and consultations was 6.4%, 1.48%, and 12.3%, respectively. Factors, such as longer duration of treatment, use of biologic DMARDs, loss of productive workdays, extraarticular manifestations, and management of complications, were associated with higher cost of treatment of RA.\n            \n            \n              Conclusions:\n              This study quantifies the economic burden of the RA by measuring costs incurred toward all aspects of the patient’s life including the indirect costs due to loss of workdays. The knowledge of cost will help in financial management by patients and healthcare providers.","container-title":"Medical Journal of Dr. D.Y. Patil Vidyapeeth","DOI":"10.4103/mjdrdypu.mjdrdypu_958_23","ISSN":"2589-8302, 2589-8310","issue":"6","language":"en","page":"1166-1171","source":"DOI.org (Crossref)","title":"A Prevalence-Based Study to Estimate Cost of Illness of Rheumatoid Arthritis in a Tertiary Care Hospital in India","URL":"https://journals.lww.com/10.4103/mjdrdypu.mjdrdypu_958_23","volume":"17","author":[{"family":"Satish","given":"Kumar"},{"family":"Kumar","given":"Ankit"},{"family":"Menon","given":"A. S."},{"family":"Patrikar","given":"Seema"},{"family":"Gaikwad","given":"Someshwar"},{"family":"Singh","given":"S. K."}],"accessed":{"date-parts":[["2025",3,13]]},"issued":{"date-parts":[["2024",11]]}}}],"schema":"https://github.com/citation-style-language/schema/raw/master/csl-citation.json"}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Satish, 2024</w:t>
            </w:r>
            <w:r>
              <w:rPr>
                <w:rFonts w:ascii="Times New Roman" w:hAnsi="Times New Roman" w:cs="Times New Roman"/>
                <w:sz w:val="18"/>
                <w:szCs w:val="18"/>
                <w:lang w:val="en-US"/>
              </w:rPr>
              <w:fldChar w:fldCharType="end"/>
            </w:r>
          </w:p>
        </w:tc>
        <w:tc>
          <w:tcPr>
            <w:tcW w:w="1559" w:type="dxa"/>
          </w:tcPr>
          <w:p w14:paraId="636DB01A" w14:textId="489DB0B6" w:rsidR="0025781E" w:rsidRPr="00633D28" w:rsidRDefault="0025781E" w:rsidP="0025781E">
            <w:pPr>
              <w:jc w:val="center"/>
              <w:rPr>
                <w:sz w:val="20"/>
                <w:szCs w:val="20"/>
              </w:rPr>
            </w:pPr>
            <w:r w:rsidRPr="00633D28">
              <w:rPr>
                <w:b/>
                <w:bCs/>
                <w:sz w:val="20"/>
                <w:szCs w:val="20"/>
              </w:rPr>
              <w:t>✓</w:t>
            </w:r>
          </w:p>
        </w:tc>
        <w:tc>
          <w:tcPr>
            <w:tcW w:w="1843" w:type="dxa"/>
          </w:tcPr>
          <w:p w14:paraId="0209BA4E" w14:textId="594CEC9F" w:rsidR="0025781E" w:rsidRPr="00633D28" w:rsidRDefault="0025781E" w:rsidP="0025781E">
            <w:pPr>
              <w:jc w:val="center"/>
              <w:rPr>
                <w:sz w:val="20"/>
                <w:szCs w:val="20"/>
              </w:rPr>
            </w:pPr>
            <w:r w:rsidRPr="00633D28">
              <w:rPr>
                <w:b/>
                <w:bCs/>
                <w:sz w:val="20"/>
                <w:szCs w:val="20"/>
              </w:rPr>
              <w:t>✓</w:t>
            </w:r>
          </w:p>
        </w:tc>
        <w:tc>
          <w:tcPr>
            <w:tcW w:w="1701" w:type="dxa"/>
          </w:tcPr>
          <w:p w14:paraId="4A3CE22E" w14:textId="09132B00" w:rsidR="0025781E" w:rsidRPr="00633D28" w:rsidRDefault="0025781E" w:rsidP="0025781E">
            <w:pPr>
              <w:jc w:val="center"/>
              <w:rPr>
                <w:sz w:val="20"/>
                <w:szCs w:val="20"/>
              </w:rPr>
            </w:pPr>
            <w:r w:rsidRPr="00633D28">
              <w:rPr>
                <w:b/>
                <w:bCs/>
                <w:sz w:val="20"/>
                <w:szCs w:val="20"/>
              </w:rPr>
              <w:t>✓</w:t>
            </w:r>
          </w:p>
        </w:tc>
        <w:tc>
          <w:tcPr>
            <w:tcW w:w="1559" w:type="dxa"/>
          </w:tcPr>
          <w:p w14:paraId="1CBDE01F" w14:textId="6C9A94CC" w:rsidR="0025781E" w:rsidRPr="00633D28" w:rsidRDefault="0025781E" w:rsidP="0025781E">
            <w:pPr>
              <w:jc w:val="center"/>
              <w:rPr>
                <w:sz w:val="20"/>
                <w:szCs w:val="20"/>
              </w:rPr>
            </w:pPr>
            <w:r w:rsidRPr="00633D28">
              <w:rPr>
                <w:b/>
                <w:bCs/>
                <w:sz w:val="20"/>
                <w:szCs w:val="20"/>
              </w:rPr>
              <w:t>✓</w:t>
            </w:r>
          </w:p>
        </w:tc>
        <w:tc>
          <w:tcPr>
            <w:tcW w:w="1559" w:type="dxa"/>
          </w:tcPr>
          <w:p w14:paraId="3B4BD4D6" w14:textId="51FBAECC"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6730EBD5" w14:textId="4B134779"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5AD43F44" w14:textId="23C626E8" w:rsidR="0025781E" w:rsidRPr="00633D28" w:rsidRDefault="0025781E" w:rsidP="0025781E">
            <w:pPr>
              <w:jc w:val="center"/>
              <w:rPr>
                <w:sz w:val="20"/>
                <w:szCs w:val="20"/>
              </w:rPr>
            </w:pPr>
            <w:r w:rsidRPr="00633D28">
              <w:rPr>
                <w:b/>
                <w:bCs/>
                <w:sz w:val="20"/>
                <w:szCs w:val="20"/>
              </w:rPr>
              <w:t>✓</w:t>
            </w:r>
          </w:p>
        </w:tc>
        <w:tc>
          <w:tcPr>
            <w:tcW w:w="1418" w:type="dxa"/>
          </w:tcPr>
          <w:p w14:paraId="1B8BFB55" w14:textId="0C7A5DDB" w:rsidR="0025781E" w:rsidRPr="00633D28" w:rsidRDefault="0025781E" w:rsidP="0025781E">
            <w:pPr>
              <w:jc w:val="center"/>
              <w:rPr>
                <w:sz w:val="20"/>
                <w:szCs w:val="20"/>
              </w:rPr>
            </w:pPr>
            <w:r w:rsidRPr="00633D28">
              <w:rPr>
                <w:b/>
                <w:bCs/>
                <w:sz w:val="20"/>
                <w:szCs w:val="20"/>
              </w:rPr>
              <w:t>✓</w:t>
            </w:r>
          </w:p>
        </w:tc>
      </w:tr>
      <w:tr w:rsidR="0025781E" w:rsidRPr="00633D28" w14:paraId="0A7F6A11" w14:textId="77777777" w:rsidTr="0025781E">
        <w:tc>
          <w:tcPr>
            <w:tcW w:w="2127" w:type="dxa"/>
          </w:tcPr>
          <w:p w14:paraId="708ADC8F" w14:textId="0BE11FBB"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{"citationID":"lV4R6Ziz","properties":{"formattedCitation":"(Bhosale et al., 2017)","plainCitation":"(Bhosale et al., 2017)","noteIndex":0},"citationItems":[{"id":5478,"uris":["http://zotero.org/users/6707951/items/859TIIB9"],"itemData":{"id":5478,"type":"article-journal","abstract":"Background: Diabetes mellitus is a global health problem. India has additional unique problem of treatment compliance of diabetic patients. Diabetic patients do not adhere to treatment and ultimately develop multiple chronic complications leading to irreversible disability and death. Objectives: To determine healthcare--seeking behavior and the health expenditure incurred for the treatment of diabetes in study population. Materials and Methods: Community-based crosssectional study was conducted in 2015. House-to-house survey was done for data collection. A structured questionnaire was used for collecting data after explaining purpose of the study. All individuals with diabetes residing in area who consented for participation in the study were included in the study. Elderly individuals who were critically ill and were unable to comprehend questions were excluded from the study. Collected data were entered in Microsoft Excel and statistical analysis was done using SPSS version 16. Results: A total of 79 diabetic patients were interviewed. Their mean age was 61.51 ± 11.8 years. 63.3% individuals belonged to upper socioeconomic class. Family history of diabetes was seen in 39.2% of the individuals. Only 34.1% patients used Government health facilities. 82.3% individuals were taking treatment regularly. Comorbidities associated with diabetes were seen in 69.6% of the individuals. The mean total monthly expenditure required for diabetes care was Rs. 1793. Conclusions: Healthcare-seeking behavior among diabetic patients in Kerala is still low compared to diabetic patients in developed countries. Diabetic patients have to spend significant amount for traveling, consultation, and laboratory investigations along with expenditure for drugs and hospitalization.","container-title":"International Journal of Medical Science and Public Health","DOI":"10.5455/ijmsph.2017.0721325082017","ISSN":"2320-4664","issue":"10","journalAbbreviation":"Int J Med Sci Public Health","language":"en","page":"1","source":"DOI.org (Crossref)","title":"Healthcare-seeking behavior among diabetic patients in Kozhikode, Kerala","URL":"https://ejmanager.com/fulltextpdf.php?mno=273762","volume":"6","author":[{"family":"Bhosale","given":"Shankar"},{"family":"Pawar","given":"Anant"},{"family":"K","given":"Durgesh"}],"accessed":{"date-parts":[["2025",3,13]]},"issued":{"date-parts":[["2017"]]}}}],"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Bhosale, 2017</w:t>
            </w:r>
            <w:r>
              <w:rPr>
                <w:rFonts w:ascii="Times New Roman" w:hAnsi="Times New Roman" w:cs="Times New Roman"/>
                <w:sz w:val="18"/>
                <w:szCs w:val="18"/>
                <w:lang w:val="en-US"/>
              </w:rPr>
              <w:fldChar w:fldCharType="end"/>
            </w:r>
          </w:p>
        </w:tc>
        <w:tc>
          <w:tcPr>
            <w:tcW w:w="1559" w:type="dxa"/>
          </w:tcPr>
          <w:p w14:paraId="7BFAA973" w14:textId="64910098" w:rsidR="0025781E" w:rsidRPr="00633D28" w:rsidRDefault="0025781E" w:rsidP="0025781E">
            <w:pPr>
              <w:jc w:val="center"/>
              <w:rPr>
                <w:sz w:val="20"/>
                <w:szCs w:val="20"/>
              </w:rPr>
            </w:pPr>
            <w:r w:rsidRPr="00633D28">
              <w:rPr>
                <w:b/>
                <w:bCs/>
                <w:sz w:val="20"/>
                <w:szCs w:val="20"/>
              </w:rPr>
              <w:t>✓</w:t>
            </w:r>
          </w:p>
        </w:tc>
        <w:tc>
          <w:tcPr>
            <w:tcW w:w="1843" w:type="dxa"/>
          </w:tcPr>
          <w:p w14:paraId="5A438987" w14:textId="771E8000" w:rsidR="0025781E" w:rsidRPr="00633D28" w:rsidRDefault="0025781E" w:rsidP="0025781E">
            <w:pPr>
              <w:jc w:val="center"/>
              <w:rPr>
                <w:sz w:val="20"/>
                <w:szCs w:val="20"/>
              </w:rPr>
            </w:pPr>
            <w:r w:rsidRPr="00633D28">
              <w:rPr>
                <w:b/>
                <w:bCs/>
                <w:sz w:val="20"/>
                <w:szCs w:val="20"/>
              </w:rPr>
              <w:t>✓</w:t>
            </w:r>
          </w:p>
        </w:tc>
        <w:tc>
          <w:tcPr>
            <w:tcW w:w="1701" w:type="dxa"/>
          </w:tcPr>
          <w:p w14:paraId="6BFFD755" w14:textId="3F65606A" w:rsidR="0025781E" w:rsidRPr="00633D28" w:rsidRDefault="0025781E" w:rsidP="0025781E">
            <w:pPr>
              <w:jc w:val="center"/>
              <w:rPr>
                <w:sz w:val="20"/>
                <w:szCs w:val="20"/>
              </w:rPr>
            </w:pPr>
            <w:r w:rsidRPr="00633D28">
              <w:rPr>
                <w:b/>
                <w:bCs/>
                <w:sz w:val="20"/>
                <w:szCs w:val="20"/>
              </w:rPr>
              <w:t>✓</w:t>
            </w:r>
          </w:p>
        </w:tc>
        <w:tc>
          <w:tcPr>
            <w:tcW w:w="1559" w:type="dxa"/>
          </w:tcPr>
          <w:p w14:paraId="50F4C92B" w14:textId="014B3E44" w:rsidR="0025781E" w:rsidRPr="00633D28" w:rsidRDefault="0025781E" w:rsidP="0025781E">
            <w:pPr>
              <w:jc w:val="center"/>
              <w:rPr>
                <w:sz w:val="20"/>
                <w:szCs w:val="20"/>
              </w:rPr>
            </w:pPr>
            <w:r w:rsidRPr="00633D28">
              <w:rPr>
                <w:b/>
                <w:bCs/>
                <w:sz w:val="20"/>
                <w:szCs w:val="20"/>
              </w:rPr>
              <w:t>✓</w:t>
            </w:r>
          </w:p>
        </w:tc>
        <w:tc>
          <w:tcPr>
            <w:tcW w:w="1559" w:type="dxa"/>
          </w:tcPr>
          <w:p w14:paraId="59D66909" w14:textId="6CA2B0AC"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11886620" w14:textId="35421186"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38C283A9" w14:textId="03CF4589" w:rsidR="0025781E" w:rsidRPr="00633D28" w:rsidRDefault="0025781E" w:rsidP="0025781E">
            <w:pPr>
              <w:jc w:val="center"/>
              <w:rPr>
                <w:sz w:val="20"/>
                <w:szCs w:val="20"/>
              </w:rPr>
            </w:pPr>
            <w:r w:rsidRPr="00633D28">
              <w:rPr>
                <w:b/>
                <w:bCs/>
                <w:sz w:val="20"/>
                <w:szCs w:val="20"/>
              </w:rPr>
              <w:t>✓</w:t>
            </w:r>
          </w:p>
        </w:tc>
        <w:tc>
          <w:tcPr>
            <w:tcW w:w="1418" w:type="dxa"/>
          </w:tcPr>
          <w:p w14:paraId="1941C06A" w14:textId="4D6F5D78" w:rsidR="0025781E" w:rsidRPr="00633D28" w:rsidRDefault="0025781E" w:rsidP="0025781E">
            <w:pPr>
              <w:jc w:val="center"/>
              <w:rPr>
                <w:sz w:val="20"/>
                <w:szCs w:val="20"/>
              </w:rPr>
            </w:pPr>
            <w:r w:rsidRPr="00633D28">
              <w:rPr>
                <w:b/>
                <w:bCs/>
                <w:sz w:val="20"/>
                <w:szCs w:val="20"/>
              </w:rPr>
              <w:t>✓</w:t>
            </w:r>
          </w:p>
        </w:tc>
      </w:tr>
      <w:tr w:rsidR="0025781E" w:rsidRPr="00633D28" w14:paraId="4F33361A" w14:textId="77777777" w:rsidTr="0025781E">
        <w:tc>
          <w:tcPr>
            <w:tcW w:w="2127" w:type="dxa"/>
          </w:tcPr>
          <w:p w14:paraId="13EBEEED" w14:textId="568AF5AA" w:rsidR="0025781E" w:rsidRPr="00633D28" w:rsidRDefault="0025781E" w:rsidP="0025781E">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{"citationID":"sw7KF0hf","properties":{"formattedCitation":"(Mentock et al., 2017)","plainCitation":"(Mentock et al., 2017)","noteIndex":0},"citationItems":[{"id":5480,"uris":["http://zotero.org/users/6707951/items/K49LS2ZE"],"itemData":{"id":5480,"type":"article-journal","abstract":"Methods: A cross-sectional survey was administered in the local language to 204 diabetic adults in rural and urban clinical settings. Fasting blood glucose level was measured in all participants prior to the survey. Questions included sociodemographic characteristics, treatment-seeking behavior, and perceptions of obstacles.\nResults: Out of 204 participants, predictors of at target status included age (OR 1.06, 95% CI 1.02–1.11) and rural living area (OR 1.92, 92% CI 1.02–3.60). Participants were commonly diagnosed with symptoms of diabetes (44.6%). Participants demonstrated frequent healthcare provider contact (51% in last one month, 74.5% in last three months). Accidental or purposeful deviation from the recommended medications or treatment plan was reported by 18.7% and 12.8%, respectively. From the sample, 111 participants (54.4%) were capable of receiving SMS messages and 79 (71.1%) were willing to receive messages about diabetes. The most frequently self-reported obstacles to diabetes management were: medication costs (49.3%), treatment costs (46.6%), diabetic diet (33.8%), lack of relief on current treatment (17.4%), and transportation (16.7%).\nConclusion: Though most diabetics have frequent encounters with healthcare providers and report compliant behaviors, the majority do not meet recommended diabetes management guidelines. Screening of at-risk populations, targeted SMS campaigns, or diabetes-speciﬁc training for healthcare providers may improve clinical outcomes.","container-title":"Diabetes &amp; Metabolic Syndrome: Clinical Research &amp; Reviews","DOI":"10.1016/j.dsx.2017.04.014","ISSN":"18714021","journalAbbreviation":"Diabetes &amp; Metabolic Syndrome: Clinical Research &amp; Reviews","language":"en","page":"S617-S622","source":"DOI.org (Crossref)","title":"Treatment-seeking behavior and obstacles to treatment compliance in diabetic patients in Mangaluru, India","URL":"https://linkinghub.elsevier.com/retrieve/pii/S1871402117300917","volume":"11","author":[{"family":"Mentock","given":"Shannon M."},{"family":"Ng","given":"Vanessa Y."},{"family":"Narayana","given":"Rashmi"},{"family":"Ullal","given":"Harshini"},{"family":"Kumari","given":"Suchetha"},{"family":"Badiger","given":"Sanjeev"},{"family":"Shetty","given":"Avinash K."}],"accessed":{"date-parts":[["2025",3,13]]},"issued":{"date-parts":[["2017",12]]}}}],"schema":"https://github.com/citation-style-language/schema/raw/master/csl-citation.json"}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Mentock, 2017</w:t>
            </w:r>
            <w:r>
              <w:rPr>
                <w:rFonts w:ascii="Times New Roman" w:hAnsi="Times New Roman" w:cs="Times New Roman"/>
                <w:sz w:val="18"/>
                <w:szCs w:val="18"/>
                <w:lang w:val="en-US"/>
              </w:rPr>
              <w:fldChar w:fldCharType="end"/>
            </w:r>
          </w:p>
        </w:tc>
        <w:tc>
          <w:tcPr>
            <w:tcW w:w="1559" w:type="dxa"/>
          </w:tcPr>
          <w:p w14:paraId="5956BFB1" w14:textId="29D0B630" w:rsidR="0025781E" w:rsidRPr="00633D28" w:rsidRDefault="0025781E" w:rsidP="0025781E">
            <w:pPr>
              <w:jc w:val="center"/>
              <w:rPr>
                <w:sz w:val="20"/>
                <w:szCs w:val="20"/>
              </w:rPr>
            </w:pPr>
            <w:r w:rsidRPr="00633D28">
              <w:rPr>
                <w:b/>
                <w:bCs/>
                <w:sz w:val="20"/>
                <w:szCs w:val="20"/>
              </w:rPr>
              <w:t>✓</w:t>
            </w:r>
          </w:p>
        </w:tc>
        <w:tc>
          <w:tcPr>
            <w:tcW w:w="1843" w:type="dxa"/>
          </w:tcPr>
          <w:p w14:paraId="7004C084" w14:textId="682183F2" w:rsidR="0025781E" w:rsidRPr="00633D28" w:rsidRDefault="0025781E" w:rsidP="0025781E">
            <w:pPr>
              <w:jc w:val="center"/>
              <w:rPr>
                <w:sz w:val="20"/>
                <w:szCs w:val="20"/>
              </w:rPr>
            </w:pPr>
            <w:r w:rsidRPr="00633D28">
              <w:rPr>
                <w:b/>
                <w:bCs/>
                <w:sz w:val="20"/>
                <w:szCs w:val="20"/>
              </w:rPr>
              <w:t>✓</w:t>
            </w:r>
          </w:p>
        </w:tc>
        <w:tc>
          <w:tcPr>
            <w:tcW w:w="1701" w:type="dxa"/>
          </w:tcPr>
          <w:p w14:paraId="015A7248" w14:textId="2F308BF0" w:rsidR="0025781E" w:rsidRPr="00633D28" w:rsidRDefault="0025781E" w:rsidP="0025781E">
            <w:pPr>
              <w:jc w:val="center"/>
              <w:rPr>
                <w:sz w:val="20"/>
                <w:szCs w:val="20"/>
              </w:rPr>
            </w:pPr>
            <w:r w:rsidRPr="00633D28">
              <w:rPr>
                <w:b/>
                <w:bCs/>
                <w:sz w:val="20"/>
                <w:szCs w:val="20"/>
              </w:rPr>
              <w:t>✓</w:t>
            </w:r>
          </w:p>
        </w:tc>
        <w:tc>
          <w:tcPr>
            <w:tcW w:w="1559" w:type="dxa"/>
          </w:tcPr>
          <w:p w14:paraId="05DEDE0C" w14:textId="3EA05640" w:rsidR="0025781E" w:rsidRPr="00633D28" w:rsidRDefault="0025781E" w:rsidP="0025781E">
            <w:pPr>
              <w:jc w:val="center"/>
              <w:rPr>
                <w:sz w:val="20"/>
                <w:szCs w:val="20"/>
              </w:rPr>
            </w:pPr>
            <w:r w:rsidRPr="00633D28">
              <w:rPr>
                <w:b/>
                <w:bCs/>
                <w:sz w:val="20"/>
                <w:szCs w:val="20"/>
              </w:rPr>
              <w:t>✓</w:t>
            </w:r>
          </w:p>
        </w:tc>
        <w:tc>
          <w:tcPr>
            <w:tcW w:w="1559" w:type="dxa"/>
          </w:tcPr>
          <w:p w14:paraId="51F91414" w14:textId="6C344A65"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5B841E90" w14:textId="1E8A1DFE" w:rsidR="0025781E" w:rsidRPr="00633D28" w:rsidRDefault="0025781E" w:rsidP="0025781E">
            <w:pPr>
              <w:jc w:val="center"/>
              <w:rPr>
                <w:sz w:val="20"/>
                <w:szCs w:val="20"/>
              </w:rPr>
            </w:pPr>
            <w:r w:rsidRPr="00633D28">
              <w:rPr>
                <w:rFonts w:ascii="Segoe UI Symbol" w:hAnsi="Segoe UI Symbol" w:cs="Segoe UI Symbol"/>
                <w:b/>
                <w:bCs/>
                <w:sz w:val="20"/>
                <w:szCs w:val="20"/>
              </w:rPr>
              <w:t>☓</w:t>
            </w:r>
          </w:p>
        </w:tc>
        <w:tc>
          <w:tcPr>
            <w:tcW w:w="1701" w:type="dxa"/>
          </w:tcPr>
          <w:p w14:paraId="769573FE" w14:textId="41AB5589" w:rsidR="0025781E" w:rsidRPr="00633D28" w:rsidRDefault="0025781E" w:rsidP="0025781E">
            <w:pPr>
              <w:jc w:val="center"/>
              <w:rPr>
                <w:sz w:val="20"/>
                <w:szCs w:val="20"/>
              </w:rPr>
            </w:pPr>
            <w:r w:rsidRPr="00633D28">
              <w:rPr>
                <w:b/>
                <w:bCs/>
                <w:sz w:val="20"/>
                <w:szCs w:val="20"/>
              </w:rPr>
              <w:t>✓</w:t>
            </w:r>
          </w:p>
        </w:tc>
        <w:tc>
          <w:tcPr>
            <w:tcW w:w="1418" w:type="dxa"/>
          </w:tcPr>
          <w:p w14:paraId="5E8FD6E0" w14:textId="4461A64D" w:rsidR="0025781E" w:rsidRPr="00633D28" w:rsidRDefault="0025781E" w:rsidP="0025781E">
            <w:pPr>
              <w:jc w:val="center"/>
              <w:rPr>
                <w:sz w:val="20"/>
                <w:szCs w:val="20"/>
              </w:rPr>
            </w:pPr>
            <w:r w:rsidRPr="00633D28">
              <w:rPr>
                <w:b/>
                <w:bCs/>
                <w:sz w:val="20"/>
                <w:szCs w:val="20"/>
              </w:rPr>
              <w:t>✓</w:t>
            </w:r>
          </w:p>
        </w:tc>
      </w:tr>
      <w:tr w:rsidR="002F29FF" w:rsidRPr="00633D28" w14:paraId="7DE936F6" w14:textId="77777777" w:rsidTr="0025781E">
        <w:tc>
          <w:tcPr>
            <w:tcW w:w="2127" w:type="dxa"/>
          </w:tcPr>
          <w:p w14:paraId="0B2EB646" w14:textId="2BFF6575"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{"citationID":"DRfRZpNg","properties":{"formattedCitation":"(Gupta et al., 2020)","plainCitation":"(Gupta et al., 2020)","noteIndex":0},"citationItems":[{"id":5482,"uris":["http://zotero.org/users/6707951/items/F5XNV3CY"],"itemData":{"id":5482,"type":"article-journal","abstract":"The prevalence of hypertension in india over the last 30 years is known to have increased rapidly. Hypertension is a chronic disease that needs to be managed within its sociological context as experienced by individuals. This study was conducted to identify the quantitative and qualitative determinants of healthcare‑seeking behavior among hypertensive individuals in a rural population of north india. Methodology: A mixed‑method study involving 100 adult hypertensive patients was employed. Data were collected on demographic characteristics, health‑seeking behavior, and the reasons for choosing a particular health service using a structured questionnaire and interview guide. Descriptive statistics were used to examine the influence of determinants on health‑seeking behavior and utilization of healthcare facilities and expressed as percentages. Qualitative data were thematically analyzed. Results: A total of 100 participants with hypertension between 38 and 76 years of age were included in the study. Out of the total study participants, 66.0% of the respondents were males and 34.0% were females. Participants demonstrated a generalized knowledge of hypertension and showed significant gaps and misconceptions in their understanding of the disease and the need for seeking expert care. There was also a lack of sense of trust in the healthcare system. Various demographic, sociocultural, and economic determinants of healthcare‑seeking behavior in these rural patients’ services were explored. This evidence can prove helpful in streamlining interventional programs and realigning the existing interventions to prevent and control hypertension in rural settings.","container-title":"Journal of Family Medicine and Primary Care","DOI":"10.4103/jfmpc.jfmpc_200_20","ISSN":"2249-4863","issue":"6","journalAbbreviation":"J Family Med Prim Care","language":"en","page":"2830","source":"DOI.org (Crossref)","title":"Patterns and determinants of healthcare-seeking behavior among hypertensive patients in a rural population of north India: A mixed-method study","title-short":"Patterns and determinants of healthcare-seeking behavior among hypertensive patients in a rural population of north India","URL":"https://journals.lww.com/jfmpc/Fulltext/2020/09060/Patterns_and_determinants_of_healthcare_seeking.43.aspx","volume":"9","author":[{"family":"Gupta","given":"Shubham"},{"family":"Virk","given":"Amrit"},{"family":"Mittal","given":"Anshu"},{"family":"Agarwal","given":"Bk"}],"accessed":{"date-parts":[["2025",3,13]]},"issued":{"date-parts":[["2020"]]}}}],"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Gupta, 2020</w:t>
            </w:r>
            <w:r>
              <w:rPr>
                <w:rFonts w:ascii="Times New Roman" w:hAnsi="Times New Roman" w:cs="Times New Roman"/>
                <w:sz w:val="18"/>
                <w:szCs w:val="18"/>
                <w:lang w:val="en-US"/>
              </w:rPr>
              <w:fldChar w:fldCharType="end"/>
            </w:r>
          </w:p>
        </w:tc>
        <w:tc>
          <w:tcPr>
            <w:tcW w:w="1559" w:type="dxa"/>
          </w:tcPr>
          <w:p w14:paraId="21926228" w14:textId="46EA29A7" w:rsidR="002F29FF" w:rsidRPr="00633D28" w:rsidRDefault="002F29FF" w:rsidP="002F29FF">
            <w:pPr>
              <w:jc w:val="center"/>
              <w:rPr>
                <w:sz w:val="20"/>
                <w:szCs w:val="20"/>
              </w:rPr>
            </w:pPr>
            <w:r w:rsidRPr="00633D28">
              <w:rPr>
                <w:b/>
                <w:bCs/>
                <w:sz w:val="20"/>
                <w:szCs w:val="20"/>
              </w:rPr>
              <w:t>✓</w:t>
            </w:r>
          </w:p>
        </w:tc>
        <w:tc>
          <w:tcPr>
            <w:tcW w:w="1843" w:type="dxa"/>
          </w:tcPr>
          <w:p w14:paraId="07CC6CC1" w14:textId="68CFD62B" w:rsidR="002F29FF" w:rsidRPr="00633D28" w:rsidRDefault="002F29FF" w:rsidP="002F29FF">
            <w:pPr>
              <w:jc w:val="center"/>
              <w:rPr>
                <w:sz w:val="20"/>
                <w:szCs w:val="20"/>
              </w:rPr>
            </w:pPr>
            <w:r w:rsidRPr="00633D28">
              <w:rPr>
                <w:b/>
                <w:bCs/>
                <w:sz w:val="20"/>
                <w:szCs w:val="20"/>
              </w:rPr>
              <w:t>✓</w:t>
            </w:r>
          </w:p>
        </w:tc>
        <w:tc>
          <w:tcPr>
            <w:tcW w:w="1701" w:type="dxa"/>
          </w:tcPr>
          <w:p w14:paraId="4874E1E2" w14:textId="74755053" w:rsidR="002F29FF" w:rsidRPr="00633D28" w:rsidRDefault="002F29FF" w:rsidP="002F29FF">
            <w:pPr>
              <w:jc w:val="center"/>
              <w:rPr>
                <w:sz w:val="20"/>
                <w:szCs w:val="20"/>
              </w:rPr>
            </w:pPr>
            <w:r w:rsidRPr="00633D28">
              <w:rPr>
                <w:b/>
                <w:bCs/>
                <w:sz w:val="20"/>
                <w:szCs w:val="20"/>
              </w:rPr>
              <w:t>✓</w:t>
            </w:r>
          </w:p>
        </w:tc>
        <w:tc>
          <w:tcPr>
            <w:tcW w:w="1559" w:type="dxa"/>
          </w:tcPr>
          <w:p w14:paraId="470A76AA" w14:textId="16C78460" w:rsidR="002F29FF" w:rsidRPr="00633D28" w:rsidRDefault="002F29FF" w:rsidP="002F29FF">
            <w:pPr>
              <w:jc w:val="center"/>
              <w:rPr>
                <w:sz w:val="20"/>
                <w:szCs w:val="20"/>
              </w:rPr>
            </w:pPr>
            <w:r w:rsidRPr="00633D28">
              <w:rPr>
                <w:rFonts w:ascii="Segoe UI Symbol" w:hAnsi="Segoe UI Symbol" w:cs="Segoe UI Symbol"/>
                <w:b/>
                <w:bCs/>
                <w:sz w:val="20"/>
                <w:szCs w:val="20"/>
              </w:rPr>
              <w:t>☓</w:t>
            </w:r>
          </w:p>
        </w:tc>
        <w:tc>
          <w:tcPr>
            <w:tcW w:w="1559" w:type="dxa"/>
          </w:tcPr>
          <w:p w14:paraId="7777303F" w14:textId="28270424" w:rsidR="002F29FF" w:rsidRPr="00633D28" w:rsidRDefault="002F29FF" w:rsidP="002F29FF">
            <w:pPr>
              <w:jc w:val="center"/>
              <w:rPr>
                <w:sz w:val="20"/>
                <w:szCs w:val="20"/>
              </w:rPr>
            </w:pPr>
            <w:r w:rsidRPr="00633D28">
              <w:rPr>
                <w:rFonts w:ascii="Segoe UI Symbol" w:hAnsi="Segoe UI Symbol" w:cs="Segoe UI Symbol"/>
                <w:b/>
                <w:bCs/>
                <w:sz w:val="20"/>
                <w:szCs w:val="20"/>
              </w:rPr>
              <w:t>☓</w:t>
            </w:r>
          </w:p>
        </w:tc>
        <w:tc>
          <w:tcPr>
            <w:tcW w:w="1701" w:type="dxa"/>
          </w:tcPr>
          <w:p w14:paraId="3282CE95" w14:textId="1CFB55AE" w:rsidR="002F29FF" w:rsidRPr="00633D28" w:rsidRDefault="002F29FF" w:rsidP="002F29FF">
            <w:pPr>
              <w:jc w:val="center"/>
              <w:rPr>
                <w:sz w:val="20"/>
                <w:szCs w:val="20"/>
              </w:rPr>
            </w:pPr>
            <w:r w:rsidRPr="00633D28">
              <w:rPr>
                <w:rFonts w:ascii="Segoe UI Symbol" w:hAnsi="Segoe UI Symbol" w:cs="Segoe UI Symbol"/>
                <w:b/>
                <w:bCs/>
                <w:sz w:val="20"/>
                <w:szCs w:val="20"/>
              </w:rPr>
              <w:t>☓</w:t>
            </w:r>
          </w:p>
        </w:tc>
        <w:tc>
          <w:tcPr>
            <w:tcW w:w="1701" w:type="dxa"/>
          </w:tcPr>
          <w:p w14:paraId="5F3C00F8" w14:textId="64FD4E85" w:rsidR="002F29FF" w:rsidRPr="00633D28" w:rsidRDefault="002F29FF" w:rsidP="002F29FF">
            <w:pPr>
              <w:jc w:val="center"/>
              <w:rPr>
                <w:sz w:val="20"/>
                <w:szCs w:val="20"/>
              </w:rPr>
            </w:pPr>
            <w:r w:rsidRPr="00633D28">
              <w:rPr>
                <w:b/>
                <w:bCs/>
                <w:sz w:val="20"/>
                <w:szCs w:val="20"/>
              </w:rPr>
              <w:t>✓</w:t>
            </w:r>
          </w:p>
        </w:tc>
        <w:tc>
          <w:tcPr>
            <w:tcW w:w="1418" w:type="dxa"/>
          </w:tcPr>
          <w:p w14:paraId="1BFE17F1" w14:textId="7135AC6A" w:rsidR="002F29FF" w:rsidRPr="00633D28" w:rsidRDefault="002F29FF" w:rsidP="002F29FF">
            <w:pPr>
              <w:jc w:val="center"/>
              <w:rPr>
                <w:sz w:val="20"/>
                <w:szCs w:val="20"/>
              </w:rPr>
            </w:pPr>
            <w:r w:rsidRPr="00633D28">
              <w:rPr>
                <w:b/>
                <w:bCs/>
                <w:sz w:val="20"/>
                <w:szCs w:val="20"/>
              </w:rPr>
              <w:t>✓</w:t>
            </w:r>
          </w:p>
        </w:tc>
      </w:tr>
      <w:tr w:rsidR="002F29FF" w:rsidRPr="00633D28" w14:paraId="19EF76CB" w14:textId="77777777" w:rsidTr="0025781E">
        <w:tc>
          <w:tcPr>
            <w:tcW w:w="2127" w:type="dxa"/>
          </w:tcPr>
          <w:p w14:paraId="7128D310" w14:textId="7FE40627"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lastRenderedPageBreak/>
              <w:fldChar w:fldCharType="begin"/>
            </w:r>
            <w:r>
              <w:rPr>
                <w:rFonts w:ascii="Times New Roman" w:hAnsi="Times New Roman" w:cs="Times New Roman"/>
                <w:sz w:val="18"/>
                <w:szCs w:val="18"/>
                <w:lang w:val="en-US"/>
              </w:rPr>
              <w:instrText xml:space="preserve"> ADDIN ZOTERO_ITEM CSL_CITATION {"citationID":"WH9UnpqC","properties":{"formattedCitation":"(Deshmukh et al., 2016)","plainCitation":"(Deshmukh et al., 2016)","noteIndex":0},"citationItems":[{"id":5484,"uris":["http://zotero.org/users/6707951/items/VTQ2YQEQ"],"itemData":{"id":5484,"type":"article-journal","abstract":"Background: The growing burden of non-communicable diseases among the urban poor in the absence of affordable health care services is a big public health challenge in India. In this context, the present paper explores the utilization pattern of health services to deal with two specific non-communicable diseases (NCD) namely hypertension and diabetes.\nMethods: The study was conducted in Turbhe Stores in Navi Mumbai, a slum of 5014 households. An initial listing of the households revealed that there was at least one person suffering from either hypertension, diabetes or both in 254 households. By systematic random sampling, 84 respondents suffering from diabetes and/or hypertension from last one year were selected from these 254 households. Data was collected by structured interview schedule.\nResults: Three fourths of the respondents had utilised health service for their problem. About 95% sought medical care from private providers and almost all sought approached allopathic practitioner. Only half of respondents went for regular monthly follow up and almost 75 percent were found self-medication of old prescriptions for their treatment. Poor follow up and non-regular utilization of health services was mainly influenced by the individual perception of not giving importance of regular treatment and lack of attention due to asymptomatic nature of disease, followed by financial constraints.\nConclusions: Self-awareness about the disease and importance of regular treatment &amp; follow up is found lacking in the community. Health care services were regularly utilized for these silent diseases by those who can afford it. Factors like ability to afford costly treatment, high satisfaction level from the treatment sought and proximity of health care provider were found strongly associated with higher utilization.","container-title":"International Journal Of Community Medicine And Public Health","DOI":"10.18203/2394-6040.ijcmph20164726","ISSN":"2394-6040, 2394-6032","issue":"1","journalAbbreviation":"Int J Community Med Public Health","language":"en","page":"139","source":"DOI.org (Crossref)","title":"Utilization pattern of health services for non-communicable diseases in an urban slum: a study of Turbhe stores slum in Navi Mumbai, Maharashtra, India","title-short":"Utilization pattern of health services for non-communicable diseases in an urban slum","URL":"http://www.ijcmph.com/index.php/ijcmph/article/view/26","volume":"4","author":[{"family":"Deshmukh","given":"Sona"},{"family":"Kalaskar","given":"Shrikant K."},{"family":"Kadam","given":"Suhas B."},{"family":"Mote","given":"Balu"},{"family":"Paslawar","given":"Srilatha K."},{"family":"Adhav","given":"Ambadas S."},{"family":"Thakare","given":"Bharat S."},{"family":"Muthuvel","given":"Thirumugam"}],"accessed":{"date-parts":[["2025",3,13]]},"issued":{"date-parts":[["2016",12,21]]}}}],"schema":"https://github.com/citation-style-language/schema/raw/master/csl-citation.json"}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Deshmukh, 2016</w:t>
            </w:r>
            <w:r>
              <w:rPr>
                <w:rFonts w:ascii="Times New Roman" w:hAnsi="Times New Roman" w:cs="Times New Roman"/>
                <w:sz w:val="18"/>
                <w:szCs w:val="18"/>
                <w:lang w:val="en-US"/>
              </w:rPr>
              <w:fldChar w:fldCharType="end"/>
            </w:r>
          </w:p>
        </w:tc>
        <w:tc>
          <w:tcPr>
            <w:tcW w:w="1559" w:type="dxa"/>
          </w:tcPr>
          <w:p w14:paraId="7F4115A6" w14:textId="18184C6F" w:rsidR="002F29FF" w:rsidRPr="00633D28" w:rsidRDefault="002F29FF" w:rsidP="002F29FF">
            <w:pPr>
              <w:jc w:val="center"/>
              <w:rPr>
                <w:b/>
                <w:bCs/>
                <w:sz w:val="20"/>
                <w:szCs w:val="20"/>
              </w:rPr>
            </w:pPr>
            <w:r w:rsidRPr="00633D28">
              <w:rPr>
                <w:b/>
                <w:bCs/>
                <w:sz w:val="20"/>
                <w:szCs w:val="20"/>
              </w:rPr>
              <w:t>✓</w:t>
            </w:r>
          </w:p>
        </w:tc>
        <w:tc>
          <w:tcPr>
            <w:tcW w:w="1843" w:type="dxa"/>
          </w:tcPr>
          <w:p w14:paraId="7EE87CDC" w14:textId="7738FC49" w:rsidR="002F29FF" w:rsidRPr="00633D28" w:rsidRDefault="002F29FF" w:rsidP="002F29FF">
            <w:pPr>
              <w:jc w:val="center"/>
              <w:rPr>
                <w:b/>
                <w:bCs/>
                <w:sz w:val="20"/>
                <w:szCs w:val="20"/>
              </w:rPr>
            </w:pPr>
            <w:r w:rsidRPr="00633D28">
              <w:rPr>
                <w:b/>
                <w:bCs/>
                <w:sz w:val="20"/>
                <w:szCs w:val="20"/>
              </w:rPr>
              <w:t>✓</w:t>
            </w:r>
          </w:p>
        </w:tc>
        <w:tc>
          <w:tcPr>
            <w:tcW w:w="1701" w:type="dxa"/>
          </w:tcPr>
          <w:p w14:paraId="380AF1FE" w14:textId="6033850A" w:rsidR="002F29FF" w:rsidRPr="00633D28" w:rsidRDefault="002F29FF" w:rsidP="002F29FF">
            <w:pPr>
              <w:jc w:val="center"/>
              <w:rPr>
                <w:b/>
                <w:bCs/>
                <w:sz w:val="20"/>
                <w:szCs w:val="20"/>
              </w:rPr>
            </w:pPr>
            <w:r w:rsidRPr="00633D28">
              <w:rPr>
                <w:b/>
                <w:bCs/>
                <w:sz w:val="20"/>
                <w:szCs w:val="20"/>
              </w:rPr>
              <w:t>✓</w:t>
            </w:r>
          </w:p>
        </w:tc>
        <w:tc>
          <w:tcPr>
            <w:tcW w:w="1559" w:type="dxa"/>
          </w:tcPr>
          <w:p w14:paraId="16F270AC" w14:textId="36454AD9" w:rsidR="002F29FF" w:rsidRPr="00633D28" w:rsidRDefault="002F29FF" w:rsidP="002F29FF">
            <w:pPr>
              <w:jc w:val="center"/>
              <w:rPr>
                <w:b/>
                <w:bCs/>
                <w:sz w:val="20"/>
                <w:szCs w:val="20"/>
              </w:rPr>
            </w:pPr>
            <w:r w:rsidRPr="00633D28">
              <w:rPr>
                <w:rFonts w:ascii="Segoe UI Symbol" w:hAnsi="Segoe UI Symbol" w:cs="Segoe UI Symbol"/>
                <w:b/>
                <w:bCs/>
                <w:sz w:val="20"/>
                <w:szCs w:val="20"/>
              </w:rPr>
              <w:t>☓</w:t>
            </w:r>
          </w:p>
        </w:tc>
        <w:tc>
          <w:tcPr>
            <w:tcW w:w="1559" w:type="dxa"/>
          </w:tcPr>
          <w:p w14:paraId="6DD93054" w14:textId="2D8B3B98"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401FE90C" w14:textId="5730F9B8"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233C45CE" w14:textId="0CE8F2B2" w:rsidR="002F29FF" w:rsidRPr="00633D28" w:rsidRDefault="002F29FF" w:rsidP="002F29FF">
            <w:pPr>
              <w:jc w:val="center"/>
              <w:rPr>
                <w:b/>
                <w:bCs/>
                <w:sz w:val="20"/>
                <w:szCs w:val="20"/>
              </w:rPr>
            </w:pPr>
            <w:r w:rsidRPr="00633D28">
              <w:rPr>
                <w:b/>
                <w:bCs/>
                <w:sz w:val="20"/>
                <w:szCs w:val="20"/>
              </w:rPr>
              <w:t>✓</w:t>
            </w:r>
          </w:p>
        </w:tc>
        <w:tc>
          <w:tcPr>
            <w:tcW w:w="1418" w:type="dxa"/>
          </w:tcPr>
          <w:p w14:paraId="5A4EBE82" w14:textId="5FB34AE3" w:rsidR="002F29FF" w:rsidRPr="00633D28" w:rsidRDefault="002F29FF" w:rsidP="002F29FF">
            <w:pPr>
              <w:jc w:val="center"/>
              <w:rPr>
                <w:b/>
                <w:bCs/>
                <w:sz w:val="20"/>
                <w:szCs w:val="20"/>
              </w:rPr>
            </w:pPr>
            <w:r w:rsidRPr="00633D28">
              <w:rPr>
                <w:b/>
                <w:bCs/>
                <w:sz w:val="20"/>
                <w:szCs w:val="20"/>
              </w:rPr>
              <w:t>✓</w:t>
            </w:r>
          </w:p>
        </w:tc>
      </w:tr>
      <w:tr w:rsidR="002F29FF" w:rsidRPr="00633D28" w14:paraId="1C67F29F" w14:textId="77777777" w:rsidTr="0025781E">
        <w:tc>
          <w:tcPr>
            <w:tcW w:w="2127" w:type="dxa"/>
          </w:tcPr>
          <w:p w14:paraId="2205CAFB" w14:textId="69CCFF66"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{"citationID":"nVnYeaj7","properties":{"formattedCitation":"(Nayak et al., 2023)","plainCitation":"(Nayak et al., 2023)","noteIndex":0},"citationItems":[{"id":5486,"uris":["http://zotero.org/users/6707951/items/TRHWI7K7"],"itemData":{"id":5486,"type":"article-journal","abstract":"Background: Chronic kidney disease (CKD), associated with other chronic conditions affects the physical, behavioral, and psychological aspects of an individual, leading to poor self-rated health. Hence, we aimed to assess the factors associated with poor self-rated health (SRH) in CKD patients. Additionally, we assessed their health care utilization.\nMethods: This is an observational study consisting of 527 CKD patients from Longitudinal Aging Study in India (LASI), 2017-2018. A descriptive statistic computed prevalence. Regression analysis assessed the association between poor SRH and socio-demographic variables presented as adjusted odds ratio with a conﬁdence interval of 95%. Health care utilization among CKD patients was graphically presented.\nResults: Around 64% of CKD patients had poor SRH. Aged 75 years and above (AOR=1.8, 95% CI= 0.5-6.8), rural residents (AOR= AOR 1.8, 95% CI =1.0 -3.1) and those with other chronic conditions (AOR=5.1, 95% CI= 2.3-11.0) were associated with poor SRH. Overall 79% of the CKD patients availed health care facility, most (44.8%) of those visit private facility.\nConclusion: We observed older adults, females, rural residents, and having other chronic conditions were associated with poor SRH among CKD patients which highlights the need for equitable and strengthened health care system. There is an urgent need to provide accessible, affordable and quality healthcare services for these individuals so as to maintain continuity of care.","container-title":"Frontiers in Nephrology","DOI":"10.3389/fneph.2022.968285","ISSN":"2813-0626","journalAbbreviation":"Front. Nephrol.","language":"en","page":"968285","source":"DOI.org (Crossref)","title":"Factors associated with poor self-rated health among chronic kidney disease patients and their health care utilization: Insights from LASI wave-1, 2017-18","title-short":"Factors associated with poor self-rated health among chronic kidney disease patients and their health care utilization","URL":"https://www.frontiersin.org/articles/10.3389/fneph.2022.968285/full","volume":"2","author":[{"family":"Nayak","given":"Swetalina"},{"family":"Nayak","given":"Soumya Ranjan"},{"family":"Alice","given":"Alice"},{"family":"Sahoo","given":"Debadutta"},{"family":"Kanungo","given":"Srikanta"},{"family":"Rehman","given":"Tanveer"},{"family":"Pati","given":"Sanghamitra"},{"family":"Palo","given":"Subrat Kumar"}],"accessed":{"date-parts":[["2025",3,13]]},"issued":{"date-parts":[["2023",1,6]]}}}],"schema":"https://github.com/citation-style-language/schema/raw/master/csl-citation.json"}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Nayak, 2023</w:t>
            </w:r>
            <w:r>
              <w:rPr>
                <w:rFonts w:ascii="Times New Roman" w:hAnsi="Times New Roman" w:cs="Times New Roman"/>
                <w:sz w:val="18"/>
                <w:szCs w:val="18"/>
                <w:lang w:val="en-US"/>
              </w:rPr>
              <w:fldChar w:fldCharType="end"/>
            </w:r>
          </w:p>
        </w:tc>
        <w:tc>
          <w:tcPr>
            <w:tcW w:w="1559" w:type="dxa"/>
          </w:tcPr>
          <w:p w14:paraId="50E2E660" w14:textId="7C4CD774" w:rsidR="002F29FF" w:rsidRPr="00633D28" w:rsidRDefault="002F29FF" w:rsidP="002F29FF">
            <w:pPr>
              <w:jc w:val="center"/>
              <w:rPr>
                <w:b/>
                <w:bCs/>
                <w:sz w:val="20"/>
                <w:szCs w:val="20"/>
              </w:rPr>
            </w:pPr>
            <w:r w:rsidRPr="00633D28">
              <w:rPr>
                <w:b/>
                <w:bCs/>
                <w:sz w:val="20"/>
                <w:szCs w:val="20"/>
              </w:rPr>
              <w:t>✓</w:t>
            </w:r>
          </w:p>
        </w:tc>
        <w:tc>
          <w:tcPr>
            <w:tcW w:w="1843" w:type="dxa"/>
          </w:tcPr>
          <w:p w14:paraId="2BACC805" w14:textId="2AF27A0C" w:rsidR="002F29FF" w:rsidRPr="00633D28" w:rsidRDefault="002F29FF" w:rsidP="002F29FF">
            <w:pPr>
              <w:jc w:val="center"/>
              <w:rPr>
                <w:b/>
                <w:bCs/>
                <w:sz w:val="20"/>
                <w:szCs w:val="20"/>
              </w:rPr>
            </w:pPr>
            <w:r w:rsidRPr="00633D28">
              <w:rPr>
                <w:b/>
                <w:bCs/>
                <w:sz w:val="20"/>
                <w:szCs w:val="20"/>
              </w:rPr>
              <w:t>✓</w:t>
            </w:r>
          </w:p>
        </w:tc>
        <w:tc>
          <w:tcPr>
            <w:tcW w:w="1701" w:type="dxa"/>
          </w:tcPr>
          <w:p w14:paraId="1E8224CF" w14:textId="3340F068" w:rsidR="002F29FF" w:rsidRPr="00633D28" w:rsidRDefault="002F29FF" w:rsidP="002F29FF">
            <w:pPr>
              <w:jc w:val="center"/>
              <w:rPr>
                <w:b/>
                <w:bCs/>
                <w:sz w:val="20"/>
                <w:szCs w:val="20"/>
              </w:rPr>
            </w:pPr>
            <w:r w:rsidRPr="00633D28">
              <w:rPr>
                <w:b/>
                <w:bCs/>
                <w:sz w:val="20"/>
                <w:szCs w:val="20"/>
              </w:rPr>
              <w:t>✓</w:t>
            </w:r>
          </w:p>
        </w:tc>
        <w:tc>
          <w:tcPr>
            <w:tcW w:w="1559" w:type="dxa"/>
          </w:tcPr>
          <w:p w14:paraId="01CAED7F" w14:textId="5D539BA6" w:rsidR="002F29FF" w:rsidRPr="00633D28" w:rsidRDefault="002F29FF" w:rsidP="002F29FF">
            <w:pPr>
              <w:jc w:val="center"/>
              <w:rPr>
                <w:b/>
                <w:bCs/>
                <w:sz w:val="20"/>
                <w:szCs w:val="20"/>
              </w:rPr>
            </w:pPr>
            <w:r w:rsidRPr="00633D28">
              <w:rPr>
                <w:b/>
                <w:bCs/>
                <w:sz w:val="20"/>
                <w:szCs w:val="20"/>
              </w:rPr>
              <w:t>✓</w:t>
            </w:r>
          </w:p>
        </w:tc>
        <w:tc>
          <w:tcPr>
            <w:tcW w:w="1559" w:type="dxa"/>
          </w:tcPr>
          <w:p w14:paraId="6105E1E0" w14:textId="6B870F49"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39B725D2" w14:textId="37625782"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4232B2CB" w14:textId="52C3F6F5" w:rsidR="002F29FF" w:rsidRPr="00633D28" w:rsidRDefault="002F29FF" w:rsidP="002F29FF">
            <w:pPr>
              <w:jc w:val="center"/>
              <w:rPr>
                <w:b/>
                <w:bCs/>
                <w:sz w:val="20"/>
                <w:szCs w:val="20"/>
              </w:rPr>
            </w:pPr>
            <w:r w:rsidRPr="00633D28">
              <w:rPr>
                <w:b/>
                <w:bCs/>
                <w:sz w:val="20"/>
                <w:szCs w:val="20"/>
              </w:rPr>
              <w:t>✓</w:t>
            </w:r>
          </w:p>
        </w:tc>
        <w:tc>
          <w:tcPr>
            <w:tcW w:w="1418" w:type="dxa"/>
          </w:tcPr>
          <w:p w14:paraId="2E01F6DB" w14:textId="42E601F3" w:rsidR="002F29FF" w:rsidRPr="00633D28" w:rsidRDefault="002F29FF" w:rsidP="002F29FF">
            <w:pPr>
              <w:jc w:val="center"/>
              <w:rPr>
                <w:b/>
                <w:bCs/>
                <w:sz w:val="20"/>
                <w:szCs w:val="20"/>
              </w:rPr>
            </w:pPr>
            <w:r w:rsidRPr="00633D28">
              <w:rPr>
                <w:b/>
                <w:bCs/>
                <w:sz w:val="20"/>
                <w:szCs w:val="20"/>
              </w:rPr>
              <w:t>✓</w:t>
            </w:r>
          </w:p>
        </w:tc>
      </w:tr>
      <w:tr w:rsidR="002F29FF" w:rsidRPr="00633D28" w14:paraId="2867246E" w14:textId="77777777" w:rsidTr="0025781E">
        <w:tc>
          <w:tcPr>
            <w:tcW w:w="2127" w:type="dxa"/>
          </w:tcPr>
          <w:p w14:paraId="2AE601EF" w14:textId="786EE835"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{"citationID":"uftP5SUX","properties":{"formattedCitation":"(Naidu et al., 2024)","plainCitation":"(Naidu et al., 2024)","noteIndex":0},"citationItems":[{"id":5488,"uris":["http://zotero.org/users/6707951/items/S8N8VUJY"],"itemData":{"id":5488,"type":"article-journal","abstract":"Background: Non-communicable diseases continue to be an important public health problem in India. These diseases are responsible for a major proportion of morbidity and mortality. In view of this, study was conducted among patients suffering from non-communicable diseases attending outpatient department of an urban health training center of a medical college to know their profile.\nMethods: A cross-sectional study was conducted in the month of September, 2023 at an urban health training center. All the patients suffering from non-communicable diseases attending outpatient department during above month were included in the study using purposive sampling method. Predesigned and pretested proforma was used to collect the data. Data was analyzed using Microsoft Excel and appropriate statistical methods. The statistical level of significance was fixed at p&lt;0.05.\nResults: 4670 new patients attended outpatient department, of which 269 (05.76%) were suffering from noncommunicable diseases. 136 (52.92%) were suffering from hypertension, 105 (40.86%) were of diabetes, 07 (02.72%) were of stroke and 09 (03.50%) were of other non-communicable diseases. 12 (04.46%) patients were suffering from both hypertension and diabetes. 131 (50.97%) were above 60 years of age. 139 (54.09%) were males and 118 (45.91%) were females. 50 (19.46%) patients were illiterate while 207 (80.54%) were literate (p&lt;0.05). 42 (16.34%) patients were having family history of non-communicable diseases. 40 (15.56%) and 62 (24.12%) patients were doing yoga and exercise respectively. 77 (29.96%) patients were smokers or consuming tobacco or alcohol.\nConclusions: The growing problem of non-communicable diseases can be effectively controlled by empowerment of community through effective health education, utilizing services of trained health care workers, advanced health care services and social insurance.","container-title":"International Journal Of Community Medicine And Public Health","DOI":"10.18203/2394-6040.ijcmph20240622","ISSN":"2394-6040, 2394-6032","issue":"3","journalAbbreviation":"Int J Community Med Public Health","language":"en","page":"1217-1222","source":"DOI.org (Crossref)","title":"Profile of the patients suffering from non-communicable diseases attending outpatient department of an urban health training center- a cross sectional study","URL":"https://www.ijcmph.com/index.php/ijcmph/article/view/12203","volume":"11","author":[{"family":"Naidu","given":"Abhishek"},{"family":"Gurav","given":"Ravindra"},{"family":"Yadav","given":"Amit"}],"accessed":{"date-parts":[["2025",3,13]]},"issued":{"date-parts":[["2024",2,29]]}}}],"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Naidu, 2024</w:t>
            </w:r>
            <w:r>
              <w:rPr>
                <w:rFonts w:ascii="Times New Roman" w:hAnsi="Times New Roman" w:cs="Times New Roman"/>
                <w:sz w:val="18"/>
                <w:szCs w:val="18"/>
                <w:lang w:val="en-US"/>
              </w:rPr>
              <w:fldChar w:fldCharType="end"/>
            </w:r>
          </w:p>
        </w:tc>
        <w:tc>
          <w:tcPr>
            <w:tcW w:w="1559" w:type="dxa"/>
          </w:tcPr>
          <w:p w14:paraId="386FD0A5" w14:textId="0CE5A52A" w:rsidR="002F29FF" w:rsidRPr="00633D28" w:rsidRDefault="002F29FF" w:rsidP="002F29FF">
            <w:pPr>
              <w:jc w:val="center"/>
              <w:rPr>
                <w:b/>
                <w:bCs/>
                <w:sz w:val="20"/>
                <w:szCs w:val="20"/>
              </w:rPr>
            </w:pPr>
            <w:r w:rsidRPr="00633D28">
              <w:rPr>
                <w:b/>
                <w:bCs/>
                <w:sz w:val="20"/>
                <w:szCs w:val="20"/>
              </w:rPr>
              <w:t>✓</w:t>
            </w:r>
          </w:p>
        </w:tc>
        <w:tc>
          <w:tcPr>
            <w:tcW w:w="1843" w:type="dxa"/>
          </w:tcPr>
          <w:p w14:paraId="34A4177E" w14:textId="60FE0696" w:rsidR="002F29FF" w:rsidRPr="00633D28" w:rsidRDefault="002F29FF" w:rsidP="002F29FF">
            <w:pPr>
              <w:jc w:val="center"/>
              <w:rPr>
                <w:b/>
                <w:bCs/>
                <w:sz w:val="20"/>
                <w:szCs w:val="20"/>
              </w:rPr>
            </w:pPr>
            <w:r w:rsidRPr="00633D28">
              <w:rPr>
                <w:b/>
                <w:bCs/>
                <w:sz w:val="20"/>
                <w:szCs w:val="20"/>
              </w:rPr>
              <w:t>✓</w:t>
            </w:r>
          </w:p>
        </w:tc>
        <w:tc>
          <w:tcPr>
            <w:tcW w:w="1701" w:type="dxa"/>
          </w:tcPr>
          <w:p w14:paraId="1626168A" w14:textId="0C4F8987" w:rsidR="002F29FF" w:rsidRPr="00633D28" w:rsidRDefault="002F29FF" w:rsidP="002F29FF">
            <w:pPr>
              <w:jc w:val="center"/>
              <w:rPr>
                <w:b/>
                <w:bCs/>
                <w:sz w:val="20"/>
                <w:szCs w:val="20"/>
              </w:rPr>
            </w:pPr>
            <w:r w:rsidRPr="00633D28">
              <w:rPr>
                <w:b/>
                <w:bCs/>
                <w:sz w:val="20"/>
                <w:szCs w:val="20"/>
              </w:rPr>
              <w:t>✓</w:t>
            </w:r>
          </w:p>
        </w:tc>
        <w:tc>
          <w:tcPr>
            <w:tcW w:w="1559" w:type="dxa"/>
          </w:tcPr>
          <w:p w14:paraId="4E3B76D6" w14:textId="625BBC22" w:rsidR="002F29FF" w:rsidRPr="00633D28" w:rsidRDefault="002F29FF" w:rsidP="002F29FF">
            <w:pPr>
              <w:jc w:val="center"/>
              <w:rPr>
                <w:b/>
                <w:bCs/>
                <w:sz w:val="20"/>
                <w:szCs w:val="20"/>
              </w:rPr>
            </w:pPr>
            <w:r w:rsidRPr="00633D28">
              <w:rPr>
                <w:b/>
                <w:bCs/>
                <w:sz w:val="20"/>
                <w:szCs w:val="20"/>
              </w:rPr>
              <w:t>✓</w:t>
            </w:r>
          </w:p>
        </w:tc>
        <w:tc>
          <w:tcPr>
            <w:tcW w:w="1559" w:type="dxa"/>
          </w:tcPr>
          <w:p w14:paraId="5A4ACD40" w14:textId="744D581D"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02B10478" w14:textId="563A42BA"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5C051881" w14:textId="141EAC85" w:rsidR="002F29FF" w:rsidRPr="00633D28" w:rsidRDefault="002F29FF" w:rsidP="002F29FF">
            <w:pPr>
              <w:jc w:val="center"/>
              <w:rPr>
                <w:b/>
                <w:bCs/>
                <w:sz w:val="20"/>
                <w:szCs w:val="20"/>
              </w:rPr>
            </w:pPr>
            <w:r w:rsidRPr="00633D28">
              <w:rPr>
                <w:b/>
                <w:bCs/>
                <w:sz w:val="20"/>
                <w:szCs w:val="20"/>
              </w:rPr>
              <w:t>✓</w:t>
            </w:r>
          </w:p>
        </w:tc>
        <w:tc>
          <w:tcPr>
            <w:tcW w:w="1418" w:type="dxa"/>
          </w:tcPr>
          <w:p w14:paraId="4A89ED73" w14:textId="77CD20B6" w:rsidR="002F29FF" w:rsidRPr="00633D28" w:rsidRDefault="002F29FF" w:rsidP="002F29FF">
            <w:pPr>
              <w:jc w:val="center"/>
              <w:rPr>
                <w:b/>
                <w:bCs/>
                <w:sz w:val="20"/>
                <w:szCs w:val="20"/>
              </w:rPr>
            </w:pPr>
            <w:r w:rsidRPr="00633D28">
              <w:rPr>
                <w:b/>
                <w:bCs/>
                <w:sz w:val="20"/>
                <w:szCs w:val="20"/>
              </w:rPr>
              <w:t>✓</w:t>
            </w:r>
          </w:p>
        </w:tc>
      </w:tr>
      <w:tr w:rsidR="002F29FF" w:rsidRPr="00633D28" w14:paraId="119A566B" w14:textId="77777777" w:rsidTr="0025781E">
        <w:tc>
          <w:tcPr>
            <w:tcW w:w="2127" w:type="dxa"/>
          </w:tcPr>
          <w:p w14:paraId="6E8117AA" w14:textId="51CF38A2"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{"citationID":"a7Eh3Uff","properties":{"formattedCitation":"(Jaiswal et al., 2024)","plainCitation":"(Jaiswal et al., 2024)","noteIndex":0},"citationItems":[{"id":5490,"uris":["http://zotero.org/users/6707951/items/LQZVMMQY"],"itemData":{"id":5490,"type":"article-journal","abstract":"Background: The current study investigates the switching behaviour and patterns among patients in India, particularly in the context of various ailments such as Non-Communicable Diseases (NCDs), Communicable Diseases (CDs), and other health issues. To evaluate people’s behaviour towards accessing healthcare facilities in public and private healthcare providers separately for CDs, NCDs, and other ailments. Material and methods: The study design is observational and cross-sectional. The study included data from NSS 71st, NSS 75th, and LASI wave-1 datasets, which provide information on the incidence of switching behaviour among patients with different types of ailments. Statistical analysis used: The Binary logistic regression analysis has been used to examine the determinants of switching behaviour in usage of healthcare facilities. Prevalence estimates were exhibited using weighted % and 95 % confidence intervals (CI). P values &lt; 0.05 were considered statistically significant.\nResults: Present study revealed that patients’ behaviour in accessing healthcare facilities is influenced by a multitude of factors, including the nature of their ailment, socio-economic status, education, and regional disparities. Notably, patients suffering from NCDs exhibit a higher propensity for switching between public and private healthcare services, with a preference for the latter. The study found that among patients who were paying for special types of wards, there were significantly lower odds of switching behaviour.\nConclusions: The research highlights the nuanced dynamics of healthcare service utilization in India and underscores the need for tailored strategies to address the specific challenges posed by NCDs and communicable diseases while ensuring equitable and accessible healthcare services for all.","container-title":"Clinical Epidemiology and Global Health","DOI":"10.1016/j.cegh.2024.101787","ISSN":"22133984","journalAbbreviation":"Clinical Epidemiology and Global Health","language":"en","page":"101787","source":"DOI.org (Crossref)","title":"Switching pattern of healthcare services and its determinants among patients with communicable and non-communicable diseases in India","URL":"https://linkinghub.elsevier.com/retrieve/pii/S2213398424002847","volume":"30","author":[{"family":"Jaiswal","given":"Ajit Kumar"},{"family":"Alagarajan","given":"Manoj"},{"family":"Bharadwaz","given":"Mrinmoy Pratim"},{"family":"Sen Gupta","given":"Shoummo"},{"family":"Singh","given":"Pravin Kumar"}],"accessed":{"date-parts":[["2025",3,13]]},"issued":{"date-parts":[["2024",11]]}}}],"schema":"https://github.com/citation-style-language/schema/raw/master/csl-citation.json"}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Jaiswal, 2024</w:t>
            </w:r>
            <w:r>
              <w:rPr>
                <w:rFonts w:ascii="Times New Roman" w:hAnsi="Times New Roman" w:cs="Times New Roman"/>
                <w:sz w:val="18"/>
                <w:szCs w:val="18"/>
                <w:lang w:val="en-US"/>
              </w:rPr>
              <w:fldChar w:fldCharType="end"/>
            </w:r>
          </w:p>
        </w:tc>
        <w:tc>
          <w:tcPr>
            <w:tcW w:w="1559" w:type="dxa"/>
          </w:tcPr>
          <w:p w14:paraId="1417370B" w14:textId="136CE161" w:rsidR="002F29FF" w:rsidRPr="00633D28" w:rsidRDefault="002F29FF" w:rsidP="002F29FF">
            <w:pPr>
              <w:jc w:val="center"/>
              <w:rPr>
                <w:b/>
                <w:bCs/>
                <w:sz w:val="20"/>
                <w:szCs w:val="20"/>
              </w:rPr>
            </w:pPr>
            <w:r w:rsidRPr="00633D28">
              <w:rPr>
                <w:b/>
                <w:bCs/>
                <w:sz w:val="20"/>
                <w:szCs w:val="20"/>
              </w:rPr>
              <w:t>✓</w:t>
            </w:r>
          </w:p>
        </w:tc>
        <w:tc>
          <w:tcPr>
            <w:tcW w:w="1843" w:type="dxa"/>
          </w:tcPr>
          <w:p w14:paraId="59A74B2E" w14:textId="530EF212" w:rsidR="002F29FF" w:rsidRPr="00633D28" w:rsidRDefault="002F29FF" w:rsidP="002F29FF">
            <w:pPr>
              <w:jc w:val="center"/>
              <w:rPr>
                <w:b/>
                <w:bCs/>
                <w:sz w:val="20"/>
                <w:szCs w:val="20"/>
              </w:rPr>
            </w:pPr>
            <w:r w:rsidRPr="00633D28">
              <w:rPr>
                <w:b/>
                <w:bCs/>
                <w:sz w:val="20"/>
                <w:szCs w:val="20"/>
              </w:rPr>
              <w:t>✓</w:t>
            </w:r>
          </w:p>
        </w:tc>
        <w:tc>
          <w:tcPr>
            <w:tcW w:w="1701" w:type="dxa"/>
          </w:tcPr>
          <w:p w14:paraId="01FC07AB" w14:textId="7F698057" w:rsidR="002F29FF" w:rsidRPr="00633D28" w:rsidRDefault="002F29FF" w:rsidP="002F29FF">
            <w:pPr>
              <w:jc w:val="center"/>
              <w:rPr>
                <w:b/>
                <w:bCs/>
                <w:sz w:val="20"/>
                <w:szCs w:val="20"/>
              </w:rPr>
            </w:pPr>
            <w:r w:rsidRPr="00633D28">
              <w:rPr>
                <w:b/>
                <w:bCs/>
                <w:sz w:val="20"/>
                <w:szCs w:val="20"/>
              </w:rPr>
              <w:t>✓</w:t>
            </w:r>
          </w:p>
        </w:tc>
        <w:tc>
          <w:tcPr>
            <w:tcW w:w="1559" w:type="dxa"/>
          </w:tcPr>
          <w:p w14:paraId="3CBEEA70" w14:textId="0D6D87B7" w:rsidR="002F29FF" w:rsidRPr="00633D28" w:rsidRDefault="002F29FF" w:rsidP="002F29FF">
            <w:pPr>
              <w:jc w:val="center"/>
              <w:rPr>
                <w:b/>
                <w:bCs/>
                <w:sz w:val="20"/>
                <w:szCs w:val="20"/>
              </w:rPr>
            </w:pPr>
            <w:r w:rsidRPr="00633D28">
              <w:rPr>
                <w:b/>
                <w:bCs/>
                <w:sz w:val="20"/>
                <w:szCs w:val="20"/>
              </w:rPr>
              <w:t>✓</w:t>
            </w:r>
          </w:p>
        </w:tc>
        <w:tc>
          <w:tcPr>
            <w:tcW w:w="1559" w:type="dxa"/>
          </w:tcPr>
          <w:p w14:paraId="033490D4" w14:textId="3DFC1F91"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12A4B9BC" w14:textId="0C53DE56"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547614ED" w14:textId="088548DC" w:rsidR="002F29FF" w:rsidRPr="00633D28" w:rsidRDefault="002F29FF" w:rsidP="002F29FF">
            <w:pPr>
              <w:jc w:val="center"/>
              <w:rPr>
                <w:b/>
                <w:bCs/>
                <w:sz w:val="20"/>
                <w:szCs w:val="20"/>
              </w:rPr>
            </w:pPr>
            <w:r w:rsidRPr="00633D28">
              <w:rPr>
                <w:b/>
                <w:bCs/>
                <w:sz w:val="20"/>
                <w:szCs w:val="20"/>
              </w:rPr>
              <w:t>✓</w:t>
            </w:r>
          </w:p>
        </w:tc>
        <w:tc>
          <w:tcPr>
            <w:tcW w:w="1418" w:type="dxa"/>
          </w:tcPr>
          <w:p w14:paraId="510D9858" w14:textId="7C48DB90" w:rsidR="002F29FF" w:rsidRPr="00633D28" w:rsidRDefault="002F29FF" w:rsidP="002F29FF">
            <w:pPr>
              <w:jc w:val="center"/>
              <w:rPr>
                <w:b/>
                <w:bCs/>
                <w:sz w:val="20"/>
                <w:szCs w:val="20"/>
              </w:rPr>
            </w:pPr>
            <w:r w:rsidRPr="00633D28">
              <w:rPr>
                <w:b/>
                <w:bCs/>
                <w:sz w:val="20"/>
                <w:szCs w:val="20"/>
              </w:rPr>
              <w:t>✓</w:t>
            </w:r>
          </w:p>
        </w:tc>
      </w:tr>
      <w:tr w:rsidR="002F29FF" w:rsidRPr="00633D28" w14:paraId="1777EDFE" w14:textId="77777777" w:rsidTr="0025781E">
        <w:tc>
          <w:tcPr>
            <w:tcW w:w="2127" w:type="dxa"/>
          </w:tcPr>
          <w:p w14:paraId="6624ADCF" w14:textId="15BC709A"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{"citationID":"M1AKpK1Y","properties":{"formattedCitation":"(Bhagyalakshmi &amp; Kodali, 2019)","plainCitation":"(Bhagyalakshmi &amp; Kodali, 2019)","noteIndex":0},"citationItems":[{"id":5515,"uris":["http://zotero.org/users/6707951/items/6ISB2EIF"],"itemData":{"id":5515,"type":"article-journal","abstract":"Background: The burden of noncommunicable diseases (NCDs) is high with significant impact on households in the form of out‑of‑pocket expenditure. Provision of NCD services through public health facilities is considered as cost‑effective and efficient means. Aim: The study aimed to assess the proportion of individuals using NCD services provided through public health facilities and identify the factors associated with its use in Kasaragod district of Indian state of Kerala. Materials and Methods: A cross‑sectional survey of 375 individuals was conducted in Kasaragod District of Kerala state. The data obtained were analyzed using descriptive and analytical statistical methods using Statistical Package for the Social Sciences version 20. Results: About 56.28% of individuals with NCD, received NCD services from public health facilities; these services were primarily comprised screening services. In addition, 40.69% of total individuals with NCDs received treatment services from government health facilities. Insurance coverage, perception about quality, perceived barriers in accessing health services, health worker visit, knowledge about NCD services, and information provided by frontline health workers were significantly influencing NCD service utilization in public health facilities. Conclusion: Individual’s usage of screening services provided by government facilities is higher than that of treatment services. Overall, the utilization of NCD services provided through the public health system could be said to be less than satisfactory. It could be improved by addressing the perceived barriers with respect to the quality of services provided in public health facilities. In addition, employing the frontline health workers to bridge the awareness gap in NCD service provision could help in improving NCD service utilization.","container-title":"Archives of Medicine and Health Sciences","DOI":"10.4103/amhs.amhs_132_18","ISSN":"2321-4848","issue":"1","journalAbbreviation":"Arch Med Health Sci","language":"en","page":"18","source":"DOI.org (Crossref)","title":"Utilization of noncommunicable disease services provided by public health facilities in Kasaragod, Kerala","URL":"https://journals.lww.com/10.4103/amhs.amhs_132_18","volume":"7","author":[{"family":"Bhagyalakshmi","given":"Ck"},{"family":"Kodali","given":"PrakashBabu"}],"accessed":{"date-parts":[["2025",3,13]]},"issued":{"date-parts":[["2019"]]}}}],"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Bhagyalakshmi &amp; Kodali, 2019</w:t>
            </w:r>
            <w:r>
              <w:rPr>
                <w:rFonts w:ascii="Times New Roman" w:hAnsi="Times New Roman" w:cs="Times New Roman"/>
                <w:sz w:val="18"/>
                <w:szCs w:val="18"/>
                <w:lang w:val="en-US"/>
              </w:rPr>
              <w:fldChar w:fldCharType="end"/>
            </w:r>
          </w:p>
        </w:tc>
        <w:tc>
          <w:tcPr>
            <w:tcW w:w="1559" w:type="dxa"/>
          </w:tcPr>
          <w:p w14:paraId="11C06495" w14:textId="121C13A2" w:rsidR="002F29FF" w:rsidRPr="00633D28" w:rsidRDefault="002F29FF" w:rsidP="002F29FF">
            <w:pPr>
              <w:jc w:val="center"/>
              <w:rPr>
                <w:b/>
                <w:bCs/>
                <w:sz w:val="20"/>
                <w:szCs w:val="20"/>
              </w:rPr>
            </w:pPr>
            <w:r w:rsidRPr="00633D28">
              <w:rPr>
                <w:b/>
                <w:bCs/>
                <w:sz w:val="20"/>
                <w:szCs w:val="20"/>
              </w:rPr>
              <w:t>✓</w:t>
            </w:r>
          </w:p>
        </w:tc>
        <w:tc>
          <w:tcPr>
            <w:tcW w:w="1843" w:type="dxa"/>
          </w:tcPr>
          <w:p w14:paraId="1CDF54CA" w14:textId="5A29EC1E" w:rsidR="002F29FF" w:rsidRPr="00633D28" w:rsidRDefault="002F29FF" w:rsidP="002F29FF">
            <w:pPr>
              <w:jc w:val="center"/>
              <w:rPr>
                <w:b/>
                <w:bCs/>
                <w:sz w:val="20"/>
                <w:szCs w:val="20"/>
              </w:rPr>
            </w:pPr>
            <w:r w:rsidRPr="00633D28">
              <w:rPr>
                <w:b/>
                <w:bCs/>
                <w:sz w:val="20"/>
                <w:szCs w:val="20"/>
              </w:rPr>
              <w:t>✓</w:t>
            </w:r>
          </w:p>
        </w:tc>
        <w:tc>
          <w:tcPr>
            <w:tcW w:w="1701" w:type="dxa"/>
          </w:tcPr>
          <w:p w14:paraId="3EC486C0" w14:textId="15541291" w:rsidR="002F29FF" w:rsidRPr="00633D28" w:rsidRDefault="002F29FF" w:rsidP="002F29FF">
            <w:pPr>
              <w:jc w:val="center"/>
              <w:rPr>
                <w:b/>
                <w:bCs/>
                <w:sz w:val="20"/>
                <w:szCs w:val="20"/>
              </w:rPr>
            </w:pPr>
            <w:r w:rsidRPr="00633D28">
              <w:rPr>
                <w:b/>
                <w:bCs/>
                <w:sz w:val="20"/>
                <w:szCs w:val="20"/>
              </w:rPr>
              <w:t>✓</w:t>
            </w:r>
          </w:p>
        </w:tc>
        <w:tc>
          <w:tcPr>
            <w:tcW w:w="1559" w:type="dxa"/>
          </w:tcPr>
          <w:p w14:paraId="14724487" w14:textId="55590C15" w:rsidR="002F29FF" w:rsidRPr="00633D28" w:rsidRDefault="002F29FF" w:rsidP="002F29FF">
            <w:pPr>
              <w:jc w:val="center"/>
              <w:rPr>
                <w:b/>
                <w:bCs/>
                <w:sz w:val="20"/>
                <w:szCs w:val="20"/>
              </w:rPr>
            </w:pPr>
            <w:r w:rsidRPr="00633D28">
              <w:rPr>
                <w:b/>
                <w:bCs/>
                <w:sz w:val="20"/>
                <w:szCs w:val="20"/>
              </w:rPr>
              <w:t>✓</w:t>
            </w:r>
          </w:p>
        </w:tc>
        <w:tc>
          <w:tcPr>
            <w:tcW w:w="1559" w:type="dxa"/>
          </w:tcPr>
          <w:p w14:paraId="7EBB9B2C" w14:textId="54315F70"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7E3CE6A9" w14:textId="0527356A"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0169CF05" w14:textId="4C38E24C" w:rsidR="002F29FF" w:rsidRPr="00633D28" w:rsidRDefault="002F29FF" w:rsidP="002F29FF">
            <w:pPr>
              <w:jc w:val="center"/>
              <w:rPr>
                <w:b/>
                <w:bCs/>
                <w:sz w:val="20"/>
                <w:szCs w:val="20"/>
              </w:rPr>
            </w:pPr>
            <w:r w:rsidRPr="00633D28">
              <w:rPr>
                <w:b/>
                <w:bCs/>
                <w:sz w:val="20"/>
                <w:szCs w:val="20"/>
              </w:rPr>
              <w:t>✓</w:t>
            </w:r>
          </w:p>
        </w:tc>
        <w:tc>
          <w:tcPr>
            <w:tcW w:w="1418" w:type="dxa"/>
          </w:tcPr>
          <w:p w14:paraId="53379C67" w14:textId="3D4E5FB1" w:rsidR="002F29FF" w:rsidRPr="00633D28" w:rsidRDefault="002F29FF" w:rsidP="002F29FF">
            <w:pPr>
              <w:jc w:val="center"/>
              <w:rPr>
                <w:b/>
                <w:bCs/>
                <w:sz w:val="20"/>
                <w:szCs w:val="20"/>
              </w:rPr>
            </w:pPr>
            <w:r w:rsidRPr="00633D28">
              <w:rPr>
                <w:b/>
                <w:bCs/>
                <w:sz w:val="20"/>
                <w:szCs w:val="20"/>
              </w:rPr>
              <w:t>✓</w:t>
            </w:r>
          </w:p>
        </w:tc>
      </w:tr>
      <w:tr w:rsidR="002F29FF" w:rsidRPr="00633D28" w14:paraId="5555BD3E" w14:textId="77777777" w:rsidTr="0025781E">
        <w:tc>
          <w:tcPr>
            <w:tcW w:w="2127" w:type="dxa"/>
          </w:tcPr>
          <w:p w14:paraId="57E7BA6E" w14:textId="79387DF0"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{"citationID":"XrQmZDSm","properties":{"formattedCitation":"(Kumar et al., 2024)","plainCitation":"(Kumar et al., 2024)","noteIndex":0},"citationItems":[{"id":5516,"uris":["http://zotero.org/users/6707951/items/JNZN9RFM"],"itemData":{"id":5516,"type":"article-journal","abstract":"Background: Non-communicable diseases (NCDs) contributed to 71% of the global mortality and affect the ageing population with variable proportions. NCD diagnosis gives an opportunity for patients to change their health behaviors. Secondary prevention strategies like diet modification, physical activity and smoking cessation after NCD diagnosis are important and should be emphasized particularly for middle-aged and older adults.\nObjectives: 1. To assess the level of health behavioral change adopted by the patients diagnosed with NCDs registered under Rural field practice area. 2. To evaluate the factors influencing the health behavioral change in NCD patients.\nMethodology: This is a Cross-sectional study design conducted at Rural Health &amp; Training Centre, Government Medical College, Ananthapuramu, from August 2023 to October 2023. Simple random sampling was used to select 150 registered NCD cases from the RHTC data-base. We included participants who were diagnosed with either diabetes, cardiovascular disease, chronic lung disease, or cancer after recruitment. Data were collected by using pre-designed semi-structured questionnaire. Data was analyzed using IBM SPSS version 25.0. Associations were tested using chi-squares and for all comparisons p-value &lt;0.05 was considered significant.\nResults: In total 48 (32%) NCD cases have adopted suggested behavioral change instructed by the physician. Factors such as females, graduates, Class III &amp; above SES, diagnosed between 5 to 10 years, not having any other comorbidities were significantly associated with good health behavioral change.\nConclusion: Around two third of the diagnosed NCD cases were not compliant to health behavioral change. Hence, health care providers need to provide behavioral change communication related to health behaviors in addition to standard medical care.","container-title":"Indian Journal of Community Medicine","DOI":"10.4103/ijcm.ijcm_abstract181","ISSN":"0970-0218, 1998-3581","issue":"Suppl 1","language":"en","page":"S53-S53","source":"DOI.org (Crossref)","title":"Health behavioral change and Associated factors among patients diagnosed with non-communicable diseases in the Rural areas of Southern India","title-short":"IJCM_181A","URL":"https://journals.lww.com/10.4103/ijcm.ijcm_abstract181","volume":"49","author":[{"family":"Kumar","given":"C. Sunil"},{"family":"Chandrasekhar","given":"C."},{"family":"Madhu","given":"T."}],"accessed":{"date-parts":[["2025",3,13]]},"issued":{"date-parts":[["2024",4]]}}}],"schema":"https://github.com/citation-style-language/schema/raw/master/csl-citation.json"}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Kumar, 2024</w:t>
            </w:r>
            <w:r>
              <w:rPr>
                <w:rFonts w:ascii="Times New Roman" w:hAnsi="Times New Roman" w:cs="Times New Roman"/>
                <w:sz w:val="18"/>
                <w:szCs w:val="18"/>
                <w:lang w:val="en-US"/>
              </w:rPr>
              <w:fldChar w:fldCharType="end"/>
            </w:r>
          </w:p>
        </w:tc>
        <w:tc>
          <w:tcPr>
            <w:tcW w:w="1559" w:type="dxa"/>
          </w:tcPr>
          <w:p w14:paraId="3E146242" w14:textId="02B9DA3A" w:rsidR="002F29FF" w:rsidRPr="00633D28" w:rsidRDefault="002F29FF" w:rsidP="002F29FF">
            <w:pPr>
              <w:jc w:val="center"/>
              <w:rPr>
                <w:b/>
                <w:bCs/>
                <w:sz w:val="20"/>
                <w:szCs w:val="20"/>
              </w:rPr>
            </w:pPr>
            <w:r w:rsidRPr="00633D28">
              <w:rPr>
                <w:b/>
                <w:bCs/>
                <w:sz w:val="20"/>
                <w:szCs w:val="20"/>
              </w:rPr>
              <w:t>✓</w:t>
            </w:r>
          </w:p>
        </w:tc>
        <w:tc>
          <w:tcPr>
            <w:tcW w:w="1843" w:type="dxa"/>
          </w:tcPr>
          <w:p w14:paraId="2F0A57B4" w14:textId="2EF59D24" w:rsidR="002F29FF" w:rsidRPr="00633D28" w:rsidRDefault="002F29FF" w:rsidP="002F29FF">
            <w:pPr>
              <w:jc w:val="center"/>
              <w:rPr>
                <w:b/>
                <w:bCs/>
                <w:sz w:val="20"/>
                <w:szCs w:val="20"/>
              </w:rPr>
            </w:pPr>
            <w:r w:rsidRPr="00633D28">
              <w:rPr>
                <w:b/>
                <w:bCs/>
                <w:sz w:val="20"/>
                <w:szCs w:val="20"/>
              </w:rPr>
              <w:t>✓</w:t>
            </w:r>
          </w:p>
        </w:tc>
        <w:tc>
          <w:tcPr>
            <w:tcW w:w="1701" w:type="dxa"/>
          </w:tcPr>
          <w:p w14:paraId="3AD36ED4" w14:textId="1F9A3F28" w:rsidR="002F29FF" w:rsidRPr="00633D28" w:rsidRDefault="002F29FF" w:rsidP="002F29FF">
            <w:pPr>
              <w:jc w:val="center"/>
              <w:rPr>
                <w:b/>
                <w:bCs/>
                <w:sz w:val="20"/>
                <w:szCs w:val="20"/>
              </w:rPr>
            </w:pPr>
            <w:r w:rsidRPr="00633D28">
              <w:rPr>
                <w:b/>
                <w:bCs/>
                <w:sz w:val="20"/>
                <w:szCs w:val="20"/>
              </w:rPr>
              <w:t>✓</w:t>
            </w:r>
          </w:p>
        </w:tc>
        <w:tc>
          <w:tcPr>
            <w:tcW w:w="1559" w:type="dxa"/>
          </w:tcPr>
          <w:p w14:paraId="5C4F9E12" w14:textId="7B759A2C" w:rsidR="002F29FF" w:rsidRPr="00633D28" w:rsidRDefault="002F29FF" w:rsidP="002F29FF">
            <w:pPr>
              <w:jc w:val="center"/>
              <w:rPr>
                <w:b/>
                <w:bCs/>
                <w:sz w:val="20"/>
                <w:szCs w:val="20"/>
              </w:rPr>
            </w:pPr>
            <w:r w:rsidRPr="00633D28">
              <w:rPr>
                <w:b/>
                <w:bCs/>
                <w:sz w:val="20"/>
                <w:szCs w:val="20"/>
              </w:rPr>
              <w:t>✓</w:t>
            </w:r>
          </w:p>
        </w:tc>
        <w:tc>
          <w:tcPr>
            <w:tcW w:w="1559" w:type="dxa"/>
          </w:tcPr>
          <w:p w14:paraId="756FF752" w14:textId="69A89679"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636FFC5F" w14:textId="03A18FFB"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5A31C4D1" w14:textId="681D3280" w:rsidR="002F29FF" w:rsidRPr="00633D28" w:rsidRDefault="002F29FF" w:rsidP="002F29FF">
            <w:pPr>
              <w:jc w:val="center"/>
              <w:rPr>
                <w:b/>
                <w:bCs/>
                <w:sz w:val="20"/>
                <w:szCs w:val="20"/>
              </w:rPr>
            </w:pPr>
            <w:r w:rsidRPr="00633D28">
              <w:rPr>
                <w:b/>
                <w:bCs/>
                <w:sz w:val="20"/>
                <w:szCs w:val="20"/>
              </w:rPr>
              <w:t>✓</w:t>
            </w:r>
          </w:p>
        </w:tc>
        <w:tc>
          <w:tcPr>
            <w:tcW w:w="1418" w:type="dxa"/>
          </w:tcPr>
          <w:p w14:paraId="42586CE1" w14:textId="432739AF" w:rsidR="002F29FF" w:rsidRPr="00633D28" w:rsidRDefault="002F29FF" w:rsidP="002F29FF">
            <w:pPr>
              <w:jc w:val="center"/>
              <w:rPr>
                <w:b/>
                <w:bCs/>
                <w:sz w:val="20"/>
                <w:szCs w:val="20"/>
              </w:rPr>
            </w:pPr>
            <w:r w:rsidRPr="00633D28">
              <w:rPr>
                <w:b/>
                <w:bCs/>
                <w:sz w:val="20"/>
                <w:szCs w:val="20"/>
              </w:rPr>
              <w:t>✓</w:t>
            </w:r>
          </w:p>
        </w:tc>
      </w:tr>
      <w:tr w:rsidR="002F29FF" w:rsidRPr="00633D28" w14:paraId="23695F94" w14:textId="77777777" w:rsidTr="0025781E">
        <w:tc>
          <w:tcPr>
            <w:tcW w:w="2127" w:type="dxa"/>
          </w:tcPr>
          <w:p w14:paraId="325AAB1D" w14:textId="074450A9"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{"citationID":"zbf495gg","properties":{"formattedCitation":"(Netterstr\\uc0\\u246{}m-Wedin &amp; Dalal, 2023)","plainCitation":"(Netterström-Wedin &amp; Dalal, 2023)","noteIndex":0},"citationItems":[{"id":5517,"uris":["http://zotero.org/users/6707951/items/Z2M4H4BS"],"itemData":{"id":5517,"type":"article-journal","abstract":"Background  Eighty per cent of India´s non-communicable disease (NCD) mortality is due to four conditions: heart disease, cancer, chronic respiratory disease, and diabetes, which are primarily cause-amenable through treatment. Based on Andersen’s behavioural model of health services use, the current study aimed to identify the predisposing, enabling, and need factors associated with treatment-seeking status among people self-reporting the four main NCDs in India.\nMethods  Cross-sectional study using secondary data. Usual residents aged 15–49 who self-reported cancer (n = 1 056), chronic respiratory disease (n = 10 534), diabetes (n = 13 501), and/or heart disease (n = 5 861) during the fifth National Family and Health Survey (NFHS-5), 2019–21, were included. Treatment-seeking status was modelled separately for each disease using survey-adjusted multivariable logistic regression.\nResults  3.9% of India´s 15–49-year-old population self-reported ≥ 1 of the four main NCDs (0.1% cancer, 1.4% chronic respiratory disease, 2% diabetes, 0.8% heart disease). The percentage that had sought treatment for their condition(s) was 82%, 68%, 76%, and 74%, respectively. Greater age and having ≥ 1 of the NCDs were associated with greater odds of seeking disease-specific treatment. People in the middle or lower wealth quintiles had lower odds of seeking care than the wealthiest 20% for all conditions. Women with diabetes or chronic respiratory disease had greater odds of seeking disease-specific treatment than men. Muslims, the unmarried, and those with health insurance had greater odds of seeking cancer treatment than Hindus, the married, and the uninsured.\nConclusion  Predisposing, enabling, and need factors are associated with treatment-seeking status among people reporting the four major NCDs in India, suggesting that multiple processes inform the decision to seek diseasespecific care among aware cases. Successfully encouraging and enabling as many people as possible who knowingly live with major NCDs to seek treatment is likely contingent on a multi-pronged approach to healthcare policy-making.","container-title":"BMC Public Health","DOI":"10.1186/s12889-023-17123-3","ISSN":"1471-2458","issue":"1","journalAbbreviation":"BMC Public Health","language":"en","page":"2197","source":"DOI.org (Crossref)","title":"Treatment-seeking behaviour among 15–49-year-olds with self-reported heart disease, cancer, chronic respiratory disease, and diabetes: a national cross-sectional study in India","title-short":"Treatment-seeking behaviour among 15–49-year-olds with self-reported heart disease, cancer, chronic respiratory disease, and diabetes","URL":"https://bmcpublichealth.biomedcentral.com/articles/10.1186/s12889-023-17123-3","volume":"23","author":[{"family":"Netterström-Wedin","given":"Fredh"},{"family":"Dalal","given":"Koustuv"}],"accessed":{"date-parts":[["2025",3,13]]},"issued":{"date-parts":[["2023",11,8]]}}}],"schema":"https://github.com/citation-style-language/schema/raw/master/csl-citation.json"} </w:instrText>
            </w:r>
            <w:r>
              <w:rPr>
                <w:rFonts w:ascii="Times New Roman" w:hAnsi="Times New Roman" w:cs="Times New Roman"/>
                <w:sz w:val="18"/>
                <w:szCs w:val="18"/>
                <w:lang w:val="en-US"/>
              </w:rPr>
              <w:fldChar w:fldCharType="separate"/>
            </w:r>
            <w:r w:rsidRPr="0052396C">
              <w:rPr>
                <w:rFonts w:ascii="Times New Roman" w:hAnsi="Times New Roman" w:cs="Times New Roman"/>
                <w:kern w:val="0"/>
                <w:sz w:val="18"/>
                <w:lang w:val="en-GB"/>
              </w:rPr>
              <w:t>Netterström-Wedin &amp; Dalal, 2023</w:t>
            </w:r>
            <w:r>
              <w:rPr>
                <w:rFonts w:ascii="Times New Roman" w:hAnsi="Times New Roman" w:cs="Times New Roman"/>
                <w:sz w:val="18"/>
                <w:szCs w:val="18"/>
                <w:lang w:val="en-US"/>
              </w:rPr>
              <w:fldChar w:fldCharType="end"/>
            </w:r>
          </w:p>
        </w:tc>
        <w:tc>
          <w:tcPr>
            <w:tcW w:w="1559" w:type="dxa"/>
          </w:tcPr>
          <w:p w14:paraId="2A848694" w14:textId="52DCB89A" w:rsidR="002F29FF" w:rsidRPr="00633D28" w:rsidRDefault="002F29FF" w:rsidP="002F29FF">
            <w:pPr>
              <w:jc w:val="center"/>
              <w:rPr>
                <w:b/>
                <w:bCs/>
                <w:sz w:val="20"/>
                <w:szCs w:val="20"/>
              </w:rPr>
            </w:pPr>
            <w:r w:rsidRPr="00633D28">
              <w:rPr>
                <w:b/>
                <w:bCs/>
                <w:sz w:val="20"/>
                <w:szCs w:val="20"/>
              </w:rPr>
              <w:t>✓</w:t>
            </w:r>
          </w:p>
        </w:tc>
        <w:tc>
          <w:tcPr>
            <w:tcW w:w="1843" w:type="dxa"/>
          </w:tcPr>
          <w:p w14:paraId="392BA891" w14:textId="78A2D777" w:rsidR="002F29FF" w:rsidRPr="00633D28" w:rsidRDefault="002F29FF" w:rsidP="002F29FF">
            <w:pPr>
              <w:jc w:val="center"/>
              <w:rPr>
                <w:b/>
                <w:bCs/>
                <w:sz w:val="20"/>
                <w:szCs w:val="20"/>
              </w:rPr>
            </w:pPr>
            <w:r w:rsidRPr="00633D28">
              <w:rPr>
                <w:b/>
                <w:bCs/>
                <w:sz w:val="20"/>
                <w:szCs w:val="20"/>
              </w:rPr>
              <w:t>✓</w:t>
            </w:r>
          </w:p>
        </w:tc>
        <w:tc>
          <w:tcPr>
            <w:tcW w:w="1701" w:type="dxa"/>
          </w:tcPr>
          <w:p w14:paraId="5AEEA37B" w14:textId="1A30E32C" w:rsidR="002F29FF" w:rsidRPr="00633D28" w:rsidRDefault="002F29FF" w:rsidP="002F29FF">
            <w:pPr>
              <w:jc w:val="center"/>
              <w:rPr>
                <w:b/>
                <w:bCs/>
                <w:sz w:val="20"/>
                <w:szCs w:val="20"/>
              </w:rPr>
            </w:pPr>
            <w:r w:rsidRPr="00633D28">
              <w:rPr>
                <w:b/>
                <w:bCs/>
                <w:sz w:val="20"/>
                <w:szCs w:val="20"/>
              </w:rPr>
              <w:t>✓</w:t>
            </w:r>
          </w:p>
        </w:tc>
        <w:tc>
          <w:tcPr>
            <w:tcW w:w="1559" w:type="dxa"/>
          </w:tcPr>
          <w:p w14:paraId="1002999A" w14:textId="6087DAE3" w:rsidR="002F29FF" w:rsidRPr="00633D28" w:rsidRDefault="002F29FF" w:rsidP="002F29FF">
            <w:pPr>
              <w:jc w:val="center"/>
              <w:rPr>
                <w:b/>
                <w:bCs/>
                <w:sz w:val="20"/>
                <w:szCs w:val="20"/>
              </w:rPr>
            </w:pPr>
            <w:r w:rsidRPr="00633D28">
              <w:rPr>
                <w:b/>
                <w:bCs/>
                <w:sz w:val="20"/>
                <w:szCs w:val="20"/>
              </w:rPr>
              <w:t>✓</w:t>
            </w:r>
          </w:p>
        </w:tc>
        <w:tc>
          <w:tcPr>
            <w:tcW w:w="1559" w:type="dxa"/>
          </w:tcPr>
          <w:p w14:paraId="4ECB5C58" w14:textId="56E51061"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6AA28D09" w14:textId="2CB231E1"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79096FC7" w14:textId="4B305A02" w:rsidR="002F29FF" w:rsidRPr="00633D28" w:rsidRDefault="002F29FF" w:rsidP="002F29FF">
            <w:pPr>
              <w:jc w:val="center"/>
              <w:rPr>
                <w:b/>
                <w:bCs/>
                <w:sz w:val="20"/>
                <w:szCs w:val="20"/>
              </w:rPr>
            </w:pPr>
            <w:r w:rsidRPr="00633D28">
              <w:rPr>
                <w:b/>
                <w:bCs/>
                <w:sz w:val="20"/>
                <w:szCs w:val="20"/>
              </w:rPr>
              <w:t>✓</w:t>
            </w:r>
          </w:p>
        </w:tc>
        <w:tc>
          <w:tcPr>
            <w:tcW w:w="1418" w:type="dxa"/>
          </w:tcPr>
          <w:p w14:paraId="7A121981" w14:textId="18F9CD54" w:rsidR="002F29FF" w:rsidRPr="00633D28" w:rsidRDefault="002F29FF" w:rsidP="002F29FF">
            <w:pPr>
              <w:jc w:val="center"/>
              <w:rPr>
                <w:b/>
                <w:bCs/>
                <w:sz w:val="20"/>
                <w:szCs w:val="20"/>
              </w:rPr>
            </w:pPr>
            <w:r w:rsidRPr="00633D28">
              <w:rPr>
                <w:b/>
                <w:bCs/>
                <w:sz w:val="20"/>
                <w:szCs w:val="20"/>
              </w:rPr>
              <w:t>✓</w:t>
            </w:r>
          </w:p>
        </w:tc>
      </w:tr>
      <w:tr w:rsidR="002F29FF" w:rsidRPr="00633D28" w14:paraId="234BA6F4" w14:textId="77777777" w:rsidTr="0025781E">
        <w:tc>
          <w:tcPr>
            <w:tcW w:w="2127" w:type="dxa"/>
          </w:tcPr>
          <w:p w14:paraId="0CA89C61" w14:textId="62D7093B"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{"citationID":"OPfQmFFk","properties":{"formattedCitation":"(Kirubakaran et al., 2024)","plainCitation":"(Kirubakaran et al., 2024)","noteIndex":0},"citationItems":[{"id":5519,"uris":["http://zotero.org/users/6707951/items/KK4ABEU9"],"itemData":{"id":5519,"type":"article-journal","abstract":"This study focusses on the health seeking behaviour of NCD patients which entails regularity of health care facility visitations and adherence to lifestyle modifications. Aims: To analyse the hospital visitations and lifestyle modifications of NCD patients. To do a comparative study about the health seeking behaviour among NCD patients in Rural and Urban areas. To explore the various difficulties that patients face with regards to Lifestyle modifications. Settings and Design: It is a convergent type mixed-methods design, undertaken in the field practicing areas of RHTCs and UPHCs of Government Medical College, Omandurar Government Estate. Methods and Material: The data was collected by means of Free listing, Focussed Group Discussions, Key Informant Interviews and Structured Questionnaires from patients diagnosed with one or more non-communicable diseases. Statistical analysis used: Smith's S value Manual Content Analysis Bivariate analysis. Results: The health seeking behaviour of NCD patients is influenced by lesser crowding and shorter distance to travel, reduced waiting time, focused attention from and familiarity with the healthcare provider, community health, systematic dispensing of medications and regularised testing. Rural population have a higher positively inclined health seeking behaviour than urban population. Conclusions: The health seeking behaviour of patients with NCDs seem to be on the positive trend and is influenced by the locality of the respondents.","container-title":"Journal of Family Medicine and Primary Care","DOI":"10.4103/jfmpc.jfmpc_1882_23","ISSN":"2249-4863, 2278-7135","issue":"9","language":"en","page":"3702-3708","source":"DOI.org (Crossref)","title":"A community-based study on health seeking behaviour among NCD patients in rural and urban Tamil Nadu – A convergent mixed method study","URL":"https://journals.lww.com/10.4103/jfmpc.jfmpc_1882_23","volume":"13","author":[{"family":"Kirubakaran","given":"S"},{"family":"Sudhan","given":"Dharshnee"},{"family":"Kovur","given":"Hariharan"},{"family":"Appanabhotla","given":"Prasananjali"},{"family":"Murugan","given":"Arun"}],"accessed":{"date-parts":[["2025",3,13]]},"issued":{"date-parts":[["2024",9]]}}}],"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Kirubakaran, 2024</w:t>
            </w:r>
            <w:r>
              <w:rPr>
                <w:rFonts w:ascii="Times New Roman" w:hAnsi="Times New Roman" w:cs="Times New Roman"/>
                <w:sz w:val="18"/>
                <w:szCs w:val="18"/>
                <w:lang w:val="en-US"/>
              </w:rPr>
              <w:fldChar w:fldCharType="end"/>
            </w:r>
          </w:p>
        </w:tc>
        <w:tc>
          <w:tcPr>
            <w:tcW w:w="1559" w:type="dxa"/>
          </w:tcPr>
          <w:p w14:paraId="3DCF3B66" w14:textId="4246D7BF" w:rsidR="002F29FF" w:rsidRPr="00633D28" w:rsidRDefault="002F29FF" w:rsidP="002F29FF">
            <w:pPr>
              <w:jc w:val="center"/>
              <w:rPr>
                <w:b/>
                <w:bCs/>
                <w:sz w:val="20"/>
                <w:szCs w:val="20"/>
              </w:rPr>
            </w:pPr>
            <w:r w:rsidRPr="00633D28">
              <w:rPr>
                <w:b/>
                <w:bCs/>
                <w:sz w:val="20"/>
                <w:szCs w:val="20"/>
              </w:rPr>
              <w:t>✓</w:t>
            </w:r>
          </w:p>
        </w:tc>
        <w:tc>
          <w:tcPr>
            <w:tcW w:w="1843" w:type="dxa"/>
          </w:tcPr>
          <w:p w14:paraId="52267CB0" w14:textId="32CF9820" w:rsidR="002F29FF" w:rsidRPr="00633D28" w:rsidRDefault="002F29FF" w:rsidP="002F29FF">
            <w:pPr>
              <w:jc w:val="center"/>
              <w:rPr>
                <w:b/>
                <w:bCs/>
                <w:sz w:val="20"/>
                <w:szCs w:val="20"/>
              </w:rPr>
            </w:pPr>
            <w:r w:rsidRPr="00633D28">
              <w:rPr>
                <w:b/>
                <w:bCs/>
                <w:sz w:val="20"/>
                <w:szCs w:val="20"/>
              </w:rPr>
              <w:t>✓</w:t>
            </w:r>
          </w:p>
        </w:tc>
        <w:tc>
          <w:tcPr>
            <w:tcW w:w="1701" w:type="dxa"/>
          </w:tcPr>
          <w:p w14:paraId="298A5477" w14:textId="610BC004" w:rsidR="002F29FF" w:rsidRPr="00633D28" w:rsidRDefault="002F29FF" w:rsidP="002F29FF">
            <w:pPr>
              <w:jc w:val="center"/>
              <w:rPr>
                <w:b/>
                <w:bCs/>
                <w:sz w:val="20"/>
                <w:szCs w:val="20"/>
              </w:rPr>
            </w:pPr>
            <w:r w:rsidRPr="00633D28">
              <w:rPr>
                <w:b/>
                <w:bCs/>
                <w:sz w:val="20"/>
                <w:szCs w:val="20"/>
              </w:rPr>
              <w:t>✓</w:t>
            </w:r>
          </w:p>
        </w:tc>
        <w:tc>
          <w:tcPr>
            <w:tcW w:w="1559" w:type="dxa"/>
          </w:tcPr>
          <w:p w14:paraId="3AD71B9E" w14:textId="1AD242BB" w:rsidR="002F29FF" w:rsidRPr="00633D28" w:rsidRDefault="002F29FF" w:rsidP="002F29FF">
            <w:pPr>
              <w:jc w:val="center"/>
              <w:rPr>
                <w:b/>
                <w:bCs/>
                <w:sz w:val="20"/>
                <w:szCs w:val="20"/>
              </w:rPr>
            </w:pPr>
            <w:r w:rsidRPr="00633D28">
              <w:rPr>
                <w:b/>
                <w:bCs/>
                <w:sz w:val="20"/>
                <w:szCs w:val="20"/>
              </w:rPr>
              <w:t>✓</w:t>
            </w:r>
          </w:p>
        </w:tc>
        <w:tc>
          <w:tcPr>
            <w:tcW w:w="1559" w:type="dxa"/>
          </w:tcPr>
          <w:p w14:paraId="694B53B0" w14:textId="0F56BB48"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09D6783C" w14:textId="0D5B673E"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03CF3B7D" w14:textId="06945DD7" w:rsidR="002F29FF" w:rsidRPr="00633D28" w:rsidRDefault="002F29FF" w:rsidP="002F29FF">
            <w:pPr>
              <w:jc w:val="center"/>
              <w:rPr>
                <w:b/>
                <w:bCs/>
                <w:sz w:val="20"/>
                <w:szCs w:val="20"/>
              </w:rPr>
            </w:pPr>
            <w:r w:rsidRPr="00633D28">
              <w:rPr>
                <w:b/>
                <w:bCs/>
                <w:sz w:val="20"/>
                <w:szCs w:val="20"/>
              </w:rPr>
              <w:t>✓</w:t>
            </w:r>
          </w:p>
        </w:tc>
        <w:tc>
          <w:tcPr>
            <w:tcW w:w="1418" w:type="dxa"/>
          </w:tcPr>
          <w:p w14:paraId="4029EBE6" w14:textId="04E0A9F2" w:rsidR="002F29FF" w:rsidRPr="00633D28" w:rsidRDefault="002F29FF" w:rsidP="002F29FF">
            <w:pPr>
              <w:jc w:val="center"/>
              <w:rPr>
                <w:b/>
                <w:bCs/>
                <w:sz w:val="20"/>
                <w:szCs w:val="20"/>
              </w:rPr>
            </w:pPr>
            <w:r w:rsidRPr="00633D28">
              <w:rPr>
                <w:b/>
                <w:bCs/>
                <w:sz w:val="20"/>
                <w:szCs w:val="20"/>
              </w:rPr>
              <w:t>✓</w:t>
            </w:r>
          </w:p>
        </w:tc>
      </w:tr>
      <w:tr w:rsidR="002F29FF" w:rsidRPr="00633D28" w14:paraId="17235299" w14:textId="77777777" w:rsidTr="0025781E">
        <w:tc>
          <w:tcPr>
            <w:tcW w:w="2127" w:type="dxa"/>
          </w:tcPr>
          <w:p w14:paraId="4CBD5A96" w14:textId="6E8A1238"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{"citationID":"SIQ8MiJn","properties":{"formattedCitation":"(Barman et al., 2023)","plainCitation":"(Barman et al., 2023)","noteIndex":0},"citationItems":[{"id":5513,"uris":["http://zotero.org/users/6707951/items/B2ZVCI74"],"itemData":{"id":5513,"type":"article-journal","abstract":"Introduction  Unmanaged Type 2 diabetes mellitus (T2DM) substantially contributes to the multi-morbidity of the elderly. Fewer research has concentrated on understanding the determinants of treatment utilization among older people, with even lesser concerns about missing data in outcome variables leading to biased estimates. The present study intends to evaluate the epidemiology of T2DM in the elderly in India and explore the socioeconomic and behavioral risk factors determining the treatment utilization among the elderly &gt; 60 years in India by addressing the missing data to generate robust estimates.\nMethods  The secondary analysis used data from the Longitudinal Ageing Study in India. The key dependent variables were the presence or absence of T2DM and treatment utilization. Descriptive statistics were used to understand the differences in the prevalence of diabetes and the utilization of treatment across various sociodemographic characteristics. Heckman’s statistical technique evaluated the predictors of T2DM and treatment utilization. Analysis was done using STATA software version 14.0.\nResults  Almost 14% elderly reported to be living with T2DM. The odds of living with T2DM increased with nonworking status, a sedentary lifestyle, and a higher BMI. A higher proportion of the elderly was on oral drugs than insulin and had been practicing lifestyle modifications to control their disease. The probability of developing T2DM was lower among females than males, but females had better odds for treatment utilization of health medication than males. Lastly, treatment utilization was significantly affected by socio-demographic characteristics like education and monthly per capita expenditure.\nConclusions  Treatment utilization by the elderly living with T2DM is significantly affected by socio-demographic characteristics. Keeping in mind the increasing proportion of the geriatric population in our country, it is pertinent to","container-title":"BMC Public Health","DOI":"10.1186/s12889-023-15661-4","ISSN":"1471-2458","issue":"1","journalAbbreviation":"BMC Public Health","language":"en","page":"699","source":"DOI.org (Crossref)","title":"Epidemiology of type 2 diabetes mellitus and treatment utilization patterns among the elderly from the first wave of Longitudinal Aging study in India (2017-18)using a Heckman selection model","URL":"https://bmcpublichealth.biomedcentral.com/articles/10.1186/s12889-023-15661-4","volume":"23","author":[{"family":"Barman","given":"Papai"},{"family":"Das","given":"Milan"},{"family":"Verma","given":"Madhur"}],"accessed":{"date-parts":[["2025",3,13]]},"issued":{"date-parts":[["2023",4,14]]}}}],"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Barman, 2023</w:t>
            </w:r>
            <w:r>
              <w:rPr>
                <w:rFonts w:ascii="Times New Roman" w:hAnsi="Times New Roman" w:cs="Times New Roman"/>
                <w:sz w:val="18"/>
                <w:szCs w:val="18"/>
                <w:lang w:val="en-US"/>
              </w:rPr>
              <w:fldChar w:fldCharType="end"/>
            </w:r>
          </w:p>
        </w:tc>
        <w:tc>
          <w:tcPr>
            <w:tcW w:w="1559" w:type="dxa"/>
          </w:tcPr>
          <w:p w14:paraId="2BA8FAF9" w14:textId="39E45C2A" w:rsidR="002F29FF" w:rsidRPr="00633D28" w:rsidRDefault="002F29FF" w:rsidP="002F29FF">
            <w:pPr>
              <w:jc w:val="center"/>
              <w:rPr>
                <w:b/>
                <w:bCs/>
                <w:sz w:val="20"/>
                <w:szCs w:val="20"/>
              </w:rPr>
            </w:pPr>
            <w:r w:rsidRPr="00633D28">
              <w:rPr>
                <w:b/>
                <w:bCs/>
                <w:sz w:val="20"/>
                <w:szCs w:val="20"/>
              </w:rPr>
              <w:t>✓</w:t>
            </w:r>
          </w:p>
        </w:tc>
        <w:tc>
          <w:tcPr>
            <w:tcW w:w="1843" w:type="dxa"/>
          </w:tcPr>
          <w:p w14:paraId="0CB0FAF3" w14:textId="08B09A64" w:rsidR="002F29FF" w:rsidRPr="00633D28" w:rsidRDefault="002F29FF" w:rsidP="002F29FF">
            <w:pPr>
              <w:jc w:val="center"/>
              <w:rPr>
                <w:b/>
                <w:bCs/>
                <w:sz w:val="20"/>
                <w:szCs w:val="20"/>
              </w:rPr>
            </w:pPr>
            <w:r w:rsidRPr="00633D28">
              <w:rPr>
                <w:b/>
                <w:bCs/>
                <w:sz w:val="20"/>
                <w:szCs w:val="20"/>
              </w:rPr>
              <w:t>✓</w:t>
            </w:r>
          </w:p>
        </w:tc>
        <w:tc>
          <w:tcPr>
            <w:tcW w:w="1701" w:type="dxa"/>
          </w:tcPr>
          <w:p w14:paraId="7C98039B" w14:textId="7A1FADB7" w:rsidR="002F29FF" w:rsidRPr="00633D28" w:rsidRDefault="002F29FF" w:rsidP="002F29FF">
            <w:pPr>
              <w:jc w:val="center"/>
              <w:rPr>
                <w:b/>
                <w:bCs/>
                <w:sz w:val="20"/>
                <w:szCs w:val="20"/>
              </w:rPr>
            </w:pPr>
            <w:r w:rsidRPr="00633D28">
              <w:rPr>
                <w:b/>
                <w:bCs/>
                <w:sz w:val="20"/>
                <w:szCs w:val="20"/>
              </w:rPr>
              <w:t>✓</w:t>
            </w:r>
          </w:p>
        </w:tc>
        <w:tc>
          <w:tcPr>
            <w:tcW w:w="1559" w:type="dxa"/>
          </w:tcPr>
          <w:p w14:paraId="6ECF4E83" w14:textId="2C5838F2" w:rsidR="002F29FF" w:rsidRPr="00633D28" w:rsidRDefault="002F29FF" w:rsidP="002F29FF">
            <w:pPr>
              <w:jc w:val="center"/>
              <w:rPr>
                <w:b/>
                <w:bCs/>
                <w:sz w:val="20"/>
                <w:szCs w:val="20"/>
              </w:rPr>
            </w:pPr>
            <w:r w:rsidRPr="00633D28">
              <w:rPr>
                <w:b/>
                <w:bCs/>
                <w:sz w:val="20"/>
                <w:szCs w:val="20"/>
              </w:rPr>
              <w:t>✓</w:t>
            </w:r>
          </w:p>
        </w:tc>
        <w:tc>
          <w:tcPr>
            <w:tcW w:w="1559" w:type="dxa"/>
          </w:tcPr>
          <w:p w14:paraId="2203E583" w14:textId="4F8D724E"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0A88980D" w14:textId="006704BD"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353DECCF" w14:textId="0B2D7771" w:rsidR="002F29FF" w:rsidRPr="00633D28" w:rsidRDefault="002F29FF" w:rsidP="002F29FF">
            <w:pPr>
              <w:jc w:val="center"/>
              <w:rPr>
                <w:b/>
                <w:bCs/>
                <w:sz w:val="20"/>
                <w:szCs w:val="20"/>
              </w:rPr>
            </w:pPr>
            <w:r w:rsidRPr="00633D28">
              <w:rPr>
                <w:b/>
                <w:bCs/>
                <w:sz w:val="20"/>
                <w:szCs w:val="20"/>
              </w:rPr>
              <w:t>✓</w:t>
            </w:r>
          </w:p>
        </w:tc>
        <w:tc>
          <w:tcPr>
            <w:tcW w:w="1418" w:type="dxa"/>
          </w:tcPr>
          <w:p w14:paraId="23B2A2FC" w14:textId="6A4BE70B" w:rsidR="002F29FF" w:rsidRPr="00633D28" w:rsidRDefault="002F29FF" w:rsidP="002F29FF">
            <w:pPr>
              <w:jc w:val="center"/>
              <w:rPr>
                <w:b/>
                <w:bCs/>
                <w:sz w:val="20"/>
                <w:szCs w:val="20"/>
              </w:rPr>
            </w:pPr>
            <w:r w:rsidRPr="00633D28">
              <w:rPr>
                <w:b/>
                <w:bCs/>
                <w:sz w:val="20"/>
                <w:szCs w:val="20"/>
              </w:rPr>
              <w:t>✓</w:t>
            </w:r>
          </w:p>
        </w:tc>
      </w:tr>
      <w:tr w:rsidR="002F29FF" w:rsidRPr="00633D28" w14:paraId="46B7F488" w14:textId="77777777" w:rsidTr="0025781E">
        <w:tc>
          <w:tcPr>
            <w:tcW w:w="2127" w:type="dxa"/>
          </w:tcPr>
          <w:p w14:paraId="41E9DCDD" w14:textId="77777777" w:rsidR="002F29FF" w:rsidRPr="00EC73B8" w:rsidRDefault="002F29FF" w:rsidP="002F29FF">
            <w:pPr>
              <w:rPr>
                <w:rFonts w:ascii="Times New Roman" w:hAnsi="Times New Roman" w:cs="Times New Roman"/>
                <w:sz w:val="18"/>
                <w:szCs w:val="18"/>
                <w:lang w:val="en-US"/>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{"citationID":"rsnr6GSS","properties":{"formattedCitation":"(Kanungo et al., 2015)","plainCitation":"(Kanungo et al., 2015)","noteIndex":0},"citationItems":[{"id":5522,"uris":["http://zotero.org/users/6707951/items/CYJSBFH2"],"itemData":{"id":5522,"type":"article-journal","container-title":"PLOS ONE","DOI":"10.1371/journal.pone.0125865","ISSN":"1932-6203","issue":"5","journalAbbreviation":"PLoS ONE","language":"en","page":"e0125865","source":"DOI.org (Crossref)","title":"Perceived Morbidity, Healthcare-Seeking Behavior and Their Determinants in a Poor-Resource Setting: Observation from India","title-short":"Perceived Morbidity, Healthcare-Seeking Behavior and Their Determinants in a Poor-Resource Setting","URL":"https://dx.plos.org/10.1371/journal.pone.0125865","volume":"10","author":[{"family":"Kanungo","given":"Suman"},{"family":"Bhowmik","given":"Kalyan"},{"family":"Mahapatra","given":"Tanmay"},{"family":"Mahapatra","given":"Sanchita"},{"family":"Bhadra","given":"Uchhal K."},{"family":"Sarkar","given":"Kamalesh"}],"editor":[{"family":"Reddy","given":"Hemachandra"}],"accessed":{"date-parts":[["2025",3,13]]},"issued":{"date-parts":[["2015",5,12]]}}}],"schema":"https://github.com/citation-style-language/schema/raw/master/csl-citation.json"}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Kanungo, 2015</w:t>
            </w:r>
            <w:r>
              <w:rPr>
                <w:rFonts w:ascii="Times New Roman" w:hAnsi="Times New Roman" w:cs="Times New Roman"/>
                <w:sz w:val="18"/>
                <w:szCs w:val="18"/>
                <w:lang w:val="en-US"/>
              </w:rPr>
              <w:fldChar w:fldCharType="end"/>
            </w:r>
          </w:p>
          <w:p w14:paraId="674B3F23" w14:textId="77777777" w:rsidR="002F29FF" w:rsidRPr="00633D28" w:rsidRDefault="002F29FF" w:rsidP="002F29FF">
            <w:pPr>
              <w:rPr>
                <w:rFonts w:ascii="Times New Roman" w:hAnsi="Times New Roman" w:cs="Times New Roman"/>
                <w:color w:val="000000" w:themeColor="text1"/>
                <w:sz w:val="20"/>
                <w:szCs w:val="20"/>
              </w:rPr>
            </w:pPr>
          </w:p>
        </w:tc>
        <w:tc>
          <w:tcPr>
            <w:tcW w:w="1559" w:type="dxa"/>
          </w:tcPr>
          <w:p w14:paraId="6247C9DC" w14:textId="7CEB73AA" w:rsidR="002F29FF" w:rsidRPr="00633D28" w:rsidRDefault="002F29FF" w:rsidP="002F29FF">
            <w:pPr>
              <w:jc w:val="center"/>
              <w:rPr>
                <w:b/>
                <w:bCs/>
                <w:sz w:val="20"/>
                <w:szCs w:val="20"/>
              </w:rPr>
            </w:pPr>
            <w:r w:rsidRPr="00633D28">
              <w:rPr>
                <w:b/>
                <w:bCs/>
                <w:sz w:val="20"/>
                <w:szCs w:val="20"/>
              </w:rPr>
              <w:t>✓</w:t>
            </w:r>
          </w:p>
        </w:tc>
        <w:tc>
          <w:tcPr>
            <w:tcW w:w="1843" w:type="dxa"/>
          </w:tcPr>
          <w:p w14:paraId="7717EF42" w14:textId="6FC13A24" w:rsidR="002F29FF" w:rsidRPr="00633D28" w:rsidRDefault="002F29FF" w:rsidP="002F29FF">
            <w:pPr>
              <w:jc w:val="center"/>
              <w:rPr>
                <w:b/>
                <w:bCs/>
                <w:sz w:val="20"/>
                <w:szCs w:val="20"/>
              </w:rPr>
            </w:pPr>
            <w:r w:rsidRPr="00633D28">
              <w:rPr>
                <w:b/>
                <w:bCs/>
                <w:sz w:val="20"/>
                <w:szCs w:val="20"/>
              </w:rPr>
              <w:t>✓</w:t>
            </w:r>
          </w:p>
        </w:tc>
        <w:tc>
          <w:tcPr>
            <w:tcW w:w="1701" w:type="dxa"/>
          </w:tcPr>
          <w:p w14:paraId="6C42BE38" w14:textId="62E05ACE" w:rsidR="002F29FF" w:rsidRPr="00633D28" w:rsidRDefault="002F29FF" w:rsidP="002F29FF">
            <w:pPr>
              <w:jc w:val="center"/>
              <w:rPr>
                <w:b/>
                <w:bCs/>
                <w:sz w:val="20"/>
                <w:szCs w:val="20"/>
              </w:rPr>
            </w:pPr>
            <w:r w:rsidRPr="00633D28">
              <w:rPr>
                <w:b/>
                <w:bCs/>
                <w:sz w:val="20"/>
                <w:szCs w:val="20"/>
              </w:rPr>
              <w:t>✓</w:t>
            </w:r>
          </w:p>
        </w:tc>
        <w:tc>
          <w:tcPr>
            <w:tcW w:w="1559" w:type="dxa"/>
          </w:tcPr>
          <w:p w14:paraId="5788654D" w14:textId="5408880C" w:rsidR="002F29FF" w:rsidRPr="00633D28" w:rsidRDefault="002F29FF" w:rsidP="002F29FF">
            <w:pPr>
              <w:jc w:val="center"/>
              <w:rPr>
                <w:b/>
                <w:bCs/>
                <w:sz w:val="20"/>
                <w:szCs w:val="20"/>
              </w:rPr>
            </w:pPr>
            <w:r w:rsidRPr="00633D28">
              <w:rPr>
                <w:b/>
                <w:bCs/>
                <w:sz w:val="20"/>
                <w:szCs w:val="20"/>
              </w:rPr>
              <w:t>✓</w:t>
            </w:r>
          </w:p>
        </w:tc>
        <w:tc>
          <w:tcPr>
            <w:tcW w:w="1559" w:type="dxa"/>
          </w:tcPr>
          <w:p w14:paraId="26A317A9" w14:textId="66580DD2"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59CF7C52" w14:textId="5B172CD8"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07E12C09" w14:textId="23204877" w:rsidR="002F29FF" w:rsidRPr="00633D28" w:rsidRDefault="002F29FF" w:rsidP="002F29FF">
            <w:pPr>
              <w:jc w:val="center"/>
              <w:rPr>
                <w:b/>
                <w:bCs/>
                <w:sz w:val="20"/>
                <w:szCs w:val="20"/>
              </w:rPr>
            </w:pPr>
            <w:r w:rsidRPr="00633D28">
              <w:rPr>
                <w:b/>
                <w:bCs/>
                <w:sz w:val="20"/>
                <w:szCs w:val="20"/>
              </w:rPr>
              <w:t>✓</w:t>
            </w:r>
          </w:p>
        </w:tc>
        <w:tc>
          <w:tcPr>
            <w:tcW w:w="1418" w:type="dxa"/>
          </w:tcPr>
          <w:p w14:paraId="64630B5E" w14:textId="2888C996" w:rsidR="002F29FF" w:rsidRPr="00633D28" w:rsidRDefault="002F29FF" w:rsidP="002F29FF">
            <w:pPr>
              <w:jc w:val="center"/>
              <w:rPr>
                <w:b/>
                <w:bCs/>
                <w:sz w:val="20"/>
                <w:szCs w:val="20"/>
              </w:rPr>
            </w:pPr>
            <w:r w:rsidRPr="00633D28">
              <w:rPr>
                <w:b/>
                <w:bCs/>
                <w:sz w:val="20"/>
                <w:szCs w:val="20"/>
              </w:rPr>
              <w:t>✓</w:t>
            </w:r>
          </w:p>
        </w:tc>
      </w:tr>
      <w:tr w:rsidR="002F29FF" w:rsidRPr="00633D28" w14:paraId="2A9243C8" w14:textId="77777777" w:rsidTr="0025781E">
        <w:tc>
          <w:tcPr>
            <w:tcW w:w="2127" w:type="dxa"/>
          </w:tcPr>
          <w:p w14:paraId="49A57F34" w14:textId="43CAE121"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{"citationID":"MDYbitaa","properties":{"formattedCitation":"(Prabhakar et al., 2023)","plainCitation":"(Prabhakar et al., 2023)","noteIndex":0},"citationItems":[{"id":5514,"uris":["http://zotero.org/users/6707951/items/UFUI2YYN"],"itemData":{"id":5514,"type":"article-journal","abstract":"Steady improvement in quality of life has led to increased survival time of elderly, especially of those with noncommunicable diseases. A study about their health‑seeking behavior (HSB) and its determinants is essential for provision of comprehensive care and facilitate policy development. A cross‑sectional study was conducted among 350 elderly participants over 60 years of age in an urbanized village of Delhi. Data was collected using a semi‑structured questionnaire, and detailed general and systemic examination was done. Tests of significance were applied to assess the HSB with various demographic, clinico‑social, and economic variables. A total of 87.4% of the study population was suffering from at least one noncommunicable disease (NCD). Majority of the study subjects’ NCDs (72.66%) were diagnosed while getting treatment for a symptom of the disease. Also, 52.94% of the participants had inappropriate HSB. HSB was significantly associated with gender, age, duration of illness, and importantly with modifiable variables like the level of literacy, distance of preferred health facility, and presence of multimorbidity. HSB was found to be inappropriate in over half of the participants. Policymaking should focus on modifiable variables like education, distance of health facility, and multimorbidity, especially for commonly ignored diseases like osteoarthritis and diabetes.","container-title":"Indian Journal of Community Medicine","DOI":"10.4103/ijcm.ijcm_106_22","ISSN":"0970-0218, 1998-3581","issue":"1","language":"en","page":"161-166","source":"DOI.org (Crossref)","title":"Health-Seeking Behavior and its Determinants for Different Noncommunicable Diseases in Elderly","URL":"https://journals.lww.com/10.4103/ijcm.ijcm_106_22","volume":"48","author":[{"family":"Prabhakar","given":"Tushar"},{"family":"Goel","given":"Manish Kumar"},{"family":"Acharya","given":"Anita Shankar"}],"accessed":{"date-parts":[["2025",3,13]]},"issued":{"date-parts":[["2023",1]]}}}],"schema":"https://github.com/citation-style-language/schema/raw/master/csl-citation.json"}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Prabhakar, 2023</w:t>
            </w:r>
            <w:r>
              <w:rPr>
                <w:rFonts w:ascii="Times New Roman" w:hAnsi="Times New Roman" w:cs="Times New Roman"/>
                <w:sz w:val="18"/>
                <w:szCs w:val="18"/>
                <w:lang w:val="en-US"/>
              </w:rPr>
              <w:fldChar w:fldCharType="end"/>
            </w:r>
          </w:p>
        </w:tc>
        <w:tc>
          <w:tcPr>
            <w:tcW w:w="1559" w:type="dxa"/>
          </w:tcPr>
          <w:p w14:paraId="31D35665" w14:textId="22AA367E" w:rsidR="002F29FF" w:rsidRPr="00633D28" w:rsidRDefault="002F29FF" w:rsidP="002F29FF">
            <w:pPr>
              <w:jc w:val="center"/>
              <w:rPr>
                <w:b/>
                <w:bCs/>
                <w:sz w:val="20"/>
                <w:szCs w:val="20"/>
              </w:rPr>
            </w:pPr>
            <w:r w:rsidRPr="00633D28">
              <w:rPr>
                <w:b/>
                <w:bCs/>
                <w:sz w:val="20"/>
                <w:szCs w:val="20"/>
              </w:rPr>
              <w:t>✓</w:t>
            </w:r>
          </w:p>
        </w:tc>
        <w:tc>
          <w:tcPr>
            <w:tcW w:w="1843" w:type="dxa"/>
          </w:tcPr>
          <w:p w14:paraId="13A63E94" w14:textId="76F93FAF" w:rsidR="002F29FF" w:rsidRPr="00633D28" w:rsidRDefault="002F29FF" w:rsidP="002F29FF">
            <w:pPr>
              <w:jc w:val="center"/>
              <w:rPr>
                <w:b/>
                <w:bCs/>
                <w:sz w:val="20"/>
                <w:szCs w:val="20"/>
              </w:rPr>
            </w:pPr>
            <w:r w:rsidRPr="00633D28">
              <w:rPr>
                <w:b/>
                <w:bCs/>
                <w:sz w:val="20"/>
                <w:szCs w:val="20"/>
              </w:rPr>
              <w:t>✓</w:t>
            </w:r>
          </w:p>
        </w:tc>
        <w:tc>
          <w:tcPr>
            <w:tcW w:w="1701" w:type="dxa"/>
          </w:tcPr>
          <w:p w14:paraId="6BBB7E18" w14:textId="6AB9F590" w:rsidR="002F29FF" w:rsidRPr="00633D28" w:rsidRDefault="002F29FF" w:rsidP="002F29FF">
            <w:pPr>
              <w:jc w:val="center"/>
              <w:rPr>
                <w:b/>
                <w:bCs/>
                <w:sz w:val="20"/>
                <w:szCs w:val="20"/>
              </w:rPr>
            </w:pPr>
            <w:r w:rsidRPr="00633D28">
              <w:rPr>
                <w:rFonts w:ascii="Segoe UI Symbol" w:hAnsi="Segoe UI Symbol" w:cs="Segoe UI Symbol"/>
                <w:b/>
                <w:bCs/>
                <w:sz w:val="20"/>
                <w:szCs w:val="20"/>
              </w:rPr>
              <w:t>☓</w:t>
            </w:r>
          </w:p>
        </w:tc>
        <w:tc>
          <w:tcPr>
            <w:tcW w:w="1559" w:type="dxa"/>
          </w:tcPr>
          <w:p w14:paraId="12E13FC1" w14:textId="75B0C6FB" w:rsidR="002F29FF" w:rsidRPr="00633D28" w:rsidRDefault="002F29FF" w:rsidP="002F29FF">
            <w:pPr>
              <w:jc w:val="center"/>
              <w:rPr>
                <w:b/>
                <w:bCs/>
                <w:sz w:val="20"/>
                <w:szCs w:val="20"/>
              </w:rPr>
            </w:pPr>
            <w:r w:rsidRPr="00633D28">
              <w:rPr>
                <w:rFonts w:ascii="Segoe UI Symbol" w:hAnsi="Segoe UI Symbol" w:cs="Segoe UI Symbol"/>
                <w:b/>
                <w:bCs/>
                <w:sz w:val="20"/>
                <w:szCs w:val="20"/>
              </w:rPr>
              <w:t>☓</w:t>
            </w:r>
          </w:p>
        </w:tc>
        <w:tc>
          <w:tcPr>
            <w:tcW w:w="1559" w:type="dxa"/>
          </w:tcPr>
          <w:p w14:paraId="66578B47" w14:textId="3A513D83"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47871D86" w14:textId="59B18D33"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25848BC0" w14:textId="0B82C9BA" w:rsidR="002F29FF" w:rsidRPr="00633D28" w:rsidRDefault="002F29FF" w:rsidP="002F29FF">
            <w:pPr>
              <w:jc w:val="center"/>
              <w:rPr>
                <w:b/>
                <w:bCs/>
                <w:sz w:val="20"/>
                <w:szCs w:val="20"/>
              </w:rPr>
            </w:pPr>
            <w:r w:rsidRPr="00633D28">
              <w:rPr>
                <w:b/>
                <w:bCs/>
                <w:sz w:val="20"/>
                <w:szCs w:val="20"/>
              </w:rPr>
              <w:t>✓</w:t>
            </w:r>
          </w:p>
        </w:tc>
        <w:tc>
          <w:tcPr>
            <w:tcW w:w="1418" w:type="dxa"/>
          </w:tcPr>
          <w:p w14:paraId="68F21811" w14:textId="3381A323" w:rsidR="002F29FF" w:rsidRPr="00633D28" w:rsidRDefault="002F29FF" w:rsidP="002F29FF">
            <w:pPr>
              <w:jc w:val="center"/>
              <w:rPr>
                <w:b/>
                <w:bCs/>
                <w:sz w:val="20"/>
                <w:szCs w:val="20"/>
              </w:rPr>
            </w:pPr>
            <w:r w:rsidRPr="00633D28">
              <w:rPr>
                <w:b/>
                <w:bCs/>
                <w:sz w:val="20"/>
                <w:szCs w:val="20"/>
              </w:rPr>
              <w:t>✓</w:t>
            </w:r>
          </w:p>
        </w:tc>
      </w:tr>
      <w:tr w:rsidR="002F29FF" w:rsidRPr="00633D28" w14:paraId="6EA365FD" w14:textId="77777777" w:rsidTr="0025781E">
        <w:tc>
          <w:tcPr>
            <w:tcW w:w="2127" w:type="dxa"/>
          </w:tcPr>
          <w:p w14:paraId="47660391" w14:textId="592B7678"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{"citationID":"TAnb353l","properties":{"formattedCitation":"(Sahoo et al., 2021)","plainCitation":"(Sahoo et al., 2021)","noteIndex":0},"citationItems":[{"id":5568,"uris":["http://zotero.org/users/6707951/items/Z3PUA2QF"],"itemData":{"id":5568,"type":"article-journal","abstract":"BACKGROUND &amp; OBJECTIVES: During any public health emergency, a need-based national non-communicable diseases (NCD) preparedness plan is essential. People living with NCDs could face challenges owing to restricted mobility, low access to medical care and suboptimal logistics during the pandemic. The present study explored the effect of the COVID-19 pandemic on NCD care in a district of Odisha State of India.\nMETHODS: This study was carried out during May-June 2020 in the Khurda district of Odisha. A community-based explanatory mixed-method study was followed. Data collection comprised 12 in-depth interviews and 491 structured interviews using Likert-questionnaire with individuals having at least one NCD. Mantel-Haenszel's Chi-square test was used to assess the difference in the effect of COVID-19 on the routine NCD care. Qualitative data were analyzed by content analysis.\nRESULTS: Findings revealed that nearly two-thirds of participants encountered challenges in their routine investigation (69%), day-care procedures (67%) and reaching hospital (61%). Around half of them reported having trouble in doctor appointments (59%), emergency treatment (56%), access to the pharmacy (47%) and delay in healthcare (46%). Thirty seven per cent perceived that they could not access care because of social restriction/lockdown, 29 per cent attributed arranging finance as a constraint to visiting hospitals and 16 per cent avoided going to the hospital, fearing COVID-19 infection.\nINTERPRETATION &amp; CONCLUSIONS: Our findings showed that people with chronic NCDs faced multiple challenges in accessing health care during the pandemic. A cohesive doctor-pharmacy-patient engagement is vital for managing NCD care during a pandemic. During emergencies, changes in dispensing practices and service provision closer to the patients are crucial. Additionally, health literacy and home-based NCD management should be encouraged.","container-title":"The Indian Journal of Medical Research","DOI":"10.4103/0971-5916.323435","ISSN":"0975-9174","issue":"5&amp;6","journalAbbreviation":"Indian J Med Res","language":"eng","note":"PMID: 34380806\nPMCID: PMC8555599","page":"649-657","source":"PubMed","title":"Non-communicable diseases care during COVID-19 pandemic: A mixed-method study in Khurda district of Odisha, India","title-short":"Non-communicable diseases care during COVID-19 pandemic","volume":"153","author":[{"family":"Sahoo","given":"Krushna Chandra"},{"family":"Kanungo","given":"Srikanta"},{"family":"Mahapatra","given":"Pranab"},{"family":"Pati","given":"Sanghamitra"}],"issued":{"date-parts":[["2021",6]]}}}],"schema":"https://github.com/citation-style-language/schema/raw/master/csl-citation.json"}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Sahoo, 2021</w:t>
            </w:r>
            <w:r>
              <w:rPr>
                <w:rFonts w:ascii="Times New Roman" w:hAnsi="Times New Roman" w:cs="Times New Roman"/>
                <w:sz w:val="18"/>
                <w:szCs w:val="18"/>
                <w:lang w:val="en-US"/>
              </w:rPr>
              <w:fldChar w:fldCharType="end"/>
            </w:r>
          </w:p>
        </w:tc>
        <w:tc>
          <w:tcPr>
            <w:tcW w:w="1559" w:type="dxa"/>
          </w:tcPr>
          <w:p w14:paraId="27F14DD6" w14:textId="0F5C42E5" w:rsidR="002F29FF" w:rsidRPr="00633D28" w:rsidRDefault="002F29FF" w:rsidP="002F29FF">
            <w:pPr>
              <w:jc w:val="center"/>
              <w:rPr>
                <w:b/>
                <w:bCs/>
                <w:sz w:val="20"/>
                <w:szCs w:val="20"/>
              </w:rPr>
            </w:pPr>
            <w:r w:rsidRPr="00633D28">
              <w:rPr>
                <w:b/>
                <w:bCs/>
                <w:sz w:val="20"/>
                <w:szCs w:val="20"/>
              </w:rPr>
              <w:t>✓</w:t>
            </w:r>
          </w:p>
        </w:tc>
        <w:tc>
          <w:tcPr>
            <w:tcW w:w="1843" w:type="dxa"/>
          </w:tcPr>
          <w:p w14:paraId="6F43D585" w14:textId="617F021D" w:rsidR="002F29FF" w:rsidRPr="00633D28" w:rsidRDefault="002F29FF" w:rsidP="002F29FF">
            <w:pPr>
              <w:jc w:val="center"/>
              <w:rPr>
                <w:b/>
                <w:bCs/>
                <w:sz w:val="20"/>
                <w:szCs w:val="20"/>
              </w:rPr>
            </w:pPr>
            <w:r w:rsidRPr="00633D28">
              <w:rPr>
                <w:b/>
                <w:bCs/>
                <w:sz w:val="20"/>
                <w:szCs w:val="20"/>
              </w:rPr>
              <w:t>✓</w:t>
            </w:r>
          </w:p>
        </w:tc>
        <w:tc>
          <w:tcPr>
            <w:tcW w:w="1701" w:type="dxa"/>
          </w:tcPr>
          <w:p w14:paraId="186333CC" w14:textId="6080F1D8" w:rsidR="002F29FF" w:rsidRPr="00633D28" w:rsidRDefault="002F29FF" w:rsidP="002F29FF">
            <w:pPr>
              <w:jc w:val="center"/>
              <w:rPr>
                <w:b/>
                <w:bCs/>
                <w:sz w:val="20"/>
                <w:szCs w:val="20"/>
              </w:rPr>
            </w:pPr>
            <w:r w:rsidRPr="00633D28">
              <w:rPr>
                <w:b/>
                <w:bCs/>
                <w:sz w:val="20"/>
                <w:szCs w:val="20"/>
              </w:rPr>
              <w:t>✓</w:t>
            </w:r>
          </w:p>
        </w:tc>
        <w:tc>
          <w:tcPr>
            <w:tcW w:w="1559" w:type="dxa"/>
          </w:tcPr>
          <w:p w14:paraId="30C6E2EA" w14:textId="4DCAC71B" w:rsidR="002F29FF" w:rsidRPr="00633D28" w:rsidRDefault="002F29FF" w:rsidP="002F29FF">
            <w:pPr>
              <w:jc w:val="center"/>
              <w:rPr>
                <w:b/>
                <w:bCs/>
                <w:sz w:val="20"/>
                <w:szCs w:val="20"/>
              </w:rPr>
            </w:pPr>
            <w:r w:rsidRPr="00633D28">
              <w:rPr>
                <w:b/>
                <w:bCs/>
                <w:sz w:val="20"/>
                <w:szCs w:val="20"/>
              </w:rPr>
              <w:t>✓</w:t>
            </w:r>
          </w:p>
        </w:tc>
        <w:tc>
          <w:tcPr>
            <w:tcW w:w="1559" w:type="dxa"/>
          </w:tcPr>
          <w:p w14:paraId="58FC01A0" w14:textId="77453644"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56D73010" w14:textId="353FB847"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185BC6F5" w14:textId="688D5315" w:rsidR="002F29FF" w:rsidRPr="00633D28" w:rsidRDefault="002F29FF" w:rsidP="002F29FF">
            <w:pPr>
              <w:jc w:val="center"/>
              <w:rPr>
                <w:b/>
                <w:bCs/>
                <w:sz w:val="20"/>
                <w:szCs w:val="20"/>
              </w:rPr>
            </w:pPr>
            <w:r w:rsidRPr="00633D28">
              <w:rPr>
                <w:b/>
                <w:bCs/>
                <w:sz w:val="20"/>
                <w:szCs w:val="20"/>
              </w:rPr>
              <w:t>✓</w:t>
            </w:r>
          </w:p>
        </w:tc>
        <w:tc>
          <w:tcPr>
            <w:tcW w:w="1418" w:type="dxa"/>
          </w:tcPr>
          <w:p w14:paraId="13EC631F" w14:textId="10B93DEC" w:rsidR="002F29FF" w:rsidRPr="00633D28" w:rsidRDefault="002F29FF" w:rsidP="002F29FF">
            <w:pPr>
              <w:jc w:val="center"/>
              <w:rPr>
                <w:b/>
                <w:bCs/>
                <w:sz w:val="20"/>
                <w:szCs w:val="20"/>
              </w:rPr>
            </w:pPr>
            <w:r w:rsidRPr="00633D28">
              <w:rPr>
                <w:b/>
                <w:bCs/>
                <w:sz w:val="20"/>
                <w:szCs w:val="20"/>
              </w:rPr>
              <w:t>✓</w:t>
            </w:r>
          </w:p>
        </w:tc>
      </w:tr>
      <w:tr w:rsidR="002F29FF" w:rsidRPr="00633D28" w14:paraId="446FCA37" w14:textId="77777777" w:rsidTr="0025781E">
        <w:tc>
          <w:tcPr>
            <w:tcW w:w="2127" w:type="dxa"/>
          </w:tcPr>
          <w:p w14:paraId="36286AEB" w14:textId="736CBE5F"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{"citationID":"CfFX8Tk6","properties":{"formattedCitation":"(Vijayakumar et al., 2024)","plainCitation":"(Vijayakumar et al., 2024)","noteIndex":0},"citationItems":[{"id":5508,"uris":["http://zotero.org/users/6707951/items/KEEJQA2M"],"itemData":{"id":5508,"type":"article-journal","abstract":"Background: Socioeconomic disparity changed healthcare seeking and management cascade of hypertension due to inequity in hypertension care cascade pathway. Objectives: The inequities in burden and treatment‑seeking behavior of hypertension among reproductive age group women were studied from National Family Health Survey‑4 (NFHS‑4) data. Materials and Methods: We analyzed the data from NFHS‑4 of women of reproductive age group between 15 and 49 years among the selected households contributing to 699,686 women. Socioeconomic inequities were assessed by expenditure quintile. Inequities in burden and treatment‑seeking behavior were reported using the concentration curve and concentration index. Results: The prevalence of hypertension in India was 15% (95% confidence interval: 14.9%–15.4%). One‑third (32%) of the hypertensive population received treatment and only 28% of the women had controlled blood pressure. Wealth and education‑based inequalities were more in high wealth index. The inequity in screening and awareness was in the northern and northeastern regions. Conclusion: There was inequity in the overall hypertension care cascade pathway with more inequity in the northern and northeastern region.","container-title":"Indian Journal of Public Health","DOI":"10.4103/ijph.ijph_84_23","ISSN":"0019-557X, 2229-7693","issue":"2","language":"en","page":"208-213","source":"DOI.org (Crossref)","title":"Socioeconomic and Geographical Inequities in Burden and Treatment seeking Behavior for Hypertension among Women in the Reproductive Age (15–45 years) Group in India: Findings from a Nationally Representative Survey","title-short":"Socioeconomic and Geographical Inequities in Burden and Treatment seeking Behavior for Hypertension among Women in the Reproductive Age (15–45 years) Group in India","URL":"https://journals.lww.com/10.4103/ijph.ijph_84_23","volume":"68","author":[{"family":"Vijayakumar","given":"Karthiga"},{"family":"Kannusamy","given":"Sivaranjini"},{"family":"Krishnamoorthy","given":"Yuvaraj"},{"family":"Vasudevan","given":"Kavita"},{"family":"Thekkur","given":"Pruthu"},{"family":"Goel","given":"Sonu"},{"family":"Meshram","given":"Soumya Swaroop"}],"accessed":{"date-parts":[["2025",3,13]]},"issued":{"date-parts":[["2024",4]]}}}],"schema":"https://github.com/citation-style-language/schema/raw/master/csl-citation.json"}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Vijayakumar, 2024</w:t>
            </w:r>
            <w:r>
              <w:rPr>
                <w:rFonts w:ascii="Times New Roman" w:hAnsi="Times New Roman" w:cs="Times New Roman"/>
                <w:sz w:val="18"/>
                <w:szCs w:val="18"/>
                <w:lang w:val="en-US"/>
              </w:rPr>
              <w:fldChar w:fldCharType="end"/>
            </w:r>
          </w:p>
        </w:tc>
        <w:tc>
          <w:tcPr>
            <w:tcW w:w="1559" w:type="dxa"/>
          </w:tcPr>
          <w:p w14:paraId="026CB488" w14:textId="2D8952CA" w:rsidR="002F29FF" w:rsidRPr="00633D28" w:rsidRDefault="002F29FF" w:rsidP="002F29FF">
            <w:pPr>
              <w:jc w:val="center"/>
              <w:rPr>
                <w:b/>
                <w:bCs/>
                <w:sz w:val="20"/>
                <w:szCs w:val="20"/>
              </w:rPr>
            </w:pPr>
            <w:r w:rsidRPr="00633D28">
              <w:rPr>
                <w:b/>
                <w:bCs/>
                <w:sz w:val="20"/>
                <w:szCs w:val="20"/>
              </w:rPr>
              <w:t>✓</w:t>
            </w:r>
          </w:p>
        </w:tc>
        <w:tc>
          <w:tcPr>
            <w:tcW w:w="1843" w:type="dxa"/>
          </w:tcPr>
          <w:p w14:paraId="1F566853" w14:textId="0839D0E0" w:rsidR="002F29FF" w:rsidRPr="00633D28" w:rsidRDefault="002F29FF" w:rsidP="002F29FF">
            <w:pPr>
              <w:jc w:val="center"/>
              <w:rPr>
                <w:b/>
                <w:bCs/>
                <w:sz w:val="20"/>
                <w:szCs w:val="20"/>
              </w:rPr>
            </w:pPr>
            <w:r w:rsidRPr="00633D28">
              <w:rPr>
                <w:b/>
                <w:bCs/>
                <w:sz w:val="20"/>
                <w:szCs w:val="20"/>
              </w:rPr>
              <w:t>✓</w:t>
            </w:r>
          </w:p>
        </w:tc>
        <w:tc>
          <w:tcPr>
            <w:tcW w:w="1701" w:type="dxa"/>
          </w:tcPr>
          <w:p w14:paraId="50ED045B" w14:textId="2D0ECB69" w:rsidR="002F29FF" w:rsidRPr="00633D28" w:rsidRDefault="002F29FF" w:rsidP="002F29FF">
            <w:pPr>
              <w:jc w:val="center"/>
              <w:rPr>
                <w:b/>
                <w:bCs/>
                <w:sz w:val="20"/>
                <w:szCs w:val="20"/>
              </w:rPr>
            </w:pPr>
            <w:r w:rsidRPr="00633D28">
              <w:rPr>
                <w:b/>
                <w:bCs/>
                <w:sz w:val="20"/>
                <w:szCs w:val="20"/>
              </w:rPr>
              <w:t>✓</w:t>
            </w:r>
          </w:p>
        </w:tc>
        <w:tc>
          <w:tcPr>
            <w:tcW w:w="1559" w:type="dxa"/>
          </w:tcPr>
          <w:p w14:paraId="2FCCFD7D" w14:textId="2B9E512A" w:rsidR="002F29FF" w:rsidRPr="00633D28" w:rsidRDefault="002F29FF" w:rsidP="002F29FF">
            <w:pPr>
              <w:jc w:val="center"/>
              <w:rPr>
                <w:b/>
                <w:bCs/>
                <w:sz w:val="20"/>
                <w:szCs w:val="20"/>
              </w:rPr>
            </w:pPr>
            <w:r w:rsidRPr="00633D28">
              <w:rPr>
                <w:b/>
                <w:bCs/>
                <w:sz w:val="20"/>
                <w:szCs w:val="20"/>
              </w:rPr>
              <w:t>✓</w:t>
            </w:r>
          </w:p>
        </w:tc>
        <w:tc>
          <w:tcPr>
            <w:tcW w:w="1559" w:type="dxa"/>
          </w:tcPr>
          <w:p w14:paraId="6625637F" w14:textId="739C7FD0"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4366FD17" w14:textId="55E03A4F"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61084228" w14:textId="1629CA2F" w:rsidR="002F29FF" w:rsidRPr="00633D28" w:rsidRDefault="002F29FF" w:rsidP="002F29FF">
            <w:pPr>
              <w:jc w:val="center"/>
              <w:rPr>
                <w:b/>
                <w:bCs/>
                <w:sz w:val="20"/>
                <w:szCs w:val="20"/>
              </w:rPr>
            </w:pPr>
            <w:r w:rsidRPr="00633D28">
              <w:rPr>
                <w:b/>
                <w:bCs/>
                <w:sz w:val="20"/>
                <w:szCs w:val="20"/>
              </w:rPr>
              <w:t>✓</w:t>
            </w:r>
          </w:p>
        </w:tc>
        <w:tc>
          <w:tcPr>
            <w:tcW w:w="1418" w:type="dxa"/>
          </w:tcPr>
          <w:p w14:paraId="14DEDA77" w14:textId="5C3E2C9D" w:rsidR="002F29FF" w:rsidRPr="00633D28" w:rsidRDefault="002F29FF" w:rsidP="002F29FF">
            <w:pPr>
              <w:jc w:val="center"/>
              <w:rPr>
                <w:b/>
                <w:bCs/>
                <w:sz w:val="20"/>
                <w:szCs w:val="20"/>
              </w:rPr>
            </w:pPr>
            <w:r w:rsidRPr="00633D28">
              <w:rPr>
                <w:b/>
                <w:bCs/>
                <w:sz w:val="20"/>
                <w:szCs w:val="20"/>
              </w:rPr>
              <w:t>✓</w:t>
            </w:r>
          </w:p>
        </w:tc>
      </w:tr>
      <w:tr w:rsidR="002F29FF" w:rsidRPr="00633D28" w14:paraId="05439574" w14:textId="77777777" w:rsidTr="0025781E">
        <w:tc>
          <w:tcPr>
            <w:tcW w:w="2127" w:type="dxa"/>
          </w:tcPr>
          <w:p w14:paraId="0DC3EAAD" w14:textId="2DD0281E"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{"citationID":"CXKO64C3","properties":{"formattedCitation":"(Naik et al., 2023)","plainCitation":"(Naik et al., 2023)","noteIndex":0},"citationItems":[{"id":5507,"uris":["http://zotero.org/users/6707951/items/5W5WKXNY"],"itemData":{"id":5507,"type":"article-journal","abstract":"Background: End-stage renal disease (ESRD) consequences have reached epidemic proportions in India, and disease rates are expected to rise further. Every year, around 0.22 million new patients with renal diseases are diagnosed in India. ESRD poses a significant hurdle to receiving affordable therapy due to the exorbitant charges associated with accessing treatment in corporate hospitals.\nObjective: To investigate hemodialysis patients’ enrolment patterns, utilisation rates, and best practices con­ cerning government and private health insurance schemes in a tertiary care hospital setting.\nMethods: A multi-centric and prospective cross-sectional study was conducted at tertiary care hospitals. Sources of data collection were patients and family members. The questionnaires included sections related to patient demographics, insurance enrollment details, utilisation patterns, and satisfaction with insurance coverage.\nResults: Responses were collected from 385 patients undergoing treatment at tertiary care hospitals. The most utilised plans were health cards 107 (29.8%), private schemes 99 (27.6%), Central Government schemes 66 (18.4%), followed by trust 50 (13.9%), society schemes 30 (8.4%), and state schemes 7 (1.9%). The most common Central Government insurance scheme was Employee State Insurance, with 63 (17.5%) of patients enrolled, followed by Ex-servicemen Contributory Health Scheme 2 (0.6%) and Central Government Health Scheme 1 (0.3%). Among those with State Insurance, the Chief Minister Relief Fund Government of Karnataka 3 (0.8%), followed by the Arogya Bhagya Scheme 1 (0.3%).\nConclusions: The utilisation rates of insurance benefits were relatively high among hemodialysis patients, demonstrating the significance of insurance coverage in facilitating their healthcare needs.","container-title":"Clinical Epidemiology and Global Health","DOI":"10.1016/j.cegh.2023.101412","ISSN":"22133984","journalAbbreviation":"Clinical Epidemiology and Global Health","language":"en","page":"101412","source":"DOI.org (Crossref)","title":"Enrolment, utilisation, and best practices followed by hemodialysis patients concerning government and private health insurance schemes in tertiary care hospital","URL":"https://linkinghub.elsevier.com/retrieve/pii/S2213398423001999","volume":"24","author":[{"family":"Naik","given":"Jarupala Gangadhar"},{"family":"Dharmagadda","given":"Sreedhar"},{"family":"Ligade","given":"Virendra S."},{"family":"Nagaraju","given":"Shankar Prasad"},{"family":"Kulkarni","given":"Manjunath"}],"accessed":{"date-parts":[["2025",3,13]]},"issued":{"date-parts":[["2023",11]]}}}],"schema":"https://github.com/citation-style-language/schema/raw/master/csl-citation.json"}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Naik, 2023</w:t>
            </w:r>
            <w:r>
              <w:rPr>
                <w:rFonts w:ascii="Times New Roman" w:hAnsi="Times New Roman" w:cs="Times New Roman"/>
                <w:sz w:val="18"/>
                <w:szCs w:val="18"/>
                <w:lang w:val="en-US"/>
              </w:rPr>
              <w:fldChar w:fldCharType="end"/>
            </w:r>
          </w:p>
        </w:tc>
        <w:tc>
          <w:tcPr>
            <w:tcW w:w="1559" w:type="dxa"/>
          </w:tcPr>
          <w:p w14:paraId="2C65C435" w14:textId="58425E12" w:rsidR="002F29FF" w:rsidRPr="00633D28" w:rsidRDefault="002F29FF" w:rsidP="002F29FF">
            <w:pPr>
              <w:jc w:val="center"/>
              <w:rPr>
                <w:b/>
                <w:bCs/>
                <w:sz w:val="20"/>
                <w:szCs w:val="20"/>
              </w:rPr>
            </w:pPr>
            <w:r w:rsidRPr="00633D28">
              <w:rPr>
                <w:b/>
                <w:bCs/>
                <w:sz w:val="20"/>
                <w:szCs w:val="20"/>
              </w:rPr>
              <w:t>✓</w:t>
            </w:r>
          </w:p>
        </w:tc>
        <w:tc>
          <w:tcPr>
            <w:tcW w:w="1843" w:type="dxa"/>
          </w:tcPr>
          <w:p w14:paraId="5724F739" w14:textId="051FCCFB" w:rsidR="002F29FF" w:rsidRPr="00633D28" w:rsidRDefault="002F29FF" w:rsidP="002F29FF">
            <w:pPr>
              <w:jc w:val="center"/>
              <w:rPr>
                <w:b/>
                <w:bCs/>
                <w:sz w:val="20"/>
                <w:szCs w:val="20"/>
              </w:rPr>
            </w:pPr>
            <w:r w:rsidRPr="00633D28">
              <w:rPr>
                <w:b/>
                <w:bCs/>
                <w:sz w:val="20"/>
                <w:szCs w:val="20"/>
              </w:rPr>
              <w:t>✓</w:t>
            </w:r>
          </w:p>
        </w:tc>
        <w:tc>
          <w:tcPr>
            <w:tcW w:w="1701" w:type="dxa"/>
          </w:tcPr>
          <w:p w14:paraId="402D3AF8" w14:textId="30077700" w:rsidR="002F29FF" w:rsidRPr="00633D28" w:rsidRDefault="002F29FF" w:rsidP="002F29FF">
            <w:pPr>
              <w:jc w:val="center"/>
              <w:rPr>
                <w:b/>
                <w:bCs/>
                <w:sz w:val="20"/>
                <w:szCs w:val="20"/>
              </w:rPr>
            </w:pPr>
            <w:r w:rsidRPr="00633D28">
              <w:rPr>
                <w:b/>
                <w:bCs/>
                <w:sz w:val="20"/>
                <w:szCs w:val="20"/>
              </w:rPr>
              <w:t>✓</w:t>
            </w:r>
          </w:p>
        </w:tc>
        <w:tc>
          <w:tcPr>
            <w:tcW w:w="1559" w:type="dxa"/>
          </w:tcPr>
          <w:p w14:paraId="223C2033" w14:textId="296D0F39" w:rsidR="002F29FF" w:rsidRPr="00633D28" w:rsidRDefault="002F29FF" w:rsidP="002F29FF">
            <w:pPr>
              <w:jc w:val="center"/>
              <w:rPr>
                <w:b/>
                <w:bCs/>
                <w:sz w:val="20"/>
                <w:szCs w:val="20"/>
              </w:rPr>
            </w:pPr>
            <w:r w:rsidRPr="00633D28">
              <w:rPr>
                <w:b/>
                <w:bCs/>
                <w:sz w:val="20"/>
                <w:szCs w:val="20"/>
              </w:rPr>
              <w:t>✓</w:t>
            </w:r>
          </w:p>
        </w:tc>
        <w:tc>
          <w:tcPr>
            <w:tcW w:w="1559" w:type="dxa"/>
          </w:tcPr>
          <w:p w14:paraId="77AC11C6" w14:textId="57EDB77A"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1F32E38D" w14:textId="55A49EE2"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7E504D0B" w14:textId="27701C98" w:rsidR="002F29FF" w:rsidRPr="00633D28" w:rsidRDefault="002F29FF" w:rsidP="002F29FF">
            <w:pPr>
              <w:jc w:val="center"/>
              <w:rPr>
                <w:b/>
                <w:bCs/>
                <w:sz w:val="20"/>
                <w:szCs w:val="20"/>
              </w:rPr>
            </w:pPr>
            <w:r w:rsidRPr="00633D28">
              <w:rPr>
                <w:b/>
                <w:bCs/>
                <w:sz w:val="20"/>
                <w:szCs w:val="20"/>
              </w:rPr>
              <w:t>✓</w:t>
            </w:r>
          </w:p>
        </w:tc>
        <w:tc>
          <w:tcPr>
            <w:tcW w:w="1418" w:type="dxa"/>
          </w:tcPr>
          <w:p w14:paraId="69A8A15E" w14:textId="1305BA8E" w:rsidR="002F29FF" w:rsidRPr="00633D28" w:rsidRDefault="002F29FF" w:rsidP="002F29FF">
            <w:pPr>
              <w:jc w:val="center"/>
              <w:rPr>
                <w:b/>
                <w:bCs/>
                <w:sz w:val="20"/>
                <w:szCs w:val="20"/>
              </w:rPr>
            </w:pPr>
            <w:r w:rsidRPr="00633D28">
              <w:rPr>
                <w:b/>
                <w:bCs/>
                <w:sz w:val="20"/>
                <w:szCs w:val="20"/>
              </w:rPr>
              <w:t>✓</w:t>
            </w:r>
          </w:p>
        </w:tc>
      </w:tr>
      <w:tr w:rsidR="002F29FF" w:rsidRPr="00633D28" w14:paraId="25D950E3" w14:textId="77777777" w:rsidTr="0025781E">
        <w:tc>
          <w:tcPr>
            <w:tcW w:w="2127" w:type="dxa"/>
          </w:tcPr>
          <w:p w14:paraId="3BE6624B" w14:textId="259FC611"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{"citationID":"DRbpR4iJ","properties":{"formattedCitation":"(Jeyashree et al., 2017)","plainCitation":"(Jeyashree et al., 2017)","noteIndex":0},"citationItems":[{"id":5518,"uris":["http://zotero.org/users/6707951/items/LHXXHQ5E"],"itemData":{"id":5518,"type":"article-journal","abstract":"Background. Growing evidence suggests that noncommunicable diseases (NCDs) result in considerable economic burden for individuals and households. With the poor facing a greater burden of NCDs than the rich in India, we undertook this study to analyse the horizontal equity in utilization and vertical equity in out-of-pocket expenditure for NCD care.\nMethods. We used data of 14 large Indian states from the National Sample Survey 60th round to compute hospitalization rates for NCDs. Mean per capita consumption expenditure (MPCE) was computed and used as a proxy measure for socioeconomic status. Out-of-pocket payment as a proportion of MPCE was estimated by wealth quintile (Q) to assess the vertical equity in payments. Concentration index (CoI) was computed to measure the extent of equity, and its 95% confidence interval was estimated to assess statistical significance.\nResults. Overall, NCD hospitalizations in public facilities in India were used more by the poor (CoI –0.041), while the rich used proportionately more services in the private sector (CoI 0.174). Out-of-pocket expenditure in public facilities was consistently lower than that in private facilities in urban and rural areas. The mean out-of-pocket expenditure for inpatient services for NCDs was found to be more among the rich in both public (Q5 `13 016, Q1 `4197) and private (Q5 `22 974, Q1 `8225) facilities.\nConclusion. Public facilities are utilized more by poorer individuals. Strengthening the capacity of the public sector to deliver NCD care is required to meet equitable outcomes.","container-title":"The National Medical Journal of India","DOI":"10.4103/0970-258X.234390","ISSN":"0970-258X","issue":"5","journalAbbreviation":"Natl Med J India","language":"en","page":"249","source":"DOI.org (Crossref)","title":"Inequity in access to inpatient healthcare services for non-communicable diseases in India and the role of out-of-pocket payments","URL":"https://nmji.in/inequity-in-access-to-inpatient-healthcare-services-for-non-communicable-diseases-in-india-and-the-role-of-out-of-pocket-payments/","volume":"30","author":[{"family":"Jeyashree","given":"Kathiresan"},{"family":"Prinja","given":"Shankar"},{"family":"Kumar","given":"ManInder"},{"family":"Thakur","given":"JarnailSingh"}],"accessed":{"date-parts":[["2025",3,13]]},"issued":{"date-parts":[["2017"]]}}}],"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Jeyashree, 2017</w:t>
            </w:r>
            <w:r>
              <w:rPr>
                <w:rFonts w:ascii="Times New Roman" w:hAnsi="Times New Roman" w:cs="Times New Roman"/>
                <w:sz w:val="18"/>
                <w:szCs w:val="18"/>
                <w:lang w:val="en-US"/>
              </w:rPr>
              <w:fldChar w:fldCharType="end"/>
            </w:r>
          </w:p>
        </w:tc>
        <w:tc>
          <w:tcPr>
            <w:tcW w:w="1559" w:type="dxa"/>
          </w:tcPr>
          <w:p w14:paraId="740F7C21" w14:textId="5DD28A10" w:rsidR="002F29FF" w:rsidRPr="00633D28" w:rsidRDefault="002F29FF" w:rsidP="002F29FF">
            <w:pPr>
              <w:jc w:val="center"/>
              <w:rPr>
                <w:b/>
                <w:bCs/>
                <w:sz w:val="20"/>
                <w:szCs w:val="20"/>
              </w:rPr>
            </w:pPr>
            <w:r w:rsidRPr="00633D28">
              <w:rPr>
                <w:b/>
                <w:bCs/>
                <w:sz w:val="20"/>
                <w:szCs w:val="20"/>
              </w:rPr>
              <w:t>✓</w:t>
            </w:r>
          </w:p>
        </w:tc>
        <w:tc>
          <w:tcPr>
            <w:tcW w:w="1843" w:type="dxa"/>
          </w:tcPr>
          <w:p w14:paraId="1119FCC5" w14:textId="710775A8" w:rsidR="002F29FF" w:rsidRPr="00633D28" w:rsidRDefault="002F29FF" w:rsidP="002F29FF">
            <w:pPr>
              <w:jc w:val="center"/>
              <w:rPr>
                <w:b/>
                <w:bCs/>
                <w:sz w:val="20"/>
                <w:szCs w:val="20"/>
              </w:rPr>
            </w:pPr>
            <w:r w:rsidRPr="00633D28">
              <w:rPr>
                <w:b/>
                <w:bCs/>
                <w:sz w:val="20"/>
                <w:szCs w:val="20"/>
              </w:rPr>
              <w:t>✓</w:t>
            </w:r>
          </w:p>
        </w:tc>
        <w:tc>
          <w:tcPr>
            <w:tcW w:w="1701" w:type="dxa"/>
          </w:tcPr>
          <w:p w14:paraId="2D02D1EE" w14:textId="463992CF" w:rsidR="002F29FF" w:rsidRPr="00633D28" w:rsidRDefault="002F29FF" w:rsidP="002F29FF">
            <w:pPr>
              <w:jc w:val="center"/>
              <w:rPr>
                <w:b/>
                <w:bCs/>
                <w:sz w:val="20"/>
                <w:szCs w:val="20"/>
              </w:rPr>
            </w:pPr>
            <w:r w:rsidRPr="00633D28">
              <w:rPr>
                <w:b/>
                <w:bCs/>
                <w:sz w:val="20"/>
                <w:szCs w:val="20"/>
              </w:rPr>
              <w:t>✓</w:t>
            </w:r>
          </w:p>
        </w:tc>
        <w:tc>
          <w:tcPr>
            <w:tcW w:w="1559" w:type="dxa"/>
          </w:tcPr>
          <w:p w14:paraId="603C726C" w14:textId="29C1F4E1" w:rsidR="002F29FF" w:rsidRPr="00633D28" w:rsidRDefault="002F29FF" w:rsidP="002F29FF">
            <w:pPr>
              <w:jc w:val="center"/>
              <w:rPr>
                <w:b/>
                <w:bCs/>
                <w:sz w:val="20"/>
                <w:szCs w:val="20"/>
              </w:rPr>
            </w:pPr>
            <w:r w:rsidRPr="00633D28">
              <w:rPr>
                <w:b/>
                <w:bCs/>
                <w:sz w:val="20"/>
                <w:szCs w:val="20"/>
              </w:rPr>
              <w:t>✓</w:t>
            </w:r>
          </w:p>
        </w:tc>
        <w:tc>
          <w:tcPr>
            <w:tcW w:w="1559" w:type="dxa"/>
          </w:tcPr>
          <w:p w14:paraId="09FE86B5" w14:textId="10DC21E0"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04828FB2" w14:textId="680C4273"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1FCF4D26" w14:textId="395E18D5" w:rsidR="002F29FF" w:rsidRPr="00633D28" w:rsidRDefault="002F29FF" w:rsidP="002F29FF">
            <w:pPr>
              <w:jc w:val="center"/>
              <w:rPr>
                <w:b/>
                <w:bCs/>
                <w:sz w:val="20"/>
                <w:szCs w:val="20"/>
              </w:rPr>
            </w:pPr>
            <w:r w:rsidRPr="00633D28">
              <w:rPr>
                <w:b/>
                <w:bCs/>
                <w:sz w:val="20"/>
                <w:szCs w:val="20"/>
              </w:rPr>
              <w:t>✓</w:t>
            </w:r>
          </w:p>
        </w:tc>
        <w:tc>
          <w:tcPr>
            <w:tcW w:w="1418" w:type="dxa"/>
          </w:tcPr>
          <w:p w14:paraId="6ECF6818" w14:textId="69EB8229" w:rsidR="002F29FF" w:rsidRPr="00633D28" w:rsidRDefault="002F29FF" w:rsidP="002F29FF">
            <w:pPr>
              <w:jc w:val="center"/>
              <w:rPr>
                <w:b/>
                <w:bCs/>
                <w:sz w:val="20"/>
                <w:szCs w:val="20"/>
              </w:rPr>
            </w:pPr>
            <w:r w:rsidRPr="00633D28">
              <w:rPr>
                <w:b/>
                <w:bCs/>
                <w:sz w:val="20"/>
                <w:szCs w:val="20"/>
              </w:rPr>
              <w:t>✓</w:t>
            </w:r>
          </w:p>
        </w:tc>
      </w:tr>
      <w:tr w:rsidR="002F29FF" w:rsidRPr="00633D28" w14:paraId="1A059388" w14:textId="77777777" w:rsidTr="0025781E">
        <w:tc>
          <w:tcPr>
            <w:tcW w:w="2127" w:type="dxa"/>
          </w:tcPr>
          <w:p w14:paraId="3EC89515" w14:textId="7D7E325E"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{"citationID":"8wZU8TdW","properties":{"formattedCitation":"(Bala et al., 2020)","plainCitation":"(Bala et al., 2020)","noteIndex":0},"citationItems":[{"id":5509,"uris":["http://zotero.org/users/6707951/items/BU8T8Q7U"],"itemData":{"id":5509,"type":"article-journal","abstract":"Context: Osteoarthritis (OA) is a degenerative joint disease, having multifactorial etiology affecting mainly the articular cartilage. Knee OA with its physical symptoms affects daily activities thereby deteriorating the quality of life. Most of the patients delay their visit to health sectors for seeking medical care in musculoskeletal conditions. Aims: To find the prevalence and determinants of osteoarthritis among the adult population in the rural area and to assess their health‑seeking behavior. Settings and Design: A community‑based, cross‑sectional study. Methods and Material: A community‑based, cross‑sectional study was conducted among 232 adults living in a rural area in village Kirpind of R.S. Pura block, Jammu. Knee OA was diagnosed using the clinical criteria laid down by the American College of Rheumatology (ACR). Statistical Analysis Used: Descriptive statistics, OR with 95% CI, and Chi‑square test were used for the purpose of analysis. Results: The overall prevalence of knee osteoarthritis was 35.7% (females: 44.5% Males: 23.1%). Age more than 60 years, female gender, history of trauma, BMI &gt;30 were found to be significantly associated with higher odds of OA knee (P &lt; 0.05). Descriptive statistics, OR with 95% CI and Chi‑square test were used for the purpose of analysis. Conclusions: Strategies focusing on creating awareness among the rural elderly regarding the role of a balanced diet, exercise, and weight management along sensitization of primary health care providers concerning benefits of early screening, diagnosis, and referral should be undertaken to minimize this burden.","container-title":"Journal of Family Medicine and Primary Care","DOI":"10.4103/jfmpc.jfmpc_643_20","ISSN":"2249-4863","issue":"10","journalAbbreviation":"J Family Med Prim Care","language":"en","page":"5282","source":"DOI.org (Crossref)","title":"Prevalence, risk factors, and health seeking behavior for knee osteoarthritis among adult population in rural Jammu – A Community based Cross Sectional Study","URL":"https://journals.lww.com/jfmpc/Fulltext/2020/09100/Prevalence,_risk_factors,_and_health_seeking.35.aspx","volume":"9","author":[{"family":"Bala","given":"Kiran"},{"family":"Bavoria","given":"Shalli"},{"family":"Sahni","given":"Bhavna"},{"family":"Bhagat","given":"Preeti"},{"family":"Langeh","given":"Sahil"},{"family":"Sobti","given":"Shalini"}],"accessed":{"date-parts":[["2025",3,13]]},"issued":{"date-parts":[["2020"]]}}}],"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Bala, 2020</w:t>
            </w:r>
            <w:r>
              <w:rPr>
                <w:rFonts w:ascii="Times New Roman" w:hAnsi="Times New Roman" w:cs="Times New Roman"/>
                <w:sz w:val="18"/>
                <w:szCs w:val="18"/>
                <w:lang w:val="en-US"/>
              </w:rPr>
              <w:fldChar w:fldCharType="end"/>
            </w:r>
          </w:p>
        </w:tc>
        <w:tc>
          <w:tcPr>
            <w:tcW w:w="1559" w:type="dxa"/>
          </w:tcPr>
          <w:p w14:paraId="761C7891" w14:textId="0AED567C" w:rsidR="002F29FF" w:rsidRPr="00633D28" w:rsidRDefault="002F29FF" w:rsidP="002F29FF">
            <w:pPr>
              <w:jc w:val="center"/>
              <w:rPr>
                <w:b/>
                <w:bCs/>
                <w:sz w:val="20"/>
                <w:szCs w:val="20"/>
              </w:rPr>
            </w:pPr>
            <w:r w:rsidRPr="00633D28">
              <w:rPr>
                <w:b/>
                <w:bCs/>
                <w:sz w:val="20"/>
                <w:szCs w:val="20"/>
              </w:rPr>
              <w:t>✓</w:t>
            </w:r>
          </w:p>
        </w:tc>
        <w:tc>
          <w:tcPr>
            <w:tcW w:w="1843" w:type="dxa"/>
          </w:tcPr>
          <w:p w14:paraId="3D4A574D" w14:textId="4E1B82A0" w:rsidR="002F29FF" w:rsidRPr="00633D28" w:rsidRDefault="002F29FF" w:rsidP="002F29FF">
            <w:pPr>
              <w:jc w:val="center"/>
              <w:rPr>
                <w:b/>
                <w:bCs/>
                <w:sz w:val="20"/>
                <w:szCs w:val="20"/>
              </w:rPr>
            </w:pPr>
            <w:r w:rsidRPr="00633D28">
              <w:rPr>
                <w:b/>
                <w:bCs/>
                <w:sz w:val="20"/>
                <w:szCs w:val="20"/>
              </w:rPr>
              <w:t>✓</w:t>
            </w:r>
          </w:p>
        </w:tc>
        <w:tc>
          <w:tcPr>
            <w:tcW w:w="1701" w:type="dxa"/>
          </w:tcPr>
          <w:p w14:paraId="6803EBC7" w14:textId="106F1B14" w:rsidR="002F29FF" w:rsidRPr="00633D28" w:rsidRDefault="002F29FF" w:rsidP="002F29FF">
            <w:pPr>
              <w:jc w:val="center"/>
              <w:rPr>
                <w:b/>
                <w:bCs/>
                <w:sz w:val="20"/>
                <w:szCs w:val="20"/>
              </w:rPr>
            </w:pPr>
            <w:r w:rsidRPr="00633D28">
              <w:rPr>
                <w:b/>
                <w:bCs/>
                <w:sz w:val="20"/>
                <w:szCs w:val="20"/>
              </w:rPr>
              <w:t>✓</w:t>
            </w:r>
          </w:p>
        </w:tc>
        <w:tc>
          <w:tcPr>
            <w:tcW w:w="1559" w:type="dxa"/>
          </w:tcPr>
          <w:p w14:paraId="79792414" w14:textId="116E97C6" w:rsidR="002F29FF" w:rsidRPr="00633D28" w:rsidRDefault="002F29FF" w:rsidP="002F29FF">
            <w:pPr>
              <w:jc w:val="center"/>
              <w:rPr>
                <w:b/>
                <w:bCs/>
                <w:sz w:val="20"/>
                <w:szCs w:val="20"/>
              </w:rPr>
            </w:pPr>
            <w:r w:rsidRPr="00633D28">
              <w:rPr>
                <w:b/>
                <w:bCs/>
                <w:sz w:val="20"/>
                <w:szCs w:val="20"/>
              </w:rPr>
              <w:t>✓</w:t>
            </w:r>
          </w:p>
        </w:tc>
        <w:tc>
          <w:tcPr>
            <w:tcW w:w="1559" w:type="dxa"/>
          </w:tcPr>
          <w:p w14:paraId="376A1DF5" w14:textId="5AC141AC"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7D0C223B" w14:textId="43014CE9"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558A36A8" w14:textId="23F04FED" w:rsidR="002F29FF" w:rsidRPr="00633D28" w:rsidRDefault="002F29FF" w:rsidP="002F29FF">
            <w:pPr>
              <w:jc w:val="center"/>
              <w:rPr>
                <w:b/>
                <w:bCs/>
                <w:sz w:val="20"/>
                <w:szCs w:val="20"/>
              </w:rPr>
            </w:pPr>
            <w:r w:rsidRPr="00633D28">
              <w:rPr>
                <w:b/>
                <w:bCs/>
                <w:sz w:val="20"/>
                <w:szCs w:val="20"/>
              </w:rPr>
              <w:t>✓</w:t>
            </w:r>
          </w:p>
        </w:tc>
        <w:tc>
          <w:tcPr>
            <w:tcW w:w="1418" w:type="dxa"/>
          </w:tcPr>
          <w:p w14:paraId="325FA339" w14:textId="5537034C" w:rsidR="002F29FF" w:rsidRPr="00633D28" w:rsidRDefault="002F29FF" w:rsidP="002F29FF">
            <w:pPr>
              <w:jc w:val="center"/>
              <w:rPr>
                <w:b/>
                <w:bCs/>
                <w:sz w:val="20"/>
                <w:szCs w:val="20"/>
              </w:rPr>
            </w:pPr>
            <w:r w:rsidRPr="00633D28">
              <w:rPr>
                <w:b/>
                <w:bCs/>
                <w:sz w:val="20"/>
                <w:szCs w:val="20"/>
              </w:rPr>
              <w:t>✓</w:t>
            </w:r>
          </w:p>
        </w:tc>
      </w:tr>
      <w:tr w:rsidR="002F29FF" w:rsidRPr="00633D28" w14:paraId="6880AF87" w14:textId="77777777" w:rsidTr="0025781E">
        <w:tc>
          <w:tcPr>
            <w:tcW w:w="2127" w:type="dxa"/>
          </w:tcPr>
          <w:p w14:paraId="5D8E1E85" w14:textId="6D5F4931"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{"citationID":"3fs81Uu4","properties":{"formattedCitation":"(Kolandasamy et al., 2023)","plainCitation":"(Kolandasamy et al., 2023)","noteIndex":0},"citationItems":[{"id":5520,"uris":["http://zotero.org/users/6707951/items/TSSFP5AN"],"itemData":{"id":5520,"type":"article-journal","abstract":"Background: Ischemic heart disease (IHD) and stroke represent the leading cause of mortality globally. Delays in seeking medical attention that result in diagnostic and treatment delays are significant roadblocks in achieving the best possible treatment outcomes for IHD and stroke. Aims and Objectives: This study aims to assess the pattern of healthcare seeking behavior among patients of IHD and stroke in a tertiary care hospital at Salem District in Tamil Nadu, South India. Materials and Methods: This cross-sectional study was conducted among 250 patients of IHD and stroke. A validated and structured questionnaire was used to collect information on socio-demographic details, knowledge, and health-care seeking behavior with regard to IHD and stroke based on the Health Belief Model. Results: The mean age of study participants was 60 years with a male preponderance (56%). About 75% of IHD patients and 61.9% of stroke patients had no formal education. The prevalence of hypertension (74%) was higher than diabetes mellitus (45.6%) among the study subjects. The seriousness of the initial symptoms of IHD and stroke was perceived only by 7.75% of IHD patients and 2.23% of stroke patients. Alarmingly, 39.66% of IHD patients and 61.2% of stroke patients were not aware of any risk factors for IHD and Stroke. Only 21.56% of IHD patients and 14.17% of stroke patients sought immediate medical assistance whereas the others ignored the symptoms or did not undergo treatment even after knowing the symptoms of the disease. Conclusion: This study depicted suboptimal healthcare seeking behavior and significant lack of knowledge about risk factors, initial symptoms, preventive measures, and reasons for pre hospital delay related to IHD and stroke. The study yields valuable references to incorporate the pattern of health-care seeking response of the community along with their sociocultural and economic factors in designing and implementation of any health program.","container-title":"Asian Journal of Medical Sciences","DOI":"10.3126/ajms.v14i4.52724","ISSN":"2091-0576, 2467-9100","issue":"4","journalAbbreviation":"Asian J Med Sci","language":"en","license":"https://creativecommons.org/licenses/by-nc/4.0","page":"90-97","source":"DOI.org (Crossref)","title":"Exploring Healthcare Seeking Behavior Among Patients with Ischemic Heart Disease and Stroke; A Cross-Sectional Study in a Tertiary Care Centre in South India","URL":"https://www.nepjol.info/index.php/AJMS/article/view/52724","volume":"14","author":[{"family":"Kolandasamy","given":"Kokila"},{"literal":"Uma Priyadharsini Thulasimani"},{"family":"Devarasu","given":"Usha"},{"literal":"Mruthulagi Sundaram Parameswaran"}],"accessed":{"date-parts":[["2025",3,13]]},"issued":{"date-parts":[["2023",4,1]]}}}],"schema":"https://github.com/citation-style-language/schema/raw/master/csl-citation.json"}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Kolandasamy, 2023</w:t>
            </w:r>
            <w:r>
              <w:rPr>
                <w:rFonts w:ascii="Times New Roman" w:hAnsi="Times New Roman" w:cs="Times New Roman"/>
                <w:sz w:val="18"/>
                <w:szCs w:val="18"/>
                <w:lang w:val="en-US"/>
              </w:rPr>
              <w:fldChar w:fldCharType="end"/>
            </w:r>
          </w:p>
        </w:tc>
        <w:tc>
          <w:tcPr>
            <w:tcW w:w="1559" w:type="dxa"/>
          </w:tcPr>
          <w:p w14:paraId="71D935A2" w14:textId="3A867066" w:rsidR="002F29FF" w:rsidRPr="00633D28" w:rsidRDefault="002F29FF" w:rsidP="002F29FF">
            <w:pPr>
              <w:jc w:val="center"/>
              <w:rPr>
                <w:b/>
                <w:bCs/>
                <w:sz w:val="20"/>
                <w:szCs w:val="20"/>
              </w:rPr>
            </w:pPr>
            <w:r w:rsidRPr="00633D28">
              <w:rPr>
                <w:b/>
                <w:bCs/>
                <w:sz w:val="20"/>
                <w:szCs w:val="20"/>
              </w:rPr>
              <w:t>✓</w:t>
            </w:r>
          </w:p>
        </w:tc>
        <w:tc>
          <w:tcPr>
            <w:tcW w:w="1843" w:type="dxa"/>
          </w:tcPr>
          <w:p w14:paraId="34EB8E20" w14:textId="5292C136" w:rsidR="002F29FF" w:rsidRPr="00633D28" w:rsidRDefault="002F29FF" w:rsidP="002F29FF">
            <w:pPr>
              <w:jc w:val="center"/>
              <w:rPr>
                <w:b/>
                <w:bCs/>
                <w:sz w:val="20"/>
                <w:szCs w:val="20"/>
              </w:rPr>
            </w:pPr>
            <w:r w:rsidRPr="00633D28">
              <w:rPr>
                <w:b/>
                <w:bCs/>
                <w:sz w:val="20"/>
                <w:szCs w:val="20"/>
              </w:rPr>
              <w:t>✓</w:t>
            </w:r>
          </w:p>
        </w:tc>
        <w:tc>
          <w:tcPr>
            <w:tcW w:w="1701" w:type="dxa"/>
          </w:tcPr>
          <w:p w14:paraId="4BB82848" w14:textId="630B0B62" w:rsidR="002F29FF" w:rsidRPr="00633D28" w:rsidRDefault="002F29FF" w:rsidP="002F29FF">
            <w:pPr>
              <w:jc w:val="center"/>
              <w:rPr>
                <w:b/>
                <w:bCs/>
                <w:sz w:val="20"/>
                <w:szCs w:val="20"/>
              </w:rPr>
            </w:pPr>
            <w:r w:rsidRPr="00633D28">
              <w:rPr>
                <w:b/>
                <w:bCs/>
                <w:sz w:val="20"/>
                <w:szCs w:val="20"/>
              </w:rPr>
              <w:t>✓</w:t>
            </w:r>
          </w:p>
        </w:tc>
        <w:tc>
          <w:tcPr>
            <w:tcW w:w="1559" w:type="dxa"/>
          </w:tcPr>
          <w:p w14:paraId="72EE3702" w14:textId="39C0957B" w:rsidR="002F29FF" w:rsidRPr="00633D28" w:rsidRDefault="002F29FF" w:rsidP="002F29FF">
            <w:pPr>
              <w:jc w:val="center"/>
              <w:rPr>
                <w:b/>
                <w:bCs/>
                <w:sz w:val="20"/>
                <w:szCs w:val="20"/>
              </w:rPr>
            </w:pPr>
            <w:r w:rsidRPr="00633D28">
              <w:rPr>
                <w:b/>
                <w:bCs/>
                <w:sz w:val="20"/>
                <w:szCs w:val="20"/>
              </w:rPr>
              <w:t>✓</w:t>
            </w:r>
          </w:p>
        </w:tc>
        <w:tc>
          <w:tcPr>
            <w:tcW w:w="1559" w:type="dxa"/>
          </w:tcPr>
          <w:p w14:paraId="37C1344C" w14:textId="2C335239"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0A002918" w14:textId="47E61392"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43353D42" w14:textId="6089B116" w:rsidR="002F29FF" w:rsidRPr="00633D28" w:rsidRDefault="002F29FF" w:rsidP="002F29FF">
            <w:pPr>
              <w:jc w:val="center"/>
              <w:rPr>
                <w:b/>
                <w:bCs/>
                <w:sz w:val="20"/>
                <w:szCs w:val="20"/>
              </w:rPr>
            </w:pPr>
            <w:r w:rsidRPr="00633D28">
              <w:rPr>
                <w:b/>
                <w:bCs/>
                <w:sz w:val="20"/>
                <w:szCs w:val="20"/>
              </w:rPr>
              <w:t>✓</w:t>
            </w:r>
          </w:p>
        </w:tc>
        <w:tc>
          <w:tcPr>
            <w:tcW w:w="1418" w:type="dxa"/>
          </w:tcPr>
          <w:p w14:paraId="6C7BE803" w14:textId="1D5B8C29" w:rsidR="002F29FF" w:rsidRPr="00633D28" w:rsidRDefault="002F29FF" w:rsidP="002F29FF">
            <w:pPr>
              <w:jc w:val="center"/>
              <w:rPr>
                <w:b/>
                <w:bCs/>
                <w:sz w:val="20"/>
                <w:szCs w:val="20"/>
              </w:rPr>
            </w:pPr>
            <w:r w:rsidRPr="00633D28">
              <w:rPr>
                <w:b/>
                <w:bCs/>
                <w:sz w:val="20"/>
                <w:szCs w:val="20"/>
              </w:rPr>
              <w:t>✓</w:t>
            </w:r>
          </w:p>
        </w:tc>
      </w:tr>
      <w:tr w:rsidR="002F29FF" w:rsidRPr="00633D28" w14:paraId="1304B03F" w14:textId="77777777" w:rsidTr="0025781E">
        <w:tc>
          <w:tcPr>
            <w:tcW w:w="2127" w:type="dxa"/>
          </w:tcPr>
          <w:p w14:paraId="1AAB5510" w14:textId="7B87BF2E"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{"citationID":"hI8AEn5V","properties":{"formattedCitation":"(Shaikh et al., 2018)","plainCitation":"(Shaikh et al., 2018)","noteIndex":0},"citationItems":[{"id":5511,"uris":["http://zotero.org/users/6707951/items/98LR6HL5"],"itemData":{"id":5511,"type":"article-journal","container-title":"Kidney International","DOI":"10.1016/j.kint.2018.03.028","ISSN":"00852538","issue":"3","journalAbbreviation":"Kidney International","language":"en","page":"440-445","source":"DOI.org (Crossref)","title":"Utilization, costs, and outcomes for patients receiving publicly funded hemodialysis in India","URL":"https://linkinghub.elsevier.com/retrieve/pii/S0085253818303326","volume":"94","author":[{"family":"Shaikh","given":"Maaz"},{"family":"Woodward","given":"Mark"},{"family":"John","given":"Oommen"},{"family":"Bassi","given":"Abhinav"},{"family":"Jan","given":"Stephen"},{"family":"Sahay","given":"Manisha"},{"family":"Taduri","given":"Gangadhar"},{"family":"Gallagher","given":"Martin"},{"family":"Knight","given":"John"},{"family":"Jha","given":"Vivekanand"}],"accessed":{"date-parts":[["2025",3,13]]},"issued":{"date-parts":[["2018",9]]}}}],"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Shaikh, 2018</w:t>
            </w:r>
            <w:r>
              <w:rPr>
                <w:rFonts w:ascii="Times New Roman" w:hAnsi="Times New Roman" w:cs="Times New Roman"/>
                <w:sz w:val="18"/>
                <w:szCs w:val="18"/>
                <w:lang w:val="en-US"/>
              </w:rPr>
              <w:fldChar w:fldCharType="end"/>
            </w:r>
          </w:p>
        </w:tc>
        <w:tc>
          <w:tcPr>
            <w:tcW w:w="1559" w:type="dxa"/>
          </w:tcPr>
          <w:p w14:paraId="0F9B544E" w14:textId="5C1CBB56" w:rsidR="002F29FF" w:rsidRPr="00633D28" w:rsidRDefault="002F29FF" w:rsidP="002F29FF">
            <w:pPr>
              <w:jc w:val="center"/>
              <w:rPr>
                <w:b/>
                <w:bCs/>
                <w:sz w:val="20"/>
                <w:szCs w:val="20"/>
              </w:rPr>
            </w:pPr>
            <w:r w:rsidRPr="00633D28">
              <w:rPr>
                <w:b/>
                <w:bCs/>
                <w:sz w:val="20"/>
                <w:szCs w:val="20"/>
              </w:rPr>
              <w:t>✓</w:t>
            </w:r>
          </w:p>
        </w:tc>
        <w:tc>
          <w:tcPr>
            <w:tcW w:w="1843" w:type="dxa"/>
          </w:tcPr>
          <w:p w14:paraId="54FDF898" w14:textId="554BC628" w:rsidR="002F29FF" w:rsidRPr="00633D28" w:rsidRDefault="002F29FF" w:rsidP="002F29FF">
            <w:pPr>
              <w:jc w:val="center"/>
              <w:rPr>
                <w:b/>
                <w:bCs/>
                <w:sz w:val="20"/>
                <w:szCs w:val="20"/>
              </w:rPr>
            </w:pPr>
            <w:r w:rsidRPr="00633D28">
              <w:rPr>
                <w:b/>
                <w:bCs/>
                <w:sz w:val="20"/>
                <w:szCs w:val="20"/>
              </w:rPr>
              <w:t>✓</w:t>
            </w:r>
          </w:p>
        </w:tc>
        <w:tc>
          <w:tcPr>
            <w:tcW w:w="1701" w:type="dxa"/>
          </w:tcPr>
          <w:p w14:paraId="2E36CB44" w14:textId="56FDC64B" w:rsidR="002F29FF" w:rsidRPr="00633D28" w:rsidRDefault="002F29FF" w:rsidP="002F29FF">
            <w:pPr>
              <w:jc w:val="center"/>
              <w:rPr>
                <w:b/>
                <w:bCs/>
                <w:sz w:val="20"/>
                <w:szCs w:val="20"/>
              </w:rPr>
            </w:pPr>
            <w:r w:rsidRPr="00633D28">
              <w:rPr>
                <w:b/>
                <w:bCs/>
                <w:sz w:val="20"/>
                <w:szCs w:val="20"/>
              </w:rPr>
              <w:t>✓</w:t>
            </w:r>
          </w:p>
        </w:tc>
        <w:tc>
          <w:tcPr>
            <w:tcW w:w="1559" w:type="dxa"/>
          </w:tcPr>
          <w:p w14:paraId="0720C6B3" w14:textId="60AD1C50" w:rsidR="002F29FF" w:rsidRPr="00633D28" w:rsidRDefault="002F29FF" w:rsidP="002F29FF">
            <w:pPr>
              <w:jc w:val="center"/>
              <w:rPr>
                <w:b/>
                <w:bCs/>
                <w:sz w:val="20"/>
                <w:szCs w:val="20"/>
              </w:rPr>
            </w:pPr>
            <w:r w:rsidRPr="00633D28">
              <w:rPr>
                <w:b/>
                <w:bCs/>
                <w:sz w:val="20"/>
                <w:szCs w:val="20"/>
              </w:rPr>
              <w:t>✓</w:t>
            </w:r>
          </w:p>
        </w:tc>
        <w:tc>
          <w:tcPr>
            <w:tcW w:w="1559" w:type="dxa"/>
          </w:tcPr>
          <w:p w14:paraId="0F737016" w14:textId="6C240692"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5A9FB22A" w14:textId="3D1D0341"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3B82DB9C" w14:textId="1D12A3F7" w:rsidR="002F29FF" w:rsidRPr="00633D28" w:rsidRDefault="002F29FF" w:rsidP="002F29FF">
            <w:pPr>
              <w:jc w:val="center"/>
              <w:rPr>
                <w:b/>
                <w:bCs/>
                <w:sz w:val="20"/>
                <w:szCs w:val="20"/>
              </w:rPr>
            </w:pPr>
            <w:r w:rsidRPr="00633D28">
              <w:rPr>
                <w:b/>
                <w:bCs/>
                <w:sz w:val="20"/>
                <w:szCs w:val="20"/>
              </w:rPr>
              <w:t>✓</w:t>
            </w:r>
          </w:p>
        </w:tc>
        <w:tc>
          <w:tcPr>
            <w:tcW w:w="1418" w:type="dxa"/>
          </w:tcPr>
          <w:p w14:paraId="262FCE29" w14:textId="6F28FBEA" w:rsidR="002F29FF" w:rsidRPr="00633D28" w:rsidRDefault="002F29FF" w:rsidP="002F29FF">
            <w:pPr>
              <w:jc w:val="center"/>
              <w:rPr>
                <w:b/>
                <w:bCs/>
                <w:sz w:val="20"/>
                <w:szCs w:val="20"/>
              </w:rPr>
            </w:pPr>
            <w:r w:rsidRPr="00633D28">
              <w:rPr>
                <w:b/>
                <w:bCs/>
                <w:sz w:val="20"/>
                <w:szCs w:val="20"/>
              </w:rPr>
              <w:t>✓</w:t>
            </w:r>
          </w:p>
        </w:tc>
      </w:tr>
      <w:tr w:rsidR="002F29FF" w:rsidRPr="00633D28" w14:paraId="5A3D904F" w14:textId="77777777" w:rsidTr="0025781E">
        <w:tc>
          <w:tcPr>
            <w:tcW w:w="2127" w:type="dxa"/>
          </w:tcPr>
          <w:p w14:paraId="0787EF70" w14:textId="21BE3495" w:rsidR="002F29FF" w:rsidRPr="00633D28" w:rsidRDefault="002F29FF" w:rsidP="002F29FF">
            <w:pPr>
              <w:rPr>
                <w:rFonts w:ascii="Times New Roman" w:hAnsi="Times New Roman" w:cs="Times New Roman"/>
                <w:color w:val="000000" w:themeColor="text1"/>
                <w:sz w:val="20"/>
                <w:szCs w:val="20"/>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{"citationID":"a4Jia6PY","properties":{"formattedCitation":"(Sekhar &amp; Sekhar, 2023)","plainCitation":"(Sekhar &amp; Sekhar, 2023)","noteIndex":0},"citationItems":[{"id":5512,"uris":["http://zotero.org/users/6707951/items/SD9QEEJX"],"itemData":{"id":5512,"type":"article-journal","abstract":"Background: Diabetes mellitus is a chronic disease with a variety of micro-and macro-vascular complications. Health seeking behaviour is directly related to occurrence of diabetes complications by identifying them early and to plan diabetes care and management upon diagnosis. So, this study was planned to know the prevalence of complications in Type 2 diabetes mellitus patients and their level of treatment seeking behaviour.\nMethods: A total of 75 type 2 DM patients from rural area were studied. Patients were selected by taking 8 villages as strata and minimum of 9 patients were selected from each village. Patients were interviewed face-to-face for knowing details related to diabetes, and its complications and about health seeking behaviour.\nResults: Around 21.3% patients had complications related to diabetes mellitus, in which peripheral neuropathy was most common. As many as 45% patients seeking care from govt. facility and 60% patients seeking care from Pvt. facility had poor health seeking behaviour. Significantly higher number of patients seeking health care from Pvt. facility (77.8%) having poor health seeking behaviour had complications than patients seeking health care from govt. facility (33.3%). Odds of having complications was 7 times higher for patients seeking health care from Pvt. facility than for patients approaching govt. facility.\nConclusions: Good health seeking behaviour is needed to improve the quality of life of patients suffering with type 2 DM.","container-title":"International Journal Of Community Medicine And Public Health","DOI":"10.18203/2394-6040.ijcmph20231687","ISSN":"2394-6040, 2394-6032","issue":"6","journalAbbreviation":"Int J Community Med Public Health","language":"en","page":"2102-2106","source":"DOI.org (Crossref)","title":"Prevalence of complications and health seeking behaviour of patients with type 2 diabetes mellitus: a community based study","title-short":"Prevalence of complications and health seeking behaviour of patients with type 2 diabetes mellitus","URL":"https://www.ijcmph.com/index.php/ijcmph/article/view/11052","volume":"10","author":[{"family":"Sekhar","given":"Maddigalla Chandra"},{"family":"Sekhar","given":"Chittooru Chandra"}],"accessed":{"date-parts":[["2025",3,13]]},"issued":{"date-parts":[["2023",5,31]]}}}],"schema":"https://github.com/citation-style-language/schema/raw/master/csl-citation.json"} </w:instrText>
            </w:r>
            <w:r>
              <w:rPr>
                <w:rFonts w:ascii="Times New Roman" w:hAnsi="Times New Roman" w:cs="Times New Roman"/>
                <w:sz w:val="18"/>
                <w:szCs w:val="18"/>
                <w:lang w:val="en-US"/>
              </w:rPr>
              <w:fldChar w:fldCharType="separate"/>
            </w:r>
            <w:r>
              <w:rPr>
                <w:rFonts w:ascii="Times New Roman" w:hAnsi="Times New Roman" w:cs="Times New Roman"/>
                <w:noProof/>
                <w:sz w:val="18"/>
                <w:szCs w:val="18"/>
                <w:lang w:val="en-US"/>
              </w:rPr>
              <w:t>Sekhar &amp; Sekhar, 2023</w:t>
            </w:r>
            <w:r>
              <w:rPr>
                <w:rFonts w:ascii="Times New Roman" w:hAnsi="Times New Roman" w:cs="Times New Roman"/>
                <w:sz w:val="18"/>
                <w:szCs w:val="18"/>
                <w:lang w:val="en-US"/>
              </w:rPr>
              <w:fldChar w:fldCharType="end"/>
            </w:r>
          </w:p>
        </w:tc>
        <w:tc>
          <w:tcPr>
            <w:tcW w:w="1559" w:type="dxa"/>
          </w:tcPr>
          <w:p w14:paraId="41F40203" w14:textId="12554143" w:rsidR="002F29FF" w:rsidRPr="00633D28" w:rsidRDefault="002F29FF" w:rsidP="002F29FF">
            <w:pPr>
              <w:jc w:val="center"/>
              <w:rPr>
                <w:b/>
                <w:bCs/>
                <w:sz w:val="20"/>
                <w:szCs w:val="20"/>
              </w:rPr>
            </w:pPr>
            <w:r w:rsidRPr="00633D28">
              <w:rPr>
                <w:b/>
                <w:bCs/>
                <w:sz w:val="20"/>
                <w:szCs w:val="20"/>
              </w:rPr>
              <w:t>✓</w:t>
            </w:r>
          </w:p>
        </w:tc>
        <w:tc>
          <w:tcPr>
            <w:tcW w:w="1843" w:type="dxa"/>
          </w:tcPr>
          <w:p w14:paraId="48FDFEC3" w14:textId="6BB5678D" w:rsidR="002F29FF" w:rsidRPr="00633D28" w:rsidRDefault="002F29FF" w:rsidP="002F29FF">
            <w:pPr>
              <w:jc w:val="center"/>
              <w:rPr>
                <w:b/>
                <w:bCs/>
                <w:sz w:val="20"/>
                <w:szCs w:val="20"/>
              </w:rPr>
            </w:pPr>
            <w:r w:rsidRPr="00633D28">
              <w:rPr>
                <w:b/>
                <w:bCs/>
                <w:sz w:val="20"/>
                <w:szCs w:val="20"/>
              </w:rPr>
              <w:t>✓</w:t>
            </w:r>
          </w:p>
        </w:tc>
        <w:tc>
          <w:tcPr>
            <w:tcW w:w="1701" w:type="dxa"/>
          </w:tcPr>
          <w:p w14:paraId="5323583A" w14:textId="29527F9D" w:rsidR="002F29FF" w:rsidRPr="00633D28" w:rsidRDefault="002F29FF" w:rsidP="002F29FF">
            <w:pPr>
              <w:jc w:val="center"/>
              <w:rPr>
                <w:b/>
                <w:bCs/>
                <w:sz w:val="20"/>
                <w:szCs w:val="20"/>
              </w:rPr>
            </w:pPr>
            <w:r w:rsidRPr="00633D28">
              <w:rPr>
                <w:b/>
                <w:bCs/>
                <w:sz w:val="20"/>
                <w:szCs w:val="20"/>
              </w:rPr>
              <w:t>✓</w:t>
            </w:r>
          </w:p>
        </w:tc>
        <w:tc>
          <w:tcPr>
            <w:tcW w:w="1559" w:type="dxa"/>
          </w:tcPr>
          <w:p w14:paraId="0DFC9DAA" w14:textId="5CF67962" w:rsidR="002F29FF" w:rsidRPr="00633D28" w:rsidRDefault="002F29FF" w:rsidP="002F29FF">
            <w:pPr>
              <w:jc w:val="center"/>
              <w:rPr>
                <w:b/>
                <w:bCs/>
                <w:sz w:val="20"/>
                <w:szCs w:val="20"/>
              </w:rPr>
            </w:pPr>
            <w:r w:rsidRPr="00633D28">
              <w:rPr>
                <w:b/>
                <w:bCs/>
                <w:sz w:val="20"/>
                <w:szCs w:val="20"/>
              </w:rPr>
              <w:t>✓</w:t>
            </w:r>
          </w:p>
        </w:tc>
        <w:tc>
          <w:tcPr>
            <w:tcW w:w="1559" w:type="dxa"/>
          </w:tcPr>
          <w:p w14:paraId="2F392826" w14:textId="769B8C26"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3EC605C8" w14:textId="485C8F0E" w:rsidR="002F29FF" w:rsidRPr="00633D28" w:rsidRDefault="002F29FF" w:rsidP="002F29FF">
            <w:pPr>
              <w:jc w:val="center"/>
              <w:rPr>
                <w:rFonts w:ascii="Segoe UI Symbol" w:hAnsi="Segoe UI Symbol" w:cs="Segoe UI Symbol"/>
                <w:b/>
                <w:bCs/>
                <w:sz w:val="20"/>
                <w:szCs w:val="20"/>
              </w:rPr>
            </w:pPr>
            <w:r w:rsidRPr="00633D28">
              <w:rPr>
                <w:rFonts w:ascii="Segoe UI Symbol" w:hAnsi="Segoe UI Symbol" w:cs="Segoe UI Symbol"/>
                <w:b/>
                <w:bCs/>
                <w:sz w:val="20"/>
                <w:szCs w:val="20"/>
              </w:rPr>
              <w:t>☓</w:t>
            </w:r>
          </w:p>
        </w:tc>
        <w:tc>
          <w:tcPr>
            <w:tcW w:w="1701" w:type="dxa"/>
          </w:tcPr>
          <w:p w14:paraId="4DD8AA8A" w14:textId="21E8F2AA" w:rsidR="002F29FF" w:rsidRPr="00633D28" w:rsidRDefault="002F29FF" w:rsidP="002F29FF">
            <w:pPr>
              <w:jc w:val="center"/>
              <w:rPr>
                <w:b/>
                <w:bCs/>
                <w:sz w:val="20"/>
                <w:szCs w:val="20"/>
              </w:rPr>
            </w:pPr>
            <w:r w:rsidRPr="00633D28">
              <w:rPr>
                <w:b/>
                <w:bCs/>
                <w:sz w:val="20"/>
                <w:szCs w:val="20"/>
              </w:rPr>
              <w:t>✓</w:t>
            </w:r>
          </w:p>
        </w:tc>
        <w:tc>
          <w:tcPr>
            <w:tcW w:w="1418" w:type="dxa"/>
          </w:tcPr>
          <w:p w14:paraId="0C1344A8" w14:textId="00B230CA" w:rsidR="002F29FF" w:rsidRPr="00633D28" w:rsidRDefault="002F29FF" w:rsidP="002F29FF">
            <w:pPr>
              <w:jc w:val="center"/>
              <w:rPr>
                <w:b/>
                <w:bCs/>
                <w:sz w:val="20"/>
                <w:szCs w:val="20"/>
              </w:rPr>
            </w:pPr>
            <w:r w:rsidRPr="00633D28">
              <w:rPr>
                <w:b/>
                <w:bCs/>
                <w:sz w:val="20"/>
                <w:szCs w:val="20"/>
              </w:rPr>
              <w:t>✓</w:t>
            </w:r>
          </w:p>
        </w:tc>
      </w:tr>
    </w:tbl>
    <w:p w14:paraId="62EE6795" w14:textId="65452C4C" w:rsidR="00C558DA" w:rsidRPr="00EA2A19" w:rsidRDefault="00EA2A19" w:rsidP="00EA2A19">
      <w:pPr>
        <w:ind w:left="-709"/>
        <w:rPr>
          <w:rFonts w:ascii="Times New Roman" w:hAnsi="Times New Roman" w:cs="Times New Roman"/>
        </w:rPr>
      </w:pPr>
      <w:r w:rsidRPr="00EA2A19">
        <w:rPr>
          <w:rFonts w:ascii="Times New Roman" w:hAnsi="Times New Roman" w:cs="Times New Roman"/>
        </w:rPr>
        <w:t xml:space="preserve">Note: </w:t>
      </w:r>
      <w:r w:rsidRPr="00EA2A19">
        <w:rPr>
          <w:rFonts w:ascii="Segoe UI Symbol" w:hAnsi="Segoe UI Symbol" w:cs="Segoe UI Symbol"/>
        </w:rPr>
        <w:t>✓</w:t>
      </w:r>
      <w:r w:rsidRPr="00EA2A19">
        <w:rPr>
          <w:rFonts w:ascii="Times New Roman" w:hAnsi="Times New Roman" w:cs="Times New Roman"/>
        </w:rPr>
        <w:t xml:space="preserve"> indicates that the authors have addressed the specific domain; </w:t>
      </w:r>
      <w:r w:rsidRPr="00EA2A19">
        <w:rPr>
          <w:rFonts w:ascii="Segoe UI Symbol" w:hAnsi="Segoe UI Symbol" w:cs="Segoe UI Symbol"/>
        </w:rPr>
        <w:t>☓</w:t>
      </w:r>
      <w:r w:rsidRPr="00EA2A19">
        <w:rPr>
          <w:rFonts w:ascii="Times New Roman" w:hAnsi="Times New Roman" w:cs="Times New Roman"/>
        </w:rPr>
        <w:t xml:space="preserve"> indicates that the domain was not addressed by the authors.</w:t>
      </w:r>
    </w:p>
    <w:sectPr w:rsidR="00C558DA" w:rsidRPr="00EA2A19" w:rsidSect="00C558D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D5C87"/>
    <w:multiLevelType w:val="hybridMultilevel"/>
    <w:tmpl w:val="C92055FE"/>
    <w:lvl w:ilvl="0" w:tplc="24482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7502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DA"/>
    <w:rsid w:val="00133DDC"/>
    <w:rsid w:val="0025781E"/>
    <w:rsid w:val="002D1D62"/>
    <w:rsid w:val="002F29FF"/>
    <w:rsid w:val="00427A83"/>
    <w:rsid w:val="00487CC9"/>
    <w:rsid w:val="00633D28"/>
    <w:rsid w:val="008309B9"/>
    <w:rsid w:val="008A5E9C"/>
    <w:rsid w:val="00C22AE5"/>
    <w:rsid w:val="00C558DA"/>
    <w:rsid w:val="00EA2A19"/>
    <w:rsid w:val="00EF00FD"/>
    <w:rsid w:val="00FB0E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2A6B7A0"/>
  <w15:chartTrackingRefBased/>
  <w15:docId w15:val="{AA19F1FC-D6A5-6A48-8842-A99E8EF4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58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8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8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8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8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8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8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8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8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8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8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8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8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8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8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8DA"/>
    <w:rPr>
      <w:rFonts w:eastAsiaTheme="majorEastAsia" w:cstheme="majorBidi"/>
      <w:color w:val="272727" w:themeColor="text1" w:themeTint="D8"/>
    </w:rPr>
  </w:style>
  <w:style w:type="paragraph" w:styleId="Title">
    <w:name w:val="Title"/>
    <w:basedOn w:val="Normal"/>
    <w:next w:val="Normal"/>
    <w:link w:val="TitleChar"/>
    <w:uiPriority w:val="10"/>
    <w:qFormat/>
    <w:rsid w:val="00C558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8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8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8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8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58DA"/>
    <w:rPr>
      <w:i/>
      <w:iCs/>
      <w:color w:val="404040" w:themeColor="text1" w:themeTint="BF"/>
    </w:rPr>
  </w:style>
  <w:style w:type="paragraph" w:styleId="ListParagraph">
    <w:name w:val="List Paragraph"/>
    <w:basedOn w:val="Normal"/>
    <w:uiPriority w:val="34"/>
    <w:qFormat/>
    <w:rsid w:val="00C558DA"/>
    <w:pPr>
      <w:ind w:left="720"/>
      <w:contextualSpacing/>
    </w:pPr>
  </w:style>
  <w:style w:type="character" w:styleId="IntenseEmphasis">
    <w:name w:val="Intense Emphasis"/>
    <w:basedOn w:val="DefaultParagraphFont"/>
    <w:uiPriority w:val="21"/>
    <w:qFormat/>
    <w:rsid w:val="00C558DA"/>
    <w:rPr>
      <w:i/>
      <w:iCs/>
      <w:color w:val="0F4761" w:themeColor="accent1" w:themeShade="BF"/>
    </w:rPr>
  </w:style>
  <w:style w:type="paragraph" w:styleId="IntenseQuote">
    <w:name w:val="Intense Quote"/>
    <w:basedOn w:val="Normal"/>
    <w:next w:val="Normal"/>
    <w:link w:val="IntenseQuoteChar"/>
    <w:uiPriority w:val="30"/>
    <w:qFormat/>
    <w:rsid w:val="00C55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8DA"/>
    <w:rPr>
      <w:i/>
      <w:iCs/>
      <w:color w:val="0F4761" w:themeColor="accent1" w:themeShade="BF"/>
    </w:rPr>
  </w:style>
  <w:style w:type="character" w:styleId="IntenseReference">
    <w:name w:val="Intense Reference"/>
    <w:basedOn w:val="DefaultParagraphFont"/>
    <w:uiPriority w:val="32"/>
    <w:qFormat/>
    <w:rsid w:val="00C558DA"/>
    <w:rPr>
      <w:b/>
      <w:bCs/>
      <w:smallCaps/>
      <w:color w:val="0F4761" w:themeColor="accent1" w:themeShade="BF"/>
      <w:spacing w:val="5"/>
    </w:rPr>
  </w:style>
  <w:style w:type="table" w:styleId="TableGrid">
    <w:name w:val="Table Grid"/>
    <w:basedOn w:val="TableNormal"/>
    <w:uiPriority w:val="39"/>
    <w:rsid w:val="00C55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58DA"/>
    <w:rPr>
      <w:sz w:val="16"/>
      <w:szCs w:val="16"/>
    </w:rPr>
  </w:style>
  <w:style w:type="paragraph" w:styleId="CommentText">
    <w:name w:val="annotation text"/>
    <w:basedOn w:val="Normal"/>
    <w:link w:val="CommentTextChar"/>
    <w:uiPriority w:val="99"/>
    <w:semiHidden/>
    <w:unhideWhenUsed/>
    <w:rsid w:val="00C558DA"/>
    <w:pPr>
      <w:spacing w:after="160"/>
    </w:pPr>
    <w:rPr>
      <w:kern w:val="0"/>
      <w:sz w:val="20"/>
      <w:szCs w:val="20"/>
      <w:lang w:val="en-US"/>
      <w14:ligatures w14:val="none"/>
    </w:rPr>
  </w:style>
  <w:style w:type="character" w:customStyle="1" w:styleId="CommentTextChar">
    <w:name w:val="Comment Text Char"/>
    <w:basedOn w:val="DefaultParagraphFont"/>
    <w:link w:val="CommentText"/>
    <w:uiPriority w:val="99"/>
    <w:semiHidden/>
    <w:rsid w:val="00C558DA"/>
    <w:rPr>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18463</Words>
  <Characters>105240</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SIVA-200500101</dc:creator>
  <cp:keywords/>
  <dc:description/>
  <cp:lastModifiedBy>N SIVA-200500101</cp:lastModifiedBy>
  <cp:revision>6</cp:revision>
  <dcterms:created xsi:type="dcterms:W3CDTF">2025-04-03T06:05:00Z</dcterms:created>
  <dcterms:modified xsi:type="dcterms:W3CDTF">2025-06-20T07:17:00Z</dcterms:modified>
</cp:coreProperties>
</file>