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CB407" w14:textId="3F4CEFF2" w:rsidR="00536284" w:rsidRPr="00E0235E" w:rsidRDefault="00784231" w:rsidP="00784231">
      <w:pPr>
        <w:rPr>
          <w:rFonts w:ascii="Times New Roman" w:hAnsi="Times New Roman" w:cs="Times New Roman"/>
          <w:sz w:val="24"/>
          <w:szCs w:val="24"/>
        </w:rPr>
      </w:pPr>
      <w:r w:rsidRPr="00E0235E">
        <w:rPr>
          <w:rFonts w:ascii="Times New Roman" w:hAnsi="Times New Roman" w:cs="Times New Roman"/>
          <w:sz w:val="24"/>
          <w:szCs w:val="24"/>
        </w:rPr>
        <w:t>Appendix D. CERQual Evidence Profile.</w:t>
      </w:r>
      <w:r w:rsidR="00536284" w:rsidRPr="00E0235E">
        <w:rPr>
          <w:rFonts w:ascii="Times New Roman" w:hAnsi="Times New Roman" w:cs="Times New Roman"/>
          <w:sz w:val="24"/>
          <w:szCs w:val="24"/>
        </w:rPr>
        <w:t xml:space="preserve"> </w:t>
      </w:r>
    </w:p>
    <w:tbl>
      <w:tblPr>
        <w:tblStyle w:val="PlainTable2"/>
        <w:tblW w:w="5029" w:type="pct"/>
        <w:tblLook w:val="04A0" w:firstRow="1" w:lastRow="0" w:firstColumn="1" w:lastColumn="0" w:noHBand="0" w:noVBand="1"/>
      </w:tblPr>
      <w:tblGrid>
        <w:gridCol w:w="14039"/>
      </w:tblGrid>
      <w:tr w:rsidR="00943F93" w:rsidRPr="00E0235E" w14:paraId="61DBE284" w14:textId="77777777" w:rsidTr="005A2AB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420F5926" w14:textId="242D594F" w:rsidR="00943F93" w:rsidRPr="00E0235E" w:rsidRDefault="00943F93" w:rsidP="008D0CDC">
            <w:pPr>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Theme 1: Nam</w:t>
            </w:r>
            <w:r w:rsidR="00A019E1" w:rsidRPr="00E0235E">
              <w:rPr>
                <w:rFonts w:ascii="Times New Roman" w:eastAsia="Times New Roman" w:hAnsi="Times New Roman" w:cs="Times New Roman"/>
                <w:b w:val="0"/>
                <w:bCs w:val="0"/>
                <w:kern w:val="0"/>
                <w:lang w:eastAsia="en-GB"/>
                <w14:ligatures w14:val="none"/>
              </w:rPr>
              <w:t>e</w:t>
            </w:r>
            <w:r w:rsidRPr="00E0235E">
              <w:rPr>
                <w:rFonts w:ascii="Times New Roman" w:eastAsia="Times New Roman" w:hAnsi="Times New Roman" w:cs="Times New Roman"/>
                <w:kern w:val="0"/>
                <w:lang w:eastAsia="en-GB"/>
                <w14:ligatures w14:val="none"/>
              </w:rPr>
              <w:t xml:space="preserve"> the violence. </w:t>
            </w:r>
            <w:r w:rsidR="005D7FBE" w:rsidRPr="00E0235E">
              <w:rPr>
                <w:rFonts w:ascii="Times New Roman" w:eastAsia="Times New Roman" w:hAnsi="Times New Roman" w:cs="Times New Roman"/>
                <w:b w:val="0"/>
                <w:bCs w:val="0"/>
                <w:kern w:val="0"/>
                <w:lang w:eastAsia="en-GB"/>
                <w14:ligatures w14:val="none"/>
              </w:rPr>
              <w:t xml:space="preserve">The hidden and normalised nature of </w:t>
            </w:r>
            <w:r w:rsidR="006D446C">
              <w:rPr>
                <w:rFonts w:ascii="Times New Roman" w:eastAsia="Times New Roman" w:hAnsi="Times New Roman" w:cs="Times New Roman"/>
                <w:b w:val="0"/>
                <w:bCs w:val="0"/>
                <w:kern w:val="0"/>
                <w:lang w:eastAsia="en-GB"/>
                <w14:ligatures w14:val="none"/>
              </w:rPr>
              <w:t>sexual violence</w:t>
            </w:r>
            <w:r w:rsidR="005D7FBE" w:rsidRPr="00E0235E">
              <w:rPr>
                <w:rFonts w:ascii="Times New Roman" w:eastAsia="Times New Roman" w:hAnsi="Times New Roman" w:cs="Times New Roman"/>
                <w:b w:val="0"/>
                <w:bCs w:val="0"/>
                <w:kern w:val="0"/>
                <w:lang w:eastAsia="en-GB"/>
                <w14:ligatures w14:val="none"/>
              </w:rPr>
              <w:t xml:space="preserve"> made it difficult for survivors to acknowledge their experiences. Survivors needed time and gentle encouragement to name the violence and begin to heal. Doing so supported healing by refuting victim-blaming messages that silenced and blamed survivors (n = 3</w:t>
            </w:r>
            <w:r w:rsidR="00F07302">
              <w:rPr>
                <w:rFonts w:ascii="Times New Roman" w:eastAsia="Times New Roman" w:hAnsi="Times New Roman" w:cs="Times New Roman"/>
                <w:b w:val="0"/>
                <w:bCs w:val="0"/>
                <w:kern w:val="0"/>
                <w:lang w:eastAsia="en-GB"/>
                <w14:ligatures w14:val="none"/>
              </w:rPr>
              <w:t>4</w:t>
            </w:r>
            <w:r w:rsidR="005D7FBE" w:rsidRPr="00E0235E">
              <w:rPr>
                <w:rFonts w:ascii="Times New Roman" w:eastAsia="Times New Roman" w:hAnsi="Times New Roman" w:cs="Times New Roman"/>
                <w:b w:val="0"/>
                <w:bCs w:val="0"/>
                <w:kern w:val="0"/>
                <w:lang w:eastAsia="en-GB"/>
                <w14:ligatures w14:val="none"/>
              </w:rPr>
              <w:t>).  </w:t>
            </w:r>
          </w:p>
        </w:tc>
      </w:tr>
    </w:tbl>
    <w:tbl>
      <w:tblPr>
        <w:tblStyle w:val="PlainTable2"/>
        <w:tblW w:w="5029" w:type="pct"/>
        <w:tblLayout w:type="fixed"/>
        <w:tblLook w:val="04A0" w:firstRow="1" w:lastRow="0" w:firstColumn="1" w:lastColumn="0" w:noHBand="0" w:noVBand="1"/>
      </w:tblPr>
      <w:tblGrid>
        <w:gridCol w:w="2092"/>
        <w:gridCol w:w="1390"/>
        <w:gridCol w:w="1721"/>
        <w:gridCol w:w="1317"/>
        <w:gridCol w:w="1137"/>
        <w:gridCol w:w="2392"/>
        <w:gridCol w:w="1334"/>
        <w:gridCol w:w="2656"/>
      </w:tblGrid>
      <w:tr w:rsidR="009336EA" w:rsidRPr="00E0235E" w14:paraId="7606F149" w14:textId="5BEE8D93" w:rsidTr="005A2AB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45" w:type="pct"/>
            <w:vAlign w:val="center"/>
            <w:hideMark/>
          </w:tcPr>
          <w:p w14:paraId="4B8DC861" w14:textId="77777777" w:rsidR="009D44FD" w:rsidRPr="00E0235E" w:rsidRDefault="009D44FD" w:rsidP="008D0CDC">
            <w:pPr>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b w:val="0"/>
                <w:bCs w:val="0"/>
                <w:kern w:val="0"/>
                <w:lang w:eastAsia="en-GB"/>
                <w14:ligatures w14:val="none"/>
              </w:rPr>
              <w:t>Sub-themes </w:t>
            </w:r>
          </w:p>
        </w:tc>
        <w:tc>
          <w:tcPr>
            <w:tcW w:w="495" w:type="pct"/>
            <w:vAlign w:val="center"/>
            <w:hideMark/>
          </w:tcPr>
          <w:p w14:paraId="194D16B2" w14:textId="050D851E" w:rsidR="009D44FD" w:rsidRPr="00E0235E" w:rsidRDefault="009D44FD"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Studies contributing to the sub-theme</w:t>
            </w:r>
          </w:p>
        </w:tc>
        <w:tc>
          <w:tcPr>
            <w:tcW w:w="613" w:type="pct"/>
            <w:vAlign w:val="center"/>
            <w:hideMark/>
          </w:tcPr>
          <w:p w14:paraId="3D6C5BE4" w14:textId="77777777" w:rsidR="009D44FD" w:rsidRPr="00E0235E" w:rsidRDefault="009D44FD"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Methodological limitations</w:t>
            </w:r>
          </w:p>
        </w:tc>
        <w:tc>
          <w:tcPr>
            <w:tcW w:w="469" w:type="pct"/>
            <w:vAlign w:val="center"/>
            <w:hideMark/>
          </w:tcPr>
          <w:p w14:paraId="010E20A2" w14:textId="77777777" w:rsidR="009D44FD" w:rsidRPr="00E0235E" w:rsidRDefault="009D44FD"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Coherence</w:t>
            </w:r>
          </w:p>
        </w:tc>
        <w:tc>
          <w:tcPr>
            <w:tcW w:w="405" w:type="pct"/>
            <w:vAlign w:val="center"/>
            <w:hideMark/>
          </w:tcPr>
          <w:p w14:paraId="1606A26C" w14:textId="77777777" w:rsidR="009D44FD" w:rsidRPr="00E0235E" w:rsidRDefault="009D44FD"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Adequacy</w:t>
            </w:r>
          </w:p>
        </w:tc>
        <w:tc>
          <w:tcPr>
            <w:tcW w:w="852" w:type="pct"/>
            <w:vAlign w:val="center"/>
            <w:hideMark/>
          </w:tcPr>
          <w:p w14:paraId="1791CC39" w14:textId="77777777" w:rsidR="009D44FD" w:rsidRPr="00E0235E" w:rsidRDefault="009D44FD"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Relevance</w:t>
            </w:r>
          </w:p>
        </w:tc>
        <w:tc>
          <w:tcPr>
            <w:tcW w:w="475" w:type="pct"/>
            <w:vAlign w:val="center"/>
            <w:hideMark/>
          </w:tcPr>
          <w:p w14:paraId="4F547485" w14:textId="1F822AD7" w:rsidR="009D44FD" w:rsidRPr="00E0235E" w:rsidRDefault="009B0512"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Assessment of confidence in evidence </w:t>
            </w:r>
          </w:p>
        </w:tc>
        <w:tc>
          <w:tcPr>
            <w:tcW w:w="947" w:type="pct"/>
            <w:vAlign w:val="center"/>
          </w:tcPr>
          <w:p w14:paraId="30918E82" w14:textId="5FE330D0" w:rsidR="00D857DE" w:rsidRPr="00E0235E" w:rsidRDefault="00D857DE"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Explanation of CERQual</w:t>
            </w:r>
          </w:p>
          <w:p w14:paraId="69BA398F" w14:textId="5B14ED3D" w:rsidR="009D44FD" w:rsidRPr="00E0235E" w:rsidRDefault="00D857DE"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assessment</w:t>
            </w:r>
          </w:p>
        </w:tc>
      </w:tr>
      <w:tr w:rsidR="009336EA" w:rsidRPr="00E0235E" w14:paraId="1B19CCD6" w14:textId="7D76FE13" w:rsidTr="005A2AB9">
        <w:trPr>
          <w:cnfStyle w:val="000000100000" w:firstRow="0" w:lastRow="0" w:firstColumn="0" w:lastColumn="0" w:oddVBand="0" w:evenVBand="0" w:oddHBand="1" w:evenHBand="0" w:firstRowFirstColumn="0" w:firstRowLastColumn="0" w:lastRowFirstColumn="0" w:lastRowLastColumn="0"/>
          <w:trHeight w:val="2162"/>
        </w:trPr>
        <w:tc>
          <w:tcPr>
            <w:cnfStyle w:val="001000000000" w:firstRow="0" w:lastRow="0" w:firstColumn="1" w:lastColumn="0" w:oddVBand="0" w:evenVBand="0" w:oddHBand="0" w:evenHBand="0" w:firstRowFirstColumn="0" w:firstRowLastColumn="0" w:lastRowFirstColumn="0" w:lastRowLastColumn="0"/>
            <w:tcW w:w="745" w:type="pct"/>
            <w:hideMark/>
          </w:tcPr>
          <w:p w14:paraId="44FD9DE3" w14:textId="584202A2" w:rsidR="006831AD" w:rsidRPr="007D6B16" w:rsidRDefault="007D6B16" w:rsidP="00DA48B9">
            <w:pPr>
              <w:rPr>
                <w:rFonts w:ascii="Times New Roman" w:eastAsia="Times New Roman" w:hAnsi="Times New Roman" w:cs="Times New Roman"/>
                <w:b w:val="0"/>
                <w:bCs w:val="0"/>
                <w:kern w:val="0"/>
                <w:lang w:eastAsia="en-GB"/>
                <w14:ligatures w14:val="none"/>
              </w:rPr>
            </w:pPr>
            <w:r w:rsidRPr="007D6B16">
              <w:rPr>
                <w:rFonts w:ascii="Times New Roman" w:eastAsia="Times New Roman" w:hAnsi="Times New Roman" w:cs="Times New Roman"/>
                <w:kern w:val="0"/>
                <w:lang w:eastAsia="en-GB"/>
                <w14:ligatures w14:val="none"/>
              </w:rPr>
              <w:t xml:space="preserve">Shamed and silenced. </w:t>
            </w:r>
            <w:r w:rsidRPr="000C7D0B">
              <w:rPr>
                <w:rFonts w:ascii="Times New Roman" w:eastAsia="Times New Roman" w:hAnsi="Times New Roman" w:cs="Times New Roman"/>
                <w:b w:val="0"/>
                <w:bCs w:val="0"/>
                <w:kern w:val="0"/>
                <w:lang w:eastAsia="en-GB"/>
                <w14:ligatures w14:val="none"/>
              </w:rPr>
              <w:t>Survivors reported feelings of shame and disorientation when reporting to healthcare; feelings which were often rooted in gendered stereotypes that blame women for sexual violence (n = 28).  </w:t>
            </w:r>
          </w:p>
          <w:p w14:paraId="03637350" w14:textId="77777777" w:rsidR="006831AD" w:rsidRPr="00E0235E" w:rsidRDefault="006831AD" w:rsidP="00DA48B9">
            <w:pPr>
              <w:rPr>
                <w:rFonts w:ascii="Times New Roman" w:eastAsia="Times New Roman" w:hAnsi="Times New Roman" w:cs="Times New Roman"/>
                <w:b w:val="0"/>
                <w:bCs w:val="0"/>
                <w:kern w:val="0"/>
                <w:lang w:eastAsia="en-GB"/>
                <w14:ligatures w14:val="none"/>
              </w:rPr>
            </w:pPr>
          </w:p>
        </w:tc>
        <w:tc>
          <w:tcPr>
            <w:tcW w:w="495" w:type="pct"/>
            <w:hideMark/>
          </w:tcPr>
          <w:p w14:paraId="194B65DC" w14:textId="776BDC56" w:rsidR="008F6186" w:rsidRPr="00E0235E" w:rsidRDefault="00635C9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635C9B">
              <w:rPr>
                <w:rFonts w:ascii="Times New Roman" w:eastAsia="Times New Roman" w:hAnsi="Times New Roman" w:cs="Times New Roman"/>
                <w:kern w:val="0"/>
                <w:lang w:eastAsia="en-GB"/>
                <w14:ligatures w14:val="none"/>
              </w:rPr>
              <w:t>59, 64, 65, 66, 67, 69, 71, 72, 73, 75, 78, 80, 82, 83, 84, 86, 88, 90, 91, 94, 95, 96, 97, 100, 101, 104, 106, 107</w:t>
            </w:r>
          </w:p>
        </w:tc>
        <w:tc>
          <w:tcPr>
            <w:tcW w:w="613" w:type="pct"/>
            <w:hideMark/>
          </w:tcPr>
          <w:p w14:paraId="7C8F5952" w14:textId="19BF709B" w:rsidR="00483DE1" w:rsidRPr="00E0235E" w:rsidRDefault="00635C9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635C9B">
              <w:rPr>
                <w:rFonts w:ascii="Times New Roman" w:eastAsia="Times New Roman" w:hAnsi="Times New Roman" w:cs="Times New Roman"/>
                <w:kern w:val="0"/>
                <w:lang w:eastAsia="en-GB"/>
                <w14:ligatures w14:val="none"/>
              </w:rPr>
              <w:t>Minor concerns. Ten studies with (36%) no or minor concerns (67, 73, 75, 80, 82, 91, 96, 97, 104, 106); sixteen (57%) with minor concerns (59, 64, 65, 66, 69, 71, 72, 78, 83, 86, 88, 90, 94, 95, 100, 107); and two (7%) with moderate concerns (84, 101).</w:t>
            </w:r>
          </w:p>
        </w:tc>
        <w:tc>
          <w:tcPr>
            <w:tcW w:w="469" w:type="pct"/>
            <w:hideMark/>
          </w:tcPr>
          <w:p w14:paraId="3E6E7185" w14:textId="2E1AE4B6" w:rsidR="00483DE1" w:rsidRPr="00E0235E" w:rsidRDefault="005F5B25"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5F5B25">
              <w:rPr>
                <w:rFonts w:ascii="Times New Roman" w:eastAsia="Times New Roman" w:hAnsi="Times New Roman" w:cs="Times New Roman"/>
                <w:kern w:val="0"/>
                <w:lang w:eastAsia="en-GB"/>
                <w14:ligatures w14:val="none"/>
              </w:rPr>
              <w:t>No or very minor concerns. The sub-theme was well supported across the studies. Any variation between studies was minor and could be explained by contextual differences rather than reflecting contradictory evidence.</w:t>
            </w:r>
          </w:p>
        </w:tc>
        <w:tc>
          <w:tcPr>
            <w:tcW w:w="405" w:type="pct"/>
            <w:hideMark/>
          </w:tcPr>
          <w:p w14:paraId="2E05C127" w14:textId="3D7E1658" w:rsidR="00081443" w:rsidRPr="005A2AB9" w:rsidRDefault="002328E8" w:rsidP="0008144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2328E8">
              <w:rPr>
                <w:rFonts w:ascii="Times New Roman" w:eastAsia="Times New Roman" w:hAnsi="Times New Roman" w:cs="Times New Roman"/>
                <w:kern w:val="0"/>
                <w:lang w:eastAsia="en-GB"/>
                <w14:ligatures w14:val="none"/>
              </w:rPr>
              <w:t>No or very minor concerns. A large number of studies contributed to the sub-theme, representing various contexts and settings, with several providing nuanced, conceptually-rich insights.</w:t>
            </w:r>
          </w:p>
        </w:tc>
        <w:tc>
          <w:tcPr>
            <w:tcW w:w="852" w:type="pct"/>
            <w:hideMark/>
          </w:tcPr>
          <w:p w14:paraId="142F007A" w14:textId="414042F5" w:rsidR="00081443" w:rsidRPr="00081443" w:rsidRDefault="002328E8" w:rsidP="0008144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2328E8">
              <w:rPr>
                <w:rFonts w:ascii="Times New Roman" w:eastAsia="Times New Roman" w:hAnsi="Times New Roman" w:cs="Times New Roman"/>
                <w:kern w:val="0"/>
                <w:lang w:eastAsia="en-GB"/>
                <w14:ligatures w14:val="none"/>
              </w:rPr>
              <w:t xml:space="preserve">Minor concerns. Eight studies (29%) focused on partially relevant populations, though five still focused exclusively on sexual violence  (64, 69, 83, 90, 96) and three on intimate partner violence (94, 95, 104), which remains highly relevant to the adulthood context of this review. Seven studies (25%) did not focus on healthcare settings (67, 75, 82, 94, 96, 100, 101). Two studies (7%; 94, 96) </w:t>
            </w:r>
            <w:r w:rsidR="008C69C9" w:rsidRPr="00A34057">
              <w:rPr>
                <w:rFonts w:ascii="Times New Roman" w:eastAsia="Times New Roman" w:hAnsi="Times New Roman" w:cs="Times New Roman"/>
                <w:kern w:val="0"/>
                <w:lang w:eastAsia="en-GB"/>
                <w14:ligatures w14:val="none"/>
              </w:rPr>
              <w:t>raised relevance concerns on both dimensions (i.e., they addressed neither healthcare settings nor adulthood sexual violence)</w:t>
            </w:r>
            <w:r w:rsidR="008C69C9">
              <w:rPr>
                <w:rFonts w:ascii="Times New Roman" w:eastAsia="Times New Roman" w:hAnsi="Times New Roman" w:cs="Times New Roman"/>
                <w:kern w:val="0"/>
                <w:lang w:eastAsia="en-GB"/>
                <w14:ligatures w14:val="none"/>
              </w:rPr>
              <w:t>.</w:t>
            </w:r>
          </w:p>
        </w:tc>
        <w:tc>
          <w:tcPr>
            <w:tcW w:w="475" w:type="pct"/>
            <w:hideMark/>
          </w:tcPr>
          <w:p w14:paraId="6A31FF3E" w14:textId="7CFCCDE2" w:rsidR="00483DE1" w:rsidRPr="00E0235E" w:rsidRDefault="00483DE1"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t>High confidence</w:t>
            </w:r>
          </w:p>
        </w:tc>
        <w:tc>
          <w:tcPr>
            <w:tcW w:w="947" w:type="pct"/>
          </w:tcPr>
          <w:p w14:paraId="58FE1D15" w14:textId="19905DBC" w:rsidR="006831AD" w:rsidRPr="00E0235E" w:rsidRDefault="007D6B16"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7D6B16">
              <w:rPr>
                <w:rFonts w:ascii="Times New Roman" w:eastAsia="Times New Roman" w:hAnsi="Times New Roman" w:cs="Times New Roman"/>
                <w:kern w:val="0"/>
                <w:lang w:eastAsia="en-GB"/>
                <w14:ligatures w14:val="none"/>
              </w:rPr>
              <w:t>Most studies (26 or 93%) had no or minor methodological concerns. There were no or only very minor concerns about coherence and adequacy. A large number of studies contributed to this review finding (28 or 56% of all  studies included in the review). Most studies (26 or 93%) were either directly relevant to the review question or raised only minor relevance concerns. The sub-theme was well represented across conceptually rich studies and diverse healthcare settings.</w:t>
            </w:r>
          </w:p>
        </w:tc>
      </w:tr>
      <w:tr w:rsidR="009336EA" w:rsidRPr="00E0235E" w14:paraId="3E4A2528" w14:textId="3394489F" w:rsidTr="005A2AB9">
        <w:trPr>
          <w:trHeight w:val="1080"/>
        </w:trPr>
        <w:tc>
          <w:tcPr>
            <w:cnfStyle w:val="001000000000" w:firstRow="0" w:lastRow="0" w:firstColumn="1" w:lastColumn="0" w:oddVBand="0" w:evenVBand="0" w:oddHBand="0" w:evenHBand="0" w:firstRowFirstColumn="0" w:firstRowLastColumn="0" w:lastRowFirstColumn="0" w:lastRowLastColumn="0"/>
            <w:tcW w:w="745" w:type="pct"/>
            <w:hideMark/>
          </w:tcPr>
          <w:p w14:paraId="47D3E304" w14:textId="2C539D84" w:rsidR="00DA48B9" w:rsidRPr="00E0235E" w:rsidRDefault="0051115A" w:rsidP="00DA48B9">
            <w:pPr>
              <w:rPr>
                <w:rFonts w:ascii="Times New Roman" w:eastAsia="Times New Roman" w:hAnsi="Times New Roman" w:cs="Times New Roman"/>
                <w:kern w:val="0"/>
                <w:lang w:eastAsia="en-GB"/>
                <w14:ligatures w14:val="none"/>
              </w:rPr>
            </w:pPr>
            <w:r w:rsidRPr="0051115A">
              <w:rPr>
                <w:rFonts w:ascii="Times New Roman" w:eastAsia="Times New Roman" w:hAnsi="Times New Roman" w:cs="Times New Roman"/>
                <w:kern w:val="0"/>
                <w:lang w:eastAsia="en-GB"/>
                <w14:ligatures w14:val="none"/>
              </w:rPr>
              <w:lastRenderedPageBreak/>
              <w:t xml:space="preserve">Searching for physical injuries. </w:t>
            </w:r>
            <w:r w:rsidRPr="000C7D0B">
              <w:rPr>
                <w:rFonts w:ascii="Times New Roman" w:eastAsia="Times New Roman" w:hAnsi="Times New Roman" w:cs="Times New Roman"/>
                <w:b w:val="0"/>
                <w:bCs w:val="0"/>
                <w:kern w:val="0"/>
                <w:lang w:eastAsia="en-GB"/>
                <w14:ligatures w14:val="none"/>
              </w:rPr>
              <w:t>Assumptions that ‘real rape’ must involve physical violence led to assumptions that a lack of physical injuries must mean that survivors were lying, misremembering, or overreacting (n = 7). </w:t>
            </w:r>
          </w:p>
        </w:tc>
        <w:tc>
          <w:tcPr>
            <w:tcW w:w="495" w:type="pct"/>
            <w:hideMark/>
          </w:tcPr>
          <w:p w14:paraId="26B8EFEA" w14:textId="1ECE8BED" w:rsidR="00CD089B" w:rsidRPr="00E0235E" w:rsidRDefault="0051115A"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51115A">
              <w:rPr>
                <w:rFonts w:ascii="Times New Roman" w:eastAsia="Times New Roman" w:hAnsi="Times New Roman" w:cs="Times New Roman"/>
                <w:kern w:val="0"/>
                <w:lang w:eastAsia="en-GB"/>
                <w14:ligatures w14:val="none"/>
              </w:rPr>
              <w:t>64, 69, 70, 72, 75, 76, 80</w:t>
            </w:r>
          </w:p>
        </w:tc>
        <w:tc>
          <w:tcPr>
            <w:tcW w:w="613" w:type="pct"/>
            <w:hideMark/>
          </w:tcPr>
          <w:p w14:paraId="1FD8A739" w14:textId="74DAB4B3" w:rsidR="00483DE1" w:rsidRPr="00E0235E" w:rsidRDefault="0051115A"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51115A">
              <w:rPr>
                <w:rFonts w:ascii="Times New Roman" w:eastAsia="Times New Roman" w:hAnsi="Times New Roman" w:cs="Times New Roman"/>
                <w:kern w:val="0"/>
                <w:lang w:eastAsia="en-GB"/>
                <w14:ligatures w14:val="none"/>
              </w:rPr>
              <w:t>Minor concerns. Three (43%) studies with no or minor concerns (75, 76, 80) and four (57%) with minor concerns (64, 69, 70, 72).</w:t>
            </w:r>
          </w:p>
        </w:tc>
        <w:tc>
          <w:tcPr>
            <w:tcW w:w="469" w:type="pct"/>
            <w:hideMark/>
          </w:tcPr>
          <w:p w14:paraId="5593E68F" w14:textId="05531A50" w:rsidR="00483DE1" w:rsidRPr="00E0235E" w:rsidRDefault="00574149"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574149">
              <w:rPr>
                <w:rFonts w:ascii="Times New Roman" w:eastAsia="Times New Roman" w:hAnsi="Times New Roman" w:cs="Times New Roman"/>
                <w:kern w:val="0"/>
                <w:lang w:eastAsia="en-GB"/>
                <w14:ligatures w14:val="none"/>
              </w:rPr>
              <w:t>No or very minor concerns. The finding was well supported across the studies. Any variation between studies was minor and could be explained by contextual differences rather than reflecting contradictory evidence.</w:t>
            </w:r>
          </w:p>
        </w:tc>
        <w:tc>
          <w:tcPr>
            <w:tcW w:w="405" w:type="pct"/>
            <w:hideMark/>
          </w:tcPr>
          <w:p w14:paraId="2600E646" w14:textId="60251619" w:rsidR="00483DE1" w:rsidRPr="00E0235E" w:rsidRDefault="00574149"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574149">
              <w:rPr>
                <w:rFonts w:ascii="Times New Roman" w:eastAsia="Times New Roman" w:hAnsi="Times New Roman" w:cs="Times New Roman"/>
                <w:kern w:val="0"/>
                <w:lang w:eastAsia="en-GB"/>
                <w14:ligatures w14:val="none"/>
              </w:rPr>
              <w:t>Moderate concerns. A relatively small number of studies contributed to this sub-theme, and were largely focused on the medical forensic examination. However, they did provide nuanced, conceptually-rich insights.</w:t>
            </w:r>
          </w:p>
        </w:tc>
        <w:tc>
          <w:tcPr>
            <w:tcW w:w="852" w:type="pct"/>
            <w:hideMark/>
          </w:tcPr>
          <w:p w14:paraId="0B8EDB9B" w14:textId="09CDAF47" w:rsidR="00483DE1" w:rsidRPr="00E0235E" w:rsidRDefault="00574149"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574149">
              <w:rPr>
                <w:rFonts w:ascii="Times New Roman" w:eastAsia="Times New Roman" w:hAnsi="Times New Roman" w:cs="Times New Roman"/>
                <w:kern w:val="0"/>
                <w:lang w:eastAsia="en-GB"/>
                <w14:ligatures w14:val="none"/>
              </w:rPr>
              <w:t>Minor concerns. Two studies (29%) focused on partially relevant populations (64, 69), though both raised only minor concerns as they still focused exclusively on sexual violence survivors. One study (14%) did not focus on healthcare settings (75). None raised relevance concerns on both dimensions (i.e., all focused either on healthcare settings or adulthood sexual violence, or addressed both).</w:t>
            </w:r>
          </w:p>
        </w:tc>
        <w:tc>
          <w:tcPr>
            <w:tcW w:w="475" w:type="pct"/>
            <w:hideMark/>
          </w:tcPr>
          <w:p w14:paraId="028B8A6D" w14:textId="64D9CF8D" w:rsidR="00483DE1" w:rsidRPr="00E0235E" w:rsidRDefault="00B45B46"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t>Moderate</w:t>
            </w:r>
            <w:r w:rsidR="00FA736E" w:rsidRPr="00E0235E">
              <w:rPr>
                <w:rFonts w:ascii="Times New Roman" w:eastAsia="Times New Roman" w:hAnsi="Times New Roman" w:cs="Times New Roman"/>
                <w:kern w:val="0"/>
                <w:lang w:eastAsia="en-GB"/>
                <w14:ligatures w14:val="none"/>
              </w:rPr>
              <w:t xml:space="preserve"> </w:t>
            </w:r>
            <w:r w:rsidR="00CF5674" w:rsidRPr="00E0235E">
              <w:rPr>
                <w:rFonts w:ascii="Times New Roman" w:eastAsia="Times New Roman" w:hAnsi="Times New Roman" w:cs="Times New Roman"/>
                <w:kern w:val="0"/>
                <w:lang w:eastAsia="en-GB"/>
                <w14:ligatures w14:val="none"/>
              </w:rPr>
              <w:t>confidence</w:t>
            </w:r>
          </w:p>
        </w:tc>
        <w:tc>
          <w:tcPr>
            <w:tcW w:w="947" w:type="pct"/>
          </w:tcPr>
          <w:p w14:paraId="5AB2D214" w14:textId="32C9E360" w:rsidR="00483DE1" w:rsidRPr="00E0235E" w:rsidRDefault="00574149"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574149">
              <w:rPr>
                <w:rFonts w:ascii="Times New Roman" w:eastAsia="Times New Roman" w:hAnsi="Times New Roman" w:cs="Times New Roman"/>
                <w:kern w:val="0"/>
                <w:lang w:eastAsia="en-GB"/>
                <w14:ligatures w14:val="none"/>
              </w:rPr>
              <w:t>All studies (7 or 100%) had no or minor methodological concerns. No or very minor concerns about coherence. Moderate concerns about adequacy. A relatively small number of studies contributed to this review finding (7, or 14% of all studies included in the review). All (7 or 100%) were either directly relevant to the review question or raised only minor relevance concerns. As most studies focused on the medical forensic examination, and a small number contributed to the finding, this sub-theme provides partial evidence, hence being given a rating of moderate confidence.</w:t>
            </w:r>
          </w:p>
        </w:tc>
      </w:tr>
      <w:tr w:rsidR="009336EA" w:rsidRPr="00E0235E" w14:paraId="52A6CE22" w14:textId="77777777" w:rsidTr="005A2AB9">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745" w:type="pct"/>
          </w:tcPr>
          <w:p w14:paraId="40DB5CC3" w14:textId="3057E393" w:rsidR="00531ACE" w:rsidRPr="00E0235E" w:rsidRDefault="003E46B5" w:rsidP="00DA48B9">
            <w:pPr>
              <w:rPr>
                <w:rFonts w:ascii="Times New Roman" w:eastAsia="Times New Roman" w:hAnsi="Times New Roman" w:cs="Times New Roman"/>
                <w:b w:val="0"/>
                <w:bCs w:val="0"/>
                <w:kern w:val="0"/>
                <w:lang w:eastAsia="en-GB"/>
                <w14:ligatures w14:val="none"/>
              </w:rPr>
            </w:pPr>
            <w:r w:rsidRPr="003E46B5">
              <w:rPr>
                <w:rFonts w:ascii="Times New Roman" w:eastAsia="Times New Roman" w:hAnsi="Times New Roman" w:cs="Times New Roman"/>
                <w:kern w:val="0"/>
                <w:lang w:eastAsia="en-GB"/>
                <w14:ligatures w14:val="none"/>
              </w:rPr>
              <w:t xml:space="preserve">Acknowledgement is a journey. </w:t>
            </w:r>
            <w:r w:rsidRPr="000C7D0B">
              <w:rPr>
                <w:rFonts w:ascii="Times New Roman" w:eastAsia="Times New Roman" w:hAnsi="Times New Roman" w:cs="Times New Roman"/>
                <w:b w:val="0"/>
                <w:bCs w:val="0"/>
                <w:kern w:val="0"/>
                <w:lang w:eastAsia="en-GB"/>
                <w14:ligatures w14:val="none"/>
              </w:rPr>
              <w:t xml:space="preserve">Survivors often did not have the language to name sexual violence. They needed providers to be alert to non-verbal </w:t>
            </w:r>
            <w:r w:rsidRPr="000C7D0B">
              <w:rPr>
                <w:rFonts w:ascii="Times New Roman" w:eastAsia="Times New Roman" w:hAnsi="Times New Roman" w:cs="Times New Roman"/>
                <w:b w:val="0"/>
                <w:bCs w:val="0"/>
                <w:kern w:val="0"/>
                <w:lang w:eastAsia="en-GB"/>
                <w14:ligatures w14:val="none"/>
              </w:rPr>
              <w:lastRenderedPageBreak/>
              <w:t>communication, and to respond to subtle hints with curiosity and direct questions (n = 21).</w:t>
            </w:r>
          </w:p>
        </w:tc>
        <w:tc>
          <w:tcPr>
            <w:tcW w:w="495" w:type="pct"/>
          </w:tcPr>
          <w:p w14:paraId="3A8269C6" w14:textId="36C24523" w:rsidR="001A2F8D" w:rsidRPr="00E0235E" w:rsidRDefault="003E46B5"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3E46B5">
              <w:rPr>
                <w:rFonts w:ascii="Times New Roman" w:eastAsia="Times New Roman" w:hAnsi="Times New Roman" w:cs="Times New Roman"/>
                <w:kern w:val="0"/>
                <w:lang w:eastAsia="en-GB"/>
                <w14:ligatures w14:val="none"/>
              </w:rPr>
              <w:lastRenderedPageBreak/>
              <w:t>66, 69, 70, 71, 72, 73, 75, 77, 78, 80, 82, 83, 84, 91, 95, 98, 99, 102, 104, 106, 107</w:t>
            </w:r>
          </w:p>
        </w:tc>
        <w:tc>
          <w:tcPr>
            <w:tcW w:w="613" w:type="pct"/>
          </w:tcPr>
          <w:p w14:paraId="3820AEF7" w14:textId="197F4D1A" w:rsidR="00531ACE" w:rsidRPr="00E0235E" w:rsidRDefault="003E46B5"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3E46B5">
              <w:rPr>
                <w:rFonts w:ascii="Times New Roman" w:eastAsia="Times New Roman" w:hAnsi="Times New Roman" w:cs="Times New Roman"/>
                <w:kern w:val="0"/>
                <w:lang w:eastAsia="en-GB"/>
                <w14:ligatures w14:val="none"/>
              </w:rPr>
              <w:t xml:space="preserve">Minor concerns. Ten (48%) studies with no or minor concerns (73, 75, 77, 80, 82, 91, 98, 99, 104, 106); ten (48%) with minor </w:t>
            </w:r>
            <w:r w:rsidRPr="003E46B5">
              <w:rPr>
                <w:rFonts w:ascii="Times New Roman" w:eastAsia="Times New Roman" w:hAnsi="Times New Roman" w:cs="Times New Roman"/>
                <w:kern w:val="0"/>
                <w:lang w:eastAsia="en-GB"/>
                <w14:ligatures w14:val="none"/>
              </w:rPr>
              <w:lastRenderedPageBreak/>
              <w:t>concerns (66, 69, 70, 71, 72, 78, 83, 95,  102, 107); and one (4%) with moderate concerns (84),</w:t>
            </w:r>
          </w:p>
        </w:tc>
        <w:tc>
          <w:tcPr>
            <w:tcW w:w="469" w:type="pct"/>
          </w:tcPr>
          <w:p w14:paraId="58E511FF" w14:textId="43BDACF8" w:rsidR="00531ACE" w:rsidRPr="00E0235E" w:rsidRDefault="00F00DA3"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00DA3">
              <w:rPr>
                <w:rFonts w:ascii="Times New Roman" w:eastAsia="Times New Roman" w:hAnsi="Times New Roman" w:cs="Times New Roman"/>
                <w:kern w:val="0"/>
                <w:lang w:eastAsia="en-GB"/>
                <w14:ligatures w14:val="none"/>
              </w:rPr>
              <w:lastRenderedPageBreak/>
              <w:t xml:space="preserve">No or very minor concerns. The finding was well supported across the studies. Any variation </w:t>
            </w:r>
            <w:r w:rsidRPr="00F00DA3">
              <w:rPr>
                <w:rFonts w:ascii="Times New Roman" w:eastAsia="Times New Roman" w:hAnsi="Times New Roman" w:cs="Times New Roman"/>
                <w:kern w:val="0"/>
                <w:lang w:eastAsia="en-GB"/>
                <w14:ligatures w14:val="none"/>
              </w:rPr>
              <w:lastRenderedPageBreak/>
              <w:t>between studies was minor and could be explained by contextual differences rather than reflecting contradictory evidence.</w:t>
            </w:r>
          </w:p>
        </w:tc>
        <w:tc>
          <w:tcPr>
            <w:tcW w:w="405" w:type="pct"/>
          </w:tcPr>
          <w:p w14:paraId="66F03C6D" w14:textId="5EA18DB8" w:rsidR="00531ACE" w:rsidRPr="00E0235E" w:rsidRDefault="00F00DA3"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00DA3">
              <w:rPr>
                <w:rFonts w:ascii="Times New Roman" w:eastAsia="Times New Roman" w:hAnsi="Times New Roman" w:cs="Times New Roman"/>
                <w:kern w:val="0"/>
                <w:lang w:eastAsia="en-GB"/>
                <w14:ligatures w14:val="none"/>
              </w:rPr>
              <w:lastRenderedPageBreak/>
              <w:t xml:space="preserve">No or very minor concerns. A large number of studies contributed to the </w:t>
            </w:r>
            <w:r w:rsidRPr="00F00DA3">
              <w:rPr>
                <w:rFonts w:ascii="Times New Roman" w:eastAsia="Times New Roman" w:hAnsi="Times New Roman" w:cs="Times New Roman"/>
                <w:kern w:val="0"/>
                <w:lang w:eastAsia="en-GB"/>
                <w14:ligatures w14:val="none"/>
              </w:rPr>
              <w:lastRenderedPageBreak/>
              <w:t>sub-theme, representing various contexts and settings, with several providing nuanced, conceptually-rich insights.</w:t>
            </w:r>
          </w:p>
        </w:tc>
        <w:tc>
          <w:tcPr>
            <w:tcW w:w="852" w:type="pct"/>
          </w:tcPr>
          <w:p w14:paraId="294B04CE" w14:textId="76C6ADB2" w:rsidR="00531ACE" w:rsidRPr="00E0235E" w:rsidRDefault="00A43B4A"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43B4A">
              <w:rPr>
                <w:rFonts w:ascii="Times New Roman" w:eastAsia="Times New Roman" w:hAnsi="Times New Roman" w:cs="Times New Roman"/>
                <w:kern w:val="0"/>
                <w:lang w:eastAsia="en-GB"/>
                <w14:ligatures w14:val="none"/>
              </w:rPr>
              <w:lastRenderedPageBreak/>
              <w:t xml:space="preserve">Minor concerns. Six studies (29%) focused on partially relevant populations, though all raised only minor relevance concerns. Specifically, four studies still focused exclusively on sexual </w:t>
            </w:r>
            <w:r w:rsidRPr="00A43B4A">
              <w:rPr>
                <w:rFonts w:ascii="Times New Roman" w:eastAsia="Times New Roman" w:hAnsi="Times New Roman" w:cs="Times New Roman"/>
                <w:kern w:val="0"/>
                <w:lang w:eastAsia="en-GB"/>
                <w14:ligatures w14:val="none"/>
              </w:rPr>
              <w:lastRenderedPageBreak/>
              <w:t>violence survivors (69, 83, 98, 99), and two examined intimate partner violence (95, 104), which remains highly relevant to the adulthood context of this review. Three studies (14%) did not focus on healthcare settings (75, 82, 102). None raised relevance concerns on both dimensions (i.e., all focused either on healthcare settings or adulthood sexual violence, or addressed both).</w:t>
            </w:r>
          </w:p>
        </w:tc>
        <w:tc>
          <w:tcPr>
            <w:tcW w:w="475" w:type="pct"/>
          </w:tcPr>
          <w:p w14:paraId="3E041932" w14:textId="35A4E4DB" w:rsidR="00531ACE" w:rsidRPr="00E0235E" w:rsidRDefault="00B508B5"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p>
        </w:tc>
        <w:tc>
          <w:tcPr>
            <w:tcW w:w="947" w:type="pct"/>
          </w:tcPr>
          <w:p w14:paraId="3E475C25" w14:textId="3F028E69" w:rsidR="001E4033" w:rsidRPr="00E0235E" w:rsidRDefault="00A43B4A"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43B4A">
              <w:rPr>
                <w:rFonts w:ascii="Times New Roman" w:eastAsia="Times New Roman" w:hAnsi="Times New Roman" w:cs="Times New Roman"/>
                <w:kern w:val="0"/>
                <w:lang w:eastAsia="en-GB"/>
                <w14:ligatures w14:val="none"/>
              </w:rPr>
              <w:t xml:space="preserve">Most studies (20 or 95%) raised no or minor methodological concerns. There were no or very minor concerns about coherence or adequacy. A large number of studies contributed to this review finding (21, or 42% of all </w:t>
            </w:r>
            <w:r w:rsidRPr="00A43B4A">
              <w:rPr>
                <w:rFonts w:ascii="Times New Roman" w:eastAsia="Times New Roman" w:hAnsi="Times New Roman" w:cs="Times New Roman"/>
                <w:kern w:val="0"/>
                <w:lang w:eastAsia="en-GB"/>
                <w14:ligatures w14:val="none"/>
              </w:rPr>
              <w:lastRenderedPageBreak/>
              <w:t>studies included in the review). All were either directly relevant to the review question or raised only minor relevance concerns. The sub-theme was well represented across conceptually rich studies and diverse healthcare settings.</w:t>
            </w:r>
          </w:p>
        </w:tc>
      </w:tr>
    </w:tbl>
    <w:tbl>
      <w:tblPr>
        <w:tblStyle w:val="PlainTable2"/>
        <w:tblW w:w="5029" w:type="pct"/>
        <w:tblLook w:val="04A0" w:firstRow="1" w:lastRow="0" w:firstColumn="1" w:lastColumn="0" w:noHBand="0" w:noVBand="1"/>
      </w:tblPr>
      <w:tblGrid>
        <w:gridCol w:w="14039"/>
      </w:tblGrid>
      <w:tr w:rsidR="00483DE1" w:rsidRPr="00E0235E" w14:paraId="40EC9E34" w14:textId="77777777" w:rsidTr="005A2AB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DD49F35" w14:textId="4D2C1D54" w:rsidR="00483DE1" w:rsidRPr="00E0235E" w:rsidRDefault="00483DE1" w:rsidP="008D0CDC">
            <w:pPr>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t>Theme 2: Mak</w:t>
            </w:r>
            <w:r w:rsidR="00B64AB4" w:rsidRPr="00E0235E">
              <w:rPr>
                <w:rFonts w:ascii="Times New Roman" w:eastAsia="Times New Roman" w:hAnsi="Times New Roman" w:cs="Times New Roman"/>
                <w:b w:val="0"/>
                <w:bCs w:val="0"/>
                <w:kern w:val="0"/>
                <w:lang w:eastAsia="en-GB"/>
                <w14:ligatures w14:val="none"/>
              </w:rPr>
              <w:t>e</w:t>
            </w:r>
            <w:r w:rsidRPr="00E0235E">
              <w:rPr>
                <w:rFonts w:ascii="Times New Roman" w:eastAsia="Times New Roman" w:hAnsi="Times New Roman" w:cs="Times New Roman"/>
                <w:kern w:val="0"/>
                <w:lang w:eastAsia="en-GB"/>
                <w14:ligatures w14:val="none"/>
              </w:rPr>
              <w:t xml:space="preserve"> </w:t>
            </w:r>
            <w:r w:rsidR="006D446C">
              <w:rPr>
                <w:rFonts w:ascii="Times New Roman" w:eastAsia="Times New Roman" w:hAnsi="Times New Roman" w:cs="Times New Roman"/>
                <w:kern w:val="0"/>
                <w:lang w:eastAsia="en-GB"/>
                <w14:ligatures w14:val="none"/>
              </w:rPr>
              <w:t>sexual violence</w:t>
            </w:r>
            <w:r w:rsidRPr="00E0235E">
              <w:rPr>
                <w:rFonts w:ascii="Times New Roman" w:eastAsia="Times New Roman" w:hAnsi="Times New Roman" w:cs="Times New Roman"/>
                <w:kern w:val="0"/>
                <w:lang w:eastAsia="en-GB"/>
                <w14:ligatures w14:val="none"/>
              </w:rPr>
              <w:t xml:space="preserve"> visible.</w:t>
            </w:r>
            <w:r w:rsidRPr="00E0235E">
              <w:rPr>
                <w:rFonts w:ascii="Times New Roman" w:eastAsia="Times New Roman" w:hAnsi="Times New Roman" w:cs="Times New Roman"/>
                <w:b w:val="0"/>
                <w:bCs w:val="0"/>
                <w:kern w:val="0"/>
                <w:lang w:eastAsia="en-GB"/>
                <w14:ligatures w14:val="none"/>
              </w:rPr>
              <w:t xml:space="preserve"> </w:t>
            </w:r>
            <w:r w:rsidR="006D446C">
              <w:rPr>
                <w:rFonts w:ascii="Times New Roman" w:eastAsia="Times New Roman" w:hAnsi="Times New Roman" w:cs="Times New Roman"/>
                <w:b w:val="0"/>
                <w:bCs w:val="0"/>
                <w:kern w:val="0"/>
                <w:lang w:eastAsia="en-GB"/>
                <w14:ligatures w14:val="none"/>
              </w:rPr>
              <w:t>Sexual violence</w:t>
            </w:r>
            <w:r w:rsidRPr="00E0235E">
              <w:rPr>
                <w:rFonts w:ascii="Times New Roman" w:eastAsia="Times New Roman" w:hAnsi="Times New Roman" w:cs="Times New Roman"/>
                <w:b w:val="0"/>
                <w:bCs w:val="0"/>
                <w:kern w:val="0"/>
                <w:lang w:eastAsia="en-GB"/>
                <w14:ligatures w14:val="none"/>
              </w:rPr>
              <w:t xml:space="preserve"> was rendered invisible in </w:t>
            </w:r>
            <w:r w:rsidR="002D7B40" w:rsidRPr="00E0235E">
              <w:rPr>
                <w:rFonts w:ascii="Times New Roman" w:eastAsia="Times New Roman" w:hAnsi="Times New Roman" w:cs="Times New Roman"/>
                <w:b w:val="0"/>
                <w:bCs w:val="0"/>
                <w:kern w:val="0"/>
                <w:lang w:eastAsia="en-GB"/>
                <w14:ligatures w14:val="none"/>
              </w:rPr>
              <w:t>healthcare</w:t>
            </w:r>
            <w:r w:rsidRPr="00E0235E">
              <w:rPr>
                <w:rFonts w:ascii="Times New Roman" w:eastAsia="Times New Roman" w:hAnsi="Times New Roman" w:cs="Times New Roman"/>
                <w:b w:val="0"/>
                <w:bCs w:val="0"/>
                <w:kern w:val="0"/>
                <w:lang w:eastAsia="en-GB"/>
                <w14:ligatures w14:val="none"/>
              </w:rPr>
              <w:t xml:space="preserve"> settings when disclosures were prevented or when </w:t>
            </w:r>
            <w:r w:rsidR="006D446C">
              <w:rPr>
                <w:rFonts w:ascii="Times New Roman" w:eastAsia="Times New Roman" w:hAnsi="Times New Roman" w:cs="Times New Roman"/>
                <w:b w:val="0"/>
                <w:bCs w:val="0"/>
                <w:kern w:val="0"/>
                <w:lang w:eastAsia="en-GB"/>
                <w14:ligatures w14:val="none"/>
              </w:rPr>
              <w:t>sexual violence</w:t>
            </w:r>
            <w:r w:rsidRPr="00E0235E">
              <w:rPr>
                <w:rFonts w:ascii="Times New Roman" w:eastAsia="Times New Roman" w:hAnsi="Times New Roman" w:cs="Times New Roman"/>
                <w:b w:val="0"/>
                <w:bCs w:val="0"/>
                <w:kern w:val="0"/>
                <w:lang w:eastAsia="en-GB"/>
                <w14:ligatures w14:val="none"/>
              </w:rPr>
              <w:t xml:space="preserve"> was not considered a health-related issue. Providers and services could make </w:t>
            </w:r>
            <w:r w:rsidR="006D446C">
              <w:rPr>
                <w:rFonts w:ascii="Times New Roman" w:eastAsia="Times New Roman" w:hAnsi="Times New Roman" w:cs="Times New Roman"/>
                <w:b w:val="0"/>
                <w:bCs w:val="0"/>
                <w:kern w:val="0"/>
                <w:lang w:eastAsia="en-GB"/>
                <w14:ligatures w14:val="none"/>
              </w:rPr>
              <w:t>sexual violence</w:t>
            </w:r>
            <w:r w:rsidRPr="00E0235E">
              <w:rPr>
                <w:rFonts w:ascii="Times New Roman" w:eastAsia="Times New Roman" w:hAnsi="Times New Roman" w:cs="Times New Roman"/>
                <w:b w:val="0"/>
                <w:bCs w:val="0"/>
                <w:kern w:val="0"/>
                <w:lang w:eastAsia="en-GB"/>
                <w14:ligatures w14:val="none"/>
              </w:rPr>
              <w:t xml:space="preserve"> visible by asking, validating, and responding, and understanding </w:t>
            </w:r>
            <w:r w:rsidR="006D446C">
              <w:rPr>
                <w:rFonts w:ascii="Times New Roman" w:eastAsia="Times New Roman" w:hAnsi="Times New Roman" w:cs="Times New Roman"/>
                <w:b w:val="0"/>
                <w:bCs w:val="0"/>
                <w:kern w:val="0"/>
                <w:lang w:eastAsia="en-GB"/>
                <w14:ligatures w14:val="none"/>
              </w:rPr>
              <w:t>sexual violence</w:t>
            </w:r>
            <w:r w:rsidRPr="00E0235E">
              <w:rPr>
                <w:rFonts w:ascii="Times New Roman" w:eastAsia="Times New Roman" w:hAnsi="Times New Roman" w:cs="Times New Roman"/>
                <w:b w:val="0"/>
                <w:bCs w:val="0"/>
                <w:kern w:val="0"/>
                <w:lang w:eastAsia="en-GB"/>
                <w14:ligatures w14:val="none"/>
              </w:rPr>
              <w:t xml:space="preserve"> as a gendered violation of human rights (n = 41 studies).</w:t>
            </w:r>
          </w:p>
        </w:tc>
      </w:tr>
    </w:tbl>
    <w:tbl>
      <w:tblPr>
        <w:tblStyle w:val="PlainTable2"/>
        <w:tblW w:w="5029" w:type="pct"/>
        <w:tblLayout w:type="fixed"/>
        <w:tblLook w:val="04A0" w:firstRow="1" w:lastRow="0" w:firstColumn="1" w:lastColumn="0" w:noHBand="0" w:noVBand="1"/>
      </w:tblPr>
      <w:tblGrid>
        <w:gridCol w:w="2092"/>
        <w:gridCol w:w="1390"/>
        <w:gridCol w:w="1721"/>
        <w:gridCol w:w="1317"/>
        <w:gridCol w:w="1137"/>
        <w:gridCol w:w="2392"/>
        <w:gridCol w:w="1334"/>
        <w:gridCol w:w="2656"/>
      </w:tblGrid>
      <w:tr w:rsidR="009336EA" w:rsidRPr="00E0235E" w14:paraId="13F06A5A" w14:textId="013A9E11" w:rsidTr="005A2AB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45" w:type="pct"/>
            <w:vAlign w:val="center"/>
            <w:hideMark/>
          </w:tcPr>
          <w:p w14:paraId="507E0496" w14:textId="77777777" w:rsidR="00483DE1" w:rsidRPr="00E0235E" w:rsidRDefault="00483DE1" w:rsidP="008D0CDC">
            <w:pPr>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b w:val="0"/>
                <w:bCs w:val="0"/>
                <w:kern w:val="0"/>
                <w:lang w:eastAsia="en-GB"/>
                <w14:ligatures w14:val="none"/>
              </w:rPr>
              <w:t>Sub-themes </w:t>
            </w:r>
          </w:p>
        </w:tc>
        <w:tc>
          <w:tcPr>
            <w:tcW w:w="495" w:type="pct"/>
            <w:vAlign w:val="center"/>
            <w:hideMark/>
          </w:tcPr>
          <w:p w14:paraId="0D82C437" w14:textId="47F4571C"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Studies contributing to the sub-theme</w:t>
            </w:r>
          </w:p>
        </w:tc>
        <w:tc>
          <w:tcPr>
            <w:tcW w:w="613" w:type="pct"/>
            <w:vAlign w:val="center"/>
            <w:hideMark/>
          </w:tcPr>
          <w:p w14:paraId="6CAE1DA9" w14:textId="77777777"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Methodological limitations</w:t>
            </w:r>
          </w:p>
        </w:tc>
        <w:tc>
          <w:tcPr>
            <w:tcW w:w="469" w:type="pct"/>
            <w:vAlign w:val="center"/>
            <w:hideMark/>
          </w:tcPr>
          <w:p w14:paraId="6EB4D8A0" w14:textId="77777777"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Coherence</w:t>
            </w:r>
          </w:p>
        </w:tc>
        <w:tc>
          <w:tcPr>
            <w:tcW w:w="405" w:type="pct"/>
            <w:vAlign w:val="center"/>
            <w:hideMark/>
          </w:tcPr>
          <w:p w14:paraId="2AE75242" w14:textId="77777777"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Adequacy</w:t>
            </w:r>
          </w:p>
        </w:tc>
        <w:tc>
          <w:tcPr>
            <w:tcW w:w="852" w:type="pct"/>
            <w:vAlign w:val="center"/>
            <w:hideMark/>
          </w:tcPr>
          <w:p w14:paraId="074B899E" w14:textId="77777777"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Relevance</w:t>
            </w:r>
          </w:p>
        </w:tc>
        <w:tc>
          <w:tcPr>
            <w:tcW w:w="475" w:type="pct"/>
            <w:vAlign w:val="center"/>
            <w:hideMark/>
          </w:tcPr>
          <w:p w14:paraId="77EB2B7E" w14:textId="7EBC7930"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Assessment of confidence in evidence </w:t>
            </w:r>
          </w:p>
        </w:tc>
        <w:tc>
          <w:tcPr>
            <w:tcW w:w="947" w:type="pct"/>
            <w:vAlign w:val="center"/>
          </w:tcPr>
          <w:p w14:paraId="1B50FB47" w14:textId="77777777"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Explanation of CERQual</w:t>
            </w:r>
          </w:p>
          <w:p w14:paraId="40CE934B" w14:textId="0CC49BC7" w:rsidR="00483DE1" w:rsidRPr="00E0235E" w:rsidRDefault="00483DE1"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assessment</w:t>
            </w:r>
          </w:p>
        </w:tc>
      </w:tr>
      <w:tr w:rsidR="009336EA" w:rsidRPr="00E0235E" w14:paraId="72716CF8" w14:textId="07D2669A" w:rsidTr="005A2AB9">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745" w:type="pct"/>
            <w:hideMark/>
          </w:tcPr>
          <w:p w14:paraId="092CAFA1" w14:textId="34D0BC35" w:rsidR="00483DE1" w:rsidRPr="00E0235E" w:rsidRDefault="0079584D" w:rsidP="00DA48B9">
            <w:pPr>
              <w:rPr>
                <w:rFonts w:ascii="Times New Roman" w:eastAsia="Times New Roman" w:hAnsi="Times New Roman" w:cs="Times New Roman"/>
                <w:kern w:val="0"/>
                <w:lang w:eastAsia="en-GB"/>
                <w14:ligatures w14:val="none"/>
              </w:rPr>
            </w:pPr>
            <w:r w:rsidRPr="0079584D">
              <w:rPr>
                <w:rFonts w:ascii="Times New Roman" w:eastAsia="Times New Roman" w:hAnsi="Times New Roman" w:cs="Times New Roman"/>
                <w:kern w:val="0"/>
                <w:lang w:eastAsia="en-GB"/>
                <w14:ligatures w14:val="none"/>
              </w:rPr>
              <w:t xml:space="preserve">Unspoken and unheard. </w:t>
            </w:r>
            <w:r w:rsidRPr="000C7D0B">
              <w:rPr>
                <w:rFonts w:ascii="Times New Roman" w:eastAsia="Times New Roman" w:hAnsi="Times New Roman" w:cs="Times New Roman"/>
                <w:b w:val="0"/>
                <w:bCs w:val="0"/>
                <w:kern w:val="0"/>
                <w:lang w:eastAsia="en-GB"/>
                <w14:ligatures w14:val="none"/>
              </w:rPr>
              <w:t xml:space="preserve">Healthcare settings often did not provide the safety needed to disclose. Even when survivors overcame substantial barriers to disclosure, they were </w:t>
            </w:r>
            <w:r w:rsidRPr="000C7D0B">
              <w:rPr>
                <w:rFonts w:ascii="Times New Roman" w:eastAsia="Times New Roman" w:hAnsi="Times New Roman" w:cs="Times New Roman"/>
                <w:b w:val="0"/>
                <w:bCs w:val="0"/>
                <w:kern w:val="0"/>
                <w:lang w:eastAsia="en-GB"/>
                <w14:ligatures w14:val="none"/>
              </w:rPr>
              <w:lastRenderedPageBreak/>
              <w:t>often not heard or understood (n = 25).</w:t>
            </w:r>
          </w:p>
        </w:tc>
        <w:tc>
          <w:tcPr>
            <w:tcW w:w="495" w:type="pct"/>
            <w:hideMark/>
          </w:tcPr>
          <w:p w14:paraId="125A580E" w14:textId="46D11E49" w:rsidR="005A5689" w:rsidRPr="00E0235E" w:rsidRDefault="00ED27DA"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D27DA">
              <w:rPr>
                <w:rFonts w:ascii="Times New Roman" w:eastAsia="Times New Roman" w:hAnsi="Times New Roman" w:cs="Times New Roman"/>
                <w:kern w:val="0"/>
                <w:lang w:eastAsia="en-GB"/>
                <w14:ligatures w14:val="none"/>
              </w:rPr>
              <w:lastRenderedPageBreak/>
              <w:t>59, 61, 63, 66, 67, 78, 80, 81, 82, 83, 84, 85, 86, 89, 90, 91, 94, 95, 96, 97, 99, 102, 104, 105, 106</w:t>
            </w:r>
          </w:p>
        </w:tc>
        <w:tc>
          <w:tcPr>
            <w:tcW w:w="613" w:type="pct"/>
            <w:hideMark/>
          </w:tcPr>
          <w:p w14:paraId="2EF0DD24" w14:textId="275EBCE3" w:rsidR="00483DE1" w:rsidRPr="00E0235E" w:rsidRDefault="00ED27DA"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D27DA">
              <w:rPr>
                <w:rFonts w:ascii="Times New Roman" w:eastAsia="Times New Roman" w:hAnsi="Times New Roman" w:cs="Times New Roman"/>
                <w:kern w:val="0"/>
                <w:lang w:eastAsia="en-GB"/>
                <w14:ligatures w14:val="none"/>
              </w:rPr>
              <w:t xml:space="preserve">Minor concerns. Twelve studies (48%) with no or minor concerns (61, 67, 80, 81, 82, 89, 91, 96, 97, 99, 104, 106); eleven (44%) </w:t>
            </w:r>
            <w:r w:rsidRPr="00ED27DA">
              <w:rPr>
                <w:rFonts w:ascii="Times New Roman" w:eastAsia="Times New Roman" w:hAnsi="Times New Roman" w:cs="Times New Roman"/>
                <w:kern w:val="0"/>
                <w:lang w:eastAsia="en-GB"/>
                <w14:ligatures w14:val="none"/>
              </w:rPr>
              <w:lastRenderedPageBreak/>
              <w:t>with minor concerns (59, 66, 78, 83, 85, 86, 90, 94, 95, 102, 105); and two (8%) with moderate concerns (63, 84).</w:t>
            </w:r>
          </w:p>
        </w:tc>
        <w:tc>
          <w:tcPr>
            <w:tcW w:w="469" w:type="pct"/>
            <w:hideMark/>
          </w:tcPr>
          <w:p w14:paraId="69606F90" w14:textId="7881074F" w:rsidR="00483DE1" w:rsidRPr="00E0235E" w:rsidRDefault="00A34057"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34057">
              <w:rPr>
                <w:rFonts w:ascii="Times New Roman" w:eastAsia="Times New Roman" w:hAnsi="Times New Roman" w:cs="Times New Roman"/>
                <w:kern w:val="0"/>
                <w:lang w:eastAsia="en-GB"/>
                <w14:ligatures w14:val="none"/>
              </w:rPr>
              <w:lastRenderedPageBreak/>
              <w:t xml:space="preserve">No or very minor concerns. The finding was well supported across the studies. Any variation </w:t>
            </w:r>
            <w:r w:rsidRPr="00A34057">
              <w:rPr>
                <w:rFonts w:ascii="Times New Roman" w:eastAsia="Times New Roman" w:hAnsi="Times New Roman" w:cs="Times New Roman"/>
                <w:kern w:val="0"/>
                <w:lang w:eastAsia="en-GB"/>
                <w14:ligatures w14:val="none"/>
              </w:rPr>
              <w:lastRenderedPageBreak/>
              <w:t>between studies was minor and could be explained by contextual differences rather than reflecting contradictory evidence.</w:t>
            </w:r>
            <w:r w:rsidR="00483DE1" w:rsidRPr="00E0235E">
              <w:rPr>
                <w:rFonts w:ascii="Times New Roman" w:eastAsia="Times New Roman" w:hAnsi="Times New Roman" w:cs="Times New Roman"/>
                <w:kern w:val="0"/>
                <w:lang w:eastAsia="en-GB"/>
                <w14:ligatures w14:val="none"/>
              </w:rPr>
              <w:t>.</w:t>
            </w:r>
          </w:p>
        </w:tc>
        <w:tc>
          <w:tcPr>
            <w:tcW w:w="405" w:type="pct"/>
            <w:hideMark/>
          </w:tcPr>
          <w:p w14:paraId="33A4DE13" w14:textId="09026068" w:rsidR="00483DE1" w:rsidRPr="00E0235E" w:rsidRDefault="00A34057"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34057">
              <w:rPr>
                <w:rFonts w:ascii="Times New Roman" w:eastAsia="Times New Roman" w:hAnsi="Times New Roman" w:cs="Times New Roman"/>
                <w:kern w:val="0"/>
                <w:lang w:eastAsia="en-GB"/>
                <w14:ligatures w14:val="none"/>
              </w:rPr>
              <w:lastRenderedPageBreak/>
              <w:t xml:space="preserve">No or very minor concerns. A large number of studies contributed to the </w:t>
            </w:r>
            <w:r w:rsidRPr="00A34057">
              <w:rPr>
                <w:rFonts w:ascii="Times New Roman" w:eastAsia="Times New Roman" w:hAnsi="Times New Roman" w:cs="Times New Roman"/>
                <w:kern w:val="0"/>
                <w:lang w:eastAsia="en-GB"/>
                <w14:ligatures w14:val="none"/>
              </w:rPr>
              <w:lastRenderedPageBreak/>
              <w:t>sub-theme, representing various contexts and settings, with several providing nuanced, conceptually-rich insights.</w:t>
            </w:r>
          </w:p>
        </w:tc>
        <w:tc>
          <w:tcPr>
            <w:tcW w:w="852" w:type="pct"/>
            <w:hideMark/>
          </w:tcPr>
          <w:p w14:paraId="2A0EA94B" w14:textId="26514033" w:rsidR="00483DE1" w:rsidRPr="00E0235E" w:rsidRDefault="00A34057" w:rsidP="00F21F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34057">
              <w:rPr>
                <w:rFonts w:ascii="Times New Roman" w:eastAsia="Times New Roman" w:hAnsi="Times New Roman" w:cs="Times New Roman"/>
                <w:kern w:val="0"/>
                <w:lang w:eastAsia="en-GB"/>
                <w14:ligatures w14:val="none"/>
              </w:rPr>
              <w:lastRenderedPageBreak/>
              <w:t xml:space="preserve">Minor concerns. Twelve studies (48%) focused on partially relevant populations, though most of these raised only minor concerns. Specifically, seven studies still focused exclusively on sexual </w:t>
            </w:r>
            <w:r w:rsidRPr="00A34057">
              <w:rPr>
                <w:rFonts w:ascii="Times New Roman" w:eastAsia="Times New Roman" w:hAnsi="Times New Roman" w:cs="Times New Roman"/>
                <w:kern w:val="0"/>
                <w:lang w:eastAsia="en-GB"/>
                <w14:ligatures w14:val="none"/>
              </w:rPr>
              <w:lastRenderedPageBreak/>
              <w:t>violence survivors (81, 83, 89, 90, 96, 99, 105), and four examined intimate partner violence (63, 94, 95, 104), which remains highly relevant to the adulthood context of this review. One study included a mixed sample that was not specifically violence-focused (85). Seven studies (67, 82, 89, 94, 96, 102, 105) did not focus on healthcare experiences. Four studies (89, 94, 96, 105) raised relevance concerns on both dimensions (i.e., they addressed neither healthcare settings nor adulthood sexual violence)</w:t>
            </w:r>
            <w:r w:rsidR="00D17363">
              <w:rPr>
                <w:rFonts w:ascii="Times New Roman" w:eastAsia="Times New Roman" w:hAnsi="Times New Roman" w:cs="Times New Roman"/>
                <w:kern w:val="0"/>
                <w:lang w:eastAsia="en-GB"/>
                <w14:ligatures w14:val="none"/>
              </w:rPr>
              <w:t>.</w:t>
            </w:r>
          </w:p>
        </w:tc>
        <w:tc>
          <w:tcPr>
            <w:tcW w:w="475" w:type="pct"/>
            <w:hideMark/>
          </w:tcPr>
          <w:p w14:paraId="0F8167A2" w14:textId="2864B842" w:rsidR="00483DE1" w:rsidRPr="00E0235E" w:rsidRDefault="00483DE1"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p>
        </w:tc>
        <w:tc>
          <w:tcPr>
            <w:tcW w:w="947" w:type="pct"/>
          </w:tcPr>
          <w:p w14:paraId="2DB6C90F" w14:textId="25A505FE" w:rsidR="00483DE1" w:rsidRPr="00E0235E" w:rsidRDefault="00A0642D"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0642D">
              <w:rPr>
                <w:rFonts w:ascii="Times New Roman" w:eastAsia="Times New Roman" w:hAnsi="Times New Roman" w:cs="Times New Roman"/>
                <w:kern w:val="0"/>
                <w:lang w:eastAsia="en-GB"/>
                <w14:ligatures w14:val="none"/>
              </w:rPr>
              <w:t xml:space="preserve">Most studies (23 or 92%) had no or minor methodological concerns. There were no or very minor concerns about coherence or adequacy. A large number of studies contributed to this review finding (25, or 50% of all  </w:t>
            </w:r>
            <w:r w:rsidRPr="00A0642D">
              <w:rPr>
                <w:rFonts w:ascii="Times New Roman" w:eastAsia="Times New Roman" w:hAnsi="Times New Roman" w:cs="Times New Roman"/>
                <w:kern w:val="0"/>
                <w:lang w:eastAsia="en-GB"/>
                <w14:ligatures w14:val="none"/>
              </w:rPr>
              <w:lastRenderedPageBreak/>
              <w:t>studies included in the review). The majority (20 or 80%) were directly relevant to the review question or raised only minor relevance concerns. The sub-theme was well represented across conceptually rich studies and diverse healthcare settings.</w:t>
            </w:r>
          </w:p>
        </w:tc>
      </w:tr>
      <w:tr w:rsidR="009336EA" w:rsidRPr="00E0235E" w14:paraId="4176FE8D" w14:textId="5C6E7A31" w:rsidTr="005A2AB9">
        <w:trPr>
          <w:trHeight w:val="1080"/>
        </w:trPr>
        <w:tc>
          <w:tcPr>
            <w:cnfStyle w:val="001000000000" w:firstRow="0" w:lastRow="0" w:firstColumn="1" w:lastColumn="0" w:oddVBand="0" w:evenVBand="0" w:oddHBand="0" w:evenHBand="0" w:firstRowFirstColumn="0" w:firstRowLastColumn="0" w:lastRowFirstColumn="0" w:lastRowLastColumn="0"/>
            <w:tcW w:w="745" w:type="pct"/>
            <w:hideMark/>
          </w:tcPr>
          <w:p w14:paraId="046E4C00" w14:textId="327EA383" w:rsidR="008F502B" w:rsidRPr="00E0235E" w:rsidRDefault="00A421C2" w:rsidP="00DA48B9">
            <w:pPr>
              <w:rPr>
                <w:rFonts w:ascii="Times New Roman" w:eastAsia="Times New Roman" w:hAnsi="Times New Roman" w:cs="Times New Roman"/>
                <w:kern w:val="0"/>
                <w:lang w:eastAsia="en-GB"/>
                <w14:ligatures w14:val="none"/>
              </w:rPr>
            </w:pPr>
            <w:r w:rsidRPr="00A421C2">
              <w:rPr>
                <w:rFonts w:ascii="Times New Roman" w:eastAsia="Times New Roman" w:hAnsi="Times New Roman" w:cs="Times New Roman"/>
                <w:kern w:val="0"/>
                <w:lang w:eastAsia="en-GB"/>
                <w14:ligatures w14:val="none"/>
              </w:rPr>
              <w:t xml:space="preserve">A harmful system. </w:t>
            </w:r>
            <w:r w:rsidRPr="000C7D0B">
              <w:rPr>
                <w:rFonts w:ascii="Times New Roman" w:eastAsia="Times New Roman" w:hAnsi="Times New Roman" w:cs="Times New Roman"/>
                <w:b w:val="0"/>
                <w:bCs w:val="0"/>
                <w:kern w:val="0"/>
                <w:lang w:eastAsia="en-GB"/>
                <w14:ligatures w14:val="none"/>
              </w:rPr>
              <w:t xml:space="preserve">Survivors described fragmented services and poor communication which deepened distress. Marginalised groups faced exclusion and misunderstanding, </w:t>
            </w:r>
            <w:r w:rsidRPr="000C7D0B">
              <w:rPr>
                <w:rFonts w:ascii="Times New Roman" w:eastAsia="Times New Roman" w:hAnsi="Times New Roman" w:cs="Times New Roman"/>
                <w:b w:val="0"/>
                <w:bCs w:val="0"/>
                <w:kern w:val="0"/>
                <w:lang w:eastAsia="en-GB"/>
                <w14:ligatures w14:val="none"/>
              </w:rPr>
              <w:lastRenderedPageBreak/>
              <w:t>and a tendency to pathologise trauma left many survivors unsupported (n = 30).</w:t>
            </w:r>
            <w:r w:rsidRPr="00A421C2">
              <w:rPr>
                <w:rFonts w:ascii="Times New Roman" w:eastAsia="Times New Roman" w:hAnsi="Times New Roman" w:cs="Times New Roman"/>
                <w:kern w:val="0"/>
                <w:lang w:eastAsia="en-GB"/>
                <w14:ligatures w14:val="none"/>
              </w:rPr>
              <w:t> </w:t>
            </w:r>
          </w:p>
        </w:tc>
        <w:tc>
          <w:tcPr>
            <w:tcW w:w="495" w:type="pct"/>
            <w:hideMark/>
          </w:tcPr>
          <w:p w14:paraId="166650AD" w14:textId="3F5397FB" w:rsidR="00EA12BE" w:rsidRPr="00E0235E" w:rsidRDefault="00BE0604"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BE0604">
              <w:rPr>
                <w:rFonts w:ascii="Times New Roman" w:eastAsia="Times New Roman" w:hAnsi="Times New Roman" w:cs="Times New Roman"/>
                <w:kern w:val="0"/>
                <w:lang w:eastAsia="en-GB"/>
                <w14:ligatures w14:val="none"/>
              </w:rPr>
              <w:lastRenderedPageBreak/>
              <w:t>58, 59, 61, 62, 63, 64, 65, 67, 69, 71, 75, 78, 80, 81, 82, 84, 85, 86, 87, 88, 90, 91, 92, 94, 95, 96, 97, 98, 102, 104</w:t>
            </w:r>
          </w:p>
        </w:tc>
        <w:tc>
          <w:tcPr>
            <w:tcW w:w="613" w:type="pct"/>
            <w:hideMark/>
          </w:tcPr>
          <w:p w14:paraId="6E31CAEC" w14:textId="04FA454A" w:rsidR="008F502B" w:rsidRPr="00E0235E" w:rsidRDefault="00BE0604"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BE0604">
              <w:rPr>
                <w:rFonts w:ascii="Times New Roman" w:eastAsia="Times New Roman" w:hAnsi="Times New Roman" w:cs="Times New Roman"/>
                <w:kern w:val="0"/>
                <w:lang w:eastAsia="en-GB"/>
                <w14:ligatures w14:val="none"/>
              </w:rPr>
              <w:t xml:space="preserve">Minor concerns. Twelve (40%) with no or minor concerns (61, 62, 67, 75, 80, 81, 82, 91, 96, 97, 98, 104); sixteen (53%) with minor concerns (58, </w:t>
            </w:r>
            <w:r w:rsidRPr="00BE0604">
              <w:rPr>
                <w:rFonts w:ascii="Times New Roman" w:eastAsia="Times New Roman" w:hAnsi="Times New Roman" w:cs="Times New Roman"/>
                <w:kern w:val="0"/>
                <w:lang w:eastAsia="en-GB"/>
                <w14:ligatures w14:val="none"/>
              </w:rPr>
              <w:lastRenderedPageBreak/>
              <w:t>59, 64, 65, 69, 71, 78, 85, 86, 87, 88, 90, 92, 94, 95, 102); and two (7%) with moderate concerns (63, 84).</w:t>
            </w:r>
          </w:p>
        </w:tc>
        <w:tc>
          <w:tcPr>
            <w:tcW w:w="469" w:type="pct"/>
            <w:hideMark/>
          </w:tcPr>
          <w:p w14:paraId="0742A3EB" w14:textId="1040D7D7" w:rsidR="008F502B" w:rsidRPr="00E0235E" w:rsidRDefault="00BE0604"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BE0604">
              <w:rPr>
                <w:rFonts w:ascii="Times New Roman" w:eastAsia="Times New Roman" w:hAnsi="Times New Roman" w:cs="Times New Roman"/>
                <w:kern w:val="0"/>
                <w:lang w:eastAsia="en-GB"/>
                <w14:ligatures w14:val="none"/>
              </w:rPr>
              <w:lastRenderedPageBreak/>
              <w:t xml:space="preserve">No or very minor concerns. The finding was well supported across the studies. Any variation between </w:t>
            </w:r>
            <w:r w:rsidRPr="00BE0604">
              <w:rPr>
                <w:rFonts w:ascii="Times New Roman" w:eastAsia="Times New Roman" w:hAnsi="Times New Roman" w:cs="Times New Roman"/>
                <w:kern w:val="0"/>
                <w:lang w:eastAsia="en-GB"/>
                <w14:ligatures w14:val="none"/>
              </w:rPr>
              <w:lastRenderedPageBreak/>
              <w:t>studies was minor and could be explained by contextual differences rather than reflecting contradictory evidence.</w:t>
            </w:r>
          </w:p>
        </w:tc>
        <w:tc>
          <w:tcPr>
            <w:tcW w:w="405" w:type="pct"/>
            <w:hideMark/>
          </w:tcPr>
          <w:p w14:paraId="22971C4E" w14:textId="316A4340" w:rsidR="008F502B" w:rsidRPr="00E0235E" w:rsidRDefault="00DE5785"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DE5785">
              <w:rPr>
                <w:rFonts w:ascii="Times New Roman" w:eastAsia="Times New Roman" w:hAnsi="Times New Roman" w:cs="Times New Roman"/>
                <w:kern w:val="0"/>
                <w:lang w:eastAsia="en-GB"/>
                <w14:ligatures w14:val="none"/>
              </w:rPr>
              <w:lastRenderedPageBreak/>
              <w:t>No or very minor concerns. A large number of studies contributed to the sub-</w:t>
            </w:r>
            <w:r w:rsidRPr="00DE5785">
              <w:rPr>
                <w:rFonts w:ascii="Times New Roman" w:eastAsia="Times New Roman" w:hAnsi="Times New Roman" w:cs="Times New Roman"/>
                <w:kern w:val="0"/>
                <w:lang w:eastAsia="en-GB"/>
                <w14:ligatures w14:val="none"/>
              </w:rPr>
              <w:lastRenderedPageBreak/>
              <w:t>theme, representing various contexts and settings, with several providing nuanced, conceptually-rich insights.</w:t>
            </w:r>
          </w:p>
        </w:tc>
        <w:tc>
          <w:tcPr>
            <w:tcW w:w="852" w:type="pct"/>
            <w:hideMark/>
          </w:tcPr>
          <w:p w14:paraId="3007B958" w14:textId="1092872A" w:rsidR="008F502B" w:rsidRPr="00E0235E" w:rsidRDefault="00DE5785"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DE5785">
              <w:rPr>
                <w:rFonts w:ascii="Times New Roman" w:eastAsia="Times New Roman" w:hAnsi="Times New Roman" w:cs="Times New Roman"/>
                <w:kern w:val="0"/>
                <w:lang w:eastAsia="en-GB"/>
                <w14:ligatures w14:val="none"/>
              </w:rPr>
              <w:lastRenderedPageBreak/>
              <w:t xml:space="preserve">Minor concerns. Fourteen studies (47%) focused on partially relevant populations, though most of these raised only minor concerns. Specifically, nine studies still focused exclusively on sexual violence survivors (58, </w:t>
            </w:r>
            <w:r w:rsidRPr="00DE5785">
              <w:rPr>
                <w:rFonts w:ascii="Times New Roman" w:eastAsia="Times New Roman" w:hAnsi="Times New Roman" w:cs="Times New Roman"/>
                <w:kern w:val="0"/>
                <w:lang w:eastAsia="en-GB"/>
                <w14:ligatures w14:val="none"/>
              </w:rPr>
              <w:lastRenderedPageBreak/>
              <w:t>62, 64. 69, 81, 87, 90, 96, 98), and four examined intimate partner violence (63, 94, 95, 104), which remains highly relevant to the adulthood context of this review. One study had a mixed sample that was not focused on violence (85). Six studies (20%) did not focus on healthcare settings (67, 75, 82, 94,  96, 102). Two studies (7%; 94, 96) raised relevance concerns on both dimensions (i.e., they addressed neither healthcare settings nor adulthood sexual violence)</w:t>
            </w:r>
            <w:r w:rsidR="00D17363">
              <w:rPr>
                <w:rFonts w:ascii="Times New Roman" w:eastAsia="Times New Roman" w:hAnsi="Times New Roman" w:cs="Times New Roman"/>
                <w:kern w:val="0"/>
                <w:lang w:eastAsia="en-GB"/>
                <w14:ligatures w14:val="none"/>
              </w:rPr>
              <w:t>.</w:t>
            </w:r>
          </w:p>
        </w:tc>
        <w:tc>
          <w:tcPr>
            <w:tcW w:w="475" w:type="pct"/>
            <w:hideMark/>
          </w:tcPr>
          <w:p w14:paraId="335E3DD6" w14:textId="609A5300" w:rsidR="008F502B" w:rsidRPr="00E0235E" w:rsidRDefault="006F5A4E"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p>
        </w:tc>
        <w:tc>
          <w:tcPr>
            <w:tcW w:w="947" w:type="pct"/>
          </w:tcPr>
          <w:p w14:paraId="15529E8B" w14:textId="4BE2CE99" w:rsidR="008F502B" w:rsidRPr="00E0235E" w:rsidRDefault="00DE5785"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DE5785">
              <w:rPr>
                <w:rFonts w:ascii="Times New Roman" w:eastAsia="Times New Roman" w:hAnsi="Times New Roman" w:cs="Times New Roman"/>
                <w:kern w:val="0"/>
                <w:lang w:eastAsia="en-GB"/>
                <w14:ligatures w14:val="none"/>
              </w:rPr>
              <w:t xml:space="preserve">Most studies (28 or 93%) had no or minor methodological concerns. There were no or very minor concerns about coherence or adequacy. A very large number of studies contributed to this review finding (30, or 60% of all  studies included in </w:t>
            </w:r>
            <w:r w:rsidRPr="00DE5785">
              <w:rPr>
                <w:rFonts w:ascii="Times New Roman" w:eastAsia="Times New Roman" w:hAnsi="Times New Roman" w:cs="Times New Roman"/>
                <w:kern w:val="0"/>
                <w:lang w:eastAsia="en-GB"/>
                <w14:ligatures w14:val="none"/>
              </w:rPr>
              <w:lastRenderedPageBreak/>
              <w:t>the review). The majority (27 or 90%) were directly relevant to the review question or raised only minor relevance concerns. The sub-theme was well represented across the most conceptually rich studies and diverse healthcare settings.</w:t>
            </w:r>
          </w:p>
        </w:tc>
      </w:tr>
      <w:tr w:rsidR="009336EA" w:rsidRPr="00E0235E" w14:paraId="2A3605BC" w14:textId="5A52B762" w:rsidTr="005A2AB9">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745" w:type="pct"/>
            <w:hideMark/>
          </w:tcPr>
          <w:p w14:paraId="0D104FD3" w14:textId="37A2AD3F" w:rsidR="008F502B" w:rsidRPr="00E0235E" w:rsidRDefault="009137B8" w:rsidP="00DA48B9">
            <w:pPr>
              <w:rPr>
                <w:rFonts w:ascii="Times New Roman" w:eastAsia="Times New Roman" w:hAnsi="Times New Roman" w:cs="Times New Roman"/>
                <w:kern w:val="0"/>
                <w:lang w:eastAsia="en-GB"/>
                <w14:ligatures w14:val="none"/>
              </w:rPr>
            </w:pPr>
            <w:r w:rsidRPr="009137B8">
              <w:rPr>
                <w:rFonts w:ascii="Times New Roman" w:eastAsia="Times New Roman" w:hAnsi="Times New Roman" w:cs="Times New Roman"/>
                <w:kern w:val="0"/>
                <w:lang w:eastAsia="en-GB"/>
                <w14:ligatures w14:val="none"/>
              </w:rPr>
              <w:lastRenderedPageBreak/>
              <w:t xml:space="preserve">Ask, validate, respond. </w:t>
            </w:r>
            <w:r w:rsidRPr="000C7D0B">
              <w:rPr>
                <w:rFonts w:ascii="Times New Roman" w:eastAsia="Times New Roman" w:hAnsi="Times New Roman" w:cs="Times New Roman"/>
                <w:b w:val="0"/>
                <w:bCs w:val="0"/>
                <w:kern w:val="0"/>
                <w:lang w:eastAsia="en-GB"/>
                <w14:ligatures w14:val="none"/>
              </w:rPr>
              <w:t>Survivors described needing providers to demonstrate their receptiveness to disclosures, and to respond with empathy and alignment with survivors’ level of readiness (n = 24).</w:t>
            </w:r>
          </w:p>
        </w:tc>
        <w:tc>
          <w:tcPr>
            <w:tcW w:w="495" w:type="pct"/>
            <w:hideMark/>
          </w:tcPr>
          <w:p w14:paraId="45D31B02" w14:textId="76DD2CB7" w:rsidR="000D3A5C" w:rsidRPr="00E0235E" w:rsidRDefault="00EA519C"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A519C">
              <w:rPr>
                <w:rFonts w:ascii="Times New Roman" w:eastAsia="Times New Roman" w:hAnsi="Times New Roman" w:cs="Times New Roman"/>
                <w:kern w:val="0"/>
                <w:lang w:eastAsia="en-GB"/>
                <w14:ligatures w14:val="none"/>
              </w:rPr>
              <w:t>61, 68, 69, 71, 72, 73, 75, 76, 78, 80, 82, 83, 84, 88, 90, 91, 92, 95, 97, 98, 99, 104, 106, 107</w:t>
            </w:r>
          </w:p>
        </w:tc>
        <w:tc>
          <w:tcPr>
            <w:tcW w:w="613" w:type="pct"/>
            <w:hideMark/>
          </w:tcPr>
          <w:p w14:paraId="4EBFEEE5" w14:textId="679D8EF1" w:rsidR="008F502B" w:rsidRPr="00E0235E" w:rsidRDefault="00EA519C"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A519C">
              <w:rPr>
                <w:rFonts w:ascii="Times New Roman" w:eastAsia="Times New Roman" w:hAnsi="Times New Roman" w:cs="Times New Roman"/>
                <w:kern w:val="0"/>
                <w:lang w:eastAsia="en-GB"/>
                <w14:ligatures w14:val="none"/>
              </w:rPr>
              <w:t xml:space="preserve">Minor concerns. Thirteen (54%) with no or minor concerns (61, 68, 73, 75, 76, 80, 82, 91, 97, 98, 99, 104, 106); ten (42%) with minor concerns (69, 71, 72, 78, 83, 88, 90, 92, 95, 107); and one </w:t>
            </w:r>
            <w:r w:rsidRPr="00EA519C">
              <w:rPr>
                <w:rFonts w:ascii="Times New Roman" w:eastAsia="Times New Roman" w:hAnsi="Times New Roman" w:cs="Times New Roman"/>
                <w:kern w:val="0"/>
                <w:lang w:eastAsia="en-GB"/>
                <w14:ligatures w14:val="none"/>
              </w:rPr>
              <w:lastRenderedPageBreak/>
              <w:t xml:space="preserve">(4%) with moderate concerns (84). </w:t>
            </w:r>
          </w:p>
        </w:tc>
        <w:tc>
          <w:tcPr>
            <w:tcW w:w="469" w:type="pct"/>
            <w:hideMark/>
          </w:tcPr>
          <w:p w14:paraId="343CB8DC" w14:textId="2281964F" w:rsidR="008F502B" w:rsidRPr="00E0235E" w:rsidRDefault="00F82789"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82789">
              <w:rPr>
                <w:rFonts w:ascii="Times New Roman" w:eastAsia="Times New Roman" w:hAnsi="Times New Roman" w:cs="Times New Roman"/>
                <w:kern w:val="0"/>
                <w:lang w:eastAsia="en-GB"/>
                <w14:ligatures w14:val="none"/>
              </w:rPr>
              <w:lastRenderedPageBreak/>
              <w:t xml:space="preserve">No or very minor concerns. The finding was well supported across the studies. Any variation between studies was minor and could be </w:t>
            </w:r>
            <w:r w:rsidRPr="00F82789">
              <w:rPr>
                <w:rFonts w:ascii="Times New Roman" w:eastAsia="Times New Roman" w:hAnsi="Times New Roman" w:cs="Times New Roman"/>
                <w:kern w:val="0"/>
                <w:lang w:eastAsia="en-GB"/>
                <w14:ligatures w14:val="none"/>
              </w:rPr>
              <w:lastRenderedPageBreak/>
              <w:t>explained by contextual differences rather than reflecting contradictory evidence.</w:t>
            </w:r>
          </w:p>
        </w:tc>
        <w:tc>
          <w:tcPr>
            <w:tcW w:w="405" w:type="pct"/>
            <w:hideMark/>
          </w:tcPr>
          <w:p w14:paraId="188C9875" w14:textId="6070179C" w:rsidR="008F502B" w:rsidRPr="00E0235E" w:rsidRDefault="00F82789"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F82789">
              <w:rPr>
                <w:rFonts w:ascii="Times New Roman" w:eastAsia="Times New Roman" w:hAnsi="Times New Roman" w:cs="Times New Roman"/>
                <w:kern w:val="0"/>
                <w:lang w:eastAsia="en-GB"/>
                <w14:ligatures w14:val="none"/>
              </w:rPr>
              <w:lastRenderedPageBreak/>
              <w:t xml:space="preserve">No or very minor concerns. A large number of studies contributed to the sub-theme, representing </w:t>
            </w:r>
            <w:r w:rsidRPr="00F82789">
              <w:rPr>
                <w:rFonts w:ascii="Times New Roman" w:eastAsia="Times New Roman" w:hAnsi="Times New Roman" w:cs="Times New Roman"/>
                <w:kern w:val="0"/>
                <w:lang w:eastAsia="en-GB"/>
                <w14:ligatures w14:val="none"/>
              </w:rPr>
              <w:lastRenderedPageBreak/>
              <w:t>various contexts and settings, with several providing nuanced, conceptually-rich insights.</w:t>
            </w:r>
          </w:p>
        </w:tc>
        <w:tc>
          <w:tcPr>
            <w:tcW w:w="852" w:type="pct"/>
            <w:hideMark/>
          </w:tcPr>
          <w:p w14:paraId="6B8E413C" w14:textId="47469D61" w:rsidR="008F502B" w:rsidRPr="00E0235E" w:rsidRDefault="009B037C"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9B037C">
              <w:rPr>
                <w:rFonts w:ascii="Times New Roman" w:eastAsia="Times New Roman" w:hAnsi="Times New Roman" w:cs="Times New Roman"/>
                <w:kern w:val="0"/>
                <w:lang w:eastAsia="en-GB"/>
                <w14:ligatures w14:val="none"/>
              </w:rPr>
              <w:lastRenderedPageBreak/>
              <w:t xml:space="preserve">Minor concerns. Eight studies (33%) focused on partially relevant populations, though all of these raised only minor concerns. Specifically, six studies still focused exclusively on sexual violence survivors (68, 69, 83, 90,  99, 98), and two examined intimate partner violence (94, 95, </w:t>
            </w:r>
            <w:r w:rsidRPr="009B037C">
              <w:rPr>
                <w:rFonts w:ascii="Times New Roman" w:eastAsia="Times New Roman" w:hAnsi="Times New Roman" w:cs="Times New Roman"/>
                <w:kern w:val="0"/>
                <w:lang w:eastAsia="en-GB"/>
                <w14:ligatures w14:val="none"/>
              </w:rPr>
              <w:lastRenderedPageBreak/>
              <w:t>104), which remains highly relevant to the adulthood context of this review. Two studies (8%) did not focus on healthcare settings (75, 82). None raised relevance concerns on both dimensions (i.e., all focused either on healthcare settings or adulthood sexual violence, or addressed both).</w:t>
            </w:r>
          </w:p>
        </w:tc>
        <w:tc>
          <w:tcPr>
            <w:tcW w:w="475" w:type="pct"/>
            <w:hideMark/>
          </w:tcPr>
          <w:p w14:paraId="4B698592" w14:textId="0058DCE7" w:rsidR="008F502B" w:rsidRPr="00E0235E" w:rsidRDefault="00774BCC"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p>
        </w:tc>
        <w:tc>
          <w:tcPr>
            <w:tcW w:w="947" w:type="pct"/>
          </w:tcPr>
          <w:p w14:paraId="3251FEAC" w14:textId="2D78D20F" w:rsidR="008F502B" w:rsidRPr="00F23F2C" w:rsidRDefault="009B037C"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9B037C">
              <w:rPr>
                <w:rFonts w:ascii="Times New Roman" w:eastAsia="Times New Roman" w:hAnsi="Times New Roman" w:cs="Times New Roman"/>
                <w:kern w:val="0"/>
                <w:lang w:eastAsia="en-GB"/>
                <w14:ligatures w14:val="none"/>
              </w:rPr>
              <w:t xml:space="preserve">Most studies (23 or 96%) had no or minor methodological concerns. There were no or very minor concerns about coherence or adequacy. A large number of studies contributed to this review finding (24, or 48% of all  studies included in the review). All were directly relevant to the review question or raised only </w:t>
            </w:r>
            <w:r w:rsidRPr="009B037C">
              <w:rPr>
                <w:rFonts w:ascii="Times New Roman" w:eastAsia="Times New Roman" w:hAnsi="Times New Roman" w:cs="Times New Roman"/>
                <w:kern w:val="0"/>
                <w:lang w:eastAsia="en-GB"/>
                <w14:ligatures w14:val="none"/>
              </w:rPr>
              <w:lastRenderedPageBreak/>
              <w:t>minor relevance concerns. The sub-theme was well represented across the most conceptually rich studies and diverse healthcare settings.</w:t>
            </w:r>
          </w:p>
        </w:tc>
      </w:tr>
    </w:tbl>
    <w:tbl>
      <w:tblPr>
        <w:tblStyle w:val="PlainTable2"/>
        <w:tblW w:w="5029" w:type="pct"/>
        <w:tblLook w:val="04A0" w:firstRow="1" w:lastRow="0" w:firstColumn="1" w:lastColumn="0" w:noHBand="0" w:noVBand="1"/>
      </w:tblPr>
      <w:tblGrid>
        <w:gridCol w:w="14039"/>
      </w:tblGrid>
      <w:tr w:rsidR="008F502B" w:rsidRPr="00E0235E" w14:paraId="505A1280" w14:textId="77777777" w:rsidTr="005A2AB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586D303" w14:textId="3D8C466D" w:rsidR="008F502B" w:rsidRPr="00E0235E" w:rsidRDefault="008F502B" w:rsidP="008D0CDC">
            <w:pPr>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Theme 3: Bear</w:t>
            </w:r>
            <w:r w:rsidR="00B64AB4" w:rsidRPr="00E0235E">
              <w:rPr>
                <w:rFonts w:ascii="Times New Roman" w:eastAsia="Times New Roman" w:hAnsi="Times New Roman" w:cs="Times New Roman"/>
                <w:b w:val="0"/>
                <w:bCs w:val="0"/>
                <w:kern w:val="0"/>
                <w:lang w:eastAsia="en-GB"/>
                <w14:ligatures w14:val="none"/>
              </w:rPr>
              <w:t xml:space="preserve"> </w:t>
            </w:r>
            <w:r w:rsidRPr="00E0235E">
              <w:rPr>
                <w:rFonts w:ascii="Times New Roman" w:eastAsia="Times New Roman" w:hAnsi="Times New Roman" w:cs="Times New Roman"/>
                <w:kern w:val="0"/>
                <w:lang w:eastAsia="en-GB"/>
                <w14:ligatures w14:val="none"/>
              </w:rPr>
              <w:t xml:space="preserve">witness. </w:t>
            </w:r>
            <w:r w:rsidRPr="00E0235E">
              <w:rPr>
                <w:rFonts w:ascii="Times New Roman" w:eastAsia="Times New Roman" w:hAnsi="Times New Roman" w:cs="Times New Roman"/>
                <w:b w:val="0"/>
                <w:bCs w:val="0"/>
                <w:kern w:val="0"/>
                <w:lang w:eastAsia="en-GB"/>
                <w14:ligatures w14:val="none"/>
              </w:rPr>
              <w:t>When survivors' right to autonomy, dignity, and respect was violated or disregarded this could re-create</w:t>
            </w:r>
            <w:r w:rsidR="000D24F5" w:rsidRPr="00E0235E">
              <w:rPr>
                <w:rFonts w:ascii="Times New Roman" w:eastAsia="Times New Roman" w:hAnsi="Times New Roman" w:cs="Times New Roman"/>
                <w:b w:val="0"/>
                <w:bCs w:val="0"/>
                <w:kern w:val="0"/>
                <w:lang w:eastAsia="en-GB"/>
                <w14:ligatures w14:val="none"/>
              </w:rPr>
              <w:t xml:space="preserve"> the violation, dehumanisation and silencing of </w:t>
            </w:r>
            <w:r w:rsidR="006D446C">
              <w:rPr>
                <w:rFonts w:ascii="Times New Roman" w:eastAsia="Times New Roman" w:hAnsi="Times New Roman" w:cs="Times New Roman"/>
                <w:b w:val="0"/>
                <w:bCs w:val="0"/>
                <w:kern w:val="0"/>
                <w:lang w:eastAsia="en-GB"/>
                <w14:ligatures w14:val="none"/>
              </w:rPr>
              <w:t>sexual violence</w:t>
            </w:r>
            <w:r w:rsidRPr="00E0235E">
              <w:rPr>
                <w:rFonts w:ascii="Times New Roman" w:eastAsia="Times New Roman" w:hAnsi="Times New Roman" w:cs="Times New Roman"/>
                <w:b w:val="0"/>
                <w:bCs w:val="0"/>
                <w:kern w:val="0"/>
                <w:lang w:eastAsia="en-GB"/>
                <w14:ligatures w14:val="none"/>
              </w:rPr>
              <w:t>. Survivors needed providers to treat them as whole people, show empathy, support them to make choices, and prioritise relationship</w:t>
            </w:r>
            <w:r w:rsidR="0006483D" w:rsidRPr="00E0235E">
              <w:rPr>
                <w:rFonts w:ascii="Times New Roman" w:eastAsia="Times New Roman" w:hAnsi="Times New Roman" w:cs="Times New Roman"/>
                <w:b w:val="0"/>
                <w:bCs w:val="0"/>
                <w:kern w:val="0"/>
                <w:lang w:eastAsia="en-GB"/>
                <w14:ligatures w14:val="none"/>
              </w:rPr>
              <w:t>-building</w:t>
            </w:r>
            <w:r w:rsidRPr="00E0235E">
              <w:rPr>
                <w:rFonts w:ascii="Times New Roman" w:eastAsia="Times New Roman" w:hAnsi="Times New Roman" w:cs="Times New Roman"/>
                <w:b w:val="0"/>
                <w:bCs w:val="0"/>
                <w:kern w:val="0"/>
                <w:lang w:eastAsia="en-GB"/>
                <w14:ligatures w14:val="none"/>
              </w:rPr>
              <w:t xml:space="preserve"> (n = 43 studies).</w:t>
            </w:r>
          </w:p>
        </w:tc>
      </w:tr>
    </w:tbl>
    <w:tbl>
      <w:tblPr>
        <w:tblStyle w:val="PlainTable2"/>
        <w:tblW w:w="5029" w:type="pct"/>
        <w:tblLayout w:type="fixed"/>
        <w:tblLook w:val="04A0" w:firstRow="1" w:lastRow="0" w:firstColumn="1" w:lastColumn="0" w:noHBand="0" w:noVBand="1"/>
      </w:tblPr>
      <w:tblGrid>
        <w:gridCol w:w="2092"/>
        <w:gridCol w:w="1390"/>
        <w:gridCol w:w="1721"/>
        <w:gridCol w:w="1317"/>
        <w:gridCol w:w="1137"/>
        <w:gridCol w:w="2392"/>
        <w:gridCol w:w="1334"/>
        <w:gridCol w:w="2656"/>
      </w:tblGrid>
      <w:tr w:rsidR="009336EA" w:rsidRPr="00E0235E" w14:paraId="1B4FA75C" w14:textId="4DD828F2" w:rsidTr="005A2AB9">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45" w:type="pct"/>
            <w:vAlign w:val="center"/>
            <w:hideMark/>
          </w:tcPr>
          <w:p w14:paraId="2A848E72" w14:textId="77777777" w:rsidR="008F502B" w:rsidRPr="00E0235E" w:rsidRDefault="008F502B" w:rsidP="008D0CDC">
            <w:pPr>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b w:val="0"/>
                <w:bCs w:val="0"/>
                <w:kern w:val="0"/>
                <w:lang w:eastAsia="en-GB"/>
                <w14:ligatures w14:val="none"/>
              </w:rPr>
              <w:t>Sub-themes </w:t>
            </w:r>
          </w:p>
        </w:tc>
        <w:tc>
          <w:tcPr>
            <w:tcW w:w="495" w:type="pct"/>
            <w:vAlign w:val="center"/>
            <w:hideMark/>
          </w:tcPr>
          <w:p w14:paraId="3A596C01" w14:textId="5BEF13D8"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Studies contributing to the sub-theme</w:t>
            </w:r>
          </w:p>
        </w:tc>
        <w:tc>
          <w:tcPr>
            <w:tcW w:w="613" w:type="pct"/>
            <w:vAlign w:val="center"/>
            <w:hideMark/>
          </w:tcPr>
          <w:p w14:paraId="13912BDF" w14:textId="77777777"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Methodological limitations</w:t>
            </w:r>
          </w:p>
        </w:tc>
        <w:tc>
          <w:tcPr>
            <w:tcW w:w="469" w:type="pct"/>
            <w:vAlign w:val="center"/>
            <w:hideMark/>
          </w:tcPr>
          <w:p w14:paraId="434CC4C1" w14:textId="77777777"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Coherence</w:t>
            </w:r>
          </w:p>
        </w:tc>
        <w:tc>
          <w:tcPr>
            <w:tcW w:w="405" w:type="pct"/>
            <w:vAlign w:val="center"/>
            <w:hideMark/>
          </w:tcPr>
          <w:p w14:paraId="73250989" w14:textId="77777777"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Adequacy</w:t>
            </w:r>
          </w:p>
        </w:tc>
        <w:tc>
          <w:tcPr>
            <w:tcW w:w="852" w:type="pct"/>
            <w:vAlign w:val="center"/>
            <w:hideMark/>
          </w:tcPr>
          <w:p w14:paraId="6EEBBC69" w14:textId="77777777"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Relevance</w:t>
            </w:r>
          </w:p>
        </w:tc>
        <w:tc>
          <w:tcPr>
            <w:tcW w:w="475" w:type="pct"/>
            <w:vAlign w:val="center"/>
          </w:tcPr>
          <w:p w14:paraId="64A7FADC" w14:textId="11728260"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Assessment of confidence in evidence </w:t>
            </w:r>
          </w:p>
        </w:tc>
        <w:tc>
          <w:tcPr>
            <w:tcW w:w="947" w:type="pct"/>
            <w:vAlign w:val="center"/>
          </w:tcPr>
          <w:p w14:paraId="3856AD24" w14:textId="77777777"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Explanation of CERQual</w:t>
            </w:r>
          </w:p>
          <w:p w14:paraId="78A7B410" w14:textId="703D22EE" w:rsidR="008F502B" w:rsidRPr="00E0235E" w:rsidRDefault="008F502B" w:rsidP="008D0CD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en-GB"/>
                <w14:ligatures w14:val="none"/>
              </w:rPr>
            </w:pPr>
            <w:r w:rsidRPr="00E0235E">
              <w:rPr>
                <w:rFonts w:ascii="Times New Roman" w:eastAsia="Times New Roman" w:hAnsi="Times New Roman" w:cs="Times New Roman"/>
                <w:kern w:val="0"/>
                <w:lang w:eastAsia="en-GB"/>
                <w14:ligatures w14:val="none"/>
              </w:rPr>
              <w:t>assessment</w:t>
            </w:r>
          </w:p>
        </w:tc>
      </w:tr>
      <w:tr w:rsidR="009336EA" w:rsidRPr="00E0235E" w14:paraId="4D1469B6" w14:textId="77E26410" w:rsidTr="005A2AB9">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745" w:type="pct"/>
            <w:hideMark/>
          </w:tcPr>
          <w:p w14:paraId="59D43B4E" w14:textId="027ECFF9" w:rsidR="00724B14" w:rsidRPr="00E0235E" w:rsidRDefault="00A0389E" w:rsidP="00DA48B9">
            <w:pPr>
              <w:rPr>
                <w:rFonts w:ascii="Times New Roman" w:eastAsia="Times New Roman" w:hAnsi="Times New Roman" w:cs="Times New Roman"/>
                <w:kern w:val="0"/>
                <w:lang w:eastAsia="en-GB"/>
                <w14:ligatures w14:val="none"/>
              </w:rPr>
            </w:pPr>
            <w:r w:rsidRPr="00A0389E">
              <w:rPr>
                <w:rFonts w:ascii="Times New Roman" w:eastAsia="Times New Roman" w:hAnsi="Times New Roman" w:cs="Times New Roman"/>
                <w:kern w:val="0"/>
                <w:lang w:eastAsia="en-GB"/>
                <w14:ligatures w14:val="none"/>
              </w:rPr>
              <w:t xml:space="preserve">A second attack. </w:t>
            </w:r>
            <w:r w:rsidRPr="000C7D0B">
              <w:rPr>
                <w:rFonts w:ascii="Times New Roman" w:eastAsia="Times New Roman" w:hAnsi="Times New Roman" w:cs="Times New Roman"/>
                <w:b w:val="0"/>
                <w:bCs w:val="0"/>
                <w:kern w:val="0"/>
                <w:lang w:eastAsia="en-GB"/>
                <w14:ligatures w14:val="none"/>
              </w:rPr>
              <w:t xml:space="preserve">Survivors described healthcare experiences that re-created the dynamics of sexual violence, leading to re-traumatisation. These included procedures that crossed body boundaries, removed control, or disregarded </w:t>
            </w:r>
            <w:r w:rsidRPr="000C7D0B">
              <w:rPr>
                <w:rFonts w:ascii="Times New Roman" w:eastAsia="Times New Roman" w:hAnsi="Times New Roman" w:cs="Times New Roman"/>
                <w:b w:val="0"/>
                <w:bCs w:val="0"/>
                <w:kern w:val="0"/>
                <w:lang w:eastAsia="en-GB"/>
                <w14:ligatures w14:val="none"/>
              </w:rPr>
              <w:lastRenderedPageBreak/>
              <w:t>informed consent, often exacerbated by power imbalances and medical authority (n = 20).</w:t>
            </w:r>
          </w:p>
        </w:tc>
        <w:tc>
          <w:tcPr>
            <w:tcW w:w="495" w:type="pct"/>
            <w:hideMark/>
          </w:tcPr>
          <w:p w14:paraId="3DF3F2BB" w14:textId="55FD39C7" w:rsidR="00B00061" w:rsidRPr="00E0235E" w:rsidRDefault="00A0389E"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0389E">
              <w:rPr>
                <w:rFonts w:ascii="Times New Roman" w:eastAsia="Times New Roman" w:hAnsi="Times New Roman" w:cs="Times New Roman"/>
                <w:kern w:val="0"/>
                <w:lang w:eastAsia="en-GB"/>
                <w14:ligatures w14:val="none"/>
              </w:rPr>
              <w:lastRenderedPageBreak/>
              <w:t>61, 64, 67, 68, 70, 72, 74, 75, 79, 80, 81, 86, 89, 90, 91, 95, 98, 99, 103, 106</w:t>
            </w:r>
          </w:p>
        </w:tc>
        <w:tc>
          <w:tcPr>
            <w:tcW w:w="613" w:type="pct"/>
            <w:hideMark/>
          </w:tcPr>
          <w:p w14:paraId="52B3D024" w14:textId="6E9E7B95" w:rsidR="008F502B" w:rsidRPr="00E0235E" w:rsidRDefault="00BA3094"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BA3094">
              <w:rPr>
                <w:rFonts w:ascii="Times New Roman" w:eastAsia="Times New Roman" w:hAnsi="Times New Roman" w:cs="Times New Roman"/>
                <w:kern w:val="0"/>
                <w:lang w:eastAsia="en-GB"/>
                <w14:ligatures w14:val="none"/>
              </w:rPr>
              <w:t>Minor concerns. Thirteen (65%) with no or minor concerns (61, 67, 68, 75, 79, 80, 81, 89, 91, 98, 99, 103, 106) and seven (35%) with minor concerns (64, 70, 72, 74, 86, 90, 95).</w:t>
            </w:r>
          </w:p>
        </w:tc>
        <w:tc>
          <w:tcPr>
            <w:tcW w:w="469" w:type="pct"/>
            <w:hideMark/>
          </w:tcPr>
          <w:p w14:paraId="5744D79C" w14:textId="6D7D8B85" w:rsidR="008F502B" w:rsidRPr="00E0235E" w:rsidRDefault="00BA3094"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BA3094">
              <w:rPr>
                <w:rFonts w:ascii="Times New Roman" w:eastAsia="Times New Roman" w:hAnsi="Times New Roman" w:cs="Times New Roman"/>
                <w:kern w:val="0"/>
                <w:lang w:eastAsia="en-GB"/>
                <w14:ligatures w14:val="none"/>
              </w:rPr>
              <w:t>Minor concerns. Differences in disciplinary framing were noted. Health-focused studies often emphasised individualised, PTSD-</w:t>
            </w:r>
            <w:r w:rsidRPr="00BA3094">
              <w:rPr>
                <w:rFonts w:ascii="Times New Roman" w:eastAsia="Times New Roman" w:hAnsi="Times New Roman" w:cs="Times New Roman"/>
                <w:kern w:val="0"/>
                <w:lang w:eastAsia="en-GB"/>
                <w14:ligatures w14:val="none"/>
              </w:rPr>
              <w:lastRenderedPageBreak/>
              <w:t>focused or biomedical explanations of trauma and re-traumatisation, whereas sociological and feminist studies highlighted relational, systemic and structural dynamics. Our synthesis integrated these perspective</w:t>
            </w:r>
            <w:r w:rsidR="005F5970">
              <w:rPr>
                <w:rFonts w:ascii="Times New Roman" w:eastAsia="Times New Roman" w:hAnsi="Times New Roman" w:cs="Times New Roman"/>
                <w:kern w:val="0"/>
                <w:lang w:eastAsia="en-GB"/>
                <w14:ligatures w14:val="none"/>
              </w:rPr>
              <w:t>s.</w:t>
            </w:r>
          </w:p>
        </w:tc>
        <w:tc>
          <w:tcPr>
            <w:tcW w:w="405" w:type="pct"/>
            <w:hideMark/>
          </w:tcPr>
          <w:p w14:paraId="0710500C" w14:textId="045E5B3D" w:rsidR="008F502B" w:rsidRPr="00E0235E" w:rsidRDefault="00745812"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745812">
              <w:rPr>
                <w:rFonts w:ascii="Times New Roman" w:eastAsia="Times New Roman" w:hAnsi="Times New Roman" w:cs="Times New Roman"/>
                <w:kern w:val="0"/>
                <w:lang w:eastAsia="en-GB"/>
                <w14:ligatures w14:val="none"/>
              </w:rPr>
              <w:lastRenderedPageBreak/>
              <w:t xml:space="preserve">No or very minor concerns. A large number of studies contributed to the sub-theme, representing various </w:t>
            </w:r>
            <w:r w:rsidRPr="00745812">
              <w:rPr>
                <w:rFonts w:ascii="Times New Roman" w:eastAsia="Times New Roman" w:hAnsi="Times New Roman" w:cs="Times New Roman"/>
                <w:kern w:val="0"/>
                <w:lang w:eastAsia="en-GB"/>
                <w14:ligatures w14:val="none"/>
              </w:rPr>
              <w:lastRenderedPageBreak/>
              <w:t>contexts and settings, with several providing nuanced, conceptually-rich insights.</w:t>
            </w:r>
          </w:p>
        </w:tc>
        <w:tc>
          <w:tcPr>
            <w:tcW w:w="852" w:type="pct"/>
            <w:hideMark/>
          </w:tcPr>
          <w:p w14:paraId="5A7235B6" w14:textId="302F830C" w:rsidR="008F502B" w:rsidRPr="00E0235E" w:rsidRDefault="00D83020"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D83020">
              <w:rPr>
                <w:rFonts w:ascii="Times New Roman" w:eastAsia="Times New Roman" w:hAnsi="Times New Roman" w:cs="Times New Roman"/>
                <w:kern w:val="0"/>
                <w:lang w:eastAsia="en-GB"/>
                <w14:ligatures w14:val="none"/>
              </w:rPr>
              <w:lastRenderedPageBreak/>
              <w:t xml:space="preserve">Minor concerns. Nine studies (45%) focused on partially relevant populations, though most of these raised only minor relevance concerns. Specifically, seven studies focused exclusively on sexual violence survivors (64, 68, 81, 89, 90, 98, 99) and one examined intimate partner violence (95), which </w:t>
            </w:r>
            <w:r w:rsidRPr="00D83020">
              <w:rPr>
                <w:rFonts w:ascii="Times New Roman" w:eastAsia="Times New Roman" w:hAnsi="Times New Roman" w:cs="Times New Roman"/>
                <w:kern w:val="0"/>
                <w:lang w:eastAsia="en-GB"/>
                <w14:ligatures w14:val="none"/>
              </w:rPr>
              <w:lastRenderedPageBreak/>
              <w:t>remains highly relevant to the adulthood context of this review. One study included a mixed sample that was not violence focused (79). Four studies did not focus on healthcare settings (67, 103, 89, 75). One study (89) raised relevance concerns on both dimensions (i.e., it addressed neither healthcare settings nor adulthood sexual violence)</w:t>
            </w:r>
            <w:r w:rsidR="00D17363">
              <w:rPr>
                <w:rFonts w:ascii="Times New Roman" w:eastAsia="Times New Roman" w:hAnsi="Times New Roman" w:cs="Times New Roman"/>
                <w:kern w:val="0"/>
                <w:lang w:eastAsia="en-GB"/>
                <w14:ligatures w14:val="none"/>
              </w:rPr>
              <w:t>.</w:t>
            </w:r>
          </w:p>
        </w:tc>
        <w:tc>
          <w:tcPr>
            <w:tcW w:w="475" w:type="pct"/>
            <w:hideMark/>
          </w:tcPr>
          <w:p w14:paraId="6A83605B" w14:textId="2239CDAF" w:rsidR="008F502B" w:rsidRPr="00E0235E" w:rsidRDefault="008F502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r w:rsidR="00F27876" w:rsidRPr="00E0235E">
              <w:rPr>
                <w:rFonts w:ascii="Times New Roman" w:eastAsia="Times New Roman" w:hAnsi="Times New Roman" w:cs="Times New Roman"/>
                <w:kern w:val="0"/>
                <w:lang w:eastAsia="en-GB"/>
                <w14:ligatures w14:val="none"/>
              </w:rPr>
              <w:t xml:space="preserve"> </w:t>
            </w:r>
          </w:p>
        </w:tc>
        <w:tc>
          <w:tcPr>
            <w:tcW w:w="947" w:type="pct"/>
          </w:tcPr>
          <w:p w14:paraId="4325B525" w14:textId="444C0E6A" w:rsidR="009D3158" w:rsidRPr="00B14262" w:rsidRDefault="00D83020"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D83020">
              <w:rPr>
                <w:rFonts w:ascii="Times New Roman" w:eastAsia="Times New Roman" w:hAnsi="Times New Roman" w:cs="Times New Roman"/>
                <w:kern w:val="0"/>
                <w:lang w:eastAsia="en-GB"/>
                <w14:ligatures w14:val="none"/>
              </w:rPr>
              <w:t xml:space="preserve">All studies (20 or 100%) had no or minor methodological concerns. There were minor concerns about coherence, which could be explained by differences in disciplinary framing. There no or very minor concerns about adequacy. A large number of studies contributed to this review finding (20, or 40% of all included studies). The majority (18 </w:t>
            </w:r>
            <w:r w:rsidRPr="00D83020">
              <w:rPr>
                <w:rFonts w:ascii="Times New Roman" w:eastAsia="Times New Roman" w:hAnsi="Times New Roman" w:cs="Times New Roman"/>
                <w:kern w:val="0"/>
                <w:lang w:eastAsia="en-GB"/>
                <w14:ligatures w14:val="none"/>
              </w:rPr>
              <w:lastRenderedPageBreak/>
              <w:t xml:space="preserve">or 90%) were directly relevant to the review question or raised only minor relevance concerns. The sub-theme was well represented across the most conceptually rich studies and diverse healthcare settings. </w:t>
            </w:r>
          </w:p>
        </w:tc>
      </w:tr>
      <w:tr w:rsidR="009336EA" w:rsidRPr="00E0235E" w14:paraId="3C6BE1BE" w14:textId="314B9C06" w:rsidTr="005A2AB9">
        <w:trPr>
          <w:trHeight w:val="1080"/>
        </w:trPr>
        <w:tc>
          <w:tcPr>
            <w:cnfStyle w:val="001000000000" w:firstRow="0" w:lastRow="0" w:firstColumn="1" w:lastColumn="0" w:oddVBand="0" w:evenVBand="0" w:oddHBand="0" w:evenHBand="0" w:firstRowFirstColumn="0" w:firstRowLastColumn="0" w:lastRowFirstColumn="0" w:lastRowLastColumn="0"/>
            <w:tcW w:w="745" w:type="pct"/>
            <w:hideMark/>
          </w:tcPr>
          <w:p w14:paraId="23283F1D" w14:textId="180F7120" w:rsidR="00DA48B9" w:rsidRPr="00E0235E" w:rsidRDefault="00C06213" w:rsidP="00DA48B9">
            <w:pPr>
              <w:rPr>
                <w:rFonts w:ascii="Times New Roman" w:eastAsia="Times New Roman" w:hAnsi="Times New Roman" w:cs="Times New Roman"/>
                <w:kern w:val="0"/>
                <w:lang w:eastAsia="en-GB"/>
                <w14:ligatures w14:val="none"/>
              </w:rPr>
            </w:pPr>
            <w:r w:rsidRPr="00C06213">
              <w:rPr>
                <w:rFonts w:ascii="Times New Roman" w:eastAsia="Times New Roman" w:hAnsi="Times New Roman" w:cs="Times New Roman"/>
                <w:kern w:val="0"/>
                <w:lang w:eastAsia="en-GB"/>
                <w14:ligatures w14:val="none"/>
              </w:rPr>
              <w:lastRenderedPageBreak/>
              <w:t xml:space="preserve">Objectified and dehumanised. </w:t>
            </w:r>
            <w:r w:rsidRPr="000C7D0B">
              <w:rPr>
                <w:rFonts w:ascii="Times New Roman" w:eastAsia="Times New Roman" w:hAnsi="Times New Roman" w:cs="Times New Roman"/>
                <w:b w:val="0"/>
                <w:bCs w:val="0"/>
                <w:kern w:val="0"/>
                <w:lang w:eastAsia="en-GB"/>
                <w14:ligatures w14:val="none"/>
              </w:rPr>
              <w:t xml:space="preserve">Survivors described healthcare interactions that mirrored the power dynamics of sexual violence, leaving them feeling objectified and dehumanised. This included feeling treated as a case, </w:t>
            </w:r>
            <w:r w:rsidRPr="000C7D0B">
              <w:rPr>
                <w:rFonts w:ascii="Times New Roman" w:eastAsia="Times New Roman" w:hAnsi="Times New Roman" w:cs="Times New Roman"/>
                <w:b w:val="0"/>
                <w:bCs w:val="0"/>
                <w:kern w:val="0"/>
                <w:lang w:eastAsia="en-GB"/>
                <w14:ligatures w14:val="none"/>
              </w:rPr>
              <w:lastRenderedPageBreak/>
              <w:t>body, or a diagnosis. Feeling objectified and dehumanised could also feel gendered and racialised  (n = 23).</w:t>
            </w:r>
            <w:r w:rsidRPr="00C06213">
              <w:rPr>
                <w:rFonts w:ascii="Times New Roman" w:eastAsia="Times New Roman" w:hAnsi="Times New Roman" w:cs="Times New Roman"/>
                <w:kern w:val="0"/>
                <w:lang w:eastAsia="en-GB"/>
                <w14:ligatures w14:val="none"/>
              </w:rPr>
              <w:t xml:space="preserve">  </w:t>
            </w:r>
          </w:p>
        </w:tc>
        <w:tc>
          <w:tcPr>
            <w:tcW w:w="495" w:type="pct"/>
            <w:hideMark/>
          </w:tcPr>
          <w:p w14:paraId="5A0A06C3" w14:textId="23738D74" w:rsidR="00DB0220" w:rsidRPr="00E0235E" w:rsidRDefault="00CF5311"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CF5311">
              <w:rPr>
                <w:rFonts w:ascii="Times New Roman" w:eastAsia="Times New Roman" w:hAnsi="Times New Roman" w:cs="Times New Roman"/>
                <w:kern w:val="0"/>
                <w:lang w:eastAsia="en-GB"/>
                <w14:ligatures w14:val="none"/>
              </w:rPr>
              <w:lastRenderedPageBreak/>
              <w:t>58, 61, 64, 67, 68, 70, 72, 74, 75, 78, 79, 80, 81, 85, 86, 91, 92, 95, 96, 97, 98, 99, 104</w:t>
            </w:r>
          </w:p>
        </w:tc>
        <w:tc>
          <w:tcPr>
            <w:tcW w:w="613" w:type="pct"/>
            <w:hideMark/>
          </w:tcPr>
          <w:p w14:paraId="4DB24EC4" w14:textId="4980D902" w:rsidR="00D94B14" w:rsidRPr="00E0235E" w:rsidRDefault="00CF5311"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CF5311">
              <w:rPr>
                <w:rFonts w:ascii="Times New Roman" w:eastAsia="Times New Roman" w:hAnsi="Times New Roman" w:cs="Times New Roman"/>
                <w:kern w:val="0"/>
                <w:lang w:eastAsia="en-GB"/>
                <w14:ligatures w14:val="none"/>
              </w:rPr>
              <w:t>Minor concerns. Thirteen (57%) with no or minor concerns (61, 67, 68, 75, 79, 80, 81, 91, 96, 97, 98, 99, 104) and ten (43%) with minor concerns (58, 64, 70, 72, 74, 78, 85, 86, 92, 95).</w:t>
            </w:r>
          </w:p>
        </w:tc>
        <w:tc>
          <w:tcPr>
            <w:tcW w:w="469" w:type="pct"/>
            <w:hideMark/>
          </w:tcPr>
          <w:p w14:paraId="4C848C92" w14:textId="1F5D01D1" w:rsidR="00D94B14" w:rsidRPr="00E0235E" w:rsidRDefault="00CF5311"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CF5311">
              <w:rPr>
                <w:rFonts w:ascii="Times New Roman" w:eastAsia="Times New Roman" w:hAnsi="Times New Roman" w:cs="Times New Roman"/>
                <w:kern w:val="0"/>
                <w:lang w:eastAsia="en-GB"/>
                <w14:ligatures w14:val="none"/>
              </w:rPr>
              <w:t xml:space="preserve">No or very minor concerns. The finding was well supported across the studies. Any variation between studies was minor and could be </w:t>
            </w:r>
            <w:r w:rsidRPr="00CF5311">
              <w:rPr>
                <w:rFonts w:ascii="Times New Roman" w:eastAsia="Times New Roman" w:hAnsi="Times New Roman" w:cs="Times New Roman"/>
                <w:kern w:val="0"/>
                <w:lang w:eastAsia="en-GB"/>
                <w14:ligatures w14:val="none"/>
              </w:rPr>
              <w:lastRenderedPageBreak/>
              <w:t>explained by contextual differences rather than reflecting contradictory evidence.</w:t>
            </w:r>
            <w:r w:rsidR="00D94B14" w:rsidRPr="00E0235E">
              <w:rPr>
                <w:rFonts w:ascii="Times New Roman" w:eastAsia="Times New Roman" w:hAnsi="Times New Roman" w:cs="Times New Roman"/>
                <w:kern w:val="0"/>
                <w:lang w:eastAsia="en-GB"/>
                <w14:ligatures w14:val="none"/>
              </w:rPr>
              <w:t xml:space="preserve"> </w:t>
            </w:r>
          </w:p>
        </w:tc>
        <w:tc>
          <w:tcPr>
            <w:tcW w:w="405" w:type="pct"/>
            <w:hideMark/>
          </w:tcPr>
          <w:p w14:paraId="14118EF0" w14:textId="4E1B7030" w:rsidR="00D94B14" w:rsidRPr="00E0235E" w:rsidRDefault="00B34874"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B34874">
              <w:rPr>
                <w:rFonts w:ascii="Times New Roman" w:eastAsia="Times New Roman" w:hAnsi="Times New Roman" w:cs="Times New Roman"/>
                <w:kern w:val="0"/>
                <w:lang w:eastAsia="en-GB"/>
                <w14:ligatures w14:val="none"/>
              </w:rPr>
              <w:lastRenderedPageBreak/>
              <w:t>.</w:t>
            </w:r>
            <w:r w:rsidR="00194CB9" w:rsidRPr="00194CB9">
              <w:rPr>
                <w:rFonts w:ascii="Times New Roman" w:eastAsia="Times New Roman" w:hAnsi="Times New Roman" w:cs="Times New Roman"/>
                <w:kern w:val="0"/>
                <w:lang w:eastAsia="en-GB"/>
                <w14:ligatures w14:val="none"/>
              </w:rPr>
              <w:t>Minor concerns. While relatively few studies explicitly addressed power and oppression, incorporat</w:t>
            </w:r>
            <w:r w:rsidR="00194CB9" w:rsidRPr="00194CB9">
              <w:rPr>
                <w:rFonts w:ascii="Times New Roman" w:eastAsia="Times New Roman" w:hAnsi="Times New Roman" w:cs="Times New Roman"/>
                <w:kern w:val="0"/>
                <w:lang w:eastAsia="en-GB"/>
                <w14:ligatures w14:val="none"/>
              </w:rPr>
              <w:lastRenderedPageBreak/>
              <w:t>ing and amplifying these intersecting experiences was critical to ensuring analytical depth, conceptual richness, and alignment with the survivor-centred aims of the review.</w:t>
            </w:r>
          </w:p>
        </w:tc>
        <w:tc>
          <w:tcPr>
            <w:tcW w:w="852" w:type="pct"/>
            <w:hideMark/>
          </w:tcPr>
          <w:p w14:paraId="61BF481F" w14:textId="389DA34A" w:rsidR="00D94B14" w:rsidRPr="00E0235E" w:rsidRDefault="00194CB9"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194CB9">
              <w:rPr>
                <w:rFonts w:ascii="Times New Roman" w:eastAsia="Times New Roman" w:hAnsi="Times New Roman" w:cs="Times New Roman"/>
                <w:kern w:val="0"/>
                <w:lang w:eastAsia="en-GB"/>
                <w14:ligatures w14:val="none"/>
              </w:rPr>
              <w:lastRenderedPageBreak/>
              <w:t xml:space="preserve">Minor concerns. Eleven studies (48%) included partially relevant populations, though most of these raised only minor concerns. Specifically, seven studies still focused exclusively on sexual violence survivors (58, 64, 68, 81, 96, 99, 98), and two examined intimate partner </w:t>
            </w:r>
            <w:r w:rsidRPr="00194CB9">
              <w:rPr>
                <w:rFonts w:ascii="Times New Roman" w:eastAsia="Times New Roman" w:hAnsi="Times New Roman" w:cs="Times New Roman"/>
                <w:kern w:val="0"/>
                <w:lang w:eastAsia="en-GB"/>
                <w14:ligatures w14:val="none"/>
              </w:rPr>
              <w:lastRenderedPageBreak/>
              <w:t>violence (95, 104), which remains highly relevant to the adulthood context of this review. Two studies included mixed samples that were not specifically violence-focused (79, 85). Three studies (13%) did not focus on healthcare settings (67, 75, 96). One study (96) raised relevance concerns on both dimensions (i.e., it addressed neither healthcare settings nor adulthood sexual violence)</w:t>
            </w:r>
            <w:r w:rsidR="00D17363">
              <w:rPr>
                <w:rFonts w:ascii="Times New Roman" w:eastAsia="Times New Roman" w:hAnsi="Times New Roman" w:cs="Times New Roman"/>
                <w:kern w:val="0"/>
                <w:lang w:eastAsia="en-GB"/>
                <w14:ligatures w14:val="none"/>
              </w:rPr>
              <w:t>.</w:t>
            </w:r>
          </w:p>
        </w:tc>
        <w:tc>
          <w:tcPr>
            <w:tcW w:w="475" w:type="pct"/>
            <w:hideMark/>
          </w:tcPr>
          <w:p w14:paraId="023EC082" w14:textId="56E1FE16" w:rsidR="00D94B14" w:rsidRPr="00E0235E" w:rsidRDefault="008B76D1"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p>
        </w:tc>
        <w:tc>
          <w:tcPr>
            <w:tcW w:w="947" w:type="pct"/>
          </w:tcPr>
          <w:p w14:paraId="3CAD5012" w14:textId="7E6934B2" w:rsidR="00D94B14" w:rsidRPr="00E0235E" w:rsidRDefault="00194CB9" w:rsidP="00DA48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194CB9">
              <w:rPr>
                <w:rFonts w:ascii="Times New Roman" w:eastAsia="Times New Roman" w:hAnsi="Times New Roman" w:cs="Times New Roman"/>
                <w:kern w:val="0"/>
                <w:lang w:eastAsia="en-GB"/>
                <w14:ligatures w14:val="none"/>
              </w:rPr>
              <w:t xml:space="preserve">All studies (100%) had no or minor methodological concerns. There were no or very minor concerns about coherence and minor concerns about adequacy. A large number of studies contributed to this review finding (23, or 46% of all included studies). The majority (20 or 87%) were either directly relevant to the review question or </w:t>
            </w:r>
            <w:r w:rsidRPr="00194CB9">
              <w:rPr>
                <w:rFonts w:ascii="Times New Roman" w:eastAsia="Times New Roman" w:hAnsi="Times New Roman" w:cs="Times New Roman"/>
                <w:kern w:val="0"/>
                <w:lang w:eastAsia="en-GB"/>
                <w14:ligatures w14:val="none"/>
              </w:rPr>
              <w:lastRenderedPageBreak/>
              <w:t>raised only minor relevance concerns. The sub-theme was well represented across the most conceptually rich studies and diverse healthcare settings.</w:t>
            </w:r>
          </w:p>
        </w:tc>
      </w:tr>
      <w:tr w:rsidR="009336EA" w:rsidRPr="00DF683E" w14:paraId="6991B374" w14:textId="0B66D814" w:rsidTr="000C7D0B">
        <w:trPr>
          <w:cnfStyle w:val="000000100000" w:firstRow="0" w:lastRow="0" w:firstColumn="0" w:lastColumn="0" w:oddVBand="0" w:evenVBand="0" w:oddHBand="1" w:evenHBand="0" w:firstRowFirstColumn="0" w:firstRowLastColumn="0" w:lastRowFirstColumn="0" w:lastRowLastColumn="0"/>
          <w:trHeight w:val="2542"/>
        </w:trPr>
        <w:tc>
          <w:tcPr>
            <w:cnfStyle w:val="001000000000" w:firstRow="0" w:lastRow="0" w:firstColumn="1" w:lastColumn="0" w:oddVBand="0" w:evenVBand="0" w:oddHBand="0" w:evenHBand="0" w:firstRowFirstColumn="0" w:firstRowLastColumn="0" w:lastRowFirstColumn="0" w:lastRowLastColumn="0"/>
            <w:tcW w:w="745" w:type="pct"/>
            <w:hideMark/>
          </w:tcPr>
          <w:p w14:paraId="11BFF771" w14:textId="6BD99EB5" w:rsidR="00DA48B9" w:rsidRPr="00E0235E" w:rsidRDefault="00B7660F" w:rsidP="00DA48B9">
            <w:pPr>
              <w:rPr>
                <w:rFonts w:ascii="Times New Roman" w:eastAsia="Times New Roman" w:hAnsi="Times New Roman" w:cs="Times New Roman"/>
                <w:kern w:val="0"/>
                <w:lang w:eastAsia="en-GB"/>
                <w14:ligatures w14:val="none"/>
              </w:rPr>
            </w:pPr>
            <w:r w:rsidRPr="00B7660F">
              <w:rPr>
                <w:rFonts w:ascii="Times New Roman" w:eastAsia="Times New Roman" w:hAnsi="Times New Roman" w:cs="Times New Roman"/>
                <w:kern w:val="0"/>
                <w:lang w:eastAsia="en-GB"/>
                <w14:ligatures w14:val="none"/>
              </w:rPr>
              <w:lastRenderedPageBreak/>
              <w:t xml:space="preserve">Be alongside me. </w:t>
            </w:r>
            <w:r w:rsidRPr="000C7D0B">
              <w:rPr>
                <w:rFonts w:ascii="Times New Roman" w:eastAsia="Times New Roman" w:hAnsi="Times New Roman" w:cs="Times New Roman"/>
                <w:b w:val="0"/>
                <w:bCs w:val="0"/>
                <w:kern w:val="0"/>
                <w:lang w:eastAsia="en-GB"/>
                <w14:ligatures w14:val="none"/>
              </w:rPr>
              <w:t xml:space="preserve">To counteract the dehumanisation of sexual violence, survivors needed to feel treated as a whole person and feel cared about. Some noted that there was one individual or service that treated them with respect and kindness, marking a </w:t>
            </w:r>
            <w:r w:rsidRPr="000C7D0B">
              <w:rPr>
                <w:rFonts w:ascii="Times New Roman" w:eastAsia="Times New Roman" w:hAnsi="Times New Roman" w:cs="Times New Roman"/>
                <w:b w:val="0"/>
                <w:bCs w:val="0"/>
                <w:kern w:val="0"/>
                <w:lang w:eastAsia="en-GB"/>
                <w14:ligatures w14:val="none"/>
              </w:rPr>
              <w:lastRenderedPageBreak/>
              <w:t>turning point in their healing journey (n = 39).</w:t>
            </w:r>
            <w:r w:rsidRPr="00B7660F">
              <w:rPr>
                <w:rFonts w:ascii="Times New Roman" w:eastAsia="Times New Roman" w:hAnsi="Times New Roman" w:cs="Times New Roman"/>
                <w:kern w:val="0"/>
                <w:lang w:eastAsia="en-GB"/>
                <w14:ligatures w14:val="none"/>
              </w:rPr>
              <w:t xml:space="preserve"> </w:t>
            </w:r>
          </w:p>
        </w:tc>
        <w:tc>
          <w:tcPr>
            <w:tcW w:w="495" w:type="pct"/>
            <w:hideMark/>
          </w:tcPr>
          <w:p w14:paraId="0C846420" w14:textId="16AA6A3C" w:rsidR="00F23ECA" w:rsidRPr="00E0235E" w:rsidRDefault="00B7660F"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B7660F">
              <w:rPr>
                <w:rFonts w:ascii="Times New Roman" w:eastAsia="Times New Roman" w:hAnsi="Times New Roman" w:cs="Times New Roman"/>
                <w:kern w:val="0"/>
                <w:lang w:eastAsia="en-GB"/>
                <w14:ligatures w14:val="none"/>
              </w:rPr>
              <w:lastRenderedPageBreak/>
              <w:t>58, 59, 60, 61, 63, 64, 67, 68, 69, 70, 71, 72, 73, 74, 75, 76, 78, 79, 80, 82, 83, 85, 86, 87, 88, 89, 90, 91, 94, 95, 96, 97, 98, 99, 102, 104, 105, 106, 107</w:t>
            </w:r>
          </w:p>
        </w:tc>
        <w:tc>
          <w:tcPr>
            <w:tcW w:w="613" w:type="pct"/>
            <w:hideMark/>
          </w:tcPr>
          <w:p w14:paraId="4E01CA55" w14:textId="0F12C041" w:rsidR="00D94B14" w:rsidRPr="00E0235E" w:rsidRDefault="00A533E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533EB">
              <w:rPr>
                <w:rFonts w:ascii="Times New Roman" w:eastAsia="Times New Roman" w:hAnsi="Times New Roman" w:cs="Times New Roman"/>
                <w:kern w:val="0"/>
                <w:lang w:eastAsia="en-GB"/>
                <w14:ligatures w14:val="none"/>
              </w:rPr>
              <w:t xml:space="preserve">Minor concerns. Seventeen (43%) with no or minor concerns (61, 67, 68, 73, 75, 76, 79, 80, 82, 89, 91, 96, 97, 98, 99, 104, 106); twenty-one (54%) with minor concerns (58, 59, 60, 64, 69, 70, 71, 72, </w:t>
            </w:r>
            <w:r w:rsidRPr="00A533EB">
              <w:rPr>
                <w:rFonts w:ascii="Times New Roman" w:eastAsia="Times New Roman" w:hAnsi="Times New Roman" w:cs="Times New Roman"/>
                <w:kern w:val="0"/>
                <w:lang w:eastAsia="en-GB"/>
                <w14:ligatures w14:val="none"/>
              </w:rPr>
              <w:lastRenderedPageBreak/>
              <w:t>74, 78, 83, 85, 86, 87, 88, 90, 94, 95, 102, 105, 107), and one (3%) with moderate concerns (63).</w:t>
            </w:r>
          </w:p>
        </w:tc>
        <w:tc>
          <w:tcPr>
            <w:tcW w:w="469" w:type="pct"/>
            <w:hideMark/>
          </w:tcPr>
          <w:p w14:paraId="35BC0D40" w14:textId="5D664864" w:rsidR="00D94B14" w:rsidRPr="00E0235E" w:rsidRDefault="00A533E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533EB">
              <w:rPr>
                <w:rFonts w:ascii="Times New Roman" w:eastAsia="Times New Roman" w:hAnsi="Times New Roman" w:cs="Times New Roman"/>
                <w:kern w:val="0"/>
                <w:lang w:eastAsia="en-GB"/>
                <w14:ligatures w14:val="none"/>
              </w:rPr>
              <w:lastRenderedPageBreak/>
              <w:t xml:space="preserve">No or very minor concerns. The finding was well supported across the studies. Any variation between studies was minor and could be explained </w:t>
            </w:r>
            <w:r w:rsidRPr="00A533EB">
              <w:rPr>
                <w:rFonts w:ascii="Times New Roman" w:eastAsia="Times New Roman" w:hAnsi="Times New Roman" w:cs="Times New Roman"/>
                <w:kern w:val="0"/>
                <w:lang w:eastAsia="en-GB"/>
                <w14:ligatures w14:val="none"/>
              </w:rPr>
              <w:lastRenderedPageBreak/>
              <w:t>by contextual differences rather than reflecting contradictory evidence.</w:t>
            </w:r>
          </w:p>
        </w:tc>
        <w:tc>
          <w:tcPr>
            <w:tcW w:w="405" w:type="pct"/>
            <w:hideMark/>
          </w:tcPr>
          <w:p w14:paraId="0A551915" w14:textId="37F408CF" w:rsidR="00D94B14" w:rsidRPr="00E0235E" w:rsidRDefault="00A533E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533EB">
              <w:rPr>
                <w:rFonts w:ascii="Times New Roman" w:eastAsia="Times New Roman" w:hAnsi="Times New Roman" w:cs="Times New Roman"/>
                <w:kern w:val="0"/>
                <w:lang w:eastAsia="en-GB"/>
                <w14:ligatures w14:val="none"/>
              </w:rPr>
              <w:lastRenderedPageBreak/>
              <w:t xml:space="preserve">No or very minor concerns. A very large number of studies contributed to the sub-theme, representing </w:t>
            </w:r>
            <w:r w:rsidRPr="00A533EB">
              <w:rPr>
                <w:rFonts w:ascii="Times New Roman" w:eastAsia="Times New Roman" w:hAnsi="Times New Roman" w:cs="Times New Roman"/>
                <w:kern w:val="0"/>
                <w:lang w:eastAsia="en-GB"/>
                <w14:ligatures w14:val="none"/>
              </w:rPr>
              <w:lastRenderedPageBreak/>
              <w:t>various contexts and settings, with several providing nuanced, conceptually-rich insights.</w:t>
            </w:r>
          </w:p>
        </w:tc>
        <w:tc>
          <w:tcPr>
            <w:tcW w:w="852" w:type="pct"/>
            <w:hideMark/>
          </w:tcPr>
          <w:p w14:paraId="647EAEC0" w14:textId="1BC74B1F" w:rsidR="00D94B14" w:rsidRPr="00E0235E" w:rsidRDefault="00A533EB"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A533EB">
              <w:rPr>
                <w:rFonts w:ascii="Times New Roman" w:eastAsia="Times New Roman" w:hAnsi="Times New Roman" w:cs="Times New Roman"/>
                <w:kern w:val="0"/>
                <w:lang w:eastAsia="en-GB"/>
                <w14:ligatures w14:val="none"/>
              </w:rPr>
              <w:lastRenderedPageBreak/>
              <w:t xml:space="preserve">Minor concerns. Eighteen studies (46%) included a partially relevant population, although most of these raised only minor concerns. Specifically, twelve studies still focused exclusively on sexual violence survivors (58, 64, 68, 69, 83, 87, 89, 90, 96, 98, 99, 105), and four examined intimate </w:t>
            </w:r>
            <w:r w:rsidRPr="00A533EB">
              <w:rPr>
                <w:rFonts w:ascii="Times New Roman" w:eastAsia="Times New Roman" w:hAnsi="Times New Roman" w:cs="Times New Roman"/>
                <w:kern w:val="0"/>
                <w:lang w:eastAsia="en-GB"/>
                <w14:ligatures w14:val="none"/>
              </w:rPr>
              <w:lastRenderedPageBreak/>
              <w:t>partner violence (63, 94, 95, 104), which remains highly relevant to the adulthood context of this review. Two studies included mixed samples that were not specifically violence-focused (79, 85). Eight studies (21%) did not focus on healthcare settings (67, 75, 82, 89, 94, 96, 102, 105). Four studies (89, 94, 96, 105) raised relevance concerns on both dimensions (i.e., they addressed neither healthcare settings nor adulthood sexual violence</w:t>
            </w:r>
            <w:r w:rsidR="00D17363">
              <w:rPr>
                <w:rFonts w:ascii="Times New Roman" w:eastAsia="Times New Roman" w:hAnsi="Times New Roman" w:cs="Times New Roman"/>
                <w:kern w:val="0"/>
                <w:lang w:eastAsia="en-GB"/>
                <w14:ligatures w14:val="none"/>
              </w:rPr>
              <w:t>).</w:t>
            </w:r>
          </w:p>
        </w:tc>
        <w:tc>
          <w:tcPr>
            <w:tcW w:w="475" w:type="pct"/>
            <w:hideMark/>
          </w:tcPr>
          <w:p w14:paraId="6B02E82B" w14:textId="65851F96" w:rsidR="00D94B14" w:rsidRPr="00E0235E" w:rsidRDefault="008B76D1"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E0235E">
              <w:rPr>
                <w:rFonts w:ascii="Times New Roman" w:eastAsia="Times New Roman" w:hAnsi="Times New Roman" w:cs="Times New Roman"/>
                <w:kern w:val="0"/>
                <w:lang w:eastAsia="en-GB"/>
                <w14:ligatures w14:val="none"/>
              </w:rPr>
              <w:lastRenderedPageBreak/>
              <w:t>High confidence</w:t>
            </w:r>
          </w:p>
        </w:tc>
        <w:tc>
          <w:tcPr>
            <w:tcW w:w="947" w:type="pct"/>
          </w:tcPr>
          <w:p w14:paraId="037C22E1" w14:textId="7529A878" w:rsidR="005F3D77" w:rsidRPr="00DF683E" w:rsidRDefault="00495EFE" w:rsidP="00DA48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en-GB"/>
                <w14:ligatures w14:val="none"/>
              </w:rPr>
            </w:pPr>
            <w:r w:rsidRPr="00495EFE">
              <w:rPr>
                <w:rFonts w:ascii="Times New Roman" w:eastAsia="Times New Roman" w:hAnsi="Times New Roman" w:cs="Times New Roman"/>
                <w:kern w:val="0"/>
                <w:lang w:eastAsia="en-GB"/>
                <w14:ligatures w14:val="none"/>
              </w:rPr>
              <w:t xml:space="preserve">Most studies (38 or 97%) had no or minor methodological concerns. There were no or very minor concerns about coherence or adequacy. This sub-theme had the largest number of contributing studies (39, or 78% of all included studies). The majority (33 or 85%) were directly relevant to the review question or raised only </w:t>
            </w:r>
            <w:r w:rsidRPr="00495EFE">
              <w:rPr>
                <w:rFonts w:ascii="Times New Roman" w:eastAsia="Times New Roman" w:hAnsi="Times New Roman" w:cs="Times New Roman"/>
                <w:kern w:val="0"/>
                <w:lang w:eastAsia="en-GB"/>
                <w14:ligatures w14:val="none"/>
              </w:rPr>
              <w:lastRenderedPageBreak/>
              <w:t>minor relevance concerns. The finding was well supported across the most conceptually rich studies and diverse healthcare settings.</w:t>
            </w:r>
          </w:p>
        </w:tc>
      </w:tr>
    </w:tbl>
    <w:p w14:paraId="0F84D13C" w14:textId="02F95D22" w:rsidR="003309F5" w:rsidRPr="00DF683E" w:rsidRDefault="003309F5" w:rsidP="00784231">
      <w:pPr>
        <w:rPr>
          <w:rFonts w:ascii="Times New Roman" w:hAnsi="Times New Roman" w:cs="Times New Roman"/>
          <w:sz w:val="24"/>
          <w:szCs w:val="24"/>
        </w:rPr>
      </w:pPr>
    </w:p>
    <w:sectPr w:rsidR="003309F5" w:rsidRPr="00DF683E" w:rsidSect="00CF4DB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EDC22" w14:textId="77777777" w:rsidR="00C8561E" w:rsidRDefault="00C8561E" w:rsidP="00B17CCF">
      <w:pPr>
        <w:spacing w:after="0" w:line="240" w:lineRule="auto"/>
      </w:pPr>
      <w:r>
        <w:separator/>
      </w:r>
    </w:p>
  </w:endnote>
  <w:endnote w:type="continuationSeparator" w:id="0">
    <w:p w14:paraId="2940A0DC" w14:textId="77777777" w:rsidR="00C8561E" w:rsidRDefault="00C8561E" w:rsidP="00B17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91F7F" w14:textId="77777777" w:rsidR="00C8561E" w:rsidRDefault="00C8561E" w:rsidP="00B17CCF">
      <w:pPr>
        <w:spacing w:after="0" w:line="240" w:lineRule="auto"/>
      </w:pPr>
      <w:r>
        <w:separator/>
      </w:r>
    </w:p>
  </w:footnote>
  <w:footnote w:type="continuationSeparator" w:id="0">
    <w:p w14:paraId="60EC65F9" w14:textId="77777777" w:rsidR="00C8561E" w:rsidRDefault="00C8561E" w:rsidP="00B17C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A9"/>
    <w:rsid w:val="00002009"/>
    <w:rsid w:val="00002516"/>
    <w:rsid w:val="00007863"/>
    <w:rsid w:val="000225D6"/>
    <w:rsid w:val="000304AA"/>
    <w:rsid w:val="0003535A"/>
    <w:rsid w:val="000354DB"/>
    <w:rsid w:val="00036DB3"/>
    <w:rsid w:val="0003777E"/>
    <w:rsid w:val="00052A30"/>
    <w:rsid w:val="0005529F"/>
    <w:rsid w:val="00060B49"/>
    <w:rsid w:val="00061376"/>
    <w:rsid w:val="0006483D"/>
    <w:rsid w:val="00066A9A"/>
    <w:rsid w:val="00067B1D"/>
    <w:rsid w:val="000716D3"/>
    <w:rsid w:val="00071BFC"/>
    <w:rsid w:val="00071F7E"/>
    <w:rsid w:val="00072985"/>
    <w:rsid w:val="000813F0"/>
    <w:rsid w:val="00081443"/>
    <w:rsid w:val="00082FE8"/>
    <w:rsid w:val="00083121"/>
    <w:rsid w:val="00083500"/>
    <w:rsid w:val="00090204"/>
    <w:rsid w:val="000A0B42"/>
    <w:rsid w:val="000A291F"/>
    <w:rsid w:val="000A495D"/>
    <w:rsid w:val="000A5266"/>
    <w:rsid w:val="000A78C4"/>
    <w:rsid w:val="000B25C5"/>
    <w:rsid w:val="000B3A55"/>
    <w:rsid w:val="000B3BC2"/>
    <w:rsid w:val="000B3D77"/>
    <w:rsid w:val="000B55EA"/>
    <w:rsid w:val="000C03F1"/>
    <w:rsid w:val="000C22ED"/>
    <w:rsid w:val="000C56B2"/>
    <w:rsid w:val="000C7D0B"/>
    <w:rsid w:val="000D055A"/>
    <w:rsid w:val="000D24F5"/>
    <w:rsid w:val="000D3A5C"/>
    <w:rsid w:val="000D553C"/>
    <w:rsid w:val="000D5FE1"/>
    <w:rsid w:val="000E2451"/>
    <w:rsid w:val="000E6070"/>
    <w:rsid w:val="000E7BC8"/>
    <w:rsid w:val="00104788"/>
    <w:rsid w:val="00105057"/>
    <w:rsid w:val="00115EA7"/>
    <w:rsid w:val="00121B9F"/>
    <w:rsid w:val="001258A4"/>
    <w:rsid w:val="00130225"/>
    <w:rsid w:val="0014120A"/>
    <w:rsid w:val="00141E59"/>
    <w:rsid w:val="001524EB"/>
    <w:rsid w:val="00163216"/>
    <w:rsid w:val="0016428A"/>
    <w:rsid w:val="001642B8"/>
    <w:rsid w:val="00173C1E"/>
    <w:rsid w:val="00173F79"/>
    <w:rsid w:val="00175FD1"/>
    <w:rsid w:val="00182EDF"/>
    <w:rsid w:val="00183A24"/>
    <w:rsid w:val="001848EC"/>
    <w:rsid w:val="00190BA4"/>
    <w:rsid w:val="00194CB9"/>
    <w:rsid w:val="001A2F8D"/>
    <w:rsid w:val="001B0626"/>
    <w:rsid w:val="001B3733"/>
    <w:rsid w:val="001B3E9D"/>
    <w:rsid w:val="001C6D5F"/>
    <w:rsid w:val="001D28CC"/>
    <w:rsid w:val="001E4033"/>
    <w:rsid w:val="001E49BE"/>
    <w:rsid w:val="001F212E"/>
    <w:rsid w:val="001F4472"/>
    <w:rsid w:val="001F71C5"/>
    <w:rsid w:val="00213A56"/>
    <w:rsid w:val="00214001"/>
    <w:rsid w:val="0021538F"/>
    <w:rsid w:val="002153FD"/>
    <w:rsid w:val="00215414"/>
    <w:rsid w:val="002328E8"/>
    <w:rsid w:val="002366B6"/>
    <w:rsid w:val="00236EA9"/>
    <w:rsid w:val="002372F6"/>
    <w:rsid w:val="0024041F"/>
    <w:rsid w:val="002450DF"/>
    <w:rsid w:val="002530D7"/>
    <w:rsid w:val="00254474"/>
    <w:rsid w:val="00256133"/>
    <w:rsid w:val="00256C71"/>
    <w:rsid w:val="00273C8D"/>
    <w:rsid w:val="00276ADB"/>
    <w:rsid w:val="002829F6"/>
    <w:rsid w:val="00292900"/>
    <w:rsid w:val="00293306"/>
    <w:rsid w:val="0029395E"/>
    <w:rsid w:val="00297996"/>
    <w:rsid w:val="002A0523"/>
    <w:rsid w:val="002A115A"/>
    <w:rsid w:val="002A1853"/>
    <w:rsid w:val="002A2ED7"/>
    <w:rsid w:val="002B0992"/>
    <w:rsid w:val="002B50B8"/>
    <w:rsid w:val="002C1030"/>
    <w:rsid w:val="002C12DA"/>
    <w:rsid w:val="002C3B9D"/>
    <w:rsid w:val="002D01C5"/>
    <w:rsid w:val="002D1BFE"/>
    <w:rsid w:val="002D36A6"/>
    <w:rsid w:val="002D5ADF"/>
    <w:rsid w:val="002D7A76"/>
    <w:rsid w:val="002D7B40"/>
    <w:rsid w:val="002E0F54"/>
    <w:rsid w:val="002E2219"/>
    <w:rsid w:val="002E399D"/>
    <w:rsid w:val="002E6C62"/>
    <w:rsid w:val="00301898"/>
    <w:rsid w:val="00313BCF"/>
    <w:rsid w:val="00315141"/>
    <w:rsid w:val="00317372"/>
    <w:rsid w:val="00321AC1"/>
    <w:rsid w:val="00321B0B"/>
    <w:rsid w:val="00323E47"/>
    <w:rsid w:val="00324B94"/>
    <w:rsid w:val="003309F5"/>
    <w:rsid w:val="003342E3"/>
    <w:rsid w:val="003355F2"/>
    <w:rsid w:val="003406A0"/>
    <w:rsid w:val="00340BFA"/>
    <w:rsid w:val="00351B37"/>
    <w:rsid w:val="003526F6"/>
    <w:rsid w:val="003538FA"/>
    <w:rsid w:val="003565D8"/>
    <w:rsid w:val="00360802"/>
    <w:rsid w:val="00360B8A"/>
    <w:rsid w:val="003614AB"/>
    <w:rsid w:val="00364BE6"/>
    <w:rsid w:val="00364DCE"/>
    <w:rsid w:val="003732BB"/>
    <w:rsid w:val="00385D8B"/>
    <w:rsid w:val="00392A9A"/>
    <w:rsid w:val="00392F4A"/>
    <w:rsid w:val="003951F5"/>
    <w:rsid w:val="003964CA"/>
    <w:rsid w:val="003B69F6"/>
    <w:rsid w:val="003C3B19"/>
    <w:rsid w:val="003C65F6"/>
    <w:rsid w:val="003D5D55"/>
    <w:rsid w:val="003D785D"/>
    <w:rsid w:val="003D7FA6"/>
    <w:rsid w:val="003E046E"/>
    <w:rsid w:val="003E46B5"/>
    <w:rsid w:val="003F03B5"/>
    <w:rsid w:val="003F5F92"/>
    <w:rsid w:val="00400A35"/>
    <w:rsid w:val="00405240"/>
    <w:rsid w:val="00411BA8"/>
    <w:rsid w:val="00422158"/>
    <w:rsid w:val="004276B0"/>
    <w:rsid w:val="00432538"/>
    <w:rsid w:val="0043507A"/>
    <w:rsid w:val="004461A2"/>
    <w:rsid w:val="004473B7"/>
    <w:rsid w:val="00450E7C"/>
    <w:rsid w:val="0045777B"/>
    <w:rsid w:val="00472055"/>
    <w:rsid w:val="00474B06"/>
    <w:rsid w:val="00483BE0"/>
    <w:rsid w:val="00483DE1"/>
    <w:rsid w:val="00492E4A"/>
    <w:rsid w:val="00495EFE"/>
    <w:rsid w:val="004A1EA2"/>
    <w:rsid w:val="004A5AC8"/>
    <w:rsid w:val="004A5B21"/>
    <w:rsid w:val="004A7562"/>
    <w:rsid w:val="004B0EC6"/>
    <w:rsid w:val="004B0F00"/>
    <w:rsid w:val="004C0303"/>
    <w:rsid w:val="004C3EB0"/>
    <w:rsid w:val="004C48E6"/>
    <w:rsid w:val="004C7888"/>
    <w:rsid w:val="004D0254"/>
    <w:rsid w:val="004D0A70"/>
    <w:rsid w:val="004D4A9A"/>
    <w:rsid w:val="004E3529"/>
    <w:rsid w:val="004E3AC8"/>
    <w:rsid w:val="004E53F2"/>
    <w:rsid w:val="004E5E5A"/>
    <w:rsid w:val="004E71ED"/>
    <w:rsid w:val="004F1E09"/>
    <w:rsid w:val="005109C6"/>
    <w:rsid w:val="0051115A"/>
    <w:rsid w:val="00512355"/>
    <w:rsid w:val="00531ACE"/>
    <w:rsid w:val="00533499"/>
    <w:rsid w:val="00536284"/>
    <w:rsid w:val="00542F12"/>
    <w:rsid w:val="00545978"/>
    <w:rsid w:val="00564280"/>
    <w:rsid w:val="00574149"/>
    <w:rsid w:val="00577548"/>
    <w:rsid w:val="00577E60"/>
    <w:rsid w:val="0059036C"/>
    <w:rsid w:val="00590B37"/>
    <w:rsid w:val="0059684C"/>
    <w:rsid w:val="00597B41"/>
    <w:rsid w:val="005A0DE5"/>
    <w:rsid w:val="005A2AB9"/>
    <w:rsid w:val="005A5689"/>
    <w:rsid w:val="005A6F6C"/>
    <w:rsid w:val="005A77A9"/>
    <w:rsid w:val="005C51F6"/>
    <w:rsid w:val="005D2782"/>
    <w:rsid w:val="005D7FBE"/>
    <w:rsid w:val="005E045C"/>
    <w:rsid w:val="005F3D77"/>
    <w:rsid w:val="005F5970"/>
    <w:rsid w:val="005F5B25"/>
    <w:rsid w:val="006026D9"/>
    <w:rsid w:val="00602C90"/>
    <w:rsid w:val="00603D5B"/>
    <w:rsid w:val="006134CB"/>
    <w:rsid w:val="0061772C"/>
    <w:rsid w:val="00626850"/>
    <w:rsid w:val="006339A9"/>
    <w:rsid w:val="00635C9B"/>
    <w:rsid w:val="00637737"/>
    <w:rsid w:val="006441D6"/>
    <w:rsid w:val="006554BC"/>
    <w:rsid w:val="0065683F"/>
    <w:rsid w:val="0066475C"/>
    <w:rsid w:val="006774C6"/>
    <w:rsid w:val="00680A93"/>
    <w:rsid w:val="006831AD"/>
    <w:rsid w:val="00684922"/>
    <w:rsid w:val="006878FB"/>
    <w:rsid w:val="006917FB"/>
    <w:rsid w:val="006923F6"/>
    <w:rsid w:val="00695187"/>
    <w:rsid w:val="006959D5"/>
    <w:rsid w:val="006A438F"/>
    <w:rsid w:val="006A488F"/>
    <w:rsid w:val="006B06B3"/>
    <w:rsid w:val="006B18B8"/>
    <w:rsid w:val="006C7EDB"/>
    <w:rsid w:val="006D446C"/>
    <w:rsid w:val="006D5EB1"/>
    <w:rsid w:val="006E004D"/>
    <w:rsid w:val="006E3E0F"/>
    <w:rsid w:val="006F114A"/>
    <w:rsid w:val="006F5A4E"/>
    <w:rsid w:val="007064DC"/>
    <w:rsid w:val="00707230"/>
    <w:rsid w:val="0071115F"/>
    <w:rsid w:val="007241C1"/>
    <w:rsid w:val="00724B14"/>
    <w:rsid w:val="007301C3"/>
    <w:rsid w:val="0073307A"/>
    <w:rsid w:val="00736F04"/>
    <w:rsid w:val="00745812"/>
    <w:rsid w:val="007527A8"/>
    <w:rsid w:val="00755019"/>
    <w:rsid w:val="00764D22"/>
    <w:rsid w:val="0077393A"/>
    <w:rsid w:val="00774BCC"/>
    <w:rsid w:val="00784231"/>
    <w:rsid w:val="00784F65"/>
    <w:rsid w:val="007901C0"/>
    <w:rsid w:val="0079584D"/>
    <w:rsid w:val="00796F7C"/>
    <w:rsid w:val="007B0B7B"/>
    <w:rsid w:val="007B7AF8"/>
    <w:rsid w:val="007C670E"/>
    <w:rsid w:val="007D34BB"/>
    <w:rsid w:val="007D4744"/>
    <w:rsid w:val="007D6A1D"/>
    <w:rsid w:val="007D6B16"/>
    <w:rsid w:val="007E3058"/>
    <w:rsid w:val="007F0BC3"/>
    <w:rsid w:val="008055CC"/>
    <w:rsid w:val="0082132A"/>
    <w:rsid w:val="00823FB4"/>
    <w:rsid w:val="00824FE6"/>
    <w:rsid w:val="008263FA"/>
    <w:rsid w:val="008322BB"/>
    <w:rsid w:val="008552E4"/>
    <w:rsid w:val="00856956"/>
    <w:rsid w:val="00871CDD"/>
    <w:rsid w:val="00871CEA"/>
    <w:rsid w:val="00893183"/>
    <w:rsid w:val="008A0A15"/>
    <w:rsid w:val="008A37C1"/>
    <w:rsid w:val="008B0CA4"/>
    <w:rsid w:val="008B76D1"/>
    <w:rsid w:val="008C69C9"/>
    <w:rsid w:val="008C7B82"/>
    <w:rsid w:val="008D0CDC"/>
    <w:rsid w:val="008E4478"/>
    <w:rsid w:val="008E472E"/>
    <w:rsid w:val="008F0907"/>
    <w:rsid w:val="008F502B"/>
    <w:rsid w:val="008F6186"/>
    <w:rsid w:val="00912046"/>
    <w:rsid w:val="009137B8"/>
    <w:rsid w:val="00913FC8"/>
    <w:rsid w:val="00914A92"/>
    <w:rsid w:val="00916BC2"/>
    <w:rsid w:val="00920F28"/>
    <w:rsid w:val="00921209"/>
    <w:rsid w:val="009251BC"/>
    <w:rsid w:val="0092680C"/>
    <w:rsid w:val="00930752"/>
    <w:rsid w:val="0093214B"/>
    <w:rsid w:val="009336EA"/>
    <w:rsid w:val="00943F93"/>
    <w:rsid w:val="009454B0"/>
    <w:rsid w:val="009526CF"/>
    <w:rsid w:val="009538C9"/>
    <w:rsid w:val="009604D5"/>
    <w:rsid w:val="00960753"/>
    <w:rsid w:val="00960F2A"/>
    <w:rsid w:val="00962120"/>
    <w:rsid w:val="009626E6"/>
    <w:rsid w:val="00963370"/>
    <w:rsid w:val="00975E5D"/>
    <w:rsid w:val="009833A9"/>
    <w:rsid w:val="00985F9D"/>
    <w:rsid w:val="009879CB"/>
    <w:rsid w:val="009905C8"/>
    <w:rsid w:val="009945F7"/>
    <w:rsid w:val="009A1392"/>
    <w:rsid w:val="009A602C"/>
    <w:rsid w:val="009B037C"/>
    <w:rsid w:val="009B0512"/>
    <w:rsid w:val="009C07F1"/>
    <w:rsid w:val="009C4BC1"/>
    <w:rsid w:val="009D3158"/>
    <w:rsid w:val="009D44FD"/>
    <w:rsid w:val="009F027B"/>
    <w:rsid w:val="009F4FF9"/>
    <w:rsid w:val="009F5F82"/>
    <w:rsid w:val="00A01242"/>
    <w:rsid w:val="00A019E1"/>
    <w:rsid w:val="00A02904"/>
    <w:rsid w:val="00A0340E"/>
    <w:rsid w:val="00A0389E"/>
    <w:rsid w:val="00A05CDA"/>
    <w:rsid w:val="00A062DA"/>
    <w:rsid w:val="00A0642D"/>
    <w:rsid w:val="00A06EE1"/>
    <w:rsid w:val="00A13027"/>
    <w:rsid w:val="00A234DC"/>
    <w:rsid w:val="00A25B81"/>
    <w:rsid w:val="00A2611D"/>
    <w:rsid w:val="00A30B1F"/>
    <w:rsid w:val="00A34057"/>
    <w:rsid w:val="00A34C20"/>
    <w:rsid w:val="00A421C2"/>
    <w:rsid w:val="00A43B4A"/>
    <w:rsid w:val="00A44296"/>
    <w:rsid w:val="00A5137D"/>
    <w:rsid w:val="00A51E6A"/>
    <w:rsid w:val="00A533EB"/>
    <w:rsid w:val="00A55912"/>
    <w:rsid w:val="00A60356"/>
    <w:rsid w:val="00A603F5"/>
    <w:rsid w:val="00A76173"/>
    <w:rsid w:val="00A77A12"/>
    <w:rsid w:val="00A83BB5"/>
    <w:rsid w:val="00A83D2F"/>
    <w:rsid w:val="00A875E7"/>
    <w:rsid w:val="00AB002B"/>
    <w:rsid w:val="00AB5EAD"/>
    <w:rsid w:val="00AB7761"/>
    <w:rsid w:val="00AC03E2"/>
    <w:rsid w:val="00AC2C92"/>
    <w:rsid w:val="00AE23E0"/>
    <w:rsid w:val="00AE71BA"/>
    <w:rsid w:val="00AE7A80"/>
    <w:rsid w:val="00AF11B1"/>
    <w:rsid w:val="00AF453E"/>
    <w:rsid w:val="00AF73BE"/>
    <w:rsid w:val="00AF7A2D"/>
    <w:rsid w:val="00B00061"/>
    <w:rsid w:val="00B04C25"/>
    <w:rsid w:val="00B14262"/>
    <w:rsid w:val="00B17B58"/>
    <w:rsid w:val="00B17CCF"/>
    <w:rsid w:val="00B34874"/>
    <w:rsid w:val="00B45B46"/>
    <w:rsid w:val="00B465AC"/>
    <w:rsid w:val="00B50439"/>
    <w:rsid w:val="00B508B5"/>
    <w:rsid w:val="00B51B44"/>
    <w:rsid w:val="00B54163"/>
    <w:rsid w:val="00B549B2"/>
    <w:rsid w:val="00B64AB4"/>
    <w:rsid w:val="00B65B12"/>
    <w:rsid w:val="00B67F83"/>
    <w:rsid w:val="00B75CC6"/>
    <w:rsid w:val="00B7660F"/>
    <w:rsid w:val="00B768E3"/>
    <w:rsid w:val="00B777B0"/>
    <w:rsid w:val="00B8002F"/>
    <w:rsid w:val="00B817A8"/>
    <w:rsid w:val="00B85E11"/>
    <w:rsid w:val="00B87427"/>
    <w:rsid w:val="00BA20A5"/>
    <w:rsid w:val="00BA3094"/>
    <w:rsid w:val="00BA56AF"/>
    <w:rsid w:val="00BA67CC"/>
    <w:rsid w:val="00BC5620"/>
    <w:rsid w:val="00BC56B0"/>
    <w:rsid w:val="00BE0604"/>
    <w:rsid w:val="00BE14E3"/>
    <w:rsid w:val="00BE3483"/>
    <w:rsid w:val="00BE5020"/>
    <w:rsid w:val="00BF672C"/>
    <w:rsid w:val="00C02840"/>
    <w:rsid w:val="00C03B37"/>
    <w:rsid w:val="00C06213"/>
    <w:rsid w:val="00C13AED"/>
    <w:rsid w:val="00C20EF3"/>
    <w:rsid w:val="00C24265"/>
    <w:rsid w:val="00C24542"/>
    <w:rsid w:val="00C2718A"/>
    <w:rsid w:val="00C30609"/>
    <w:rsid w:val="00C31808"/>
    <w:rsid w:val="00C44B88"/>
    <w:rsid w:val="00C468C1"/>
    <w:rsid w:val="00C615EC"/>
    <w:rsid w:val="00C622F0"/>
    <w:rsid w:val="00C651B7"/>
    <w:rsid w:val="00C81868"/>
    <w:rsid w:val="00C8561E"/>
    <w:rsid w:val="00C8795E"/>
    <w:rsid w:val="00C90E98"/>
    <w:rsid w:val="00C936F7"/>
    <w:rsid w:val="00CB6F02"/>
    <w:rsid w:val="00CC550C"/>
    <w:rsid w:val="00CD089B"/>
    <w:rsid w:val="00CD3D4A"/>
    <w:rsid w:val="00CD418F"/>
    <w:rsid w:val="00CD73F6"/>
    <w:rsid w:val="00CE3EC2"/>
    <w:rsid w:val="00CE3FCC"/>
    <w:rsid w:val="00CE7E7D"/>
    <w:rsid w:val="00CF4DB9"/>
    <w:rsid w:val="00CF5311"/>
    <w:rsid w:val="00CF5674"/>
    <w:rsid w:val="00CF7D17"/>
    <w:rsid w:val="00D030FC"/>
    <w:rsid w:val="00D12971"/>
    <w:rsid w:val="00D17363"/>
    <w:rsid w:val="00D20649"/>
    <w:rsid w:val="00D54B1D"/>
    <w:rsid w:val="00D606F6"/>
    <w:rsid w:val="00D61E6F"/>
    <w:rsid w:val="00D638A3"/>
    <w:rsid w:val="00D7079A"/>
    <w:rsid w:val="00D7385D"/>
    <w:rsid w:val="00D7459A"/>
    <w:rsid w:val="00D76859"/>
    <w:rsid w:val="00D81090"/>
    <w:rsid w:val="00D82492"/>
    <w:rsid w:val="00D83020"/>
    <w:rsid w:val="00D857DE"/>
    <w:rsid w:val="00D86225"/>
    <w:rsid w:val="00D94B14"/>
    <w:rsid w:val="00D971D6"/>
    <w:rsid w:val="00DA48B9"/>
    <w:rsid w:val="00DA6635"/>
    <w:rsid w:val="00DA7B75"/>
    <w:rsid w:val="00DB0220"/>
    <w:rsid w:val="00DC1E7D"/>
    <w:rsid w:val="00DC23EC"/>
    <w:rsid w:val="00DC5312"/>
    <w:rsid w:val="00DD46C9"/>
    <w:rsid w:val="00DE5785"/>
    <w:rsid w:val="00DF1162"/>
    <w:rsid w:val="00DF1EDE"/>
    <w:rsid w:val="00DF4E7A"/>
    <w:rsid w:val="00DF683E"/>
    <w:rsid w:val="00E0235E"/>
    <w:rsid w:val="00E159CF"/>
    <w:rsid w:val="00E52A35"/>
    <w:rsid w:val="00E563A6"/>
    <w:rsid w:val="00E7294B"/>
    <w:rsid w:val="00E90682"/>
    <w:rsid w:val="00E93EC2"/>
    <w:rsid w:val="00E97ABE"/>
    <w:rsid w:val="00EA00A3"/>
    <w:rsid w:val="00EA12BE"/>
    <w:rsid w:val="00EA167A"/>
    <w:rsid w:val="00EA3A2C"/>
    <w:rsid w:val="00EA519C"/>
    <w:rsid w:val="00EB1BE9"/>
    <w:rsid w:val="00EB3673"/>
    <w:rsid w:val="00EB4AC1"/>
    <w:rsid w:val="00EB5D17"/>
    <w:rsid w:val="00EB6008"/>
    <w:rsid w:val="00ED2077"/>
    <w:rsid w:val="00ED27DA"/>
    <w:rsid w:val="00ED46D6"/>
    <w:rsid w:val="00ED6B4E"/>
    <w:rsid w:val="00EE0C96"/>
    <w:rsid w:val="00EE1F20"/>
    <w:rsid w:val="00EE7223"/>
    <w:rsid w:val="00EE7A44"/>
    <w:rsid w:val="00EF085E"/>
    <w:rsid w:val="00EF28BD"/>
    <w:rsid w:val="00F0099D"/>
    <w:rsid w:val="00F00DA3"/>
    <w:rsid w:val="00F07302"/>
    <w:rsid w:val="00F1176D"/>
    <w:rsid w:val="00F12FB8"/>
    <w:rsid w:val="00F13A32"/>
    <w:rsid w:val="00F21FF4"/>
    <w:rsid w:val="00F23ECA"/>
    <w:rsid w:val="00F23F2C"/>
    <w:rsid w:val="00F27876"/>
    <w:rsid w:val="00F408FF"/>
    <w:rsid w:val="00F43BF0"/>
    <w:rsid w:val="00F82789"/>
    <w:rsid w:val="00F83119"/>
    <w:rsid w:val="00F836FE"/>
    <w:rsid w:val="00FA3C14"/>
    <w:rsid w:val="00FA5E24"/>
    <w:rsid w:val="00FA736E"/>
    <w:rsid w:val="00FB758B"/>
    <w:rsid w:val="00FD08DA"/>
    <w:rsid w:val="00FD5E3B"/>
    <w:rsid w:val="00FD731F"/>
    <w:rsid w:val="00FF30AC"/>
    <w:rsid w:val="0146824E"/>
    <w:rsid w:val="1062DB6F"/>
    <w:rsid w:val="12E69A7F"/>
    <w:rsid w:val="26D861ED"/>
    <w:rsid w:val="2B21A183"/>
    <w:rsid w:val="4743C5FE"/>
    <w:rsid w:val="60D745CF"/>
    <w:rsid w:val="6ADD0FB8"/>
    <w:rsid w:val="757D3E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C38AD"/>
  <w15:chartTrackingRefBased/>
  <w15:docId w15:val="{2730C4B0-99F1-457D-BB62-4DB9E2AAC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EA9"/>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236EA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236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3673"/>
    <w:rPr>
      <w:sz w:val="16"/>
      <w:szCs w:val="16"/>
    </w:rPr>
  </w:style>
  <w:style w:type="paragraph" w:styleId="CommentText">
    <w:name w:val="annotation text"/>
    <w:basedOn w:val="Normal"/>
    <w:link w:val="CommentTextChar"/>
    <w:uiPriority w:val="99"/>
    <w:unhideWhenUsed/>
    <w:rsid w:val="00EB3673"/>
    <w:pPr>
      <w:spacing w:line="240" w:lineRule="auto"/>
    </w:pPr>
    <w:rPr>
      <w:sz w:val="20"/>
      <w:szCs w:val="20"/>
    </w:rPr>
  </w:style>
  <w:style w:type="character" w:customStyle="1" w:styleId="CommentTextChar">
    <w:name w:val="Comment Text Char"/>
    <w:basedOn w:val="DefaultParagraphFont"/>
    <w:link w:val="CommentText"/>
    <w:uiPriority w:val="99"/>
    <w:rsid w:val="00EB3673"/>
    <w:rPr>
      <w:noProof/>
      <w:sz w:val="20"/>
      <w:szCs w:val="20"/>
    </w:rPr>
  </w:style>
  <w:style w:type="paragraph" w:styleId="CommentSubject">
    <w:name w:val="annotation subject"/>
    <w:basedOn w:val="CommentText"/>
    <w:next w:val="CommentText"/>
    <w:link w:val="CommentSubjectChar"/>
    <w:uiPriority w:val="99"/>
    <w:semiHidden/>
    <w:unhideWhenUsed/>
    <w:rsid w:val="00EB3673"/>
    <w:rPr>
      <w:b/>
      <w:bCs/>
    </w:rPr>
  </w:style>
  <w:style w:type="character" w:customStyle="1" w:styleId="CommentSubjectChar">
    <w:name w:val="Comment Subject Char"/>
    <w:basedOn w:val="CommentTextChar"/>
    <w:link w:val="CommentSubject"/>
    <w:uiPriority w:val="99"/>
    <w:semiHidden/>
    <w:rsid w:val="00EB3673"/>
    <w:rPr>
      <w:b/>
      <w:bCs/>
      <w:noProof/>
      <w:sz w:val="20"/>
      <w:szCs w:val="20"/>
    </w:rPr>
  </w:style>
  <w:style w:type="paragraph" w:styleId="Header">
    <w:name w:val="header"/>
    <w:basedOn w:val="Normal"/>
    <w:link w:val="HeaderChar"/>
    <w:uiPriority w:val="99"/>
    <w:unhideWhenUsed/>
    <w:rsid w:val="00B17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7CCF"/>
    <w:rPr>
      <w:noProof/>
    </w:rPr>
  </w:style>
  <w:style w:type="paragraph" w:styleId="Footer">
    <w:name w:val="footer"/>
    <w:basedOn w:val="Normal"/>
    <w:link w:val="FooterChar"/>
    <w:uiPriority w:val="99"/>
    <w:unhideWhenUsed/>
    <w:rsid w:val="00B17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7CCF"/>
    <w:rPr>
      <w:noProof/>
    </w:rPr>
  </w:style>
  <w:style w:type="paragraph" w:styleId="Revision">
    <w:name w:val="Revision"/>
    <w:hidden/>
    <w:uiPriority w:val="99"/>
    <w:semiHidden/>
    <w:rsid w:val="00105057"/>
    <w:pPr>
      <w:spacing w:after="0"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2237">
      <w:bodyDiv w:val="1"/>
      <w:marLeft w:val="0"/>
      <w:marRight w:val="0"/>
      <w:marTop w:val="0"/>
      <w:marBottom w:val="0"/>
      <w:divBdr>
        <w:top w:val="none" w:sz="0" w:space="0" w:color="auto"/>
        <w:left w:val="none" w:sz="0" w:space="0" w:color="auto"/>
        <w:bottom w:val="none" w:sz="0" w:space="0" w:color="auto"/>
        <w:right w:val="none" w:sz="0" w:space="0" w:color="auto"/>
      </w:divBdr>
    </w:div>
    <w:div w:id="176687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9</Pages>
  <Words>3205</Words>
  <Characters>17422</Characters>
  <Application>Microsoft Office Word</Application>
  <DocSecurity>0</DocSecurity>
  <Lines>1313</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Siofra Peeren</dc:creator>
  <cp:keywords/>
  <dc:description/>
  <cp:lastModifiedBy>Siofra Peeren</cp:lastModifiedBy>
  <cp:revision>48</cp:revision>
  <dcterms:created xsi:type="dcterms:W3CDTF">2025-11-16T22:25:00Z</dcterms:created>
  <dcterms:modified xsi:type="dcterms:W3CDTF">2025-11-17T14:25:00Z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76367fe4-56b7-43da-b5d7-07f1cffbbccb</vt:lpwstr>
  </property>
</Properties>
</file>