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DB568" w14:textId="093F1DB7" w:rsidR="002F6782" w:rsidRPr="00891056" w:rsidRDefault="002F6782" w:rsidP="002F6782">
      <w:pPr>
        <w:kinsoku w:val="0"/>
        <w:overflowPunct w:val="0"/>
        <w:autoSpaceDE w:val="0"/>
        <w:autoSpaceDN w:val="0"/>
        <w:adjustRightInd w:val="0"/>
        <w:spacing w:before="120" w:after="120"/>
        <w:ind w:right="3"/>
        <w:rPr>
          <w:rFonts w:cs="Calibri Light"/>
          <w:bCs/>
          <w:kern w:val="0"/>
          <w:szCs w:val="22"/>
          <w:lang w:val="en-US"/>
        </w:rPr>
      </w:pPr>
      <w:r w:rsidRPr="00891056">
        <w:rPr>
          <w:rFonts w:cs="Calibri Light"/>
          <w:b/>
          <w:bCs/>
          <w:kern w:val="0"/>
          <w:szCs w:val="22"/>
          <w:lang w:val="en-US"/>
        </w:rPr>
        <w:t>Supplementary material 2</w:t>
      </w:r>
      <w:r w:rsidRPr="00891056">
        <w:rPr>
          <w:rFonts w:cs="Calibri Light"/>
          <w:bCs/>
          <w:kern w:val="0"/>
          <w:szCs w:val="22"/>
          <w:lang w:val="en-US"/>
        </w:rPr>
        <w:t xml:space="preserve"> RESCUE Glossary</w:t>
      </w:r>
    </w:p>
    <w:p w14:paraId="75D143D8" w14:textId="77777777" w:rsidR="002F6782" w:rsidRPr="00891056" w:rsidRDefault="002F6782" w:rsidP="002F6782">
      <w:pPr>
        <w:kinsoku w:val="0"/>
        <w:overflowPunct w:val="0"/>
        <w:autoSpaceDE w:val="0"/>
        <w:autoSpaceDN w:val="0"/>
        <w:adjustRightInd w:val="0"/>
        <w:spacing w:before="120" w:after="120"/>
        <w:ind w:right="3"/>
        <w:rPr>
          <w:rFonts w:cs="Calibri Light"/>
          <w:b/>
          <w:bCs/>
          <w:color w:val="0F4761" w:themeColor="accent1" w:themeShade="BF"/>
          <w:kern w:val="0"/>
          <w:sz w:val="28"/>
          <w:szCs w:val="28"/>
          <w:lang w:val="en-US"/>
        </w:rPr>
      </w:pPr>
    </w:p>
    <w:p w14:paraId="7824B7D7" w14:textId="77777777" w:rsidR="002F6782" w:rsidRPr="00891056" w:rsidRDefault="002F6782" w:rsidP="002F6782">
      <w:pPr>
        <w:kinsoku w:val="0"/>
        <w:overflowPunct w:val="0"/>
        <w:autoSpaceDE w:val="0"/>
        <w:autoSpaceDN w:val="0"/>
        <w:adjustRightInd w:val="0"/>
        <w:spacing w:before="120" w:after="120"/>
        <w:ind w:right="3"/>
        <w:rPr>
          <w:rFonts w:cs="Calibri Light"/>
          <w:b/>
          <w:bCs/>
          <w:color w:val="0F4761" w:themeColor="accent1" w:themeShade="BF"/>
          <w:kern w:val="0"/>
          <w:sz w:val="28"/>
          <w:szCs w:val="28"/>
          <w:lang w:val="en-US"/>
        </w:rPr>
      </w:pPr>
    </w:p>
    <w:p w14:paraId="7EE58930" w14:textId="55146FA7" w:rsidR="008463CC" w:rsidRPr="00891056" w:rsidRDefault="008463CC" w:rsidP="001E7E62">
      <w:pPr>
        <w:shd w:val="clear" w:color="auto" w:fill="DAE9F7" w:themeFill="text2" w:themeFillTint="1A"/>
        <w:kinsoku w:val="0"/>
        <w:overflowPunct w:val="0"/>
        <w:autoSpaceDE w:val="0"/>
        <w:autoSpaceDN w:val="0"/>
        <w:adjustRightInd w:val="0"/>
        <w:spacing w:before="120" w:after="120"/>
        <w:ind w:right="3"/>
        <w:rPr>
          <w:rFonts w:cs="Calibri Light"/>
          <w:b/>
          <w:bCs/>
          <w:color w:val="0F4761" w:themeColor="accent1" w:themeShade="BF"/>
          <w:kern w:val="0"/>
          <w:sz w:val="28"/>
          <w:szCs w:val="28"/>
          <w:lang w:val="en-US"/>
        </w:rPr>
      </w:pPr>
      <w:r w:rsidRPr="00891056">
        <w:rPr>
          <w:rFonts w:cs="Calibri Light"/>
          <w:b/>
          <w:bCs/>
          <w:color w:val="0F4761" w:themeColor="accent1" w:themeShade="BF"/>
          <w:kern w:val="0"/>
          <w:sz w:val="28"/>
          <w:szCs w:val="28"/>
          <w:lang w:val="en-US"/>
        </w:rPr>
        <w:t>RESCUE GLOSSARY</w:t>
      </w:r>
    </w:p>
    <w:p w14:paraId="61FB0F62" w14:textId="790667D9" w:rsidR="001938BB" w:rsidRPr="00891056" w:rsidRDefault="001938BB" w:rsidP="001E7E62">
      <w:pPr>
        <w:pStyle w:val="NormalWeb"/>
        <w:spacing w:before="120" w:beforeAutospacing="0" w:after="120" w:afterAutospacing="0"/>
        <w:jc w:val="both"/>
        <w:rPr>
          <w:rFonts w:ascii="Calibri Light" w:hAnsi="Calibri Light" w:cs="Calibri Light"/>
          <w:color w:val="000000"/>
          <w:sz w:val="22"/>
          <w:szCs w:val="22"/>
          <w:lang w:val="en-US"/>
        </w:rPr>
      </w:pPr>
      <w:proofErr w:type="gramStart"/>
      <w:r w:rsidRPr="00891056">
        <w:rPr>
          <w:rStyle w:val="Textoennegrita"/>
          <w:rFonts w:ascii="Calibri Light" w:eastAsiaTheme="majorEastAsia" w:hAnsi="Calibri Light" w:cs="Calibri Light"/>
          <w:color w:val="000000"/>
          <w:sz w:val="22"/>
          <w:szCs w:val="22"/>
          <w:lang w:val="en-US"/>
        </w:rPr>
        <w:t>Health</w:t>
      </w:r>
      <w:r w:rsidR="00C24DF2" w:rsidRPr="00891056">
        <w:rPr>
          <w:rStyle w:val="Textoennegrita"/>
          <w:rFonts w:ascii="Calibri Light" w:eastAsiaTheme="majorEastAsia" w:hAnsi="Calibri Light" w:cs="Calibri Light"/>
          <w:color w:val="000000"/>
          <w:sz w:val="22"/>
          <w:szCs w:val="22"/>
          <w:lang w:val="en-US"/>
        </w:rPr>
        <w:t xml:space="preserve"> and </w:t>
      </w:r>
      <w:r w:rsidRPr="00891056">
        <w:rPr>
          <w:rStyle w:val="Textoennegrita"/>
          <w:rFonts w:ascii="Calibri Light" w:eastAsiaTheme="majorEastAsia" w:hAnsi="Calibri Light" w:cs="Calibri Light"/>
          <w:color w:val="000000"/>
          <w:sz w:val="22"/>
          <w:szCs w:val="22"/>
          <w:lang w:val="en-US"/>
        </w:rPr>
        <w:t>care worker</w:t>
      </w:r>
      <w:r w:rsidRPr="00891056">
        <w:rPr>
          <w:rStyle w:val="Textoennegrita"/>
          <w:rFonts w:ascii="Calibri Light" w:eastAsiaTheme="majorEastAsia" w:hAnsi="Calibri Light" w:cs="Calibri Light"/>
          <w:b w:val="0"/>
          <w:bCs w:val="0"/>
          <w:color w:val="000000"/>
          <w:sz w:val="22"/>
          <w:szCs w:val="22"/>
          <w:lang w:val="en-US"/>
        </w:rPr>
        <w:t xml:space="preserve">: </w:t>
      </w:r>
      <w:r w:rsidRPr="00891056">
        <w:rPr>
          <w:rFonts w:ascii="Calibri Light" w:hAnsi="Calibri Light" w:cs="Calibri Light"/>
          <w:color w:val="000000"/>
          <w:sz w:val="22"/>
          <w:szCs w:val="22"/>
          <w:lang w:val="en-US"/>
        </w:rPr>
        <w:t>ref</w:t>
      </w:r>
      <w:bookmarkStart w:id="0" w:name="_GoBack"/>
      <w:bookmarkEnd w:id="0"/>
      <w:r w:rsidRPr="00891056">
        <w:rPr>
          <w:rFonts w:ascii="Calibri Light" w:hAnsi="Calibri Light" w:cs="Calibri Light"/>
          <w:color w:val="000000"/>
          <w:sz w:val="22"/>
          <w:szCs w:val="22"/>
          <w:lang w:val="en-US"/>
        </w:rPr>
        <w:t xml:space="preserve">ers to all individuals, including clinical and non-clinical staff </w:t>
      </w:r>
      <w:r w:rsidR="0079027A" w:rsidRPr="00891056">
        <w:rPr>
          <w:rFonts w:ascii="Calibri Light" w:hAnsi="Calibri Light" w:cs="Calibri Light"/>
          <w:color w:val="000000"/>
          <w:sz w:val="22"/>
          <w:szCs w:val="22"/>
          <w:lang w:val="en-US"/>
        </w:rPr>
        <w:t xml:space="preserve">(both permanent and non-permanent), </w:t>
      </w:r>
      <w:r w:rsidRPr="00891056">
        <w:rPr>
          <w:rFonts w:ascii="Calibri Light" w:hAnsi="Calibri Light" w:cs="Calibri Light"/>
          <w:color w:val="000000"/>
          <w:sz w:val="22"/>
          <w:szCs w:val="22"/>
          <w:lang w:val="en-US"/>
        </w:rPr>
        <w:t>who provide healthcare services or support the operation of health</w:t>
      </w:r>
      <w:r w:rsidR="00CB7403" w:rsidRPr="00891056">
        <w:rPr>
          <w:rFonts w:ascii="Calibri Light" w:hAnsi="Calibri Light" w:cs="Calibri Light"/>
          <w:color w:val="000000"/>
          <w:sz w:val="22"/>
          <w:szCs w:val="22"/>
          <w:lang w:val="en-US"/>
        </w:rPr>
        <w:t xml:space="preserve"> and </w:t>
      </w:r>
      <w:r w:rsidRPr="00891056">
        <w:rPr>
          <w:rFonts w:ascii="Calibri Light" w:hAnsi="Calibri Light" w:cs="Calibri Light"/>
          <w:color w:val="000000"/>
          <w:sz w:val="22"/>
          <w:szCs w:val="22"/>
          <w:lang w:val="en-US"/>
        </w:rPr>
        <w:t xml:space="preserve">care facilities such as hospitals, primary care centers, and </w:t>
      </w:r>
      <w:r w:rsidR="00CB7403" w:rsidRPr="00891056">
        <w:rPr>
          <w:rFonts w:ascii="Calibri Light" w:hAnsi="Calibri Light" w:cs="Calibri Light"/>
          <w:color w:val="000000"/>
          <w:sz w:val="22"/>
          <w:szCs w:val="22"/>
          <w:lang w:val="en-US"/>
        </w:rPr>
        <w:t>long-term care settings, including nursing homes and social-healthcare centers,</w:t>
      </w:r>
      <w:r w:rsidRPr="00891056">
        <w:rPr>
          <w:rFonts w:ascii="Calibri Light" w:hAnsi="Calibri Light" w:cs="Calibri Light"/>
          <w:color w:val="000000"/>
          <w:sz w:val="22"/>
          <w:szCs w:val="22"/>
          <w:lang w:val="en-US"/>
        </w:rPr>
        <w:t xml:space="preserve"> This group includes physicians, nurses, </w:t>
      </w:r>
      <w:r w:rsidR="004C08A0" w:rsidRPr="00891056">
        <w:rPr>
          <w:rFonts w:ascii="Calibri Light" w:hAnsi="Calibri Light" w:cs="Calibri Light"/>
          <w:color w:val="000000"/>
          <w:sz w:val="22"/>
          <w:szCs w:val="22"/>
          <w:lang w:val="en-US"/>
        </w:rPr>
        <w:t xml:space="preserve">nurse auxiliaries, </w:t>
      </w:r>
      <w:r w:rsidRPr="00891056">
        <w:rPr>
          <w:rFonts w:ascii="Calibri Light" w:hAnsi="Calibri Light" w:cs="Calibri Light"/>
          <w:color w:val="000000"/>
          <w:sz w:val="22"/>
          <w:szCs w:val="22"/>
          <w:lang w:val="en-US"/>
        </w:rPr>
        <w:t xml:space="preserve">allied health professionals, </w:t>
      </w:r>
      <w:r w:rsidR="004C08A0" w:rsidRPr="00891056">
        <w:rPr>
          <w:rFonts w:ascii="Calibri Light" w:hAnsi="Calibri Light" w:cs="Calibri Light"/>
          <w:color w:val="000000"/>
          <w:sz w:val="22"/>
          <w:szCs w:val="22"/>
          <w:lang w:val="en-US"/>
        </w:rPr>
        <w:t xml:space="preserve">social workers, </w:t>
      </w:r>
      <w:r w:rsidRPr="00891056">
        <w:rPr>
          <w:rFonts w:ascii="Calibri Light" w:hAnsi="Calibri Light" w:cs="Calibri Light"/>
          <w:color w:val="000000"/>
          <w:sz w:val="22"/>
          <w:szCs w:val="22"/>
          <w:lang w:val="en-US"/>
        </w:rPr>
        <w:t>administrative personnel, and support staff across various healthcare settings</w:t>
      </w:r>
      <w:r w:rsidR="003B5AA6" w:rsidRPr="00891056">
        <w:rPr>
          <w:rStyle w:val="Refdenotaalfinal"/>
          <w:rFonts w:ascii="Calibri Light" w:hAnsi="Calibri Light" w:cs="Calibri Light"/>
          <w:color w:val="000000"/>
          <w:sz w:val="22"/>
          <w:szCs w:val="22"/>
          <w:lang w:val="en-US"/>
        </w:rPr>
        <w:endnoteReference w:id="1"/>
      </w:r>
      <w:r w:rsidR="003B5AA6" w:rsidRPr="00891056">
        <w:rPr>
          <w:rFonts w:ascii="Calibri Light" w:hAnsi="Calibri Light" w:cs="Calibri Light"/>
          <w:color w:val="000000"/>
          <w:sz w:val="22"/>
          <w:szCs w:val="22"/>
          <w:vertAlign w:val="superscript"/>
          <w:lang w:val="en-US"/>
        </w:rPr>
        <w:t>,</w:t>
      </w:r>
      <w:bookmarkStart w:id="1" w:name="_Ref190752440"/>
      <w:r w:rsidR="003B5AA6" w:rsidRPr="00891056">
        <w:rPr>
          <w:rStyle w:val="Refdenotaalfinal"/>
          <w:rFonts w:ascii="Calibri Light" w:hAnsi="Calibri Light" w:cs="Calibri Light"/>
          <w:szCs w:val="22"/>
          <w:lang w:val="en-US"/>
        </w:rPr>
        <w:endnoteReference w:id="2"/>
      </w:r>
      <w:bookmarkEnd w:id="1"/>
      <w:r w:rsidR="003B5AA6" w:rsidRPr="00891056">
        <w:rPr>
          <w:rFonts w:ascii="Calibri Light" w:hAnsi="Calibri Light" w:cs="Calibri Light"/>
          <w:color w:val="000000"/>
          <w:sz w:val="22"/>
          <w:szCs w:val="22"/>
          <w:lang w:val="en-US"/>
        </w:rPr>
        <w:t>.</w:t>
      </w:r>
      <w:proofErr w:type="gramEnd"/>
      <w:r w:rsidR="00CB7403" w:rsidRPr="00891056">
        <w:rPr>
          <w:rFonts w:ascii="Calibri Light" w:hAnsi="Calibri Light" w:cs="Calibri Light"/>
          <w:color w:val="000000"/>
          <w:sz w:val="22"/>
          <w:szCs w:val="22"/>
          <w:lang w:val="en-US"/>
        </w:rPr>
        <w:t xml:space="preserve"> In long-term care institutions, personnel hired as freelancers should be included in the category of non-permanent staff and should receive support if they experience the second victim phenomenon.</w:t>
      </w:r>
    </w:p>
    <w:p w14:paraId="7190EE4E" w14:textId="77777777" w:rsidR="00C526FC" w:rsidRPr="00891056" w:rsidRDefault="00C526FC"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Just Culture</w:t>
      </w:r>
      <w:r w:rsidRPr="00891056">
        <w:rPr>
          <w:rFonts w:cs="Calibri Light"/>
          <w:kern w:val="0"/>
          <w:szCs w:val="22"/>
          <w:lang w:val="en-US"/>
        </w:rPr>
        <w:t>: An organizational environment that fosters transparency, respect, and fairness. Staff feel safe expressing their opinions and learn from errors</w:t>
      </w:r>
      <w:r w:rsidRPr="00891056">
        <w:rPr>
          <w:rStyle w:val="Refdenotaalfinal"/>
          <w:rFonts w:cs="Calibri Light"/>
          <w:kern w:val="0"/>
          <w:szCs w:val="22"/>
          <w:lang w:val="en-US"/>
        </w:rPr>
        <w:endnoteReference w:id="3"/>
      </w:r>
      <w:proofErr w:type="gramStart"/>
      <w:r w:rsidRPr="00891056">
        <w:rPr>
          <w:rFonts w:cs="Calibri Light"/>
          <w:kern w:val="0"/>
          <w:szCs w:val="22"/>
          <w:vertAlign w:val="superscript"/>
          <w:lang w:val="en-US"/>
        </w:rPr>
        <w:t>,</w:t>
      </w:r>
      <w:r w:rsidRPr="00891056">
        <w:rPr>
          <w:rStyle w:val="Refdenotaalfinal"/>
          <w:rFonts w:cs="Calibri Light"/>
          <w:kern w:val="0"/>
          <w:szCs w:val="22"/>
          <w:lang w:val="en-US"/>
        </w:rPr>
        <w:endnoteReference w:id="4"/>
      </w:r>
      <w:r w:rsidRPr="00891056">
        <w:rPr>
          <w:rFonts w:cs="Calibri Light"/>
          <w:kern w:val="0"/>
          <w:szCs w:val="22"/>
          <w:lang w:val="en-US"/>
        </w:rPr>
        <w:t>.</w:t>
      </w:r>
      <w:proofErr w:type="gramEnd"/>
    </w:p>
    <w:p w14:paraId="4BC66357" w14:textId="2496B2D8" w:rsidR="00C526FC" w:rsidRPr="00891056" w:rsidRDefault="00C526FC"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Peer Supporter</w:t>
      </w:r>
      <w:r w:rsidRPr="00891056">
        <w:rPr>
          <w:rFonts w:cs="Calibri Light"/>
          <w:kern w:val="0"/>
          <w:szCs w:val="22"/>
          <w:lang w:val="en-US"/>
        </w:rPr>
        <w:t>: A trained healthcare worker who provides emotional and psychological support to second victims, fostering resilience and well-being</w:t>
      </w:r>
      <w:r w:rsidRPr="00891056">
        <w:rPr>
          <w:rStyle w:val="Refdenotaalfinal"/>
          <w:rFonts w:cs="Calibri Light"/>
          <w:kern w:val="0"/>
          <w:szCs w:val="22"/>
          <w:lang w:val="en-US"/>
        </w:rPr>
        <w:endnoteReference w:id="5"/>
      </w:r>
      <w:r w:rsidRPr="00891056">
        <w:rPr>
          <w:rFonts w:cs="Calibri Light"/>
          <w:kern w:val="0"/>
          <w:szCs w:val="22"/>
          <w:lang w:val="en-US"/>
        </w:rPr>
        <w:t xml:space="preserve">. They </w:t>
      </w:r>
      <w:r w:rsidR="00106722" w:rsidRPr="00891056">
        <w:rPr>
          <w:rFonts w:cs="Calibri Light"/>
          <w:kern w:val="0"/>
          <w:szCs w:val="22"/>
          <w:lang w:val="en-US"/>
        </w:rPr>
        <w:t>must</w:t>
      </w:r>
      <w:r w:rsidRPr="00891056">
        <w:rPr>
          <w:rFonts w:cs="Calibri Light"/>
          <w:kern w:val="0"/>
          <w:szCs w:val="22"/>
          <w:lang w:val="en-US"/>
        </w:rPr>
        <w:t xml:space="preserve"> have completed a standardized training program within their own institution or through other institutions, scientific societies, or professional organizations.</w:t>
      </w:r>
    </w:p>
    <w:p w14:paraId="7EDA8E67" w14:textId="77777777" w:rsidR="00C526FC" w:rsidRPr="00891056" w:rsidRDefault="00C526FC"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Peer Supporters Training Program</w:t>
      </w:r>
      <w:r w:rsidRPr="00891056">
        <w:rPr>
          <w:rFonts w:cs="Calibri Light"/>
          <w:kern w:val="0"/>
          <w:szCs w:val="22"/>
          <w:lang w:val="en-US"/>
        </w:rPr>
        <w:t>: A structured educational initiative aimed at equipping health and care workers with the skills, knowledge, and competencies necessary to support second victims effectively</w:t>
      </w:r>
      <w:r w:rsidRPr="00891056">
        <w:rPr>
          <w:rFonts w:cs="Calibri Light"/>
          <w:kern w:val="0"/>
          <w:szCs w:val="22"/>
          <w:vertAlign w:val="superscript"/>
          <w:lang w:val="en-US"/>
        </w:rPr>
        <w:fldChar w:fldCharType="begin"/>
      </w:r>
      <w:r w:rsidRPr="00891056">
        <w:rPr>
          <w:rFonts w:cs="Calibri Light"/>
          <w:kern w:val="0"/>
          <w:szCs w:val="22"/>
          <w:vertAlign w:val="superscript"/>
          <w:lang w:val="en-US"/>
        </w:rPr>
        <w:instrText xml:space="preserve"> NOTEREF _Ref190248772 \h  \* MERGEFORMAT </w:instrText>
      </w:r>
      <w:r w:rsidRPr="00891056">
        <w:rPr>
          <w:rFonts w:cs="Calibri Light"/>
          <w:kern w:val="0"/>
          <w:szCs w:val="22"/>
          <w:vertAlign w:val="superscript"/>
          <w:lang w:val="en-US"/>
        </w:rPr>
      </w:r>
      <w:r w:rsidRPr="00891056">
        <w:rPr>
          <w:rFonts w:cs="Calibri Light"/>
          <w:kern w:val="0"/>
          <w:szCs w:val="22"/>
          <w:vertAlign w:val="superscript"/>
          <w:lang w:val="en-US"/>
        </w:rPr>
        <w:fldChar w:fldCharType="separate"/>
      </w:r>
      <w:r w:rsidRPr="00891056">
        <w:rPr>
          <w:rFonts w:cs="Calibri Light"/>
          <w:kern w:val="0"/>
          <w:szCs w:val="22"/>
          <w:vertAlign w:val="superscript"/>
          <w:lang w:val="en-US"/>
        </w:rPr>
        <w:t>3</w:t>
      </w:r>
      <w:r w:rsidRPr="00891056">
        <w:rPr>
          <w:rFonts w:cs="Calibri Light"/>
          <w:kern w:val="0"/>
          <w:szCs w:val="22"/>
          <w:vertAlign w:val="superscript"/>
          <w:lang w:val="en-US"/>
        </w:rPr>
        <w:fldChar w:fldCharType="end"/>
      </w:r>
      <w:r w:rsidRPr="00891056">
        <w:rPr>
          <w:rFonts w:cs="Calibri Light"/>
          <w:kern w:val="0"/>
          <w:szCs w:val="22"/>
          <w:lang w:val="en-US"/>
        </w:rPr>
        <w:t>.</w:t>
      </w:r>
    </w:p>
    <w:p w14:paraId="6FF5DBCB" w14:textId="7848BB8E" w:rsidR="00C526FC" w:rsidRPr="00891056" w:rsidRDefault="00560106"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First-Line Emotional Support</w:t>
      </w:r>
      <w:r w:rsidR="00C526FC" w:rsidRPr="00891056">
        <w:rPr>
          <w:rFonts w:cs="Calibri Light"/>
          <w:kern w:val="0"/>
          <w:szCs w:val="22"/>
          <w:lang w:val="en-US"/>
        </w:rPr>
        <w:t>: An early intervention strategy designed to reduce initial distress, promote adaptive coping strategies, and facilitate access to further second victim support for second victims</w:t>
      </w:r>
      <w:r w:rsidR="00C526FC" w:rsidRPr="00891056">
        <w:rPr>
          <w:rStyle w:val="Refdenotaalfinal"/>
          <w:rFonts w:cs="Calibri Light"/>
          <w:kern w:val="0"/>
          <w:szCs w:val="22"/>
          <w:lang w:val="en-US"/>
        </w:rPr>
        <w:endnoteReference w:id="6"/>
      </w:r>
      <w:r w:rsidR="00C526FC" w:rsidRPr="00891056">
        <w:rPr>
          <w:rFonts w:cs="Calibri Light"/>
          <w:kern w:val="0"/>
          <w:szCs w:val="22"/>
          <w:lang w:val="en-US"/>
        </w:rPr>
        <w:t>. Key elements include providing support with a calm and reassuring attitude, practicing active listening without judgment, allowing expression without forcing conversation, acknowledging the second victim’s feelings without minimizing them, fostering resilience, and guiding them to professional support if needed.</w:t>
      </w:r>
    </w:p>
    <w:p w14:paraId="2DDF5FBB" w14:textId="1656BB77" w:rsidR="00217846" w:rsidRPr="00891056" w:rsidRDefault="00217846" w:rsidP="00217846">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 xml:space="preserve">Psychological Safety: </w:t>
      </w:r>
      <w:r w:rsidRPr="00891056">
        <w:rPr>
          <w:rFonts w:cs="Calibri Light"/>
          <w:kern w:val="0"/>
          <w:szCs w:val="22"/>
          <w:lang w:val="en-US"/>
        </w:rPr>
        <w:t xml:space="preserve">A belief that individuals can express dissent, ask questions, and report errors without fear of negative repercussions fosters an environment where teamwork </w:t>
      </w:r>
      <w:proofErr w:type="gramStart"/>
      <w:r w:rsidRPr="00891056">
        <w:rPr>
          <w:rFonts w:cs="Calibri Light"/>
          <w:kern w:val="0"/>
          <w:szCs w:val="22"/>
          <w:lang w:val="en-US"/>
        </w:rPr>
        <w:t>is built</w:t>
      </w:r>
      <w:proofErr w:type="gramEnd"/>
      <w:r w:rsidRPr="00891056">
        <w:rPr>
          <w:rFonts w:cs="Calibri Light"/>
          <w:kern w:val="0"/>
          <w:szCs w:val="22"/>
          <w:lang w:val="en-US"/>
        </w:rPr>
        <w:t xml:space="preserve"> on mutual trust and respect</w:t>
      </w:r>
      <w:r w:rsidRPr="00891056">
        <w:rPr>
          <w:rStyle w:val="Refdenotaalfinal"/>
          <w:rFonts w:cs="Calibri Light"/>
          <w:kern w:val="0"/>
          <w:szCs w:val="22"/>
          <w:lang w:val="en-US"/>
        </w:rPr>
        <w:endnoteReference w:id="7"/>
      </w:r>
      <w:r w:rsidRPr="00891056">
        <w:rPr>
          <w:rFonts w:cs="Calibri Light"/>
          <w:kern w:val="0"/>
          <w:szCs w:val="22"/>
          <w:lang w:val="en-US"/>
        </w:rPr>
        <w:t>. Psychological safety plays a crucial role in clinical training by encouraging professionals to report adverse events and voice concerns, ultimately contributing to enhanced patient outcomes and a stronger culture of safety</w:t>
      </w:r>
      <w:r w:rsidRPr="00891056">
        <w:rPr>
          <w:rStyle w:val="Refdenotaalfinal"/>
          <w:rFonts w:cs="Calibri Light"/>
          <w:kern w:val="0"/>
          <w:szCs w:val="22"/>
          <w:lang w:val="en-US"/>
        </w:rPr>
        <w:endnoteReference w:id="8"/>
      </w:r>
      <w:r w:rsidRPr="00891056">
        <w:rPr>
          <w:rFonts w:cs="Calibri Light"/>
          <w:kern w:val="0"/>
          <w:szCs w:val="22"/>
          <w:lang w:val="en-US"/>
        </w:rPr>
        <w:t>.</w:t>
      </w:r>
    </w:p>
    <w:p w14:paraId="42BFE38E" w14:textId="132835C8" w:rsidR="004E0065" w:rsidRPr="00891056" w:rsidRDefault="00FA46C2"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 xml:space="preserve">Second </w:t>
      </w:r>
      <w:r w:rsidR="00425818" w:rsidRPr="00891056">
        <w:rPr>
          <w:rFonts w:cs="Calibri Light"/>
          <w:b/>
          <w:bCs/>
          <w:kern w:val="0"/>
          <w:szCs w:val="22"/>
          <w:lang w:val="en-US"/>
        </w:rPr>
        <w:t>V</w:t>
      </w:r>
      <w:r w:rsidRPr="00891056">
        <w:rPr>
          <w:rFonts w:cs="Calibri Light"/>
          <w:b/>
          <w:bCs/>
          <w:kern w:val="0"/>
          <w:szCs w:val="22"/>
          <w:lang w:val="en-US"/>
        </w:rPr>
        <w:t>ictim</w:t>
      </w:r>
      <w:r w:rsidRPr="00891056">
        <w:rPr>
          <w:rFonts w:cs="Calibri Light"/>
          <w:kern w:val="0"/>
          <w:szCs w:val="22"/>
          <w:lang w:val="en-US"/>
        </w:rPr>
        <w:t>:</w:t>
      </w:r>
      <w:r w:rsidR="00505085" w:rsidRPr="00891056">
        <w:rPr>
          <w:rFonts w:cs="Calibri Light"/>
          <w:kern w:val="0"/>
          <w:szCs w:val="22"/>
          <w:lang w:val="en-US"/>
        </w:rPr>
        <w:t xml:space="preserve"> Any health care worker, directly or indirectly involved in an unanticipated adverse patient event, unintentional healthcare error, or patient injury and who becomes victimized in the sense that they are also negatively </w:t>
      </w:r>
      <w:proofErr w:type="gramStart"/>
      <w:r w:rsidR="00505085" w:rsidRPr="00891056">
        <w:rPr>
          <w:rFonts w:cs="Calibri Light"/>
          <w:kern w:val="0"/>
          <w:szCs w:val="22"/>
          <w:lang w:val="en-US"/>
        </w:rPr>
        <w:t>impacted</w:t>
      </w:r>
      <w:proofErr w:type="gramEnd"/>
      <w:r w:rsidR="003B5AA6" w:rsidRPr="00891056">
        <w:rPr>
          <w:rFonts w:cs="Calibri Light"/>
          <w:kern w:val="0"/>
          <w:szCs w:val="22"/>
          <w:vertAlign w:val="superscript"/>
          <w:lang w:val="en-US"/>
        </w:rPr>
        <w:fldChar w:fldCharType="begin"/>
      </w:r>
      <w:r w:rsidR="003B5AA6" w:rsidRPr="00891056">
        <w:rPr>
          <w:rFonts w:cs="Calibri Light"/>
          <w:kern w:val="0"/>
          <w:szCs w:val="22"/>
          <w:vertAlign w:val="superscript"/>
          <w:lang w:val="en-US"/>
        </w:rPr>
        <w:instrText xml:space="preserve"> NOTEREF _Ref190752440 \h  \* MERGEFORMAT </w:instrText>
      </w:r>
      <w:r w:rsidR="003B5AA6" w:rsidRPr="00891056">
        <w:rPr>
          <w:rFonts w:cs="Calibri Light"/>
          <w:kern w:val="0"/>
          <w:szCs w:val="22"/>
          <w:vertAlign w:val="superscript"/>
          <w:lang w:val="en-US"/>
        </w:rPr>
      </w:r>
      <w:r w:rsidR="003B5AA6" w:rsidRPr="00891056">
        <w:rPr>
          <w:rFonts w:cs="Calibri Light"/>
          <w:kern w:val="0"/>
          <w:szCs w:val="22"/>
          <w:vertAlign w:val="superscript"/>
          <w:lang w:val="en-US"/>
        </w:rPr>
        <w:fldChar w:fldCharType="separate"/>
      </w:r>
      <w:r w:rsidR="003B5AA6" w:rsidRPr="00891056">
        <w:rPr>
          <w:rFonts w:cs="Calibri Light"/>
          <w:kern w:val="0"/>
          <w:szCs w:val="22"/>
          <w:vertAlign w:val="superscript"/>
          <w:lang w:val="en-US"/>
        </w:rPr>
        <w:t>3</w:t>
      </w:r>
      <w:r w:rsidR="003B5AA6" w:rsidRPr="00891056">
        <w:rPr>
          <w:rFonts w:cs="Calibri Light"/>
          <w:kern w:val="0"/>
          <w:szCs w:val="22"/>
          <w:vertAlign w:val="superscript"/>
          <w:lang w:val="en-US"/>
        </w:rPr>
        <w:fldChar w:fldCharType="end"/>
      </w:r>
      <w:r w:rsidR="00505085" w:rsidRPr="00891056">
        <w:rPr>
          <w:rFonts w:cs="Calibri Light"/>
          <w:kern w:val="0"/>
          <w:szCs w:val="22"/>
          <w:lang w:val="en-US"/>
        </w:rPr>
        <w:t>.</w:t>
      </w:r>
      <w:r w:rsidR="004E0065" w:rsidRPr="00891056">
        <w:rPr>
          <w:rFonts w:cs="Calibri Light"/>
          <w:kern w:val="0"/>
          <w:szCs w:val="22"/>
          <w:lang w:val="en-US"/>
        </w:rPr>
        <w:t xml:space="preserve"> These are types of events that can evoke a second victim response</w:t>
      </w:r>
      <w:r w:rsidR="004E0065" w:rsidRPr="00891056">
        <w:rPr>
          <w:rStyle w:val="Refdenotaalfinal"/>
          <w:rFonts w:cs="Calibri Light"/>
          <w:kern w:val="0"/>
          <w:szCs w:val="22"/>
          <w:lang w:val="en-US"/>
        </w:rPr>
        <w:endnoteReference w:id="9"/>
      </w:r>
      <w:r w:rsidR="004E0065" w:rsidRPr="00891056">
        <w:rPr>
          <w:rFonts w:cs="Calibri Light"/>
          <w:kern w:val="0"/>
          <w:szCs w:val="22"/>
          <w:lang w:val="en-US"/>
        </w:rPr>
        <w:t xml:space="preserve">: preventable harm to patient, unexpected patient death, multiple patients with bad outcomes within a short </w:t>
      </w:r>
      <w:proofErr w:type="gramStart"/>
      <w:r w:rsidR="004E0065" w:rsidRPr="00891056">
        <w:rPr>
          <w:rFonts w:cs="Calibri Light"/>
          <w:kern w:val="0"/>
          <w:szCs w:val="22"/>
          <w:lang w:val="en-US"/>
        </w:rPr>
        <w:t>period of time</w:t>
      </w:r>
      <w:proofErr w:type="gramEnd"/>
      <w:r w:rsidR="004E0065" w:rsidRPr="00891056">
        <w:rPr>
          <w:rFonts w:cs="Calibri Light"/>
          <w:kern w:val="0"/>
          <w:szCs w:val="22"/>
          <w:lang w:val="en-US"/>
        </w:rPr>
        <w:t xml:space="preserve"> within one clinical area, or failure to detect patient deterioration in timely manner.</w:t>
      </w:r>
    </w:p>
    <w:p w14:paraId="1D88EE0A" w14:textId="472E5703" w:rsidR="001D125B" w:rsidRPr="00891056" w:rsidRDefault="001D125B"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Second Victim Support Interventions</w:t>
      </w:r>
      <w:r w:rsidRPr="00891056">
        <w:rPr>
          <w:rFonts w:cs="Calibri Light"/>
          <w:kern w:val="0"/>
          <w:szCs w:val="22"/>
          <w:lang w:val="en-US"/>
        </w:rPr>
        <w:t>: Structured programs designed to support second victims, helping them cope with emotional distress, enhance their resilience competencies, and maintain professional performance</w:t>
      </w:r>
      <w:bookmarkStart w:id="2" w:name="_Ref190249876"/>
      <w:bookmarkStart w:id="3" w:name="_Ref190247653"/>
      <w:r w:rsidR="007D7AB3" w:rsidRPr="00891056">
        <w:rPr>
          <w:rStyle w:val="Refdenotaalfinal"/>
          <w:rFonts w:cs="Calibri Light"/>
          <w:kern w:val="0"/>
          <w:szCs w:val="22"/>
          <w:lang w:val="en-US"/>
        </w:rPr>
        <w:endnoteReference w:id="10"/>
      </w:r>
      <w:bookmarkEnd w:id="2"/>
      <w:proofErr w:type="gramStart"/>
      <w:r w:rsidR="007D7AB3" w:rsidRPr="00891056">
        <w:rPr>
          <w:rFonts w:cs="Calibri Light"/>
          <w:kern w:val="0"/>
          <w:szCs w:val="22"/>
          <w:vertAlign w:val="superscript"/>
          <w:lang w:val="en-US"/>
        </w:rPr>
        <w:t>,</w:t>
      </w:r>
      <w:bookmarkStart w:id="4" w:name="_Ref190248772"/>
      <w:r w:rsidR="007D7AB3" w:rsidRPr="00891056">
        <w:rPr>
          <w:rStyle w:val="Refdenotaalfinal"/>
          <w:rFonts w:cs="Calibri Light"/>
          <w:kern w:val="0"/>
          <w:szCs w:val="22"/>
          <w:lang w:val="en-US"/>
        </w:rPr>
        <w:endnoteReference w:id="11"/>
      </w:r>
      <w:bookmarkEnd w:id="4"/>
      <w:r w:rsidR="007D7AB3" w:rsidRPr="00891056">
        <w:rPr>
          <w:rFonts w:cs="Calibri Light"/>
          <w:kern w:val="0"/>
          <w:szCs w:val="22"/>
          <w:vertAlign w:val="superscript"/>
          <w:lang w:val="en-US"/>
        </w:rPr>
        <w:t>,</w:t>
      </w:r>
      <w:bookmarkStart w:id="5" w:name="_Ref190248432"/>
      <w:r w:rsidRPr="00891056">
        <w:rPr>
          <w:rStyle w:val="Refdenotaalfinal"/>
          <w:rFonts w:cs="Calibri Light"/>
          <w:kern w:val="0"/>
          <w:szCs w:val="22"/>
          <w:lang w:val="en-US"/>
        </w:rPr>
        <w:endnoteReference w:id="12"/>
      </w:r>
      <w:bookmarkEnd w:id="3"/>
      <w:bookmarkEnd w:id="5"/>
      <w:r w:rsidR="002A3B7F" w:rsidRPr="00891056">
        <w:rPr>
          <w:rFonts w:cs="Calibri Light"/>
          <w:kern w:val="0"/>
          <w:szCs w:val="22"/>
          <w:lang w:val="en-US"/>
        </w:rPr>
        <w:t>.</w:t>
      </w:r>
      <w:proofErr w:type="gramEnd"/>
      <w:r w:rsidRPr="00891056">
        <w:rPr>
          <w:rFonts w:cs="Calibri Light"/>
          <w:kern w:val="0"/>
          <w:szCs w:val="22"/>
          <w:lang w:val="en-US"/>
        </w:rPr>
        <w:t xml:space="preserve"> These interventions are based on the five-level support model, which includes prevention, self-care, peer supporter assistance, and structured professional support</w:t>
      </w:r>
      <w:r w:rsidRPr="00891056">
        <w:rPr>
          <w:rStyle w:val="Refdenotaalfinal"/>
          <w:rFonts w:cs="Calibri Light"/>
          <w:kern w:val="0"/>
          <w:szCs w:val="22"/>
          <w:lang w:val="en-US"/>
        </w:rPr>
        <w:endnoteReference w:id="13"/>
      </w:r>
      <w:proofErr w:type="gramStart"/>
      <w:r w:rsidRPr="00891056">
        <w:rPr>
          <w:rFonts w:cs="Calibri Light"/>
          <w:kern w:val="0"/>
          <w:szCs w:val="22"/>
          <w:vertAlign w:val="superscript"/>
          <w:lang w:val="en-US"/>
        </w:rPr>
        <w:t>,</w:t>
      </w:r>
      <w:r w:rsidRPr="00891056">
        <w:rPr>
          <w:rFonts w:cs="Calibri Light"/>
          <w:kern w:val="0"/>
          <w:szCs w:val="22"/>
          <w:lang w:val="en-US"/>
        </w:rPr>
        <w:t>.</w:t>
      </w:r>
      <w:proofErr w:type="gramEnd"/>
    </w:p>
    <w:p w14:paraId="2AF0BBA1" w14:textId="580AE894" w:rsidR="001E7E62" w:rsidRPr="00891056" w:rsidRDefault="001E7E62"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i/>
          <w:iCs/>
          <w:kern w:val="0"/>
          <w:szCs w:val="22"/>
          <w:lang w:val="en-US"/>
        </w:rPr>
        <w:lastRenderedPageBreak/>
        <w:t>Prevention</w:t>
      </w:r>
      <w:r w:rsidRPr="00891056">
        <w:rPr>
          <w:rFonts w:cs="Calibri Light"/>
          <w:kern w:val="0"/>
          <w:szCs w:val="22"/>
          <w:lang w:val="en-US"/>
        </w:rPr>
        <w:t>. Implementing Just Culture principles within the organization that promotes learning from errors without blame. Regular patient safety training and clinical simulations to reduce the occurrence of adverse events.</w:t>
      </w:r>
    </w:p>
    <w:p w14:paraId="0C84D55C" w14:textId="51EC2930" w:rsidR="001E7E62" w:rsidRPr="00891056" w:rsidRDefault="001E7E62"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i/>
          <w:iCs/>
          <w:kern w:val="0"/>
          <w:szCs w:val="22"/>
          <w:lang w:val="en-US"/>
        </w:rPr>
        <w:t>Self-care</w:t>
      </w:r>
      <w:r w:rsidRPr="00891056">
        <w:rPr>
          <w:rFonts w:cs="Calibri Light"/>
          <w:kern w:val="0"/>
          <w:szCs w:val="22"/>
          <w:lang w:val="en-US"/>
        </w:rPr>
        <w:t xml:space="preserve">. Providing written guides or online platforms with coping strategies to help healthcare workers manage emotional </w:t>
      </w:r>
      <w:proofErr w:type="gramStart"/>
      <w:r w:rsidRPr="00891056">
        <w:rPr>
          <w:rFonts w:cs="Calibri Light"/>
          <w:kern w:val="0"/>
          <w:szCs w:val="22"/>
          <w:lang w:val="en-US"/>
        </w:rPr>
        <w:t>impact</w:t>
      </w:r>
      <w:proofErr w:type="gramEnd"/>
      <w:r w:rsidRPr="00891056">
        <w:rPr>
          <w:rFonts w:cs="Calibri Light"/>
          <w:kern w:val="0"/>
          <w:szCs w:val="22"/>
          <w:lang w:val="en-US"/>
        </w:rPr>
        <w:t xml:space="preserve"> independently. Dedicated wellness spaces within the hospital where staff can take time to emotionally process work-related stress and emotional overload.</w:t>
      </w:r>
    </w:p>
    <w:p w14:paraId="5EF9DB33" w14:textId="4245807A" w:rsidR="001E7E62" w:rsidRPr="00891056" w:rsidRDefault="001E7E62"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i/>
          <w:iCs/>
          <w:kern w:val="0"/>
          <w:szCs w:val="22"/>
          <w:lang w:val="en-US"/>
        </w:rPr>
        <w:t>Peer support</w:t>
      </w:r>
      <w:r w:rsidRPr="00891056">
        <w:rPr>
          <w:rFonts w:cs="Calibri Light"/>
          <w:kern w:val="0"/>
          <w:szCs w:val="22"/>
          <w:lang w:val="en-US"/>
        </w:rPr>
        <w:t>. Trained healthcare professionals offer emotional support to colleagues.</w:t>
      </w:r>
    </w:p>
    <w:p w14:paraId="1C40F9CC" w14:textId="79368BB8" w:rsidR="001E7E62" w:rsidRPr="00891056" w:rsidRDefault="001E7E62" w:rsidP="001E7E62">
      <w:pPr>
        <w:spacing w:before="120" w:after="120"/>
        <w:rPr>
          <w:rFonts w:cs="Calibri Light"/>
          <w:kern w:val="0"/>
          <w:szCs w:val="22"/>
          <w:lang w:val="en-US"/>
        </w:rPr>
      </w:pPr>
      <w:r w:rsidRPr="00891056">
        <w:rPr>
          <w:rFonts w:cs="Calibri Light"/>
          <w:i/>
          <w:iCs/>
          <w:kern w:val="0"/>
          <w:szCs w:val="22"/>
          <w:lang w:val="en-US"/>
        </w:rPr>
        <w:t>Structured professional support</w:t>
      </w:r>
      <w:r w:rsidRPr="00891056">
        <w:rPr>
          <w:rFonts w:eastAsia="Times New Roman" w:cs="Calibri Light"/>
          <w:kern w:val="0"/>
          <w:sz w:val="24"/>
          <w:lang w:val="en-US" w:eastAsia="es-ES_tradnl"/>
          <w14:ligatures w14:val="none"/>
        </w:rPr>
        <w:t xml:space="preserve">. </w:t>
      </w:r>
      <w:r w:rsidRPr="00891056">
        <w:rPr>
          <w:rFonts w:cs="Calibri Light"/>
          <w:kern w:val="0"/>
          <w:szCs w:val="22"/>
          <w:lang w:val="en-US"/>
        </w:rPr>
        <w:t>Access to psychiatrists and clinical psychologists or trauma counselors within the healthcare institution.</w:t>
      </w:r>
    </w:p>
    <w:p w14:paraId="38178E26" w14:textId="240AFC3A" w:rsidR="001E7E62" w:rsidRPr="00891056" w:rsidRDefault="001E7E62" w:rsidP="001E7E62">
      <w:pPr>
        <w:spacing w:before="120" w:after="120"/>
        <w:rPr>
          <w:rFonts w:cs="Calibri Light"/>
          <w:kern w:val="0"/>
          <w:szCs w:val="22"/>
          <w:lang w:val="en-US"/>
        </w:rPr>
      </w:pPr>
      <w:r w:rsidRPr="00891056">
        <w:rPr>
          <w:rFonts w:cs="Calibri Light"/>
          <w:i/>
          <w:iCs/>
          <w:kern w:val="0"/>
          <w:szCs w:val="22"/>
          <w:lang w:val="en-US"/>
        </w:rPr>
        <w:t xml:space="preserve">External professional support. </w:t>
      </w:r>
      <w:r w:rsidRPr="00891056">
        <w:rPr>
          <w:rFonts w:cs="Calibri Light"/>
          <w:kern w:val="0"/>
          <w:szCs w:val="22"/>
          <w:lang w:val="en-US"/>
        </w:rPr>
        <w:t>Referral to external mental health services for cases where symptoms of post-traumatic stress, anxiety, or depression persist.</w:t>
      </w:r>
    </w:p>
    <w:p w14:paraId="2F924188" w14:textId="49A33998" w:rsidR="009C27BA" w:rsidRPr="00891056" w:rsidRDefault="009C27BA" w:rsidP="001E7E62">
      <w:pPr>
        <w:kinsoku w:val="0"/>
        <w:overflowPunct w:val="0"/>
        <w:autoSpaceDE w:val="0"/>
        <w:autoSpaceDN w:val="0"/>
        <w:adjustRightInd w:val="0"/>
        <w:spacing w:before="120" w:after="120"/>
        <w:ind w:right="3"/>
        <w:rPr>
          <w:rFonts w:cs="Calibri Light"/>
          <w:b/>
          <w:bCs/>
          <w:kern w:val="0"/>
          <w:szCs w:val="22"/>
          <w:lang w:val="en-US"/>
        </w:rPr>
      </w:pPr>
      <w:r w:rsidRPr="00891056">
        <w:rPr>
          <w:rFonts w:cs="Calibri Light"/>
          <w:b/>
          <w:bCs/>
          <w:kern w:val="0"/>
          <w:szCs w:val="22"/>
          <w:lang w:val="en-US"/>
        </w:rPr>
        <w:t xml:space="preserve">Self-Reflection Instrument: </w:t>
      </w:r>
      <w:r w:rsidRPr="00891056">
        <w:rPr>
          <w:rFonts w:cs="Calibri Light"/>
          <w:kern w:val="0"/>
          <w:szCs w:val="22"/>
          <w:lang w:val="en-US"/>
        </w:rPr>
        <w:t>a structured tool (e.g., questionnaire, checklist, etc.) that allows peer supporters to assess their emotional well-being after providing support to a second victim.</w:t>
      </w:r>
      <w:r w:rsidRPr="00891056">
        <w:rPr>
          <w:rFonts w:cs="Calibri Light"/>
          <w:b/>
          <w:bCs/>
          <w:kern w:val="0"/>
          <w:szCs w:val="22"/>
          <w:lang w:val="en-US"/>
        </w:rPr>
        <w:t xml:space="preserve"> </w:t>
      </w:r>
    </w:p>
    <w:p w14:paraId="1ADDF1C0" w14:textId="74064502" w:rsidR="00A62063" w:rsidRPr="00891056" w:rsidRDefault="00A62063" w:rsidP="001E7E62">
      <w:pPr>
        <w:kinsoku w:val="0"/>
        <w:overflowPunct w:val="0"/>
        <w:autoSpaceDE w:val="0"/>
        <w:autoSpaceDN w:val="0"/>
        <w:adjustRightInd w:val="0"/>
        <w:spacing w:before="120" w:after="120"/>
        <w:ind w:right="3"/>
        <w:rPr>
          <w:rFonts w:cs="Calibri Light"/>
          <w:kern w:val="0"/>
          <w:szCs w:val="22"/>
          <w:lang w:val="en-US"/>
        </w:rPr>
      </w:pPr>
      <w:r w:rsidRPr="00891056">
        <w:rPr>
          <w:rFonts w:cs="Calibri Light"/>
          <w:b/>
          <w:bCs/>
          <w:kern w:val="0"/>
          <w:szCs w:val="22"/>
          <w:lang w:val="en-US"/>
        </w:rPr>
        <w:t xml:space="preserve">Synchronous Online Training: </w:t>
      </w:r>
      <w:r w:rsidRPr="00891056">
        <w:rPr>
          <w:rFonts w:cs="Calibri Light"/>
          <w:kern w:val="0"/>
          <w:szCs w:val="22"/>
          <w:lang w:val="en-US"/>
        </w:rPr>
        <w:t xml:space="preserve">an online training modality conducted in real-time with interactive engagement between trainers and participants. </w:t>
      </w:r>
    </w:p>
    <w:p w14:paraId="012909F8" w14:textId="05304277" w:rsidR="00030CA4" w:rsidRPr="00891056" w:rsidRDefault="00030CA4" w:rsidP="001E7E62">
      <w:pPr>
        <w:spacing w:before="120" w:after="120"/>
        <w:rPr>
          <w:rFonts w:cs="Calibri Light"/>
          <w:lang w:val="en-US"/>
        </w:rPr>
      </w:pPr>
      <w:r w:rsidRPr="00891056">
        <w:rPr>
          <w:rFonts w:cs="Calibri Light"/>
          <w:b/>
          <w:bCs/>
          <w:lang w:val="en-US"/>
        </w:rPr>
        <w:t>Referral process</w:t>
      </w:r>
      <w:r w:rsidRPr="00891056">
        <w:rPr>
          <w:rFonts w:cs="Calibri Light"/>
          <w:lang w:val="en-US"/>
        </w:rPr>
        <w:t>:</w:t>
      </w:r>
      <w:r w:rsidR="007A22B1" w:rsidRPr="00891056">
        <w:rPr>
          <w:rFonts w:cs="Calibri Light"/>
          <w:lang w:val="en-US"/>
        </w:rPr>
        <w:t xml:space="preserve"> refers to the structured procedure by which a second victim </w:t>
      </w:r>
      <w:proofErr w:type="gramStart"/>
      <w:r w:rsidR="007A22B1" w:rsidRPr="00891056">
        <w:rPr>
          <w:rFonts w:cs="Calibri Light"/>
          <w:lang w:val="en-US"/>
        </w:rPr>
        <w:t>is directed</w:t>
      </w:r>
      <w:proofErr w:type="gramEnd"/>
      <w:r w:rsidR="007A22B1" w:rsidRPr="00891056">
        <w:rPr>
          <w:rFonts w:cs="Calibri Light"/>
          <w:lang w:val="en-US"/>
        </w:rPr>
        <w:t xml:space="preserve"> to additional support services or professional assistance when their emotional, psychological, or professional needs exceed the scope of peer support. This process ensures timely access to appropriate interventions, such as counseling, psychological therapy, or occupational health services, tailored to the individual's level of distress and coping capacity</w:t>
      </w:r>
      <w:bookmarkStart w:id="6" w:name="_Ref191139152"/>
      <w:r w:rsidR="00257348" w:rsidRPr="00891056">
        <w:rPr>
          <w:rStyle w:val="Refdenotaalfinal"/>
          <w:rFonts w:cs="Calibri Light"/>
          <w:lang w:val="en-US"/>
        </w:rPr>
        <w:endnoteReference w:id="14"/>
      </w:r>
      <w:bookmarkEnd w:id="6"/>
      <w:proofErr w:type="gramStart"/>
      <w:r w:rsidR="00257348" w:rsidRPr="00891056">
        <w:rPr>
          <w:rFonts w:cs="Calibri Light"/>
          <w:vertAlign w:val="superscript"/>
          <w:lang w:val="en-US"/>
        </w:rPr>
        <w:t>,</w:t>
      </w:r>
      <w:r w:rsidR="00257348" w:rsidRPr="00891056">
        <w:rPr>
          <w:rStyle w:val="Refdenotaalfinal"/>
          <w:rFonts w:cs="Calibri Light"/>
          <w:lang w:val="en-US"/>
        </w:rPr>
        <w:endnoteReference w:id="15"/>
      </w:r>
      <w:r w:rsidR="007A22B1" w:rsidRPr="00891056">
        <w:rPr>
          <w:rFonts w:cs="Calibri Light"/>
          <w:lang w:val="en-US"/>
        </w:rPr>
        <w:t>.</w:t>
      </w:r>
      <w:proofErr w:type="gramEnd"/>
    </w:p>
    <w:p w14:paraId="34F2EBB4" w14:textId="31B95B30" w:rsidR="00C63F37" w:rsidRPr="00891056" w:rsidRDefault="00030CA4" w:rsidP="001E7E62">
      <w:pPr>
        <w:spacing w:before="120" w:after="120"/>
        <w:rPr>
          <w:rFonts w:cs="Calibri Light"/>
          <w:lang w:val="en-US"/>
        </w:rPr>
      </w:pPr>
      <w:r w:rsidRPr="00891056">
        <w:rPr>
          <w:rFonts w:cs="Calibri Light"/>
          <w:b/>
          <w:bCs/>
          <w:lang w:val="en-US"/>
        </w:rPr>
        <w:t>Resilience</w:t>
      </w:r>
      <w:r w:rsidRPr="00891056">
        <w:rPr>
          <w:rFonts w:cs="Calibri Light"/>
          <w:lang w:val="en-US"/>
        </w:rPr>
        <w:t>:</w:t>
      </w:r>
      <w:r w:rsidR="00C63F37" w:rsidRPr="00891056">
        <w:rPr>
          <w:rFonts w:cs="Calibri Light"/>
          <w:lang w:val="en-US"/>
        </w:rPr>
        <w:t xml:space="preserve"> </w:t>
      </w:r>
      <w:r w:rsidR="002A36DC" w:rsidRPr="00891056">
        <w:rPr>
          <w:rFonts w:cs="Calibri Light"/>
          <w:lang w:val="en-US"/>
        </w:rPr>
        <w:t xml:space="preserve">refers to the ability of healthcare </w:t>
      </w:r>
      <w:r w:rsidR="00C63F37" w:rsidRPr="00891056">
        <w:rPr>
          <w:rFonts w:cs="Calibri Light"/>
          <w:lang w:val="en-US"/>
        </w:rPr>
        <w:t>workers</w:t>
      </w:r>
      <w:r w:rsidR="002A36DC" w:rsidRPr="00891056">
        <w:rPr>
          <w:rFonts w:cs="Calibri Light"/>
          <w:lang w:val="en-US"/>
        </w:rPr>
        <w:t xml:space="preserve"> who have experienced </w:t>
      </w:r>
      <w:r w:rsidR="00C63F37" w:rsidRPr="00891056">
        <w:rPr>
          <w:rFonts w:cs="Calibri Light"/>
          <w:lang w:val="en-US"/>
        </w:rPr>
        <w:t>higher stressful</w:t>
      </w:r>
      <w:r w:rsidR="002A36DC" w:rsidRPr="00891056">
        <w:rPr>
          <w:rFonts w:cs="Calibri Light"/>
          <w:lang w:val="en-US"/>
        </w:rPr>
        <w:t xml:space="preserve"> event to adapt, recover, and regain confidence in their professional role. It involves managing emotional distress, mitigating feelings of guilt or self-doubt, and gradually restoring well-being while continuing to provide safe and effective patient care. Resilience in second victims is a dynamic process influenced by individual coping strategies, institutional support, </w:t>
      </w:r>
      <w:r w:rsidR="00C63F37" w:rsidRPr="00891056">
        <w:rPr>
          <w:rFonts w:cs="Calibri Light"/>
          <w:lang w:val="en-US"/>
        </w:rPr>
        <w:t xml:space="preserve">and </w:t>
      </w:r>
      <w:r w:rsidR="002A36DC" w:rsidRPr="00891056">
        <w:rPr>
          <w:rFonts w:cs="Calibri Light"/>
          <w:lang w:val="en-US"/>
        </w:rPr>
        <w:t>peer assistance</w:t>
      </w:r>
      <w:r w:rsidR="00257348" w:rsidRPr="00891056">
        <w:rPr>
          <w:rFonts w:cs="Calibri Light"/>
          <w:lang w:val="en-US"/>
        </w:rPr>
        <w:fldChar w:fldCharType="begin"/>
      </w:r>
      <w:r w:rsidR="00257348" w:rsidRPr="00891056">
        <w:rPr>
          <w:rFonts w:cs="Calibri Light"/>
          <w:lang w:val="en-US"/>
        </w:rPr>
        <w:instrText xml:space="preserve"> NOTEREF _Ref191139152 \f \h </w:instrText>
      </w:r>
      <w:r w:rsidR="00257348" w:rsidRPr="00891056">
        <w:rPr>
          <w:rFonts w:cs="Calibri Light"/>
          <w:lang w:val="en-US"/>
        </w:rPr>
      </w:r>
      <w:r w:rsidR="00891056">
        <w:rPr>
          <w:rFonts w:cs="Calibri Light"/>
          <w:lang w:val="en-US"/>
        </w:rPr>
        <w:instrText xml:space="preserve"> \* MERGEFORMAT </w:instrText>
      </w:r>
      <w:r w:rsidR="00257348" w:rsidRPr="00891056">
        <w:rPr>
          <w:rFonts w:cs="Calibri Light"/>
          <w:lang w:val="en-US"/>
        </w:rPr>
        <w:fldChar w:fldCharType="end"/>
      </w:r>
      <w:proofErr w:type="gramStart"/>
      <w:r w:rsidR="00C63F37" w:rsidRPr="00891056">
        <w:rPr>
          <w:rFonts w:cs="Calibri Light"/>
          <w:vertAlign w:val="superscript"/>
          <w:lang w:val="en-US"/>
        </w:rPr>
        <w:t>,</w:t>
      </w:r>
      <w:r w:rsidR="00C63F37" w:rsidRPr="00891056">
        <w:rPr>
          <w:rStyle w:val="Refdenotaalfinal"/>
          <w:rFonts w:cs="Calibri Light"/>
          <w:lang w:val="en-US"/>
        </w:rPr>
        <w:endnoteReference w:id="16"/>
      </w:r>
      <w:r w:rsidR="002A36DC" w:rsidRPr="00891056">
        <w:rPr>
          <w:rFonts w:cs="Calibri Light"/>
          <w:lang w:val="en-US"/>
        </w:rPr>
        <w:t>.</w:t>
      </w:r>
      <w:proofErr w:type="gramEnd"/>
      <w:r w:rsidR="002A36DC" w:rsidRPr="00891056">
        <w:rPr>
          <w:rFonts w:cs="Calibri Light"/>
          <w:lang w:val="en-US"/>
        </w:rPr>
        <w:t xml:space="preserve"> </w:t>
      </w:r>
    </w:p>
    <w:p w14:paraId="1DE6CC25" w14:textId="77777777" w:rsidR="0043781E" w:rsidRPr="00891056" w:rsidRDefault="0043781E" w:rsidP="001E7E62">
      <w:pPr>
        <w:spacing w:before="120" w:after="120"/>
        <w:rPr>
          <w:rFonts w:cs="Calibri Light"/>
          <w:lang w:val="en-US"/>
        </w:rPr>
      </w:pPr>
    </w:p>
    <w:sectPr w:rsidR="0043781E" w:rsidRPr="00891056">
      <w:endnotePr>
        <w:numFmt w:val="decimal"/>
      </w:endnotePr>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31314" w14:textId="77777777" w:rsidR="00C60A42" w:rsidRDefault="00C60A42" w:rsidP="00EE6B22">
      <w:r>
        <w:separator/>
      </w:r>
    </w:p>
  </w:endnote>
  <w:endnote w:type="continuationSeparator" w:id="0">
    <w:p w14:paraId="4C603B06" w14:textId="77777777" w:rsidR="00C60A42" w:rsidRDefault="00C60A42" w:rsidP="00EE6B22">
      <w:r>
        <w:continuationSeparator/>
      </w:r>
    </w:p>
  </w:endnote>
  <w:endnote w:id="1">
    <w:p w14:paraId="48AE9077" w14:textId="7F013C07" w:rsidR="003B5AA6" w:rsidRPr="00560106" w:rsidRDefault="003B5AA6" w:rsidP="00560106">
      <w:pPr>
        <w:pStyle w:val="Textonotaalfinal"/>
        <w:rPr>
          <w:rFonts w:cs="Calibri Light"/>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WHO. Health workforce, available at: https://www.who.int/health-topics/health-workforce#tab=tab_1.</w:t>
      </w:r>
    </w:p>
  </w:endnote>
  <w:endnote w:id="2">
    <w:p w14:paraId="7107D0E8" w14:textId="77777777" w:rsidR="003B5AA6" w:rsidRPr="00560106" w:rsidRDefault="003B5AA6" w:rsidP="00560106">
      <w:pPr>
        <w:pStyle w:val="Textonotaalfinal"/>
        <w:rPr>
          <w:rFonts w:cs="Calibri Light"/>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w:t>
      </w:r>
      <w:r w:rsidRPr="00560106">
        <w:rPr>
          <w:rFonts w:cs="Calibri Light"/>
          <w:color w:val="1C1D1E"/>
          <w:sz w:val="18"/>
          <w:szCs w:val="18"/>
          <w:shd w:val="clear" w:color="auto" w:fill="FFFFFF"/>
          <w:lang w:val="en-US"/>
        </w:rPr>
        <w:t xml:space="preserve">Vanhaecht K, Seys D, Russotto S, Strametz R, Mira J, </w:t>
      </w:r>
      <w:proofErr w:type="spellStart"/>
      <w:r w:rsidRPr="00560106">
        <w:rPr>
          <w:rFonts w:cs="Calibri Light"/>
          <w:color w:val="1C1D1E"/>
          <w:sz w:val="18"/>
          <w:szCs w:val="18"/>
          <w:shd w:val="clear" w:color="auto" w:fill="FFFFFF"/>
          <w:lang w:val="en-US"/>
        </w:rPr>
        <w:t>Sigurgeirsdóttir</w:t>
      </w:r>
      <w:proofErr w:type="spellEnd"/>
      <w:r w:rsidRPr="00560106">
        <w:rPr>
          <w:rFonts w:cs="Calibri Light"/>
          <w:color w:val="1C1D1E"/>
          <w:sz w:val="18"/>
          <w:szCs w:val="18"/>
          <w:shd w:val="clear" w:color="auto" w:fill="FFFFFF"/>
          <w:lang w:val="en-US"/>
        </w:rPr>
        <w:t xml:space="preserve"> S, Wu AW, Põlluste K, Popovici DG, Sfetcu R, Kurt S, Panella M on behalf of European Researchers’ Network Working on Second Victims (ERNST). An Evidence and Consensus-Based Definition of Second Victim: A Strategic Topic in Healthcare Quality, Patient Safety, Person-Centeredness and Human Resource Management. International Journal of Environmental Research and Public Health. 2022</w:t>
      </w:r>
      <w:proofErr w:type="gramStart"/>
      <w:r w:rsidRPr="00560106">
        <w:rPr>
          <w:rFonts w:cs="Calibri Light"/>
          <w:color w:val="1C1D1E"/>
          <w:sz w:val="18"/>
          <w:szCs w:val="18"/>
          <w:shd w:val="clear" w:color="auto" w:fill="FFFFFF"/>
          <w:lang w:val="en-US"/>
        </w:rPr>
        <w:t>;</w:t>
      </w:r>
      <w:proofErr w:type="gramEnd"/>
      <w:r w:rsidRPr="00560106">
        <w:rPr>
          <w:rFonts w:cs="Calibri Light"/>
          <w:color w:val="1C1D1E"/>
          <w:sz w:val="18"/>
          <w:szCs w:val="18"/>
          <w:shd w:val="clear" w:color="auto" w:fill="FFFFFF"/>
          <w:lang w:val="en-US"/>
        </w:rPr>
        <w:t xml:space="preserve"> 19(24):16869.</w:t>
      </w:r>
    </w:p>
  </w:endnote>
  <w:endnote w:id="3">
    <w:p w14:paraId="6013196D" w14:textId="77777777" w:rsidR="00C526FC" w:rsidRPr="00560106" w:rsidRDefault="00C526FC" w:rsidP="00560106">
      <w:pPr>
        <w:pStyle w:val="Textonotaalfinal"/>
        <w:rPr>
          <w:rFonts w:cs="Calibri Light"/>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Frankel AS, Leonard MW, Denham CR. Fair and just culture, team behavior, and leadership engagement: The tools to achieve high reliability. Health Serv Res. 2006 Aug</w:t>
      </w:r>
      <w:proofErr w:type="gramStart"/>
      <w:r w:rsidRPr="00560106">
        <w:rPr>
          <w:rFonts w:cs="Calibri Light"/>
          <w:sz w:val="18"/>
          <w:szCs w:val="18"/>
          <w:lang w:val="en-US"/>
        </w:rPr>
        <w:t>;41</w:t>
      </w:r>
      <w:proofErr w:type="gramEnd"/>
      <w:r w:rsidRPr="00560106">
        <w:rPr>
          <w:rFonts w:cs="Calibri Light"/>
          <w:sz w:val="18"/>
          <w:szCs w:val="18"/>
          <w:lang w:val="en-US"/>
        </w:rPr>
        <w:t xml:space="preserve">(4 Pt 2):1690-709. </w:t>
      </w:r>
      <w:proofErr w:type="spellStart"/>
      <w:proofErr w:type="gramStart"/>
      <w:r w:rsidRPr="00560106">
        <w:rPr>
          <w:rFonts w:cs="Calibri Light"/>
          <w:sz w:val="18"/>
          <w:szCs w:val="18"/>
          <w:lang w:val="en-US"/>
        </w:rPr>
        <w:t>doi</w:t>
      </w:r>
      <w:proofErr w:type="spellEnd"/>
      <w:proofErr w:type="gramEnd"/>
      <w:r w:rsidRPr="00560106">
        <w:rPr>
          <w:rFonts w:cs="Calibri Light"/>
          <w:sz w:val="18"/>
          <w:szCs w:val="18"/>
          <w:lang w:val="en-US"/>
        </w:rPr>
        <w:t xml:space="preserve">: 10.1111/j.1475-6773.2006.00572.x. PMID: 16898986; PMCID: PMC1955339. </w:t>
      </w:r>
    </w:p>
  </w:endnote>
  <w:endnote w:id="4">
    <w:p w14:paraId="57C34470" w14:textId="77777777" w:rsidR="00C526FC" w:rsidRPr="00560106" w:rsidRDefault="00C526FC" w:rsidP="00560106">
      <w:pPr>
        <w:pStyle w:val="Textonotaalfinal"/>
        <w:rPr>
          <w:rFonts w:cs="Calibri Light"/>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w:t>
      </w:r>
      <w:proofErr w:type="gramStart"/>
      <w:r w:rsidRPr="00560106">
        <w:rPr>
          <w:rFonts w:cs="Calibri Light"/>
          <w:sz w:val="18"/>
          <w:szCs w:val="18"/>
          <w:lang w:val="en-US"/>
        </w:rPr>
        <w:t>van</w:t>
      </w:r>
      <w:proofErr w:type="gramEnd"/>
      <w:r w:rsidRPr="00560106">
        <w:rPr>
          <w:rFonts w:cs="Calibri Light"/>
          <w:sz w:val="18"/>
          <w:szCs w:val="18"/>
          <w:lang w:val="en-US"/>
        </w:rPr>
        <w:t xml:space="preserve"> </w:t>
      </w:r>
      <w:proofErr w:type="spellStart"/>
      <w:r w:rsidRPr="00560106">
        <w:rPr>
          <w:rFonts w:cs="Calibri Light"/>
          <w:sz w:val="18"/>
          <w:szCs w:val="18"/>
          <w:lang w:val="en-US"/>
        </w:rPr>
        <w:t>Baarle</w:t>
      </w:r>
      <w:proofErr w:type="spellEnd"/>
      <w:r w:rsidRPr="00560106">
        <w:rPr>
          <w:rFonts w:cs="Calibri Light"/>
          <w:sz w:val="18"/>
          <w:szCs w:val="18"/>
          <w:lang w:val="en-US"/>
        </w:rPr>
        <w:t xml:space="preserve"> E, Hartman L, </w:t>
      </w:r>
      <w:proofErr w:type="spellStart"/>
      <w:r w:rsidRPr="00560106">
        <w:rPr>
          <w:rFonts w:cs="Calibri Light"/>
          <w:sz w:val="18"/>
          <w:szCs w:val="18"/>
          <w:lang w:val="en-US"/>
        </w:rPr>
        <w:t>Rooijakkers</w:t>
      </w:r>
      <w:proofErr w:type="spellEnd"/>
      <w:r w:rsidRPr="00560106">
        <w:rPr>
          <w:rFonts w:cs="Calibri Light"/>
          <w:sz w:val="18"/>
          <w:szCs w:val="18"/>
          <w:lang w:val="en-US"/>
        </w:rPr>
        <w:t xml:space="preserve"> S, et al. Fostering a just culture in healthcare organizations: experiences in practice. BMC Health Serv Res.2022; 22: 1035.</w:t>
      </w:r>
    </w:p>
  </w:endnote>
  <w:endnote w:id="5">
    <w:p w14:paraId="14DDCE29" w14:textId="77777777" w:rsidR="00C526FC" w:rsidRPr="00560106" w:rsidRDefault="00C526FC" w:rsidP="00560106">
      <w:pPr>
        <w:pStyle w:val="Textonotaalfinal"/>
        <w:rPr>
          <w:rFonts w:cs="Calibri Light"/>
          <w:sz w:val="18"/>
          <w:szCs w:val="18"/>
          <w:lang w:val="en-US"/>
        </w:rPr>
      </w:pPr>
      <w:r w:rsidRPr="00560106">
        <w:rPr>
          <w:rStyle w:val="Refdenotaalfinal"/>
          <w:rFonts w:cs="Calibri Light"/>
          <w:sz w:val="18"/>
          <w:szCs w:val="18"/>
        </w:rPr>
        <w:endnoteRef/>
      </w:r>
      <w:r w:rsidRPr="00891056">
        <w:rPr>
          <w:rFonts w:cs="Calibri Light"/>
          <w:sz w:val="18"/>
          <w:szCs w:val="18"/>
        </w:rPr>
        <w:t xml:space="preserve"> </w:t>
      </w:r>
      <w:r w:rsidRPr="00891056">
        <w:rPr>
          <w:rFonts w:cs="Calibri Light"/>
          <w:color w:val="1C1D1E"/>
          <w:sz w:val="18"/>
          <w:szCs w:val="18"/>
          <w:shd w:val="clear" w:color="auto" w:fill="FFFFFF"/>
        </w:rPr>
        <w:t>Guerra-</w:t>
      </w:r>
      <w:proofErr w:type="spellStart"/>
      <w:r w:rsidRPr="00891056">
        <w:rPr>
          <w:rFonts w:cs="Calibri Light"/>
          <w:color w:val="1C1D1E"/>
          <w:sz w:val="18"/>
          <w:szCs w:val="18"/>
          <w:shd w:val="clear" w:color="auto" w:fill="FFFFFF"/>
        </w:rPr>
        <w:t>Paiva</w:t>
      </w:r>
      <w:proofErr w:type="spellEnd"/>
      <w:r w:rsidRPr="00891056">
        <w:rPr>
          <w:rFonts w:cs="Calibri Light"/>
          <w:color w:val="1C1D1E"/>
          <w:sz w:val="18"/>
          <w:szCs w:val="18"/>
          <w:shd w:val="clear" w:color="auto" w:fill="FFFFFF"/>
        </w:rPr>
        <w:t xml:space="preserve"> S, </w:t>
      </w:r>
      <w:proofErr w:type="spellStart"/>
      <w:r w:rsidRPr="00891056">
        <w:rPr>
          <w:rFonts w:cs="Calibri Light"/>
          <w:color w:val="1C1D1E"/>
          <w:sz w:val="18"/>
          <w:szCs w:val="18"/>
          <w:shd w:val="clear" w:color="auto" w:fill="FFFFFF"/>
        </w:rPr>
        <w:t>Lobão</w:t>
      </w:r>
      <w:proofErr w:type="spellEnd"/>
      <w:r w:rsidRPr="00891056">
        <w:rPr>
          <w:rFonts w:cs="Calibri Light"/>
          <w:color w:val="1C1D1E"/>
          <w:sz w:val="18"/>
          <w:szCs w:val="18"/>
          <w:shd w:val="clear" w:color="auto" w:fill="FFFFFF"/>
        </w:rPr>
        <w:t xml:space="preserve"> MJ, </w:t>
      </w:r>
      <w:proofErr w:type="spellStart"/>
      <w:r w:rsidRPr="00891056">
        <w:rPr>
          <w:rFonts w:cs="Calibri Light"/>
          <w:color w:val="1C1D1E"/>
          <w:sz w:val="18"/>
          <w:szCs w:val="18"/>
          <w:shd w:val="clear" w:color="auto" w:fill="FFFFFF"/>
        </w:rPr>
        <w:t>Simões</w:t>
      </w:r>
      <w:proofErr w:type="spellEnd"/>
      <w:r w:rsidRPr="00891056">
        <w:rPr>
          <w:rFonts w:cs="Calibri Light"/>
          <w:color w:val="1C1D1E"/>
          <w:sz w:val="18"/>
          <w:szCs w:val="18"/>
          <w:shd w:val="clear" w:color="auto" w:fill="FFFFFF"/>
        </w:rPr>
        <w:t xml:space="preserve"> DG, et al. </w:t>
      </w:r>
      <w:r w:rsidRPr="00560106">
        <w:rPr>
          <w:rFonts w:cs="Calibri Light"/>
          <w:color w:val="1C1D1E"/>
          <w:sz w:val="18"/>
          <w:szCs w:val="18"/>
          <w:shd w:val="clear" w:color="auto" w:fill="FFFFFF"/>
          <w:lang w:val="en-US"/>
        </w:rPr>
        <w:t>Key factors for effective implementation of healthcare workers support interventions after patient safety incidents in health organizations: a scoping review. BMJ Open 2023</w:t>
      </w:r>
      <w:proofErr w:type="gramStart"/>
      <w:r w:rsidRPr="00560106">
        <w:rPr>
          <w:rFonts w:cs="Calibri Light"/>
          <w:color w:val="1C1D1E"/>
          <w:sz w:val="18"/>
          <w:szCs w:val="18"/>
          <w:shd w:val="clear" w:color="auto" w:fill="FFFFFF"/>
          <w:lang w:val="en-US"/>
        </w:rPr>
        <w:t>;13:e078118</w:t>
      </w:r>
      <w:proofErr w:type="gramEnd"/>
      <w:r w:rsidRPr="00560106">
        <w:rPr>
          <w:rFonts w:cs="Calibri Light"/>
          <w:color w:val="1C1D1E"/>
          <w:sz w:val="18"/>
          <w:szCs w:val="18"/>
          <w:shd w:val="clear" w:color="auto" w:fill="FFFFFF"/>
          <w:lang w:val="en-US"/>
        </w:rPr>
        <w:t xml:space="preserve">. </w:t>
      </w:r>
      <w:proofErr w:type="gramStart"/>
      <w:r w:rsidRPr="00560106">
        <w:rPr>
          <w:rFonts w:cs="Calibri Light"/>
          <w:color w:val="1C1D1E"/>
          <w:sz w:val="18"/>
          <w:szCs w:val="18"/>
          <w:shd w:val="clear" w:color="auto" w:fill="FFFFFF"/>
          <w:lang w:val="en-US"/>
        </w:rPr>
        <w:t>doi:</w:t>
      </w:r>
      <w:proofErr w:type="gramEnd"/>
      <w:r w:rsidRPr="00560106">
        <w:rPr>
          <w:rFonts w:cs="Calibri Light"/>
          <w:color w:val="1C1D1E"/>
          <w:sz w:val="18"/>
          <w:szCs w:val="18"/>
          <w:shd w:val="clear" w:color="auto" w:fill="FFFFFF"/>
          <w:lang w:val="en-US"/>
        </w:rPr>
        <w:t>10.1136/bmjopen-2023-078118.</w:t>
      </w:r>
    </w:p>
  </w:endnote>
  <w:endnote w:id="6">
    <w:p w14:paraId="3721A109" w14:textId="77777777" w:rsidR="00C526FC" w:rsidRPr="00560106" w:rsidRDefault="00C526FC" w:rsidP="00560106">
      <w:pPr>
        <w:kinsoku w:val="0"/>
        <w:overflowPunct w:val="0"/>
        <w:autoSpaceDE w:val="0"/>
        <w:autoSpaceDN w:val="0"/>
        <w:adjustRightInd w:val="0"/>
        <w:ind w:right="3"/>
        <w:rPr>
          <w:rFonts w:cs="Calibri Light"/>
          <w:color w:val="1B1B1B"/>
          <w:sz w:val="18"/>
          <w:szCs w:val="18"/>
          <w:shd w:val="clear" w:color="auto" w:fill="FFFFFF"/>
          <w:lang w:val="en-US"/>
        </w:rPr>
      </w:pPr>
      <w:r w:rsidRPr="00560106">
        <w:rPr>
          <w:rStyle w:val="Refdenotaalfinal"/>
          <w:rFonts w:cs="Calibri Light"/>
          <w:sz w:val="18"/>
          <w:szCs w:val="18"/>
        </w:rPr>
        <w:endnoteRef/>
      </w:r>
      <w:r w:rsidRPr="00560106">
        <w:rPr>
          <w:rFonts w:cs="Calibri Light"/>
          <w:sz w:val="18"/>
          <w:szCs w:val="18"/>
          <w:lang w:val="en-US"/>
        </w:rPr>
        <w:t xml:space="preserve"> </w:t>
      </w:r>
      <w:r w:rsidRPr="00560106">
        <w:rPr>
          <w:rFonts w:cs="Calibri Light"/>
          <w:color w:val="1B1B1B"/>
          <w:sz w:val="18"/>
          <w:szCs w:val="18"/>
          <w:shd w:val="clear" w:color="auto" w:fill="FFFFFF"/>
          <w:lang w:val="en-US"/>
        </w:rPr>
        <w:t xml:space="preserve">Busch IM, Moretti F, Campagna I, </w:t>
      </w:r>
      <w:proofErr w:type="spellStart"/>
      <w:r w:rsidRPr="00560106">
        <w:rPr>
          <w:rFonts w:cs="Calibri Light"/>
          <w:color w:val="1B1B1B"/>
          <w:sz w:val="18"/>
          <w:szCs w:val="18"/>
          <w:shd w:val="clear" w:color="auto" w:fill="FFFFFF"/>
          <w:lang w:val="en-US"/>
        </w:rPr>
        <w:t>Benoni</w:t>
      </w:r>
      <w:proofErr w:type="spellEnd"/>
      <w:r w:rsidRPr="00560106">
        <w:rPr>
          <w:rFonts w:cs="Calibri Light"/>
          <w:color w:val="1B1B1B"/>
          <w:sz w:val="18"/>
          <w:szCs w:val="18"/>
          <w:shd w:val="clear" w:color="auto" w:fill="FFFFFF"/>
          <w:lang w:val="en-US"/>
        </w:rPr>
        <w:t xml:space="preserve"> R, </w:t>
      </w:r>
      <w:proofErr w:type="spellStart"/>
      <w:r w:rsidRPr="00560106">
        <w:rPr>
          <w:rFonts w:cs="Calibri Light"/>
          <w:color w:val="1B1B1B"/>
          <w:sz w:val="18"/>
          <w:szCs w:val="18"/>
          <w:shd w:val="clear" w:color="auto" w:fill="FFFFFF"/>
          <w:lang w:val="en-US"/>
        </w:rPr>
        <w:t>Tardivo</w:t>
      </w:r>
      <w:proofErr w:type="spellEnd"/>
      <w:r w:rsidRPr="00560106">
        <w:rPr>
          <w:rFonts w:cs="Calibri Light"/>
          <w:color w:val="1B1B1B"/>
          <w:sz w:val="18"/>
          <w:szCs w:val="18"/>
          <w:shd w:val="clear" w:color="auto" w:fill="FFFFFF"/>
          <w:lang w:val="en-US"/>
        </w:rPr>
        <w:t xml:space="preserve"> S, Wu AW, </w:t>
      </w:r>
      <w:proofErr w:type="spellStart"/>
      <w:r w:rsidRPr="00560106">
        <w:rPr>
          <w:rFonts w:cs="Calibri Light"/>
          <w:color w:val="1B1B1B"/>
          <w:sz w:val="18"/>
          <w:szCs w:val="18"/>
          <w:shd w:val="clear" w:color="auto" w:fill="FFFFFF"/>
          <w:lang w:val="en-US"/>
        </w:rPr>
        <w:t>Rimondini</w:t>
      </w:r>
      <w:proofErr w:type="spellEnd"/>
      <w:r w:rsidRPr="00560106">
        <w:rPr>
          <w:rFonts w:cs="Calibri Light"/>
          <w:color w:val="1B1B1B"/>
          <w:sz w:val="18"/>
          <w:szCs w:val="18"/>
          <w:shd w:val="clear" w:color="auto" w:fill="FFFFFF"/>
          <w:lang w:val="en-US"/>
        </w:rPr>
        <w:t xml:space="preserve"> M. Promoting the Psychological Well-Being of Healthcare Providers Facing the Burden of Adverse Events: A Systematic Review of Second Victim Support Resources. Int J Environ Res Public Health. 2021</w:t>
      </w:r>
      <w:proofErr w:type="gramStart"/>
      <w:r w:rsidRPr="00560106">
        <w:rPr>
          <w:rFonts w:cs="Calibri Light"/>
          <w:color w:val="1B1B1B"/>
          <w:sz w:val="18"/>
          <w:szCs w:val="18"/>
          <w:shd w:val="clear" w:color="auto" w:fill="FFFFFF"/>
          <w:lang w:val="en-US"/>
        </w:rPr>
        <w:t>;18</w:t>
      </w:r>
      <w:proofErr w:type="gramEnd"/>
      <w:r w:rsidRPr="00560106">
        <w:rPr>
          <w:rFonts w:cs="Calibri Light"/>
          <w:color w:val="1B1B1B"/>
          <w:sz w:val="18"/>
          <w:szCs w:val="18"/>
          <w:shd w:val="clear" w:color="auto" w:fill="FFFFFF"/>
          <w:lang w:val="en-US"/>
        </w:rPr>
        <w:t>(10):5080.</w:t>
      </w:r>
    </w:p>
  </w:endnote>
  <w:endnote w:id="7">
    <w:p w14:paraId="448D4604" w14:textId="4EE70FCF" w:rsidR="00217846" w:rsidRPr="00560106" w:rsidRDefault="00217846" w:rsidP="00560106">
      <w:pPr>
        <w:kinsoku w:val="0"/>
        <w:overflowPunct w:val="0"/>
        <w:autoSpaceDE w:val="0"/>
        <w:autoSpaceDN w:val="0"/>
        <w:adjustRightInd w:val="0"/>
        <w:ind w:right="3"/>
        <w:rPr>
          <w:rFonts w:cs="Calibri Light"/>
          <w:kern w:val="0"/>
          <w:sz w:val="18"/>
          <w:szCs w:val="18"/>
          <w:lang w:val="de-DE"/>
        </w:rPr>
      </w:pPr>
      <w:r w:rsidRPr="00560106">
        <w:rPr>
          <w:rStyle w:val="Refdenotaalfinal"/>
          <w:sz w:val="18"/>
          <w:szCs w:val="18"/>
        </w:rPr>
        <w:endnoteRef/>
      </w:r>
      <w:r w:rsidRPr="00560106">
        <w:rPr>
          <w:sz w:val="18"/>
          <w:szCs w:val="18"/>
          <w:lang w:val="en-US"/>
        </w:rPr>
        <w:t xml:space="preserve"> </w:t>
      </w:r>
      <w:r w:rsidRPr="00560106">
        <w:rPr>
          <w:rFonts w:cs="Calibri Light"/>
          <w:kern w:val="0"/>
          <w:sz w:val="18"/>
          <w:szCs w:val="18"/>
          <w:lang w:val="en-US"/>
        </w:rPr>
        <w:t xml:space="preserve">Edmondson A. Psychological safety and learning behavior in work teams. </w:t>
      </w:r>
      <w:r w:rsidRPr="00560106">
        <w:rPr>
          <w:rFonts w:cs="Calibri Light"/>
          <w:kern w:val="0"/>
          <w:sz w:val="18"/>
          <w:szCs w:val="18"/>
          <w:lang w:val="de-DE"/>
        </w:rPr>
        <w:t>Adm Sci Q. Jun 1999;44(2):350-383.</w:t>
      </w:r>
    </w:p>
  </w:endnote>
  <w:endnote w:id="8">
    <w:p w14:paraId="5D23A17E" w14:textId="6286D334" w:rsidR="00217846" w:rsidRPr="00560106" w:rsidRDefault="00217846" w:rsidP="00560106">
      <w:pPr>
        <w:pStyle w:val="Textonotaalfinal"/>
        <w:rPr>
          <w:sz w:val="18"/>
          <w:szCs w:val="18"/>
          <w:lang w:val="en-US"/>
        </w:rPr>
      </w:pPr>
      <w:r w:rsidRPr="00560106">
        <w:rPr>
          <w:rStyle w:val="Refdenotaalfinal"/>
          <w:sz w:val="18"/>
          <w:szCs w:val="18"/>
        </w:rPr>
        <w:endnoteRef/>
      </w:r>
      <w:r w:rsidRPr="00560106">
        <w:rPr>
          <w:sz w:val="18"/>
          <w:szCs w:val="18"/>
          <w:lang w:val="de-DE"/>
        </w:rPr>
        <w:t xml:space="preserve"> Appelbaum NP, Dow A, Mazmanian PE, Jundt DK, Appelbaum EN. </w:t>
      </w:r>
      <w:r w:rsidRPr="00560106">
        <w:rPr>
          <w:sz w:val="18"/>
          <w:szCs w:val="18"/>
          <w:lang w:val="en-US"/>
        </w:rPr>
        <w:t>The effects of power, leadership and psychological safety on resident event reporting. Med Educ. Mar 2016</w:t>
      </w:r>
      <w:proofErr w:type="gramStart"/>
      <w:r w:rsidRPr="00560106">
        <w:rPr>
          <w:sz w:val="18"/>
          <w:szCs w:val="18"/>
          <w:lang w:val="en-US"/>
        </w:rPr>
        <w:t>;50</w:t>
      </w:r>
      <w:proofErr w:type="gramEnd"/>
      <w:r w:rsidRPr="00560106">
        <w:rPr>
          <w:sz w:val="18"/>
          <w:szCs w:val="18"/>
          <w:lang w:val="en-US"/>
        </w:rPr>
        <w:t>(3):343-350.</w:t>
      </w:r>
    </w:p>
  </w:endnote>
  <w:endnote w:id="9">
    <w:p w14:paraId="689BF6C5" w14:textId="68337566" w:rsidR="004E0065" w:rsidRPr="00560106" w:rsidRDefault="004E0065" w:rsidP="00560106">
      <w:pPr>
        <w:kinsoku w:val="0"/>
        <w:overflowPunct w:val="0"/>
        <w:autoSpaceDE w:val="0"/>
        <w:autoSpaceDN w:val="0"/>
        <w:adjustRightInd w:val="0"/>
        <w:ind w:right="3"/>
        <w:rPr>
          <w:rFonts w:cs="Calibri Light"/>
          <w:kern w:val="0"/>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w:t>
      </w:r>
      <w:proofErr w:type="spellStart"/>
      <w:r w:rsidRPr="00560106">
        <w:rPr>
          <w:rFonts w:cs="Calibri Light"/>
          <w:kern w:val="0"/>
          <w:sz w:val="18"/>
          <w:szCs w:val="18"/>
          <w:lang w:val="en-US"/>
        </w:rPr>
        <w:t>ForYou</w:t>
      </w:r>
      <w:proofErr w:type="spellEnd"/>
      <w:r w:rsidRPr="00560106">
        <w:rPr>
          <w:rFonts w:cs="Calibri Light"/>
          <w:kern w:val="0"/>
          <w:sz w:val="18"/>
          <w:szCs w:val="18"/>
          <w:lang w:val="en-US"/>
        </w:rPr>
        <w:t>. Available at: https://www.muhealth.org/about-us/quality-care-patient-safety/office-of-clinical-effectiveness/foryou.</w:t>
      </w:r>
    </w:p>
  </w:endnote>
  <w:endnote w:id="10">
    <w:p w14:paraId="4D2E94CE" w14:textId="2017E504" w:rsidR="007D7AB3" w:rsidRPr="00560106" w:rsidRDefault="007D7AB3" w:rsidP="0013398C">
      <w:pPr>
        <w:kinsoku w:val="0"/>
        <w:overflowPunct w:val="0"/>
        <w:autoSpaceDE w:val="0"/>
        <w:autoSpaceDN w:val="0"/>
        <w:adjustRightInd w:val="0"/>
        <w:ind w:right="3"/>
        <w:rPr>
          <w:rFonts w:cs="Calibri Light"/>
          <w:kern w:val="0"/>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w:t>
      </w:r>
      <w:r w:rsidRPr="00560106">
        <w:rPr>
          <w:rFonts w:cs="Calibri Light"/>
          <w:kern w:val="0"/>
          <w:sz w:val="18"/>
          <w:szCs w:val="18"/>
          <w:lang w:val="en-US"/>
        </w:rPr>
        <w:t xml:space="preserve">Scott, S.D.; </w:t>
      </w:r>
      <w:proofErr w:type="spellStart"/>
      <w:r w:rsidRPr="00560106">
        <w:rPr>
          <w:rFonts w:cs="Calibri Light"/>
          <w:kern w:val="0"/>
          <w:sz w:val="18"/>
          <w:szCs w:val="18"/>
          <w:lang w:val="en-US"/>
        </w:rPr>
        <w:t>Hirschinger</w:t>
      </w:r>
      <w:proofErr w:type="spellEnd"/>
      <w:r w:rsidRPr="00560106">
        <w:rPr>
          <w:rFonts w:cs="Calibri Light"/>
          <w:kern w:val="0"/>
          <w:sz w:val="18"/>
          <w:szCs w:val="18"/>
          <w:lang w:val="en-US"/>
        </w:rPr>
        <w:t xml:space="preserve">, L.E.; Cox, K.R.; </w:t>
      </w:r>
      <w:proofErr w:type="spellStart"/>
      <w:r w:rsidRPr="00560106">
        <w:rPr>
          <w:rFonts w:cs="Calibri Light"/>
          <w:kern w:val="0"/>
          <w:sz w:val="18"/>
          <w:szCs w:val="18"/>
          <w:lang w:val="en-US"/>
        </w:rPr>
        <w:t>McCoig</w:t>
      </w:r>
      <w:proofErr w:type="spellEnd"/>
      <w:r w:rsidRPr="00560106">
        <w:rPr>
          <w:rFonts w:cs="Calibri Light"/>
          <w:kern w:val="0"/>
          <w:sz w:val="18"/>
          <w:szCs w:val="18"/>
          <w:lang w:val="en-US"/>
        </w:rPr>
        <w:t xml:space="preserve">, M.; Hahn-Cover, K.; Epperly, K.M.; Phillips, E.C.; Hall, L.W. Caring for Our Own: Deploying a </w:t>
      </w:r>
      <w:proofErr w:type="spellStart"/>
      <w:r w:rsidRPr="00560106">
        <w:rPr>
          <w:rFonts w:cs="Calibri Light"/>
          <w:kern w:val="0"/>
          <w:sz w:val="18"/>
          <w:szCs w:val="18"/>
          <w:lang w:val="en-US"/>
        </w:rPr>
        <w:t>Systemwide</w:t>
      </w:r>
      <w:proofErr w:type="spellEnd"/>
      <w:r w:rsidRPr="00560106">
        <w:rPr>
          <w:rFonts w:cs="Calibri Light"/>
          <w:kern w:val="0"/>
          <w:sz w:val="18"/>
          <w:szCs w:val="18"/>
          <w:lang w:val="en-US"/>
        </w:rPr>
        <w:t xml:space="preserve"> Second </w:t>
      </w:r>
      <w:proofErr w:type="spellStart"/>
      <w:r w:rsidRPr="00560106">
        <w:rPr>
          <w:rFonts w:cs="Calibri Light"/>
          <w:kern w:val="0"/>
          <w:sz w:val="18"/>
          <w:szCs w:val="18"/>
          <w:lang w:val="en-US"/>
        </w:rPr>
        <w:t>VictimRapid</w:t>
      </w:r>
      <w:proofErr w:type="spellEnd"/>
      <w:r w:rsidRPr="00560106">
        <w:rPr>
          <w:rFonts w:cs="Calibri Light"/>
          <w:kern w:val="0"/>
          <w:sz w:val="18"/>
          <w:szCs w:val="18"/>
          <w:lang w:val="en-US"/>
        </w:rPr>
        <w:t xml:space="preserve"> Response Team. Jt. Comm. J. Qual. Patient Saf. </w:t>
      </w:r>
      <w:proofErr w:type="gramStart"/>
      <w:r w:rsidRPr="00560106">
        <w:rPr>
          <w:rFonts w:cs="Calibri Light"/>
          <w:kern w:val="0"/>
          <w:sz w:val="18"/>
          <w:szCs w:val="18"/>
          <w:lang w:val="en-US"/>
        </w:rPr>
        <w:t>2010</w:t>
      </w:r>
      <w:proofErr w:type="gramEnd"/>
      <w:r w:rsidRPr="00560106">
        <w:rPr>
          <w:rFonts w:cs="Calibri Light"/>
          <w:kern w:val="0"/>
          <w:sz w:val="18"/>
          <w:szCs w:val="18"/>
          <w:lang w:val="en-US"/>
        </w:rPr>
        <w:t>, 36, 233–240.</w:t>
      </w:r>
    </w:p>
  </w:endnote>
  <w:endnote w:id="11">
    <w:p w14:paraId="766EF230" w14:textId="3E5175C0" w:rsidR="007D7AB3" w:rsidRPr="00560106" w:rsidRDefault="007D7AB3" w:rsidP="0013398C">
      <w:pPr>
        <w:pStyle w:val="Textonotaalfinal"/>
        <w:rPr>
          <w:rFonts w:cs="Calibri Light"/>
          <w:sz w:val="18"/>
          <w:szCs w:val="18"/>
        </w:rPr>
      </w:pPr>
      <w:r w:rsidRPr="00560106">
        <w:rPr>
          <w:rStyle w:val="Refdenotaalfinal"/>
          <w:rFonts w:cs="Calibri Light"/>
          <w:sz w:val="18"/>
          <w:szCs w:val="18"/>
        </w:rPr>
        <w:endnoteRef/>
      </w:r>
      <w:r w:rsidRPr="00560106">
        <w:rPr>
          <w:rFonts w:cs="Calibri Light"/>
          <w:sz w:val="18"/>
          <w:szCs w:val="18"/>
          <w:lang w:val="en-US"/>
        </w:rPr>
        <w:t xml:space="preserve"> </w:t>
      </w:r>
      <w:proofErr w:type="spellStart"/>
      <w:r w:rsidRPr="00560106">
        <w:rPr>
          <w:rFonts w:cs="Calibri Light"/>
          <w:kern w:val="0"/>
          <w:sz w:val="18"/>
          <w:szCs w:val="18"/>
          <w:lang w:val="en-US"/>
        </w:rPr>
        <w:t>Edrees</w:t>
      </w:r>
      <w:proofErr w:type="spellEnd"/>
      <w:r w:rsidRPr="00560106">
        <w:rPr>
          <w:rFonts w:cs="Calibri Light"/>
          <w:kern w:val="0"/>
          <w:sz w:val="18"/>
          <w:szCs w:val="18"/>
          <w:lang w:val="en-US"/>
        </w:rPr>
        <w:t xml:space="preserve">, H.; Connors, C.; Paine, L.; Norvell, M.; Taylor, H.; Wu, A.W. Implementing the RISE Second Victim Support </w:t>
      </w:r>
      <w:proofErr w:type="spellStart"/>
      <w:r w:rsidRPr="00560106">
        <w:rPr>
          <w:rFonts w:cs="Calibri Light"/>
          <w:kern w:val="0"/>
          <w:sz w:val="18"/>
          <w:szCs w:val="18"/>
          <w:lang w:val="en-US"/>
        </w:rPr>
        <w:t>Programme</w:t>
      </w:r>
      <w:proofErr w:type="spellEnd"/>
      <w:r w:rsidRPr="00560106">
        <w:rPr>
          <w:rFonts w:cs="Calibri Light"/>
          <w:kern w:val="0"/>
          <w:sz w:val="18"/>
          <w:szCs w:val="18"/>
          <w:lang w:val="en-US"/>
        </w:rPr>
        <w:t xml:space="preserve"> at the Johns Hopkins Hospital: A Case Study. </w:t>
      </w:r>
      <w:r w:rsidRPr="00560106">
        <w:rPr>
          <w:rFonts w:cs="Calibri Light"/>
          <w:kern w:val="0"/>
          <w:sz w:val="18"/>
          <w:szCs w:val="18"/>
        </w:rPr>
        <w:t>BMJ Open 2016, 6, e011708</w:t>
      </w:r>
    </w:p>
  </w:endnote>
  <w:endnote w:id="12">
    <w:p w14:paraId="0D48DA87" w14:textId="77777777" w:rsidR="001D125B" w:rsidRPr="00560106" w:rsidRDefault="001D125B" w:rsidP="0013398C">
      <w:pPr>
        <w:pStyle w:val="Textonotaalfinal"/>
        <w:rPr>
          <w:rFonts w:cs="Calibri Light"/>
          <w:sz w:val="18"/>
          <w:szCs w:val="18"/>
          <w:lang w:val="en-US"/>
        </w:rPr>
      </w:pPr>
      <w:r w:rsidRPr="00560106">
        <w:rPr>
          <w:rStyle w:val="Refdenotaalfinal"/>
          <w:rFonts w:cs="Calibri Light"/>
          <w:sz w:val="18"/>
          <w:szCs w:val="18"/>
        </w:rPr>
        <w:endnoteRef/>
      </w:r>
      <w:r w:rsidRPr="00560106">
        <w:rPr>
          <w:rFonts w:cs="Calibri Light"/>
          <w:sz w:val="18"/>
          <w:szCs w:val="18"/>
        </w:rPr>
        <w:t xml:space="preserve"> </w:t>
      </w:r>
      <w:r w:rsidRPr="00560106">
        <w:rPr>
          <w:rFonts w:cs="Calibri Light"/>
          <w:sz w:val="18"/>
          <w:szCs w:val="18"/>
          <w:shd w:val="clear" w:color="auto" w:fill="FFFFFF"/>
        </w:rPr>
        <w:t xml:space="preserve">Mira JJ, Carrillo I, Gil E, et al. </w:t>
      </w:r>
      <w:r w:rsidRPr="00560106">
        <w:rPr>
          <w:rFonts w:cs="Calibri Light"/>
          <w:sz w:val="18"/>
          <w:szCs w:val="18"/>
          <w:shd w:val="clear" w:color="auto" w:fill="FFFFFF"/>
          <w:lang w:val="en-US"/>
        </w:rPr>
        <w:t>Key elements for designing effective second victim support interventions: a focus group study in European clinical settings. BMJ Open. 2025</w:t>
      </w:r>
      <w:proofErr w:type="gramStart"/>
      <w:r w:rsidRPr="00560106">
        <w:rPr>
          <w:rFonts w:cs="Calibri Light"/>
          <w:sz w:val="18"/>
          <w:szCs w:val="18"/>
          <w:shd w:val="clear" w:color="auto" w:fill="FFFFFF"/>
          <w:lang w:val="en-US"/>
        </w:rPr>
        <w:t>;15:e089923</w:t>
      </w:r>
      <w:proofErr w:type="gramEnd"/>
      <w:r w:rsidRPr="00560106">
        <w:rPr>
          <w:rFonts w:cs="Calibri Light"/>
          <w:sz w:val="18"/>
          <w:szCs w:val="18"/>
          <w:shd w:val="clear" w:color="auto" w:fill="FFFFFF"/>
          <w:lang w:val="en-US"/>
        </w:rPr>
        <w:t>.</w:t>
      </w:r>
    </w:p>
  </w:endnote>
  <w:endnote w:id="13">
    <w:p w14:paraId="095EED6D" w14:textId="77777777" w:rsidR="001D125B" w:rsidRPr="00560106" w:rsidRDefault="001D125B" w:rsidP="0013398C">
      <w:pPr>
        <w:pStyle w:val="Textonotaalfinal"/>
        <w:rPr>
          <w:rFonts w:cs="Calibri Light"/>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Seys D, Panella M, Russotto S, Strametz R, Mira JJ, et al. In search of an international multidimensional action plan for second victim support: a narrative review. BMC Health Service Research. 2023</w:t>
      </w:r>
      <w:proofErr w:type="gramStart"/>
      <w:r w:rsidRPr="00560106">
        <w:rPr>
          <w:rFonts w:cs="Calibri Light"/>
          <w:sz w:val="18"/>
          <w:szCs w:val="18"/>
          <w:lang w:val="en-US"/>
        </w:rPr>
        <w:t>;23:816</w:t>
      </w:r>
      <w:proofErr w:type="gramEnd"/>
      <w:r w:rsidRPr="00560106">
        <w:rPr>
          <w:rFonts w:cs="Calibri Light"/>
          <w:sz w:val="18"/>
          <w:szCs w:val="18"/>
          <w:lang w:val="en-US"/>
        </w:rPr>
        <w:t>.</w:t>
      </w:r>
    </w:p>
  </w:endnote>
  <w:endnote w:id="14">
    <w:p w14:paraId="3B8ED2FB" w14:textId="42D04DCE" w:rsidR="00257348" w:rsidRPr="00560106" w:rsidRDefault="00257348" w:rsidP="0013398C">
      <w:pPr>
        <w:pStyle w:val="Textonotaalfinal"/>
        <w:rPr>
          <w:rFonts w:cs="Calibri Light"/>
          <w:sz w:val="18"/>
          <w:szCs w:val="18"/>
          <w:lang w:val="en-US"/>
        </w:rPr>
      </w:pPr>
      <w:r w:rsidRPr="00560106">
        <w:rPr>
          <w:rStyle w:val="Refdenotaalfinal"/>
          <w:rFonts w:cs="Calibri Light"/>
          <w:sz w:val="18"/>
          <w:szCs w:val="18"/>
        </w:rPr>
        <w:endnoteRef/>
      </w:r>
      <w:r w:rsidRPr="00560106">
        <w:rPr>
          <w:rFonts w:cs="Calibri Light"/>
          <w:sz w:val="18"/>
          <w:szCs w:val="18"/>
          <w:lang w:val="en-US"/>
        </w:rPr>
        <w:t xml:space="preserve"> Scott SD, </w:t>
      </w:r>
      <w:proofErr w:type="spellStart"/>
      <w:r w:rsidRPr="00560106">
        <w:rPr>
          <w:rFonts w:cs="Calibri Light"/>
          <w:sz w:val="18"/>
          <w:szCs w:val="18"/>
          <w:lang w:val="en-US"/>
        </w:rPr>
        <w:t>Hirschinger</w:t>
      </w:r>
      <w:proofErr w:type="spellEnd"/>
      <w:r w:rsidRPr="00560106">
        <w:rPr>
          <w:rFonts w:cs="Calibri Light"/>
          <w:sz w:val="18"/>
          <w:szCs w:val="18"/>
          <w:lang w:val="en-US"/>
        </w:rPr>
        <w:t xml:space="preserve"> LE, Cox KR, </w:t>
      </w:r>
      <w:proofErr w:type="spellStart"/>
      <w:r w:rsidRPr="00560106">
        <w:rPr>
          <w:rFonts w:cs="Calibri Light"/>
          <w:sz w:val="18"/>
          <w:szCs w:val="18"/>
          <w:lang w:val="en-US"/>
        </w:rPr>
        <w:t>McCoig</w:t>
      </w:r>
      <w:proofErr w:type="spellEnd"/>
      <w:r w:rsidRPr="00560106">
        <w:rPr>
          <w:rFonts w:cs="Calibri Light"/>
          <w:sz w:val="18"/>
          <w:szCs w:val="18"/>
          <w:lang w:val="en-US"/>
        </w:rPr>
        <w:t xml:space="preserve"> M, Brandt J, Hall LW. The natural history of recovery for the healthcare provider "second victim" after adverse patient events. Qual Saf Health Care. 2009</w:t>
      </w:r>
      <w:proofErr w:type="gramStart"/>
      <w:r w:rsidRPr="00560106">
        <w:rPr>
          <w:rFonts w:cs="Calibri Light"/>
          <w:sz w:val="18"/>
          <w:szCs w:val="18"/>
          <w:lang w:val="en-US"/>
        </w:rPr>
        <w:t>;18</w:t>
      </w:r>
      <w:proofErr w:type="gramEnd"/>
      <w:r w:rsidRPr="00560106">
        <w:rPr>
          <w:rFonts w:cs="Calibri Light"/>
          <w:sz w:val="18"/>
          <w:szCs w:val="18"/>
          <w:lang w:val="en-US"/>
        </w:rPr>
        <w:t>(5):325-330.</w:t>
      </w:r>
    </w:p>
  </w:endnote>
  <w:endnote w:id="15">
    <w:p w14:paraId="285700FC" w14:textId="6766308C" w:rsidR="00257348" w:rsidRPr="00560106" w:rsidRDefault="00257348" w:rsidP="0013398C">
      <w:pPr>
        <w:pStyle w:val="Textonotaalfinal"/>
        <w:rPr>
          <w:rFonts w:cs="Calibri Light"/>
          <w:sz w:val="18"/>
          <w:szCs w:val="18"/>
        </w:rPr>
      </w:pPr>
      <w:r w:rsidRPr="00560106">
        <w:rPr>
          <w:rStyle w:val="Refdenotaalfinal"/>
          <w:rFonts w:cs="Calibri Light"/>
          <w:sz w:val="18"/>
          <w:szCs w:val="18"/>
        </w:rPr>
        <w:endnoteRef/>
      </w:r>
      <w:r w:rsidRPr="00560106">
        <w:rPr>
          <w:rFonts w:cs="Calibri Light"/>
          <w:sz w:val="18"/>
          <w:szCs w:val="18"/>
          <w:lang w:val="en-US"/>
        </w:rPr>
        <w:t xml:space="preserve"> </w:t>
      </w:r>
      <w:proofErr w:type="spellStart"/>
      <w:r w:rsidRPr="00560106">
        <w:rPr>
          <w:rFonts w:cs="Calibri Light"/>
          <w:color w:val="212121"/>
          <w:sz w:val="18"/>
          <w:szCs w:val="18"/>
          <w:shd w:val="clear" w:color="auto" w:fill="FFFFFF"/>
          <w:lang w:val="en-US"/>
        </w:rPr>
        <w:t>Edrees</w:t>
      </w:r>
      <w:proofErr w:type="spellEnd"/>
      <w:r w:rsidRPr="00560106">
        <w:rPr>
          <w:rFonts w:cs="Calibri Light"/>
          <w:color w:val="212121"/>
          <w:sz w:val="18"/>
          <w:szCs w:val="18"/>
          <w:shd w:val="clear" w:color="auto" w:fill="FFFFFF"/>
          <w:lang w:val="en-US"/>
        </w:rPr>
        <w:t xml:space="preserve"> H, Connors C, Paine L, Norvell M, Taylor H, Wu AW. Implementing the RISE second victim support </w:t>
      </w:r>
      <w:proofErr w:type="spellStart"/>
      <w:r w:rsidRPr="00560106">
        <w:rPr>
          <w:rFonts w:cs="Calibri Light"/>
          <w:color w:val="212121"/>
          <w:sz w:val="18"/>
          <w:szCs w:val="18"/>
          <w:shd w:val="clear" w:color="auto" w:fill="FFFFFF"/>
          <w:lang w:val="en-US"/>
        </w:rPr>
        <w:t>programme</w:t>
      </w:r>
      <w:proofErr w:type="spellEnd"/>
      <w:r w:rsidRPr="00560106">
        <w:rPr>
          <w:rFonts w:cs="Calibri Light"/>
          <w:color w:val="212121"/>
          <w:sz w:val="18"/>
          <w:szCs w:val="18"/>
          <w:shd w:val="clear" w:color="auto" w:fill="FFFFFF"/>
          <w:lang w:val="en-US"/>
        </w:rPr>
        <w:t xml:space="preserve"> at the Johns Hopkins Hospital: a case study. </w:t>
      </w:r>
      <w:r w:rsidRPr="00560106">
        <w:rPr>
          <w:rFonts w:cs="Calibri Light"/>
          <w:color w:val="212121"/>
          <w:sz w:val="18"/>
          <w:szCs w:val="18"/>
          <w:shd w:val="clear" w:color="auto" w:fill="FFFFFF"/>
        </w:rPr>
        <w:t>BMJ Open. 2016</w:t>
      </w:r>
      <w:proofErr w:type="gramStart"/>
      <w:r w:rsidRPr="00560106">
        <w:rPr>
          <w:rFonts w:cs="Calibri Light"/>
          <w:color w:val="212121"/>
          <w:sz w:val="18"/>
          <w:szCs w:val="18"/>
          <w:shd w:val="clear" w:color="auto" w:fill="FFFFFF"/>
        </w:rPr>
        <w:t>;6</w:t>
      </w:r>
      <w:proofErr w:type="gramEnd"/>
      <w:r w:rsidRPr="00560106">
        <w:rPr>
          <w:rFonts w:cs="Calibri Light"/>
          <w:color w:val="212121"/>
          <w:sz w:val="18"/>
          <w:szCs w:val="18"/>
          <w:shd w:val="clear" w:color="auto" w:fill="FFFFFF"/>
        </w:rPr>
        <w:t>(9):e011708.</w:t>
      </w:r>
    </w:p>
  </w:endnote>
  <w:endnote w:id="16">
    <w:p w14:paraId="3FCD733D" w14:textId="5ABB0C67" w:rsidR="00C63F37" w:rsidRPr="00217846" w:rsidRDefault="00C63F37" w:rsidP="0013398C">
      <w:pPr>
        <w:pStyle w:val="Textonotaalfinal"/>
        <w:rPr>
          <w:rFonts w:cs="Calibri Light"/>
          <w:lang w:val="en-US"/>
        </w:rPr>
      </w:pPr>
      <w:r w:rsidRPr="00560106">
        <w:rPr>
          <w:rStyle w:val="Refdenotaalfinal"/>
          <w:rFonts w:cs="Calibri Light"/>
          <w:sz w:val="18"/>
          <w:szCs w:val="18"/>
        </w:rPr>
        <w:endnoteRef/>
      </w:r>
      <w:r w:rsidRPr="00560106">
        <w:rPr>
          <w:rFonts w:cs="Calibri Light"/>
          <w:sz w:val="18"/>
          <w:szCs w:val="18"/>
        </w:rPr>
        <w:t xml:space="preserve"> Seys D, Wu AW, Van Gerven E, et al. </w:t>
      </w:r>
      <w:r w:rsidRPr="00560106">
        <w:rPr>
          <w:rFonts w:cs="Calibri Light"/>
          <w:sz w:val="18"/>
          <w:szCs w:val="18"/>
          <w:lang w:val="en-US"/>
        </w:rPr>
        <w:t xml:space="preserve">Health care professionals as second victims after adverse events: A systematic review. Evaluation &amp; the Health Professions. </w:t>
      </w:r>
      <w:proofErr w:type="gramStart"/>
      <w:r w:rsidRPr="00560106">
        <w:rPr>
          <w:rFonts w:cs="Calibri Light"/>
          <w:sz w:val="18"/>
          <w:szCs w:val="18"/>
          <w:lang w:val="en-US"/>
        </w:rPr>
        <w:t>2013</w:t>
      </w:r>
      <w:proofErr w:type="gramEnd"/>
      <w:r w:rsidRPr="00560106">
        <w:rPr>
          <w:rFonts w:cs="Calibri Light"/>
          <w:sz w:val="18"/>
          <w:szCs w:val="18"/>
          <w:lang w:val="en-US"/>
        </w:rPr>
        <w:t>; 36(2): 135-162.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ptos Display">
    <w:altName w:val="Times New Roman"/>
    <w:panose1 w:val="00000000000000000000"/>
    <w:charset w:val="00"/>
    <w:family w:val="roman"/>
    <w:notTrueType/>
    <w:pitch w:val="default"/>
  </w:font>
  <w:font w:name="Myriad Pro">
    <w:charset w:val="00"/>
    <w:family w:val="swiss"/>
    <w:pitch w:val="variable"/>
    <w:sig w:usb0="20000287" w:usb1="00000001"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099EB" w14:textId="77777777" w:rsidR="00C60A42" w:rsidRDefault="00C60A42" w:rsidP="00EE6B22">
      <w:r>
        <w:separator/>
      </w:r>
    </w:p>
  </w:footnote>
  <w:footnote w:type="continuationSeparator" w:id="0">
    <w:p w14:paraId="435784F1" w14:textId="77777777" w:rsidR="00C60A42" w:rsidRDefault="00C60A42" w:rsidP="00EE6B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72A18"/>
    <w:multiLevelType w:val="hybridMultilevel"/>
    <w:tmpl w:val="238C0AB4"/>
    <w:lvl w:ilvl="0" w:tplc="0C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51222A4"/>
    <w:multiLevelType w:val="multilevel"/>
    <w:tmpl w:val="6F54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31BC0"/>
    <w:multiLevelType w:val="multilevel"/>
    <w:tmpl w:val="9A50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A26DAA"/>
    <w:multiLevelType w:val="multilevel"/>
    <w:tmpl w:val="C704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B4460"/>
    <w:multiLevelType w:val="multilevel"/>
    <w:tmpl w:val="C3A6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8616D4"/>
    <w:multiLevelType w:val="multilevel"/>
    <w:tmpl w:val="E524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7B17BE"/>
    <w:multiLevelType w:val="multilevel"/>
    <w:tmpl w:val="38E8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662E01"/>
    <w:multiLevelType w:val="multilevel"/>
    <w:tmpl w:val="2670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667465"/>
    <w:multiLevelType w:val="multilevel"/>
    <w:tmpl w:val="4DE4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982198"/>
    <w:multiLevelType w:val="multilevel"/>
    <w:tmpl w:val="1D2C7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5"/>
  </w:num>
  <w:num w:numId="5">
    <w:abstractNumId w:val="8"/>
  </w:num>
  <w:num w:numId="6">
    <w:abstractNumId w:val="6"/>
  </w:num>
  <w:num w:numId="7">
    <w:abstractNumId w:val="7"/>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B22"/>
    <w:rsid w:val="00003354"/>
    <w:rsid w:val="000104FF"/>
    <w:rsid w:val="0001453E"/>
    <w:rsid w:val="00030CA4"/>
    <w:rsid w:val="00106722"/>
    <w:rsid w:val="0013398C"/>
    <w:rsid w:val="001938BB"/>
    <w:rsid w:val="001D125B"/>
    <w:rsid w:val="001D3C07"/>
    <w:rsid w:val="001E7E62"/>
    <w:rsid w:val="00217846"/>
    <w:rsid w:val="00257348"/>
    <w:rsid w:val="00262BEE"/>
    <w:rsid w:val="00290059"/>
    <w:rsid w:val="002A36DC"/>
    <w:rsid w:val="002A3B7F"/>
    <w:rsid w:val="002C7339"/>
    <w:rsid w:val="002F1FD5"/>
    <w:rsid w:val="002F6782"/>
    <w:rsid w:val="00320A13"/>
    <w:rsid w:val="00333463"/>
    <w:rsid w:val="00342A5B"/>
    <w:rsid w:val="0036667B"/>
    <w:rsid w:val="003A374C"/>
    <w:rsid w:val="003B463D"/>
    <w:rsid w:val="003B5AA6"/>
    <w:rsid w:val="003C121F"/>
    <w:rsid w:val="003F2FDC"/>
    <w:rsid w:val="004171AB"/>
    <w:rsid w:val="00425818"/>
    <w:rsid w:val="0043781E"/>
    <w:rsid w:val="00462B7D"/>
    <w:rsid w:val="00464BFD"/>
    <w:rsid w:val="004C08A0"/>
    <w:rsid w:val="004E0065"/>
    <w:rsid w:val="004E4B1E"/>
    <w:rsid w:val="005019B8"/>
    <w:rsid w:val="00505085"/>
    <w:rsid w:val="00560106"/>
    <w:rsid w:val="005908FF"/>
    <w:rsid w:val="005F7E95"/>
    <w:rsid w:val="006A60FB"/>
    <w:rsid w:val="00721EAA"/>
    <w:rsid w:val="007473A9"/>
    <w:rsid w:val="0079027A"/>
    <w:rsid w:val="007A22B1"/>
    <w:rsid w:val="007C0F8F"/>
    <w:rsid w:val="007C1227"/>
    <w:rsid w:val="007D7AB3"/>
    <w:rsid w:val="00815F3F"/>
    <w:rsid w:val="00826128"/>
    <w:rsid w:val="008463CC"/>
    <w:rsid w:val="00853B16"/>
    <w:rsid w:val="0085468C"/>
    <w:rsid w:val="0087147F"/>
    <w:rsid w:val="00891056"/>
    <w:rsid w:val="00892394"/>
    <w:rsid w:val="00911436"/>
    <w:rsid w:val="0091569D"/>
    <w:rsid w:val="0093332E"/>
    <w:rsid w:val="009354F6"/>
    <w:rsid w:val="009610A3"/>
    <w:rsid w:val="00996091"/>
    <w:rsid w:val="009A3972"/>
    <w:rsid w:val="009A5FCB"/>
    <w:rsid w:val="009C27BA"/>
    <w:rsid w:val="009D7E1B"/>
    <w:rsid w:val="009F4F6F"/>
    <w:rsid w:val="00A4138C"/>
    <w:rsid w:val="00A50921"/>
    <w:rsid w:val="00A62063"/>
    <w:rsid w:val="00A939A0"/>
    <w:rsid w:val="00B01BCB"/>
    <w:rsid w:val="00B13741"/>
    <w:rsid w:val="00BE2F7B"/>
    <w:rsid w:val="00BF6540"/>
    <w:rsid w:val="00C246DE"/>
    <w:rsid w:val="00C24DF2"/>
    <w:rsid w:val="00C31333"/>
    <w:rsid w:val="00C526FC"/>
    <w:rsid w:val="00C60A42"/>
    <w:rsid w:val="00C63F37"/>
    <w:rsid w:val="00C659D4"/>
    <w:rsid w:val="00CB7403"/>
    <w:rsid w:val="00D01E3E"/>
    <w:rsid w:val="00D05A42"/>
    <w:rsid w:val="00D968D1"/>
    <w:rsid w:val="00DD4F03"/>
    <w:rsid w:val="00DD7D9B"/>
    <w:rsid w:val="00E47964"/>
    <w:rsid w:val="00E56143"/>
    <w:rsid w:val="00EA799C"/>
    <w:rsid w:val="00ED55FB"/>
    <w:rsid w:val="00EE11F4"/>
    <w:rsid w:val="00EE6B22"/>
    <w:rsid w:val="00F86A44"/>
    <w:rsid w:val="00FA46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C0965"/>
  <w15:chartTrackingRefBased/>
  <w15:docId w15:val="{F2CB8ABD-B769-8448-BA43-92EC0F78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818"/>
    <w:pPr>
      <w:jc w:val="both"/>
    </w:pPr>
    <w:rPr>
      <w:rFonts w:ascii="Calibri Light" w:hAnsi="Calibri Light"/>
      <w:sz w:val="22"/>
    </w:rPr>
  </w:style>
  <w:style w:type="paragraph" w:styleId="Ttulo1">
    <w:name w:val="heading 1"/>
    <w:basedOn w:val="Normal"/>
    <w:next w:val="Normal"/>
    <w:link w:val="Ttulo1Car"/>
    <w:uiPriority w:val="9"/>
    <w:qFormat/>
    <w:rsid w:val="00EE6B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E6B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EE6B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E6B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EE6B22"/>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EE6B22"/>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EE6B22"/>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EE6B22"/>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EE6B22"/>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6B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E6B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EE6B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E6B22"/>
    <w:rPr>
      <w:rFonts w:eastAsiaTheme="majorEastAsia" w:cstheme="majorBidi"/>
      <w:i/>
      <w:iCs/>
      <w:color w:val="0F4761" w:themeColor="accent1" w:themeShade="BF"/>
      <w:sz w:val="22"/>
    </w:rPr>
  </w:style>
  <w:style w:type="character" w:customStyle="1" w:styleId="Ttulo5Car">
    <w:name w:val="Título 5 Car"/>
    <w:basedOn w:val="Fuentedeprrafopredeter"/>
    <w:link w:val="Ttulo5"/>
    <w:uiPriority w:val="9"/>
    <w:semiHidden/>
    <w:rsid w:val="00EE6B22"/>
    <w:rPr>
      <w:rFonts w:eastAsiaTheme="majorEastAsia" w:cstheme="majorBidi"/>
      <w:color w:val="0F4761" w:themeColor="accent1" w:themeShade="BF"/>
      <w:sz w:val="22"/>
    </w:rPr>
  </w:style>
  <w:style w:type="character" w:customStyle="1" w:styleId="Ttulo6Car">
    <w:name w:val="Título 6 Car"/>
    <w:basedOn w:val="Fuentedeprrafopredeter"/>
    <w:link w:val="Ttulo6"/>
    <w:uiPriority w:val="9"/>
    <w:semiHidden/>
    <w:rsid w:val="00EE6B22"/>
    <w:rPr>
      <w:rFonts w:eastAsiaTheme="majorEastAsia" w:cstheme="majorBidi"/>
      <w:i/>
      <w:iCs/>
      <w:color w:val="595959" w:themeColor="text1" w:themeTint="A6"/>
      <w:sz w:val="22"/>
    </w:rPr>
  </w:style>
  <w:style w:type="character" w:customStyle="1" w:styleId="Ttulo7Car">
    <w:name w:val="Título 7 Car"/>
    <w:basedOn w:val="Fuentedeprrafopredeter"/>
    <w:link w:val="Ttulo7"/>
    <w:uiPriority w:val="9"/>
    <w:semiHidden/>
    <w:rsid w:val="00EE6B22"/>
    <w:rPr>
      <w:rFonts w:eastAsiaTheme="majorEastAsia" w:cstheme="majorBidi"/>
      <w:color w:val="595959" w:themeColor="text1" w:themeTint="A6"/>
      <w:sz w:val="22"/>
    </w:rPr>
  </w:style>
  <w:style w:type="character" w:customStyle="1" w:styleId="Ttulo8Car">
    <w:name w:val="Título 8 Car"/>
    <w:basedOn w:val="Fuentedeprrafopredeter"/>
    <w:link w:val="Ttulo8"/>
    <w:uiPriority w:val="9"/>
    <w:semiHidden/>
    <w:rsid w:val="00EE6B22"/>
    <w:rPr>
      <w:rFonts w:eastAsiaTheme="majorEastAsia" w:cstheme="majorBidi"/>
      <w:i/>
      <w:iCs/>
      <w:color w:val="272727" w:themeColor="text1" w:themeTint="D8"/>
      <w:sz w:val="22"/>
    </w:rPr>
  </w:style>
  <w:style w:type="character" w:customStyle="1" w:styleId="Ttulo9Car">
    <w:name w:val="Título 9 Car"/>
    <w:basedOn w:val="Fuentedeprrafopredeter"/>
    <w:link w:val="Ttulo9"/>
    <w:uiPriority w:val="9"/>
    <w:semiHidden/>
    <w:rsid w:val="00EE6B22"/>
    <w:rPr>
      <w:rFonts w:eastAsiaTheme="majorEastAsia" w:cstheme="majorBidi"/>
      <w:color w:val="272727" w:themeColor="text1" w:themeTint="D8"/>
      <w:sz w:val="22"/>
    </w:rPr>
  </w:style>
  <w:style w:type="paragraph" w:styleId="Puesto">
    <w:name w:val="Title"/>
    <w:basedOn w:val="Normal"/>
    <w:next w:val="Normal"/>
    <w:link w:val="PuestoCar"/>
    <w:uiPriority w:val="10"/>
    <w:qFormat/>
    <w:rsid w:val="00EE6B22"/>
    <w:pPr>
      <w:spacing w:after="80"/>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EE6B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E6B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6B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E6B2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EE6B22"/>
    <w:rPr>
      <w:rFonts w:ascii="Calibri Light" w:hAnsi="Calibri Light"/>
      <w:i/>
      <w:iCs/>
      <w:color w:val="404040" w:themeColor="text1" w:themeTint="BF"/>
      <w:sz w:val="22"/>
    </w:rPr>
  </w:style>
  <w:style w:type="paragraph" w:styleId="Prrafodelista">
    <w:name w:val="List Paragraph"/>
    <w:basedOn w:val="Normal"/>
    <w:qFormat/>
    <w:rsid w:val="00EE6B22"/>
    <w:pPr>
      <w:ind w:left="720"/>
      <w:contextualSpacing/>
    </w:pPr>
  </w:style>
  <w:style w:type="character" w:styleId="nfasisintenso">
    <w:name w:val="Intense Emphasis"/>
    <w:basedOn w:val="Fuentedeprrafopredeter"/>
    <w:uiPriority w:val="21"/>
    <w:qFormat/>
    <w:rsid w:val="00EE6B22"/>
    <w:rPr>
      <w:i/>
      <w:iCs/>
      <w:color w:val="0F4761" w:themeColor="accent1" w:themeShade="BF"/>
    </w:rPr>
  </w:style>
  <w:style w:type="paragraph" w:styleId="Citadestacada">
    <w:name w:val="Intense Quote"/>
    <w:basedOn w:val="Normal"/>
    <w:next w:val="Normal"/>
    <w:link w:val="CitadestacadaCar"/>
    <w:uiPriority w:val="30"/>
    <w:qFormat/>
    <w:rsid w:val="00EE6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E6B22"/>
    <w:rPr>
      <w:rFonts w:ascii="Calibri Light" w:hAnsi="Calibri Light"/>
      <w:i/>
      <w:iCs/>
      <w:color w:val="0F4761" w:themeColor="accent1" w:themeShade="BF"/>
      <w:sz w:val="22"/>
    </w:rPr>
  </w:style>
  <w:style w:type="character" w:styleId="Referenciaintensa">
    <w:name w:val="Intense Reference"/>
    <w:basedOn w:val="Fuentedeprrafopredeter"/>
    <w:uiPriority w:val="32"/>
    <w:qFormat/>
    <w:rsid w:val="00EE6B22"/>
    <w:rPr>
      <w:b/>
      <w:bCs/>
      <w:smallCaps/>
      <w:color w:val="0F4761" w:themeColor="accent1" w:themeShade="BF"/>
      <w:spacing w:val="5"/>
    </w:rPr>
  </w:style>
  <w:style w:type="paragraph" w:styleId="Textonotaalfinal">
    <w:name w:val="endnote text"/>
    <w:basedOn w:val="Normal"/>
    <w:link w:val="TextonotaalfinalCar"/>
    <w:uiPriority w:val="99"/>
    <w:semiHidden/>
    <w:unhideWhenUsed/>
    <w:rsid w:val="00EE6B22"/>
    <w:rPr>
      <w:sz w:val="20"/>
      <w:szCs w:val="20"/>
    </w:rPr>
  </w:style>
  <w:style w:type="character" w:customStyle="1" w:styleId="TextonotaalfinalCar">
    <w:name w:val="Texto nota al final Car"/>
    <w:basedOn w:val="Fuentedeprrafopredeter"/>
    <w:link w:val="Textonotaalfinal"/>
    <w:uiPriority w:val="99"/>
    <w:semiHidden/>
    <w:rsid w:val="00EE6B22"/>
    <w:rPr>
      <w:rFonts w:ascii="Calibri Light" w:hAnsi="Calibri Light"/>
      <w:sz w:val="20"/>
      <w:szCs w:val="20"/>
    </w:rPr>
  </w:style>
  <w:style w:type="character" w:styleId="Refdenotaalfinal">
    <w:name w:val="endnote reference"/>
    <w:basedOn w:val="Fuentedeprrafopredeter"/>
    <w:uiPriority w:val="99"/>
    <w:unhideWhenUsed/>
    <w:rsid w:val="00EE6B22"/>
    <w:rPr>
      <w:vertAlign w:val="superscript"/>
    </w:rPr>
  </w:style>
  <w:style w:type="character" w:styleId="Hipervnculo">
    <w:name w:val="Hyperlink"/>
    <w:basedOn w:val="Fuentedeprrafopredeter"/>
    <w:uiPriority w:val="99"/>
    <w:unhideWhenUsed/>
    <w:rsid w:val="00EE6B22"/>
    <w:rPr>
      <w:color w:val="467886" w:themeColor="hyperlink"/>
      <w:u w:val="single"/>
    </w:rPr>
  </w:style>
  <w:style w:type="character" w:customStyle="1" w:styleId="apple-converted-space">
    <w:name w:val="apple-converted-space"/>
    <w:basedOn w:val="Fuentedeprrafopredeter"/>
    <w:rsid w:val="008463CC"/>
  </w:style>
  <w:style w:type="paragraph" w:styleId="Textonotapie">
    <w:name w:val="footnote text"/>
    <w:basedOn w:val="Normal"/>
    <w:link w:val="TextonotapieCar"/>
    <w:uiPriority w:val="99"/>
    <w:semiHidden/>
    <w:unhideWhenUsed/>
    <w:rsid w:val="00505085"/>
    <w:rPr>
      <w:sz w:val="20"/>
      <w:szCs w:val="20"/>
    </w:rPr>
  </w:style>
  <w:style w:type="character" w:customStyle="1" w:styleId="TextonotapieCar">
    <w:name w:val="Texto nota pie Car"/>
    <w:basedOn w:val="Fuentedeprrafopredeter"/>
    <w:link w:val="Textonotapie"/>
    <w:uiPriority w:val="99"/>
    <w:semiHidden/>
    <w:rsid w:val="00505085"/>
    <w:rPr>
      <w:rFonts w:ascii="Calibri Light" w:hAnsi="Calibri Light"/>
      <w:sz w:val="20"/>
      <w:szCs w:val="20"/>
    </w:rPr>
  </w:style>
  <w:style w:type="character" w:styleId="Refdenotaalpie">
    <w:name w:val="footnote reference"/>
    <w:basedOn w:val="Fuentedeprrafopredeter"/>
    <w:uiPriority w:val="99"/>
    <w:semiHidden/>
    <w:unhideWhenUsed/>
    <w:rsid w:val="00505085"/>
    <w:rPr>
      <w:vertAlign w:val="superscript"/>
    </w:rPr>
  </w:style>
  <w:style w:type="paragraph" w:customStyle="1" w:styleId="Default">
    <w:name w:val="Default"/>
    <w:rsid w:val="00425818"/>
    <w:pPr>
      <w:autoSpaceDE w:val="0"/>
      <w:autoSpaceDN w:val="0"/>
      <w:adjustRightInd w:val="0"/>
    </w:pPr>
    <w:rPr>
      <w:rFonts w:ascii="Myriad Pro" w:hAnsi="Myriad Pro" w:cs="Myriad Pro"/>
      <w:color w:val="000000"/>
      <w:kern w:val="0"/>
      <w:lang w:val="es-ES_tradnl"/>
    </w:rPr>
  </w:style>
  <w:style w:type="paragraph" w:styleId="NormalWeb">
    <w:name w:val="Normal (Web)"/>
    <w:basedOn w:val="Normal"/>
    <w:uiPriority w:val="99"/>
    <w:unhideWhenUsed/>
    <w:rsid w:val="001D125B"/>
    <w:pPr>
      <w:spacing w:before="100" w:beforeAutospacing="1" w:after="100" w:afterAutospacing="1"/>
      <w:jc w:val="left"/>
    </w:pPr>
    <w:rPr>
      <w:rFonts w:ascii="Times New Roman" w:eastAsia="Times New Roman" w:hAnsi="Times New Roman" w:cs="Times New Roman"/>
      <w:kern w:val="0"/>
      <w:sz w:val="24"/>
      <w:lang w:eastAsia="es-ES_tradnl"/>
      <w14:ligatures w14:val="none"/>
    </w:rPr>
  </w:style>
  <w:style w:type="paragraph" w:customStyle="1" w:styleId="meta">
    <w:name w:val="meta"/>
    <w:basedOn w:val="Normal"/>
    <w:rsid w:val="00A939A0"/>
    <w:pPr>
      <w:spacing w:before="100" w:beforeAutospacing="1" w:after="100" w:afterAutospacing="1"/>
      <w:jc w:val="left"/>
    </w:pPr>
    <w:rPr>
      <w:rFonts w:ascii="Times New Roman" w:eastAsia="Times New Roman" w:hAnsi="Times New Roman" w:cs="Times New Roman"/>
      <w:kern w:val="0"/>
      <w:sz w:val="24"/>
      <w:lang w:eastAsia="es-ES_tradnl"/>
      <w14:ligatures w14:val="none"/>
    </w:rPr>
  </w:style>
  <w:style w:type="character" w:customStyle="1" w:styleId="author-name">
    <w:name w:val="author-name"/>
    <w:basedOn w:val="Fuentedeprrafopredeter"/>
    <w:rsid w:val="00A939A0"/>
  </w:style>
  <w:style w:type="character" w:customStyle="1" w:styleId="UnresolvedMention">
    <w:name w:val="Unresolved Mention"/>
    <w:basedOn w:val="Fuentedeprrafopredeter"/>
    <w:uiPriority w:val="99"/>
    <w:semiHidden/>
    <w:unhideWhenUsed/>
    <w:rsid w:val="00EE11F4"/>
    <w:rPr>
      <w:color w:val="605E5C"/>
      <w:shd w:val="clear" w:color="auto" w:fill="E1DFDD"/>
    </w:rPr>
  </w:style>
  <w:style w:type="character" w:styleId="Textoennegrita">
    <w:name w:val="Strong"/>
    <w:basedOn w:val="Fuentedeprrafopredeter"/>
    <w:uiPriority w:val="22"/>
    <w:qFormat/>
    <w:rsid w:val="001938BB"/>
    <w:rPr>
      <w:b/>
      <w:bCs/>
    </w:rPr>
  </w:style>
  <w:style w:type="character" w:styleId="Refdecomentario">
    <w:name w:val="annotation reference"/>
    <w:basedOn w:val="Fuentedeprrafopredeter"/>
    <w:uiPriority w:val="99"/>
    <w:semiHidden/>
    <w:unhideWhenUsed/>
    <w:rsid w:val="00106722"/>
    <w:rPr>
      <w:sz w:val="16"/>
      <w:szCs w:val="16"/>
    </w:rPr>
  </w:style>
  <w:style w:type="paragraph" w:styleId="Textocomentario">
    <w:name w:val="annotation text"/>
    <w:basedOn w:val="Normal"/>
    <w:link w:val="TextocomentarioCar"/>
    <w:uiPriority w:val="99"/>
    <w:unhideWhenUsed/>
    <w:rsid w:val="00106722"/>
    <w:rPr>
      <w:sz w:val="20"/>
      <w:szCs w:val="20"/>
    </w:rPr>
  </w:style>
  <w:style w:type="character" w:customStyle="1" w:styleId="TextocomentarioCar">
    <w:name w:val="Texto comentario Car"/>
    <w:basedOn w:val="Fuentedeprrafopredeter"/>
    <w:link w:val="Textocomentario"/>
    <w:uiPriority w:val="99"/>
    <w:rsid w:val="00106722"/>
    <w:rPr>
      <w:rFonts w:ascii="Calibri Light" w:hAnsi="Calibri Light"/>
      <w:sz w:val="20"/>
      <w:szCs w:val="20"/>
    </w:rPr>
  </w:style>
  <w:style w:type="paragraph" w:styleId="Asuntodelcomentario">
    <w:name w:val="annotation subject"/>
    <w:basedOn w:val="Textocomentario"/>
    <w:next w:val="Textocomentario"/>
    <w:link w:val="AsuntodelcomentarioCar"/>
    <w:uiPriority w:val="99"/>
    <w:semiHidden/>
    <w:unhideWhenUsed/>
    <w:rsid w:val="00106722"/>
    <w:rPr>
      <w:b/>
      <w:bCs/>
    </w:rPr>
  </w:style>
  <w:style w:type="character" w:customStyle="1" w:styleId="AsuntodelcomentarioCar">
    <w:name w:val="Asunto del comentario Car"/>
    <w:basedOn w:val="TextocomentarioCar"/>
    <w:link w:val="Asuntodelcomentario"/>
    <w:uiPriority w:val="99"/>
    <w:semiHidden/>
    <w:rsid w:val="00106722"/>
    <w:rPr>
      <w:rFonts w:ascii="Calibri Light" w:hAnsi="Calibri Light"/>
      <w:b/>
      <w:bCs/>
      <w:sz w:val="20"/>
      <w:szCs w:val="20"/>
    </w:rPr>
  </w:style>
  <w:style w:type="paragraph" w:customStyle="1" w:styleId="p1">
    <w:name w:val="p1"/>
    <w:basedOn w:val="Normal"/>
    <w:rsid w:val="00E47964"/>
    <w:pPr>
      <w:jc w:val="left"/>
    </w:pPr>
    <w:rPr>
      <w:rFonts w:ascii="Comic Sans MS" w:eastAsia="Times New Roman" w:hAnsi="Comic Sans MS" w:cs="Times New Roman"/>
      <w:color w:val="000000"/>
      <w:kern w:val="0"/>
      <w:sz w:val="23"/>
      <w:szCs w:val="23"/>
      <w:lang w:eastAsia="es-ES_tradnl"/>
      <w14:ligatures w14:val="none"/>
    </w:rPr>
  </w:style>
  <w:style w:type="character" w:styleId="nfasis">
    <w:name w:val="Emphasis"/>
    <w:basedOn w:val="Fuentedeprrafopredeter"/>
    <w:uiPriority w:val="20"/>
    <w:qFormat/>
    <w:rsid w:val="001E7E62"/>
    <w:rPr>
      <w:i/>
      <w:iCs/>
    </w:rPr>
  </w:style>
  <w:style w:type="paragraph" w:styleId="Textodeglobo">
    <w:name w:val="Balloon Text"/>
    <w:basedOn w:val="Normal"/>
    <w:link w:val="TextodegloboCar"/>
    <w:uiPriority w:val="99"/>
    <w:semiHidden/>
    <w:unhideWhenUsed/>
    <w:rsid w:val="0099609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6091"/>
    <w:rPr>
      <w:rFonts w:ascii="Segoe UI" w:hAnsi="Segoe UI" w:cs="Segoe UI"/>
      <w:sz w:val="18"/>
      <w:szCs w:val="18"/>
    </w:rPr>
  </w:style>
  <w:style w:type="paragraph" w:styleId="Revisin">
    <w:name w:val="Revision"/>
    <w:hidden/>
    <w:uiPriority w:val="99"/>
    <w:semiHidden/>
    <w:rsid w:val="00CB7403"/>
    <w:rPr>
      <w:rFonts w:ascii="Calibri Light" w:hAnsi="Calibri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2268">
      <w:bodyDiv w:val="1"/>
      <w:marLeft w:val="0"/>
      <w:marRight w:val="0"/>
      <w:marTop w:val="0"/>
      <w:marBottom w:val="0"/>
      <w:divBdr>
        <w:top w:val="none" w:sz="0" w:space="0" w:color="auto"/>
        <w:left w:val="none" w:sz="0" w:space="0" w:color="auto"/>
        <w:bottom w:val="none" w:sz="0" w:space="0" w:color="auto"/>
        <w:right w:val="none" w:sz="0" w:space="0" w:color="auto"/>
      </w:divBdr>
    </w:div>
    <w:div w:id="83653623">
      <w:bodyDiv w:val="1"/>
      <w:marLeft w:val="0"/>
      <w:marRight w:val="0"/>
      <w:marTop w:val="0"/>
      <w:marBottom w:val="0"/>
      <w:divBdr>
        <w:top w:val="none" w:sz="0" w:space="0" w:color="auto"/>
        <w:left w:val="none" w:sz="0" w:space="0" w:color="auto"/>
        <w:bottom w:val="none" w:sz="0" w:space="0" w:color="auto"/>
        <w:right w:val="none" w:sz="0" w:space="0" w:color="auto"/>
      </w:divBdr>
    </w:div>
    <w:div w:id="249972301">
      <w:bodyDiv w:val="1"/>
      <w:marLeft w:val="0"/>
      <w:marRight w:val="0"/>
      <w:marTop w:val="0"/>
      <w:marBottom w:val="0"/>
      <w:divBdr>
        <w:top w:val="none" w:sz="0" w:space="0" w:color="auto"/>
        <w:left w:val="none" w:sz="0" w:space="0" w:color="auto"/>
        <w:bottom w:val="none" w:sz="0" w:space="0" w:color="auto"/>
        <w:right w:val="none" w:sz="0" w:space="0" w:color="auto"/>
      </w:divBdr>
    </w:div>
    <w:div w:id="422996010">
      <w:bodyDiv w:val="1"/>
      <w:marLeft w:val="0"/>
      <w:marRight w:val="0"/>
      <w:marTop w:val="0"/>
      <w:marBottom w:val="0"/>
      <w:divBdr>
        <w:top w:val="none" w:sz="0" w:space="0" w:color="auto"/>
        <w:left w:val="none" w:sz="0" w:space="0" w:color="auto"/>
        <w:bottom w:val="none" w:sz="0" w:space="0" w:color="auto"/>
        <w:right w:val="none" w:sz="0" w:space="0" w:color="auto"/>
      </w:divBdr>
    </w:div>
    <w:div w:id="766074267">
      <w:bodyDiv w:val="1"/>
      <w:marLeft w:val="0"/>
      <w:marRight w:val="0"/>
      <w:marTop w:val="0"/>
      <w:marBottom w:val="0"/>
      <w:divBdr>
        <w:top w:val="none" w:sz="0" w:space="0" w:color="auto"/>
        <w:left w:val="none" w:sz="0" w:space="0" w:color="auto"/>
        <w:bottom w:val="none" w:sz="0" w:space="0" w:color="auto"/>
        <w:right w:val="none" w:sz="0" w:space="0" w:color="auto"/>
      </w:divBdr>
    </w:div>
    <w:div w:id="922177796">
      <w:bodyDiv w:val="1"/>
      <w:marLeft w:val="0"/>
      <w:marRight w:val="0"/>
      <w:marTop w:val="0"/>
      <w:marBottom w:val="0"/>
      <w:divBdr>
        <w:top w:val="none" w:sz="0" w:space="0" w:color="auto"/>
        <w:left w:val="none" w:sz="0" w:space="0" w:color="auto"/>
        <w:bottom w:val="none" w:sz="0" w:space="0" w:color="auto"/>
        <w:right w:val="none" w:sz="0" w:space="0" w:color="auto"/>
      </w:divBdr>
    </w:div>
    <w:div w:id="984550990">
      <w:bodyDiv w:val="1"/>
      <w:marLeft w:val="0"/>
      <w:marRight w:val="0"/>
      <w:marTop w:val="0"/>
      <w:marBottom w:val="0"/>
      <w:divBdr>
        <w:top w:val="none" w:sz="0" w:space="0" w:color="auto"/>
        <w:left w:val="none" w:sz="0" w:space="0" w:color="auto"/>
        <w:bottom w:val="none" w:sz="0" w:space="0" w:color="auto"/>
        <w:right w:val="none" w:sz="0" w:space="0" w:color="auto"/>
      </w:divBdr>
    </w:div>
    <w:div w:id="1154029052">
      <w:bodyDiv w:val="1"/>
      <w:marLeft w:val="0"/>
      <w:marRight w:val="0"/>
      <w:marTop w:val="0"/>
      <w:marBottom w:val="0"/>
      <w:divBdr>
        <w:top w:val="none" w:sz="0" w:space="0" w:color="auto"/>
        <w:left w:val="none" w:sz="0" w:space="0" w:color="auto"/>
        <w:bottom w:val="none" w:sz="0" w:space="0" w:color="auto"/>
        <w:right w:val="none" w:sz="0" w:space="0" w:color="auto"/>
      </w:divBdr>
    </w:div>
    <w:div w:id="1162307297">
      <w:bodyDiv w:val="1"/>
      <w:marLeft w:val="0"/>
      <w:marRight w:val="0"/>
      <w:marTop w:val="0"/>
      <w:marBottom w:val="0"/>
      <w:divBdr>
        <w:top w:val="none" w:sz="0" w:space="0" w:color="auto"/>
        <w:left w:val="none" w:sz="0" w:space="0" w:color="auto"/>
        <w:bottom w:val="none" w:sz="0" w:space="0" w:color="auto"/>
        <w:right w:val="none" w:sz="0" w:space="0" w:color="auto"/>
      </w:divBdr>
    </w:div>
    <w:div w:id="1250580681">
      <w:bodyDiv w:val="1"/>
      <w:marLeft w:val="0"/>
      <w:marRight w:val="0"/>
      <w:marTop w:val="0"/>
      <w:marBottom w:val="0"/>
      <w:divBdr>
        <w:top w:val="none" w:sz="0" w:space="0" w:color="auto"/>
        <w:left w:val="none" w:sz="0" w:space="0" w:color="auto"/>
        <w:bottom w:val="none" w:sz="0" w:space="0" w:color="auto"/>
        <w:right w:val="none" w:sz="0" w:space="0" w:color="auto"/>
      </w:divBdr>
    </w:div>
    <w:div w:id="1399478926">
      <w:bodyDiv w:val="1"/>
      <w:marLeft w:val="0"/>
      <w:marRight w:val="0"/>
      <w:marTop w:val="0"/>
      <w:marBottom w:val="0"/>
      <w:divBdr>
        <w:top w:val="none" w:sz="0" w:space="0" w:color="auto"/>
        <w:left w:val="none" w:sz="0" w:space="0" w:color="auto"/>
        <w:bottom w:val="none" w:sz="0" w:space="0" w:color="auto"/>
        <w:right w:val="none" w:sz="0" w:space="0" w:color="auto"/>
      </w:divBdr>
    </w:div>
    <w:div w:id="1425030649">
      <w:bodyDiv w:val="1"/>
      <w:marLeft w:val="0"/>
      <w:marRight w:val="0"/>
      <w:marTop w:val="0"/>
      <w:marBottom w:val="0"/>
      <w:divBdr>
        <w:top w:val="none" w:sz="0" w:space="0" w:color="auto"/>
        <w:left w:val="none" w:sz="0" w:space="0" w:color="auto"/>
        <w:bottom w:val="none" w:sz="0" w:space="0" w:color="auto"/>
        <w:right w:val="none" w:sz="0" w:space="0" w:color="auto"/>
      </w:divBdr>
    </w:div>
    <w:div w:id="1470510609">
      <w:bodyDiv w:val="1"/>
      <w:marLeft w:val="0"/>
      <w:marRight w:val="0"/>
      <w:marTop w:val="0"/>
      <w:marBottom w:val="0"/>
      <w:divBdr>
        <w:top w:val="none" w:sz="0" w:space="0" w:color="auto"/>
        <w:left w:val="none" w:sz="0" w:space="0" w:color="auto"/>
        <w:bottom w:val="none" w:sz="0" w:space="0" w:color="auto"/>
        <w:right w:val="none" w:sz="0" w:space="0" w:color="auto"/>
      </w:divBdr>
    </w:div>
    <w:div w:id="1512918028">
      <w:bodyDiv w:val="1"/>
      <w:marLeft w:val="0"/>
      <w:marRight w:val="0"/>
      <w:marTop w:val="0"/>
      <w:marBottom w:val="0"/>
      <w:divBdr>
        <w:top w:val="none" w:sz="0" w:space="0" w:color="auto"/>
        <w:left w:val="none" w:sz="0" w:space="0" w:color="auto"/>
        <w:bottom w:val="none" w:sz="0" w:space="0" w:color="auto"/>
        <w:right w:val="none" w:sz="0" w:space="0" w:color="auto"/>
      </w:divBdr>
    </w:div>
    <w:div w:id="1572544079">
      <w:bodyDiv w:val="1"/>
      <w:marLeft w:val="0"/>
      <w:marRight w:val="0"/>
      <w:marTop w:val="0"/>
      <w:marBottom w:val="0"/>
      <w:divBdr>
        <w:top w:val="none" w:sz="0" w:space="0" w:color="auto"/>
        <w:left w:val="none" w:sz="0" w:space="0" w:color="auto"/>
        <w:bottom w:val="none" w:sz="0" w:space="0" w:color="auto"/>
        <w:right w:val="none" w:sz="0" w:space="0" w:color="auto"/>
      </w:divBdr>
    </w:div>
    <w:div w:id="1583296522">
      <w:bodyDiv w:val="1"/>
      <w:marLeft w:val="0"/>
      <w:marRight w:val="0"/>
      <w:marTop w:val="0"/>
      <w:marBottom w:val="0"/>
      <w:divBdr>
        <w:top w:val="none" w:sz="0" w:space="0" w:color="auto"/>
        <w:left w:val="none" w:sz="0" w:space="0" w:color="auto"/>
        <w:bottom w:val="none" w:sz="0" w:space="0" w:color="auto"/>
        <w:right w:val="none" w:sz="0" w:space="0" w:color="auto"/>
      </w:divBdr>
    </w:div>
    <w:div w:id="1618365627">
      <w:bodyDiv w:val="1"/>
      <w:marLeft w:val="0"/>
      <w:marRight w:val="0"/>
      <w:marTop w:val="0"/>
      <w:marBottom w:val="0"/>
      <w:divBdr>
        <w:top w:val="none" w:sz="0" w:space="0" w:color="auto"/>
        <w:left w:val="none" w:sz="0" w:space="0" w:color="auto"/>
        <w:bottom w:val="none" w:sz="0" w:space="0" w:color="auto"/>
        <w:right w:val="none" w:sz="0" w:space="0" w:color="auto"/>
      </w:divBdr>
    </w:div>
    <w:div w:id="1710256477">
      <w:bodyDiv w:val="1"/>
      <w:marLeft w:val="0"/>
      <w:marRight w:val="0"/>
      <w:marTop w:val="0"/>
      <w:marBottom w:val="0"/>
      <w:divBdr>
        <w:top w:val="none" w:sz="0" w:space="0" w:color="auto"/>
        <w:left w:val="none" w:sz="0" w:space="0" w:color="auto"/>
        <w:bottom w:val="none" w:sz="0" w:space="0" w:color="auto"/>
        <w:right w:val="none" w:sz="0" w:space="0" w:color="auto"/>
      </w:divBdr>
    </w:div>
    <w:div w:id="1936548499">
      <w:bodyDiv w:val="1"/>
      <w:marLeft w:val="0"/>
      <w:marRight w:val="0"/>
      <w:marTop w:val="0"/>
      <w:marBottom w:val="0"/>
      <w:divBdr>
        <w:top w:val="none" w:sz="0" w:space="0" w:color="auto"/>
        <w:left w:val="none" w:sz="0" w:space="0" w:color="auto"/>
        <w:bottom w:val="none" w:sz="0" w:space="0" w:color="auto"/>
        <w:right w:val="none" w:sz="0" w:space="0" w:color="auto"/>
      </w:divBdr>
    </w:div>
    <w:div w:id="2046367800">
      <w:bodyDiv w:val="1"/>
      <w:marLeft w:val="0"/>
      <w:marRight w:val="0"/>
      <w:marTop w:val="0"/>
      <w:marBottom w:val="0"/>
      <w:divBdr>
        <w:top w:val="none" w:sz="0" w:space="0" w:color="auto"/>
        <w:left w:val="none" w:sz="0" w:space="0" w:color="auto"/>
        <w:bottom w:val="none" w:sz="0" w:space="0" w:color="auto"/>
        <w:right w:val="none" w:sz="0" w:space="0" w:color="auto"/>
      </w:divBdr>
    </w:div>
    <w:div w:id="2047022866">
      <w:bodyDiv w:val="1"/>
      <w:marLeft w:val="0"/>
      <w:marRight w:val="0"/>
      <w:marTop w:val="0"/>
      <w:marBottom w:val="0"/>
      <w:divBdr>
        <w:top w:val="none" w:sz="0" w:space="0" w:color="auto"/>
        <w:left w:val="none" w:sz="0" w:space="0" w:color="auto"/>
        <w:bottom w:val="none" w:sz="0" w:space="0" w:color="auto"/>
        <w:right w:val="none" w:sz="0" w:space="0" w:color="auto"/>
      </w:divBdr>
    </w:div>
    <w:div w:id="2059162376">
      <w:bodyDiv w:val="1"/>
      <w:marLeft w:val="0"/>
      <w:marRight w:val="0"/>
      <w:marTop w:val="0"/>
      <w:marBottom w:val="0"/>
      <w:divBdr>
        <w:top w:val="none" w:sz="0" w:space="0" w:color="auto"/>
        <w:left w:val="none" w:sz="0" w:space="0" w:color="auto"/>
        <w:bottom w:val="none" w:sz="0" w:space="0" w:color="auto"/>
        <w:right w:val="none" w:sz="0" w:space="0" w:color="auto"/>
      </w:divBdr>
    </w:div>
    <w:div w:id="211670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871</Words>
  <Characters>4793</Characters>
  <Application>Microsoft Office Word</Application>
  <DocSecurity>0</DocSecurity>
  <Lines>39</Lines>
  <Paragraphs>11</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Solves, Jose Joaquin</dc:creator>
  <cp:keywords/>
  <dc:description/>
  <cp:lastModifiedBy>Cuenta Microsoft</cp:lastModifiedBy>
  <cp:revision>13</cp:revision>
  <dcterms:created xsi:type="dcterms:W3CDTF">2025-02-26T19:50:00Z</dcterms:created>
  <dcterms:modified xsi:type="dcterms:W3CDTF">2025-07-04T10:54:00Z</dcterms:modified>
</cp:coreProperties>
</file>