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E77DE" w14:textId="4B5567FE" w:rsidR="004112F6" w:rsidRPr="00850BF3" w:rsidRDefault="00F7510D" w:rsidP="00F7510D">
      <w:pPr>
        <w:keepNext/>
        <w:jc w:val="center"/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</w:pPr>
      <w:r w:rsidRPr="00850BF3"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 xml:space="preserve">Supplementary </w:t>
      </w:r>
      <w:r w:rsidR="00E445D1" w:rsidRPr="00850BF3"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>Figures and Tables</w:t>
      </w:r>
    </w:p>
    <w:p w14:paraId="7FFAF013" w14:textId="3F3438E6" w:rsidR="003D6510" w:rsidRPr="00850BF3" w:rsidRDefault="003D6510" w:rsidP="003D6510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</w:p>
    <w:p w14:paraId="3C5A9BED" w14:textId="131D8A87" w:rsidR="00B357B6" w:rsidRPr="00850BF3" w:rsidRDefault="00864094" w:rsidP="00B357B6">
      <w:pPr>
        <w:keepNext/>
        <w:rPr>
          <w:rFonts w:ascii="Times New Roman" w:hAnsi="Times New Roman" w:cs="Times New Roman"/>
          <w:sz w:val="24"/>
        </w:rPr>
      </w:pPr>
      <w:r w:rsidRPr="00850BF3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F580B6C" wp14:editId="1FBB18C9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C78B7F3-BF8C-43F4-B6B5-56DC5EFA5E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B1C9E3F" w14:textId="2DA20974" w:rsidR="00B357B6" w:rsidRPr="00850BF3" w:rsidRDefault="00B357B6" w:rsidP="00F7510D">
      <w:pPr>
        <w:pStyle w:val="Caption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50B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DE5F1B" w:rsidRPr="00850B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850B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864094" w:rsidRPr="00850B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Distribution of Prescriptions by Number of Drugs Per Encounter.</w:t>
      </w:r>
    </w:p>
    <w:p w14:paraId="440CDBD7" w14:textId="77777777" w:rsidR="00B357B6" w:rsidRPr="00850BF3" w:rsidRDefault="00B357B6" w:rsidP="003D6510">
      <w:pPr>
        <w:keepNext/>
        <w:rPr>
          <w:rFonts w:ascii="Times New Roman" w:hAnsi="Times New Roman" w:cs="Times New Roman"/>
          <w:sz w:val="24"/>
        </w:rPr>
      </w:pPr>
    </w:p>
    <w:p w14:paraId="347414C7" w14:textId="459D7135" w:rsidR="003D6510" w:rsidRPr="00850BF3" w:rsidRDefault="003D6510" w:rsidP="003D6510">
      <w:pPr>
        <w:keepNext/>
        <w:rPr>
          <w:rFonts w:ascii="Times New Roman" w:hAnsi="Times New Roman" w:cs="Times New Roman"/>
          <w:sz w:val="24"/>
        </w:rPr>
      </w:pPr>
      <w:r w:rsidRPr="00850BF3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88CF86D" wp14:editId="19A7964B">
            <wp:extent cx="5266690" cy="3006547"/>
            <wp:effectExtent l="0" t="0" r="10160" b="3810"/>
            <wp:docPr id="138109592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0AEFEF1-1C8C-7244-887F-087E61106B5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9B78AC4" w14:textId="79ACDB9C" w:rsidR="004112F6" w:rsidRPr="00850BF3" w:rsidRDefault="003D6510" w:rsidP="004112F6">
      <w:pPr>
        <w:pStyle w:val="Caption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50B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DE5F1B" w:rsidRPr="00850B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850B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Frequency of the drugs included from NEML</w:t>
      </w:r>
      <w:r w:rsidR="004112F6" w:rsidRPr="00850B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1C0BB66A" w14:textId="77777777" w:rsidR="00920C35" w:rsidRPr="00850BF3" w:rsidRDefault="00920C35" w:rsidP="004112F6">
      <w:pPr>
        <w:widowControl/>
        <w:spacing w:line="259" w:lineRule="auto"/>
        <w:rPr>
          <w:rFonts w:ascii="Times New Roman" w:eastAsia="DengXian" w:hAnsi="Times New Roman" w:cs="Times New Roman"/>
          <w:b/>
          <w:bCs/>
          <w:color w:val="171717"/>
          <w:sz w:val="24"/>
        </w:rPr>
      </w:pPr>
    </w:p>
    <w:p w14:paraId="2ACC137C" w14:textId="77777777" w:rsidR="00920C35" w:rsidRPr="00850BF3" w:rsidRDefault="00920C35" w:rsidP="004112F6">
      <w:pPr>
        <w:widowControl/>
        <w:spacing w:line="259" w:lineRule="auto"/>
        <w:rPr>
          <w:rFonts w:ascii="Times New Roman" w:eastAsia="DengXian" w:hAnsi="Times New Roman" w:cs="Times New Roman"/>
          <w:b/>
          <w:bCs/>
          <w:color w:val="171717"/>
          <w:sz w:val="24"/>
        </w:rPr>
      </w:pPr>
    </w:p>
    <w:p w14:paraId="0C4D4F66" w14:textId="77777777" w:rsidR="00920C35" w:rsidRPr="00850BF3" w:rsidRDefault="00920C35" w:rsidP="004112F6">
      <w:pPr>
        <w:widowControl/>
        <w:spacing w:line="259" w:lineRule="auto"/>
        <w:rPr>
          <w:rFonts w:ascii="Times New Roman" w:eastAsia="DengXian" w:hAnsi="Times New Roman" w:cs="Times New Roman"/>
          <w:b/>
          <w:bCs/>
          <w:color w:val="171717"/>
          <w:sz w:val="24"/>
        </w:rPr>
      </w:pPr>
    </w:p>
    <w:p w14:paraId="2270F624" w14:textId="50FD1C12" w:rsidR="00920C35" w:rsidRPr="00850BF3" w:rsidRDefault="00920C35" w:rsidP="004112F6">
      <w:pPr>
        <w:widowControl/>
        <w:spacing w:line="259" w:lineRule="auto"/>
        <w:rPr>
          <w:rFonts w:ascii="Times New Roman" w:eastAsia="DengXian" w:hAnsi="Times New Roman" w:cs="Times New Roman"/>
          <w:b/>
          <w:bCs/>
          <w:color w:val="171717"/>
          <w:sz w:val="24"/>
        </w:rPr>
      </w:pPr>
      <w:bookmarkStart w:id="0" w:name="_Hlk212927059"/>
      <w:r w:rsidRPr="00850BF3">
        <w:rPr>
          <w:rFonts w:ascii="Times New Roman" w:eastAsia="DengXian" w:hAnsi="Times New Roman" w:cs="Times New Roman"/>
          <w:b/>
          <w:bCs/>
          <w:color w:val="171717"/>
          <w:sz w:val="24"/>
        </w:rPr>
        <w:lastRenderedPageBreak/>
        <w:t xml:space="preserve">Table S1. </w:t>
      </w:r>
      <w:r w:rsidR="00BB4552" w:rsidRPr="00850BF3">
        <w:rPr>
          <w:rFonts w:ascii="Times New Roman" w:eastAsia="DengXian" w:hAnsi="Times New Roman" w:cs="Times New Roman"/>
          <w:b/>
          <w:bCs/>
          <w:color w:val="171717"/>
          <w:sz w:val="24"/>
        </w:rPr>
        <w:t>Summary of Prescribed Antidiabetic Drugs by WHO ATC Therapeutic Class.</w:t>
      </w:r>
    </w:p>
    <w:tbl>
      <w:tblPr>
        <w:tblStyle w:val="PlainTable4"/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2020"/>
        <w:gridCol w:w="1460"/>
        <w:gridCol w:w="1820"/>
      </w:tblGrid>
      <w:tr w:rsidR="00920C35" w:rsidRPr="00850BF3" w14:paraId="66DFE2C7" w14:textId="77777777" w:rsidTr="00920C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tcBorders>
              <w:bottom w:val="single" w:sz="4" w:space="0" w:color="auto"/>
            </w:tcBorders>
            <w:shd w:val="clear" w:color="auto" w:fill="auto"/>
            <w:hideMark/>
          </w:tcPr>
          <w:bookmarkEnd w:id="0"/>
          <w:p w14:paraId="704C4A78" w14:textId="77777777" w:rsidR="00920C35" w:rsidRPr="00850BF3" w:rsidRDefault="00920C35" w:rsidP="00920C35">
            <w:pPr>
              <w:widowControl/>
              <w:spacing w:line="259" w:lineRule="auto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Therapeutic class (ATC level 3/4)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9D1D2C8" w14:textId="77777777" w:rsidR="00920C35" w:rsidRPr="00850BF3" w:rsidRDefault="00920C35" w:rsidP="00920C35">
            <w:pPr>
              <w:widowControl/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Representative drugs / combinations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1901FCB" w14:textId="77777777" w:rsidR="00920C35" w:rsidRPr="00850BF3" w:rsidRDefault="00920C35" w:rsidP="00920C35">
            <w:pPr>
              <w:widowControl/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ATC code prefix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120801E" w14:textId="77777777" w:rsidR="00920C35" w:rsidRPr="00850BF3" w:rsidRDefault="00920C35" w:rsidP="00920C35">
            <w:pPr>
              <w:widowControl/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Total prescriptions (n)</w:t>
            </w:r>
          </w:p>
        </w:tc>
      </w:tr>
      <w:tr w:rsidR="00920C35" w:rsidRPr="00850BF3" w14:paraId="30C52D42" w14:textId="77777777" w:rsidTr="00920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60BCB01" w14:textId="77777777" w:rsidR="00920C35" w:rsidRPr="00850BF3" w:rsidRDefault="00920C35" w:rsidP="00920C35">
            <w:pPr>
              <w:widowControl/>
              <w:spacing w:line="259" w:lineRule="auto"/>
              <w:rPr>
                <w:rFonts w:ascii="Times New Roman" w:eastAsia="DengXian" w:hAnsi="Times New Roman" w:cs="Times New Roman"/>
                <w:b w:val="0"/>
                <w:bCs w:val="0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b w:val="0"/>
                <w:bCs w:val="0"/>
                <w:color w:val="171717"/>
                <w:sz w:val="24"/>
              </w:rPr>
              <w:t>DPP-4 inhibitors (alone or in combination)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D77AF9D" w14:textId="77777777" w:rsidR="00920C35" w:rsidRPr="00850BF3" w:rsidRDefault="00920C35" w:rsidP="00920C35">
            <w:pPr>
              <w:widowControl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Sitagliptin, Vildagliptin, Linagliptin ± Metformin / SGLT2 agents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3991A76" w14:textId="77777777" w:rsidR="00920C35" w:rsidRPr="00850BF3" w:rsidRDefault="00920C35" w:rsidP="00920C35">
            <w:pPr>
              <w:widowControl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A10BH, A10BD07, A10BD08, A10BD19, A10BD24</w:t>
            </w:r>
          </w:p>
        </w:tc>
        <w:tc>
          <w:tcPr>
            <w:tcW w:w="182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3990798" w14:textId="77777777" w:rsidR="00920C35" w:rsidRPr="00850BF3" w:rsidRDefault="00920C35" w:rsidP="00920C35">
            <w:pPr>
              <w:widowControl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286</w:t>
            </w:r>
          </w:p>
        </w:tc>
      </w:tr>
      <w:tr w:rsidR="00920C35" w:rsidRPr="00850BF3" w14:paraId="17D6F166" w14:textId="77777777" w:rsidTr="00920C35">
        <w:trPr>
          <w:trHeight w:val="15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hideMark/>
          </w:tcPr>
          <w:p w14:paraId="17660B0E" w14:textId="77777777" w:rsidR="00920C35" w:rsidRPr="00850BF3" w:rsidRDefault="00920C35" w:rsidP="00920C35">
            <w:pPr>
              <w:widowControl/>
              <w:spacing w:line="259" w:lineRule="auto"/>
              <w:rPr>
                <w:rFonts w:ascii="Times New Roman" w:eastAsia="DengXian" w:hAnsi="Times New Roman" w:cs="Times New Roman"/>
                <w:b w:val="0"/>
                <w:bCs w:val="0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b w:val="0"/>
                <w:bCs w:val="0"/>
                <w:color w:val="171717"/>
                <w:sz w:val="24"/>
              </w:rPr>
              <w:t>SGLT2 inhibitors (alone or in combination)</w:t>
            </w:r>
          </w:p>
        </w:tc>
        <w:tc>
          <w:tcPr>
            <w:tcW w:w="2020" w:type="dxa"/>
            <w:shd w:val="clear" w:color="auto" w:fill="auto"/>
            <w:hideMark/>
          </w:tcPr>
          <w:p w14:paraId="40C2D5E7" w14:textId="77777777" w:rsidR="00920C35" w:rsidRPr="00850BF3" w:rsidRDefault="00920C35" w:rsidP="00920C35">
            <w:pPr>
              <w:widowControl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Empagliflozin, Dapagliflozin, Ertugliflozin ± Metformin / DPP-4 agents</w:t>
            </w:r>
          </w:p>
        </w:tc>
        <w:tc>
          <w:tcPr>
            <w:tcW w:w="1460" w:type="dxa"/>
            <w:shd w:val="clear" w:color="auto" w:fill="auto"/>
            <w:hideMark/>
          </w:tcPr>
          <w:p w14:paraId="0D94D324" w14:textId="77777777" w:rsidR="00920C35" w:rsidRPr="00850BF3" w:rsidRDefault="00920C35" w:rsidP="00920C35">
            <w:pPr>
              <w:widowControl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A10BK, A10BD15, A10BD20, A10BD19, A10BD24</w:t>
            </w:r>
          </w:p>
        </w:tc>
        <w:tc>
          <w:tcPr>
            <w:tcW w:w="1820" w:type="dxa"/>
            <w:shd w:val="clear" w:color="auto" w:fill="auto"/>
            <w:hideMark/>
          </w:tcPr>
          <w:p w14:paraId="2174C5DA" w14:textId="77777777" w:rsidR="00920C35" w:rsidRPr="00850BF3" w:rsidRDefault="00920C35" w:rsidP="00920C35">
            <w:pPr>
              <w:widowControl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197</w:t>
            </w:r>
          </w:p>
        </w:tc>
      </w:tr>
      <w:tr w:rsidR="00920C35" w:rsidRPr="00850BF3" w14:paraId="5B722A16" w14:textId="77777777" w:rsidTr="00920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hideMark/>
          </w:tcPr>
          <w:p w14:paraId="2BF7882F" w14:textId="77777777" w:rsidR="00920C35" w:rsidRPr="00850BF3" w:rsidRDefault="00920C35" w:rsidP="00920C35">
            <w:pPr>
              <w:widowControl/>
              <w:spacing w:line="259" w:lineRule="auto"/>
              <w:rPr>
                <w:rFonts w:ascii="Times New Roman" w:eastAsia="DengXian" w:hAnsi="Times New Roman" w:cs="Times New Roman"/>
                <w:b w:val="0"/>
                <w:bCs w:val="0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b w:val="0"/>
                <w:bCs w:val="0"/>
                <w:color w:val="171717"/>
                <w:sz w:val="24"/>
              </w:rPr>
              <w:t>Biguanides (alone or in combination)</w:t>
            </w:r>
          </w:p>
        </w:tc>
        <w:tc>
          <w:tcPr>
            <w:tcW w:w="2020" w:type="dxa"/>
            <w:shd w:val="clear" w:color="auto" w:fill="auto"/>
            <w:hideMark/>
          </w:tcPr>
          <w:p w14:paraId="52303A68" w14:textId="77777777" w:rsidR="00920C35" w:rsidRPr="00850BF3" w:rsidRDefault="00920C35" w:rsidP="00920C35">
            <w:pPr>
              <w:widowControl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Metformin, Metformin + DPP-4/SGLT2/SU agents</w:t>
            </w:r>
          </w:p>
        </w:tc>
        <w:tc>
          <w:tcPr>
            <w:tcW w:w="1460" w:type="dxa"/>
            <w:shd w:val="clear" w:color="auto" w:fill="auto"/>
            <w:hideMark/>
          </w:tcPr>
          <w:p w14:paraId="1F3D7EA0" w14:textId="77777777" w:rsidR="00920C35" w:rsidRPr="00850BF3" w:rsidRDefault="00920C35" w:rsidP="00920C35">
            <w:pPr>
              <w:widowControl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A10BA, A10BD02, A10BD07, A10BD08, A10BD15, A10BD20</w:t>
            </w:r>
          </w:p>
        </w:tc>
        <w:tc>
          <w:tcPr>
            <w:tcW w:w="1820" w:type="dxa"/>
            <w:shd w:val="clear" w:color="auto" w:fill="auto"/>
            <w:hideMark/>
          </w:tcPr>
          <w:p w14:paraId="152F879C" w14:textId="77777777" w:rsidR="00920C35" w:rsidRPr="00850BF3" w:rsidRDefault="00920C35" w:rsidP="00920C35">
            <w:pPr>
              <w:widowControl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332</w:t>
            </w:r>
          </w:p>
        </w:tc>
      </w:tr>
      <w:tr w:rsidR="00920C35" w:rsidRPr="00850BF3" w14:paraId="7108DB86" w14:textId="77777777" w:rsidTr="00920C35">
        <w:trPr>
          <w:trHeight w:val="9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hideMark/>
          </w:tcPr>
          <w:p w14:paraId="45C57398" w14:textId="77777777" w:rsidR="00920C35" w:rsidRPr="00850BF3" w:rsidRDefault="00920C35" w:rsidP="00920C35">
            <w:pPr>
              <w:widowControl/>
              <w:spacing w:line="259" w:lineRule="auto"/>
              <w:rPr>
                <w:rFonts w:ascii="Times New Roman" w:eastAsia="DengXian" w:hAnsi="Times New Roman" w:cs="Times New Roman"/>
                <w:b w:val="0"/>
                <w:bCs w:val="0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b w:val="0"/>
                <w:bCs w:val="0"/>
                <w:color w:val="171717"/>
                <w:sz w:val="24"/>
              </w:rPr>
              <w:t>Sulfonylureas (alone or in combination)</w:t>
            </w:r>
          </w:p>
        </w:tc>
        <w:tc>
          <w:tcPr>
            <w:tcW w:w="2020" w:type="dxa"/>
            <w:shd w:val="clear" w:color="auto" w:fill="auto"/>
            <w:hideMark/>
          </w:tcPr>
          <w:p w14:paraId="42F073BF" w14:textId="77777777" w:rsidR="00920C35" w:rsidRPr="00850BF3" w:rsidRDefault="00920C35" w:rsidP="00920C35">
            <w:pPr>
              <w:widowControl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Glimepiride, Gliclazide ± Metformin</w:t>
            </w:r>
          </w:p>
        </w:tc>
        <w:tc>
          <w:tcPr>
            <w:tcW w:w="1460" w:type="dxa"/>
            <w:shd w:val="clear" w:color="auto" w:fill="auto"/>
            <w:hideMark/>
          </w:tcPr>
          <w:p w14:paraId="1D9544F3" w14:textId="77777777" w:rsidR="00920C35" w:rsidRPr="00850BF3" w:rsidRDefault="00920C35" w:rsidP="00920C35">
            <w:pPr>
              <w:widowControl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A10BB, A10BD02</w:t>
            </w:r>
          </w:p>
        </w:tc>
        <w:tc>
          <w:tcPr>
            <w:tcW w:w="1820" w:type="dxa"/>
            <w:shd w:val="clear" w:color="auto" w:fill="auto"/>
            <w:hideMark/>
          </w:tcPr>
          <w:p w14:paraId="0282DA99" w14:textId="77777777" w:rsidR="00920C35" w:rsidRPr="00850BF3" w:rsidRDefault="00920C35" w:rsidP="00920C35">
            <w:pPr>
              <w:widowControl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103</w:t>
            </w:r>
          </w:p>
        </w:tc>
      </w:tr>
      <w:tr w:rsidR="00920C35" w:rsidRPr="00850BF3" w14:paraId="18A67E76" w14:textId="77777777" w:rsidTr="00920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hideMark/>
          </w:tcPr>
          <w:p w14:paraId="7BDA8982" w14:textId="77777777" w:rsidR="00920C35" w:rsidRPr="00850BF3" w:rsidRDefault="00920C35" w:rsidP="00920C35">
            <w:pPr>
              <w:widowControl/>
              <w:spacing w:line="259" w:lineRule="auto"/>
              <w:rPr>
                <w:rFonts w:ascii="Times New Roman" w:eastAsia="DengXian" w:hAnsi="Times New Roman" w:cs="Times New Roman"/>
                <w:b w:val="0"/>
                <w:bCs w:val="0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b w:val="0"/>
                <w:bCs w:val="0"/>
                <w:color w:val="171717"/>
                <w:sz w:val="24"/>
              </w:rPr>
              <w:t>Triple-combination therapy</w:t>
            </w:r>
          </w:p>
        </w:tc>
        <w:tc>
          <w:tcPr>
            <w:tcW w:w="2020" w:type="dxa"/>
            <w:shd w:val="clear" w:color="auto" w:fill="auto"/>
            <w:hideMark/>
          </w:tcPr>
          <w:p w14:paraId="09DA2B4D" w14:textId="77777777" w:rsidR="00920C35" w:rsidRPr="00850BF3" w:rsidRDefault="00920C35" w:rsidP="00920C35">
            <w:pPr>
              <w:widowControl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Metformin + Linagliptin + Empagliflozin</w:t>
            </w:r>
          </w:p>
        </w:tc>
        <w:tc>
          <w:tcPr>
            <w:tcW w:w="1460" w:type="dxa"/>
            <w:shd w:val="clear" w:color="auto" w:fill="auto"/>
            <w:hideMark/>
          </w:tcPr>
          <w:p w14:paraId="11BBF22E" w14:textId="77777777" w:rsidR="00920C35" w:rsidRPr="00850BF3" w:rsidRDefault="00920C35" w:rsidP="00920C35">
            <w:pPr>
              <w:widowControl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A10BD27</w:t>
            </w:r>
          </w:p>
        </w:tc>
        <w:tc>
          <w:tcPr>
            <w:tcW w:w="1820" w:type="dxa"/>
            <w:shd w:val="clear" w:color="auto" w:fill="auto"/>
            <w:hideMark/>
          </w:tcPr>
          <w:p w14:paraId="724693F1" w14:textId="77777777" w:rsidR="00920C35" w:rsidRPr="00850BF3" w:rsidRDefault="00920C35" w:rsidP="00920C35">
            <w:pPr>
              <w:widowControl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1</w:t>
            </w:r>
          </w:p>
        </w:tc>
      </w:tr>
      <w:tr w:rsidR="00920C35" w:rsidRPr="00850BF3" w14:paraId="7A437AE8" w14:textId="77777777" w:rsidTr="00920C35">
        <w:trPr>
          <w:trHeight w:val="9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hideMark/>
          </w:tcPr>
          <w:p w14:paraId="464E3CB9" w14:textId="77777777" w:rsidR="00920C35" w:rsidRPr="00850BF3" w:rsidRDefault="00920C35" w:rsidP="00920C35">
            <w:pPr>
              <w:widowControl/>
              <w:spacing w:line="259" w:lineRule="auto"/>
              <w:rPr>
                <w:rFonts w:ascii="Times New Roman" w:eastAsia="DengXian" w:hAnsi="Times New Roman" w:cs="Times New Roman"/>
                <w:b w:val="0"/>
                <w:bCs w:val="0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b w:val="0"/>
                <w:bCs w:val="0"/>
                <w:color w:val="171717"/>
                <w:sz w:val="24"/>
              </w:rPr>
              <w:t>Insulins and analogues</w:t>
            </w:r>
          </w:p>
        </w:tc>
        <w:tc>
          <w:tcPr>
            <w:tcW w:w="2020" w:type="dxa"/>
            <w:shd w:val="clear" w:color="auto" w:fill="auto"/>
            <w:hideMark/>
          </w:tcPr>
          <w:p w14:paraId="427C6677" w14:textId="77777777" w:rsidR="00920C35" w:rsidRPr="00850BF3" w:rsidRDefault="00920C35" w:rsidP="00920C35">
            <w:pPr>
              <w:widowControl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Human insulin 70/30, NPH, regular, glargine</w:t>
            </w:r>
          </w:p>
        </w:tc>
        <w:tc>
          <w:tcPr>
            <w:tcW w:w="1460" w:type="dxa"/>
            <w:shd w:val="clear" w:color="auto" w:fill="auto"/>
            <w:hideMark/>
          </w:tcPr>
          <w:p w14:paraId="3973B43B" w14:textId="77777777" w:rsidR="00920C35" w:rsidRPr="00850BF3" w:rsidRDefault="00920C35" w:rsidP="00920C35">
            <w:pPr>
              <w:widowControl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A10A</w:t>
            </w:r>
          </w:p>
        </w:tc>
        <w:tc>
          <w:tcPr>
            <w:tcW w:w="1820" w:type="dxa"/>
            <w:shd w:val="clear" w:color="auto" w:fill="auto"/>
            <w:hideMark/>
          </w:tcPr>
          <w:p w14:paraId="26D5FC79" w14:textId="77777777" w:rsidR="00920C35" w:rsidRPr="00850BF3" w:rsidRDefault="00920C35" w:rsidP="00920C35">
            <w:pPr>
              <w:widowControl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171717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171717"/>
                <w:sz w:val="24"/>
              </w:rPr>
              <w:t>238</w:t>
            </w:r>
          </w:p>
        </w:tc>
      </w:tr>
    </w:tbl>
    <w:p w14:paraId="789308ED" w14:textId="77777777" w:rsidR="005772CD" w:rsidRPr="00850BF3" w:rsidRDefault="005772CD" w:rsidP="004112F6">
      <w:pPr>
        <w:widowControl/>
        <w:spacing w:line="259" w:lineRule="auto"/>
        <w:rPr>
          <w:rFonts w:ascii="Times New Roman" w:eastAsia="DengXian" w:hAnsi="Times New Roman" w:cs="Times New Roman"/>
          <w:b/>
          <w:bCs/>
          <w:color w:val="171717"/>
          <w:sz w:val="24"/>
        </w:rPr>
      </w:pPr>
    </w:p>
    <w:p w14:paraId="5E7BC55F" w14:textId="77777777" w:rsidR="005772CD" w:rsidRPr="00850BF3" w:rsidRDefault="005772CD" w:rsidP="004112F6">
      <w:pPr>
        <w:widowControl/>
        <w:spacing w:line="259" w:lineRule="auto"/>
        <w:rPr>
          <w:rFonts w:ascii="Times New Roman" w:eastAsia="DengXian" w:hAnsi="Times New Roman" w:cs="Times New Roman"/>
          <w:b/>
          <w:bCs/>
          <w:color w:val="171717"/>
          <w:sz w:val="24"/>
        </w:rPr>
      </w:pPr>
    </w:p>
    <w:p w14:paraId="07746F99" w14:textId="77777777" w:rsidR="005772CD" w:rsidRPr="00850BF3" w:rsidRDefault="005772CD" w:rsidP="004112F6">
      <w:pPr>
        <w:widowControl/>
        <w:spacing w:line="259" w:lineRule="auto"/>
        <w:rPr>
          <w:rFonts w:ascii="Times New Roman" w:eastAsia="DengXian" w:hAnsi="Times New Roman" w:cs="Times New Roman"/>
          <w:b/>
          <w:bCs/>
          <w:color w:val="171717"/>
          <w:sz w:val="24"/>
        </w:rPr>
      </w:pPr>
    </w:p>
    <w:p w14:paraId="63F101DA" w14:textId="77777777" w:rsidR="005772CD" w:rsidRPr="00850BF3" w:rsidRDefault="005772CD" w:rsidP="004112F6">
      <w:pPr>
        <w:widowControl/>
        <w:spacing w:line="259" w:lineRule="auto"/>
        <w:rPr>
          <w:rFonts w:ascii="Times New Roman" w:eastAsia="DengXian" w:hAnsi="Times New Roman" w:cs="Times New Roman"/>
          <w:b/>
          <w:bCs/>
          <w:color w:val="171717"/>
          <w:sz w:val="24"/>
        </w:rPr>
      </w:pPr>
    </w:p>
    <w:p w14:paraId="1A0D6FE8" w14:textId="77777777" w:rsidR="005772CD" w:rsidRPr="00850BF3" w:rsidRDefault="005772CD" w:rsidP="004112F6">
      <w:pPr>
        <w:widowControl/>
        <w:spacing w:line="259" w:lineRule="auto"/>
        <w:rPr>
          <w:rFonts w:ascii="Times New Roman" w:eastAsia="DengXian" w:hAnsi="Times New Roman" w:cs="Times New Roman"/>
          <w:b/>
          <w:bCs/>
          <w:color w:val="171717"/>
          <w:sz w:val="24"/>
        </w:rPr>
        <w:sectPr w:rsidR="005772CD" w:rsidRPr="00850BF3"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</w:p>
    <w:p w14:paraId="3611792E" w14:textId="7F166AD5" w:rsidR="005772CD" w:rsidRPr="00850BF3" w:rsidRDefault="005772CD" w:rsidP="004112F6">
      <w:pPr>
        <w:widowControl/>
        <w:spacing w:line="259" w:lineRule="auto"/>
        <w:rPr>
          <w:rFonts w:ascii="Times New Roman" w:eastAsia="DengXian" w:hAnsi="Times New Roman" w:cs="Times New Roman"/>
          <w:b/>
          <w:bCs/>
          <w:color w:val="171717"/>
          <w:sz w:val="24"/>
        </w:rPr>
      </w:pPr>
    </w:p>
    <w:p w14:paraId="65EA2346" w14:textId="3FEA4A00" w:rsidR="00920C35" w:rsidRPr="00850BF3" w:rsidRDefault="00222F8D" w:rsidP="004112F6">
      <w:pPr>
        <w:widowControl/>
        <w:spacing w:line="259" w:lineRule="auto"/>
        <w:rPr>
          <w:rFonts w:ascii="Times New Roman" w:eastAsia="DengXian" w:hAnsi="Times New Roman" w:cs="Times New Roman"/>
          <w:b/>
          <w:bCs/>
          <w:color w:val="171717"/>
          <w:sz w:val="24"/>
        </w:rPr>
      </w:pPr>
      <w:r w:rsidRPr="00850BF3">
        <w:rPr>
          <w:rFonts w:ascii="Times New Roman" w:eastAsia="DengXian" w:hAnsi="Times New Roman" w:cs="Times New Roman"/>
          <w:b/>
          <w:bCs/>
          <w:color w:val="171717"/>
          <w:sz w:val="24"/>
        </w:rPr>
        <w:t>Table S2. Frequent</w:t>
      </w:r>
      <w:r w:rsidR="003037FD" w:rsidRPr="00850BF3">
        <w:rPr>
          <w:rFonts w:ascii="Times New Roman" w:eastAsia="DengXian" w:hAnsi="Times New Roman" w:cs="Times New Roman"/>
          <w:b/>
          <w:bCs/>
          <w:color w:val="171717"/>
          <w:sz w:val="24"/>
        </w:rPr>
        <w:t>ly observed</w:t>
      </w:r>
      <w:r w:rsidRPr="00850BF3">
        <w:rPr>
          <w:rFonts w:ascii="Times New Roman" w:eastAsia="DengXian" w:hAnsi="Times New Roman" w:cs="Times New Roman"/>
          <w:b/>
          <w:bCs/>
          <w:color w:val="171717"/>
          <w:sz w:val="24"/>
        </w:rPr>
        <w:t xml:space="preserve"> Potential Drug–Drug Interactions.</w:t>
      </w:r>
    </w:p>
    <w:tbl>
      <w:tblPr>
        <w:tblStyle w:val="PlainTable4"/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790"/>
        <w:gridCol w:w="5580"/>
        <w:gridCol w:w="4680"/>
      </w:tblGrid>
      <w:tr w:rsidR="009B0B3E" w:rsidRPr="00850BF3" w14:paraId="5B6C2286" w14:textId="77777777" w:rsidTr="005772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11900ED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Severity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74575FD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Interacting Drugs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ECC4858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Mechanism / Pharmacological Basis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E004537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Clinical Consequence</w:t>
            </w:r>
          </w:p>
        </w:tc>
      </w:tr>
      <w:tr w:rsidR="009B0B3E" w:rsidRPr="00850BF3" w14:paraId="3DA60347" w14:textId="77777777" w:rsidTr="00577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E755CD3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Major</w:t>
            </w:r>
          </w:p>
        </w:tc>
        <w:tc>
          <w:tcPr>
            <w:tcW w:w="279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776E4F1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Metformin + Cimetidine</w:t>
            </w:r>
          </w:p>
        </w:tc>
        <w:tc>
          <w:tcPr>
            <w:tcW w:w="558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739C6AC" w14:textId="1E3BE562" w:rsidR="009B0B3E" w:rsidRPr="00850BF3" w:rsidRDefault="00B17160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Cimetidine will increase the level or effect of metformin by basic (cationic) drug competition for renal tubular clearance</w:t>
            </w:r>
          </w:p>
        </w:tc>
        <w:tc>
          <w:tcPr>
            <w:tcW w:w="468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E877526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Increased effect of Metformin and lactic acidosis, especially in renal impairment.</w:t>
            </w:r>
          </w:p>
        </w:tc>
      </w:tr>
      <w:tr w:rsidR="009B0B3E" w:rsidRPr="00850BF3" w14:paraId="04962A75" w14:textId="77777777" w:rsidTr="005772CD">
        <w:trPr>
          <w:trHeight w:val="1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hideMark/>
          </w:tcPr>
          <w:p w14:paraId="24D897C8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b w:val="0"/>
                <w:bCs w:val="0"/>
                <w:color w:val="0D0D0D" w:themeColor="text1" w:themeTint="F2"/>
                <w:sz w:val="24"/>
              </w:rPr>
            </w:pPr>
          </w:p>
        </w:tc>
        <w:tc>
          <w:tcPr>
            <w:tcW w:w="2790" w:type="dxa"/>
            <w:shd w:val="clear" w:color="auto" w:fill="auto"/>
            <w:hideMark/>
          </w:tcPr>
          <w:p w14:paraId="24439718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Insulin regular + propranolol </w:t>
            </w:r>
          </w:p>
        </w:tc>
        <w:tc>
          <w:tcPr>
            <w:tcW w:w="5580" w:type="dxa"/>
            <w:shd w:val="clear" w:color="auto" w:fill="auto"/>
            <w:hideMark/>
          </w:tcPr>
          <w:p w14:paraId="5008397A" w14:textId="4FD9EFD4" w:rsidR="009B0B3E" w:rsidRPr="00850BF3" w:rsidRDefault="00B17160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Pharmacodynamic antagonism. Non selective beta blockers delay recovery of normoglycemia after insulin-induced hypoglycemia; however, they also inhibit insulin secretion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.</w:t>
            </w:r>
          </w:p>
        </w:tc>
        <w:tc>
          <w:tcPr>
            <w:tcW w:w="4680" w:type="dxa"/>
            <w:shd w:val="clear" w:color="auto" w:fill="auto"/>
            <w:hideMark/>
          </w:tcPr>
          <w:p w14:paraId="6691DB47" w14:textId="1E4DF4BC" w:rsidR="009B0B3E" w:rsidRPr="00850BF3" w:rsidRDefault="00B17160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Long term beta blocker </w:t>
            </w:r>
            <w:r w:rsidR="000A4FC7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treatment</w:t>
            </w: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 may result in reduced glucose tolerance</w:t>
            </w:r>
          </w:p>
        </w:tc>
      </w:tr>
      <w:tr w:rsidR="009B0B3E" w:rsidRPr="00850BF3" w14:paraId="14A4A3BF" w14:textId="77777777" w:rsidTr="00577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hideMark/>
          </w:tcPr>
          <w:p w14:paraId="0FE7810E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b w:val="0"/>
                <w:bCs w:val="0"/>
                <w:color w:val="0D0D0D" w:themeColor="text1" w:themeTint="F2"/>
                <w:sz w:val="24"/>
              </w:rPr>
            </w:pPr>
          </w:p>
        </w:tc>
        <w:tc>
          <w:tcPr>
            <w:tcW w:w="2790" w:type="dxa"/>
            <w:shd w:val="clear" w:color="auto" w:fill="auto"/>
            <w:hideMark/>
          </w:tcPr>
          <w:p w14:paraId="3F4EB28E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proofErr w:type="spellStart"/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Propranolol+valsartan</w:t>
            </w:r>
            <w:proofErr w:type="spellEnd"/>
          </w:p>
        </w:tc>
        <w:tc>
          <w:tcPr>
            <w:tcW w:w="5580" w:type="dxa"/>
            <w:shd w:val="clear" w:color="auto" w:fill="auto"/>
            <w:hideMark/>
          </w:tcPr>
          <w:p w14:paraId="4924BB77" w14:textId="2D125E3E" w:rsidR="009B0B3E" w:rsidRPr="00850BF3" w:rsidRDefault="00B17160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P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harmacodynamic synergism</w:t>
            </w: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: 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valsartan and propranolol both increase serum potassium</w:t>
            </w:r>
          </w:p>
        </w:tc>
        <w:tc>
          <w:tcPr>
            <w:tcW w:w="4680" w:type="dxa"/>
            <w:shd w:val="clear" w:color="auto" w:fill="auto"/>
            <w:hideMark/>
          </w:tcPr>
          <w:p w14:paraId="2138A1D1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Risk of fetal compromise if given during pregnancy.</w:t>
            </w:r>
          </w:p>
        </w:tc>
      </w:tr>
      <w:tr w:rsidR="009B0B3E" w:rsidRPr="00850BF3" w14:paraId="6C337F98" w14:textId="77777777" w:rsidTr="005772CD">
        <w:trPr>
          <w:trHeight w:val="1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hideMark/>
          </w:tcPr>
          <w:p w14:paraId="0B2AA18B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b w:val="0"/>
                <w:bCs w:val="0"/>
                <w:color w:val="0D0D0D" w:themeColor="text1" w:themeTint="F2"/>
                <w:sz w:val="24"/>
              </w:rPr>
            </w:pPr>
          </w:p>
        </w:tc>
        <w:tc>
          <w:tcPr>
            <w:tcW w:w="2790" w:type="dxa"/>
            <w:shd w:val="clear" w:color="auto" w:fill="auto"/>
            <w:hideMark/>
          </w:tcPr>
          <w:p w14:paraId="7D840C16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Fluoroquinolones (Moxifloxacin / Ciprofloxacin) + Metformin/sulfonylureas</w:t>
            </w:r>
          </w:p>
        </w:tc>
        <w:tc>
          <w:tcPr>
            <w:tcW w:w="5580" w:type="dxa"/>
            <w:shd w:val="clear" w:color="auto" w:fill="auto"/>
            <w:hideMark/>
          </w:tcPr>
          <w:p w14:paraId="4DD0A9D8" w14:textId="66530476" w:rsidR="009B0B3E" w:rsidRPr="00850BF3" w:rsidRDefault="00B17160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Pharmacodynamic synergism: Fluoroquinolones increase the effects of metformin</w:t>
            </w:r>
          </w:p>
        </w:tc>
        <w:tc>
          <w:tcPr>
            <w:tcW w:w="4680" w:type="dxa"/>
            <w:shd w:val="clear" w:color="auto" w:fill="auto"/>
            <w:hideMark/>
          </w:tcPr>
          <w:p w14:paraId="59109511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Unpredictable, severe </w:t>
            </w:r>
            <w:proofErr w:type="spellStart"/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hypoglycaemia</w:t>
            </w:r>
            <w:proofErr w:type="spellEnd"/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 or </w:t>
            </w:r>
            <w:proofErr w:type="spellStart"/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hyperglycaemia</w:t>
            </w:r>
            <w:proofErr w:type="spellEnd"/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; high risk in the elderly.</w:t>
            </w:r>
          </w:p>
        </w:tc>
      </w:tr>
      <w:tr w:rsidR="009B0B3E" w:rsidRPr="00850BF3" w14:paraId="2CB513EA" w14:textId="77777777" w:rsidTr="00577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hideMark/>
          </w:tcPr>
          <w:p w14:paraId="0EB2E2EE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lastRenderedPageBreak/>
              <w:t>Moderate</w:t>
            </w:r>
          </w:p>
        </w:tc>
        <w:tc>
          <w:tcPr>
            <w:tcW w:w="2790" w:type="dxa"/>
            <w:shd w:val="clear" w:color="auto" w:fill="auto"/>
            <w:hideMark/>
          </w:tcPr>
          <w:p w14:paraId="7FB88FE9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Levothyroxine+ (</w:t>
            </w:r>
            <w:proofErr w:type="spellStart"/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Metformin±Sitagliptin±insulin±omeprazole</w:t>
            </w:r>
            <w:proofErr w:type="spellEnd"/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)</w:t>
            </w:r>
          </w:p>
        </w:tc>
        <w:tc>
          <w:tcPr>
            <w:tcW w:w="5580" w:type="dxa"/>
            <w:shd w:val="clear" w:color="auto" w:fill="auto"/>
            <w:hideMark/>
          </w:tcPr>
          <w:p w14:paraId="6675DA79" w14:textId="65CAC33E" w:rsidR="009B0B3E" w:rsidRPr="00850BF3" w:rsidRDefault="00B17160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Pharmacodynamic antagonism: 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Levothyroxine may interfere with blood glucose control and reduce the effectiveness of met</w:t>
            </w: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formin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 and other diabetic medications.</w:t>
            </w:r>
          </w:p>
        </w:tc>
        <w:tc>
          <w:tcPr>
            <w:tcW w:w="4680" w:type="dxa"/>
            <w:shd w:val="clear" w:color="auto" w:fill="auto"/>
            <w:hideMark/>
          </w:tcPr>
          <w:p w14:paraId="524B4579" w14:textId="1F5602B4" w:rsidR="009B0B3E" w:rsidRPr="00850BF3" w:rsidRDefault="003037FD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C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lose monitoring and dose adjustment of drugs </w:t>
            </w:r>
            <w:r w:rsidR="00B17160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are 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required</w:t>
            </w:r>
          </w:p>
        </w:tc>
      </w:tr>
      <w:tr w:rsidR="009B0B3E" w:rsidRPr="00850BF3" w14:paraId="12F97221" w14:textId="77777777" w:rsidTr="005772CD">
        <w:trPr>
          <w:trHeight w:val="9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hideMark/>
          </w:tcPr>
          <w:p w14:paraId="39C9D37F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b w:val="0"/>
                <w:bCs w:val="0"/>
                <w:color w:val="0D0D0D" w:themeColor="text1" w:themeTint="F2"/>
                <w:sz w:val="24"/>
              </w:rPr>
            </w:pPr>
          </w:p>
        </w:tc>
        <w:tc>
          <w:tcPr>
            <w:tcW w:w="2790" w:type="dxa"/>
            <w:shd w:val="clear" w:color="auto" w:fill="auto"/>
            <w:hideMark/>
          </w:tcPr>
          <w:p w14:paraId="0EC380A9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Empagliflozin + Glimepiride</w:t>
            </w:r>
          </w:p>
        </w:tc>
        <w:tc>
          <w:tcPr>
            <w:tcW w:w="5580" w:type="dxa"/>
            <w:shd w:val="clear" w:color="auto" w:fill="auto"/>
            <w:hideMark/>
          </w:tcPr>
          <w:p w14:paraId="7D2B9ED8" w14:textId="6C2E238A" w:rsidR="009B0B3E" w:rsidRPr="00850BF3" w:rsidRDefault="005E25E3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Pharmacodynamic synergism: either increases the effects of the other. </w:t>
            </w:r>
          </w:p>
        </w:tc>
        <w:tc>
          <w:tcPr>
            <w:tcW w:w="4680" w:type="dxa"/>
            <w:shd w:val="clear" w:color="auto" w:fill="auto"/>
            <w:hideMark/>
          </w:tcPr>
          <w:p w14:paraId="0D79C14D" w14:textId="162E8D6B" w:rsidR="009B0B3E" w:rsidRPr="00850BF3" w:rsidRDefault="00785BF2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The additive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 glucose-lowering effect increases the risk of </w:t>
            </w:r>
            <w:r w:rsidR="00E57AC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hypoglycemia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.</w:t>
            </w:r>
          </w:p>
        </w:tc>
      </w:tr>
      <w:tr w:rsidR="009B0B3E" w:rsidRPr="00850BF3" w14:paraId="1805BBE8" w14:textId="77777777" w:rsidTr="00577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hideMark/>
          </w:tcPr>
          <w:p w14:paraId="069C1696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b w:val="0"/>
                <w:bCs w:val="0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b w:val="0"/>
                <w:bCs w:val="0"/>
                <w:color w:val="0D0D0D" w:themeColor="text1" w:themeTint="F2"/>
                <w:sz w:val="24"/>
              </w:rPr>
              <w:t> </w:t>
            </w:r>
          </w:p>
        </w:tc>
        <w:tc>
          <w:tcPr>
            <w:tcW w:w="2790" w:type="dxa"/>
            <w:shd w:val="clear" w:color="auto" w:fill="auto"/>
            <w:hideMark/>
          </w:tcPr>
          <w:p w14:paraId="2D1B2D9E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Lornoxicam + Glimepiride / Valsartan</w:t>
            </w:r>
          </w:p>
        </w:tc>
        <w:tc>
          <w:tcPr>
            <w:tcW w:w="5580" w:type="dxa"/>
            <w:shd w:val="clear" w:color="auto" w:fill="auto"/>
            <w:hideMark/>
          </w:tcPr>
          <w:p w14:paraId="06B1D7ED" w14:textId="7AC6BF2C" w:rsidR="009B0B3E" w:rsidRPr="00850BF3" w:rsidRDefault="00785BF2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Lornoxicam</w:t>
            </w:r>
            <w:r w:rsidR="005E25E3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 increases </w:t>
            </w: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the </w:t>
            </w:r>
            <w:r w:rsidR="005E25E3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effects of glimepiride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; </w:t>
            </w:r>
            <w:r w:rsidR="005E25E3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valsartan and lornoxicam both increase serum potassium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.</w:t>
            </w:r>
          </w:p>
        </w:tc>
        <w:tc>
          <w:tcPr>
            <w:tcW w:w="4680" w:type="dxa"/>
            <w:shd w:val="clear" w:color="auto" w:fill="auto"/>
            <w:hideMark/>
          </w:tcPr>
          <w:p w14:paraId="6FB5442F" w14:textId="156AC781" w:rsidR="009B0B3E" w:rsidRPr="00850BF3" w:rsidRDefault="00E57ACE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Moderate risk of hypoglycemia and hyperkalemia.  </w:t>
            </w:r>
          </w:p>
        </w:tc>
      </w:tr>
      <w:tr w:rsidR="009B0B3E" w:rsidRPr="00850BF3" w14:paraId="2FB019AF" w14:textId="77777777" w:rsidTr="005772CD">
        <w:trPr>
          <w:trHeight w:val="1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hideMark/>
          </w:tcPr>
          <w:p w14:paraId="2F067E70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b w:val="0"/>
                <w:bCs w:val="0"/>
                <w:color w:val="0D0D0D" w:themeColor="text1" w:themeTint="F2"/>
                <w:sz w:val="24"/>
              </w:rPr>
            </w:pPr>
          </w:p>
        </w:tc>
        <w:tc>
          <w:tcPr>
            <w:tcW w:w="2790" w:type="dxa"/>
            <w:shd w:val="clear" w:color="auto" w:fill="auto"/>
            <w:hideMark/>
          </w:tcPr>
          <w:p w14:paraId="272D4949" w14:textId="5304294A" w:rsidR="009B0B3E" w:rsidRPr="00850BF3" w:rsidRDefault="00E57ACE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L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isinopril</w:t>
            </w: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/Hydrochlorothiazide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 + empagliflozin</w:t>
            </w:r>
          </w:p>
        </w:tc>
        <w:tc>
          <w:tcPr>
            <w:tcW w:w="5580" w:type="dxa"/>
            <w:shd w:val="clear" w:color="auto" w:fill="auto"/>
            <w:hideMark/>
          </w:tcPr>
          <w:p w14:paraId="0F612AA6" w14:textId="6B548525" w:rsidR="009B0B3E" w:rsidRPr="00850BF3" w:rsidRDefault="00E57ACE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Empagliflozin may add to the diuretic effects of hydrochlorothiazide; </w:t>
            </w:r>
            <w:r w:rsidR="00785BF2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When used with lisinopril or other similar drugs, empagliflozin may result in salt and water loss. </w:t>
            </w:r>
          </w:p>
        </w:tc>
        <w:tc>
          <w:tcPr>
            <w:tcW w:w="4680" w:type="dxa"/>
            <w:shd w:val="clear" w:color="auto" w:fill="auto"/>
            <w:hideMark/>
          </w:tcPr>
          <w:p w14:paraId="1DADCD77" w14:textId="2745D9DC" w:rsidR="009B0B3E" w:rsidRPr="00850BF3" w:rsidRDefault="005E25E3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Increased risk of dehydration, hypotension, and acute kidney injury.</w:t>
            </w:r>
          </w:p>
        </w:tc>
      </w:tr>
      <w:tr w:rsidR="009B0B3E" w:rsidRPr="00850BF3" w14:paraId="626817A1" w14:textId="77777777" w:rsidTr="00577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hideMark/>
          </w:tcPr>
          <w:p w14:paraId="11D6250B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b w:val="0"/>
                <w:bCs w:val="0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b w:val="0"/>
                <w:bCs w:val="0"/>
                <w:color w:val="0D0D0D" w:themeColor="text1" w:themeTint="F2"/>
                <w:sz w:val="24"/>
              </w:rPr>
              <w:t>Minor</w:t>
            </w:r>
          </w:p>
        </w:tc>
        <w:tc>
          <w:tcPr>
            <w:tcW w:w="2790" w:type="dxa"/>
            <w:shd w:val="clear" w:color="auto" w:fill="auto"/>
            <w:hideMark/>
          </w:tcPr>
          <w:p w14:paraId="5F57E1FF" w14:textId="297B9E5D" w:rsidR="009B0B3E" w:rsidRPr="00850BF3" w:rsidRDefault="009B0B3E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Insulin + Valsartan </w:t>
            </w:r>
          </w:p>
        </w:tc>
        <w:tc>
          <w:tcPr>
            <w:tcW w:w="5580" w:type="dxa"/>
            <w:shd w:val="clear" w:color="auto" w:fill="auto"/>
            <w:hideMark/>
          </w:tcPr>
          <w:p w14:paraId="4985ED05" w14:textId="1A49F55C" w:rsidR="009B0B3E" w:rsidRPr="00850BF3" w:rsidRDefault="00220DDB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Angiotensin Receptor Blockers (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ARBs</w:t>
            </w: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)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 improve insulin sensitivity and promote potassium retention.</w:t>
            </w:r>
          </w:p>
        </w:tc>
        <w:tc>
          <w:tcPr>
            <w:tcW w:w="4680" w:type="dxa"/>
            <w:shd w:val="clear" w:color="auto" w:fill="auto"/>
            <w:hideMark/>
          </w:tcPr>
          <w:p w14:paraId="31E2BC8C" w14:textId="000B6AA4" w:rsidR="009B0B3E" w:rsidRPr="00850BF3" w:rsidRDefault="00785BF2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Mild hypoglycemia and </w:t>
            </w:r>
            <w:proofErr w:type="spellStart"/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hyperkalaemia</w:t>
            </w:r>
            <w:proofErr w:type="spellEnd"/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 are possible, especially in patients who are at risk. Increased glucose monitoring and insulin dosage adjustment may be necessary while using ARBs and insulin concurrently.</w:t>
            </w:r>
          </w:p>
        </w:tc>
      </w:tr>
      <w:tr w:rsidR="009B0B3E" w:rsidRPr="00850BF3" w14:paraId="641A0F0A" w14:textId="77777777" w:rsidTr="005772CD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hideMark/>
          </w:tcPr>
          <w:p w14:paraId="4E5F7459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b w:val="0"/>
                <w:bCs w:val="0"/>
                <w:color w:val="0D0D0D" w:themeColor="text1" w:themeTint="F2"/>
                <w:sz w:val="24"/>
              </w:rPr>
            </w:pPr>
          </w:p>
        </w:tc>
        <w:tc>
          <w:tcPr>
            <w:tcW w:w="2790" w:type="dxa"/>
            <w:shd w:val="clear" w:color="auto" w:fill="auto"/>
            <w:hideMark/>
          </w:tcPr>
          <w:p w14:paraId="3EFF53A6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Metformin + Amlodipine</w:t>
            </w:r>
          </w:p>
        </w:tc>
        <w:tc>
          <w:tcPr>
            <w:tcW w:w="5580" w:type="dxa"/>
            <w:shd w:val="clear" w:color="auto" w:fill="auto"/>
            <w:hideMark/>
          </w:tcPr>
          <w:p w14:paraId="6438CE8F" w14:textId="3E38C4B4" w:rsidR="009B0B3E" w:rsidRPr="00850BF3" w:rsidRDefault="00220DDB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Pharmacodynamic antagonism: amlodipine decreases the effects of metformin. </w:t>
            </w:r>
          </w:p>
        </w:tc>
        <w:tc>
          <w:tcPr>
            <w:tcW w:w="4680" w:type="dxa"/>
            <w:shd w:val="clear" w:color="auto" w:fill="auto"/>
            <w:hideMark/>
          </w:tcPr>
          <w:p w14:paraId="72593A2F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Minor attenuation of </w:t>
            </w:r>
            <w:proofErr w:type="spellStart"/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glycaemic</w:t>
            </w:r>
            <w:proofErr w:type="spellEnd"/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 control, potentially requiring therapy intensification</w:t>
            </w:r>
          </w:p>
        </w:tc>
      </w:tr>
      <w:tr w:rsidR="009B0B3E" w:rsidRPr="00850BF3" w14:paraId="6F0662E1" w14:textId="77777777" w:rsidTr="00577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hideMark/>
          </w:tcPr>
          <w:p w14:paraId="56BFD71C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b w:val="0"/>
                <w:bCs w:val="0"/>
                <w:color w:val="0D0D0D" w:themeColor="text1" w:themeTint="F2"/>
                <w:sz w:val="24"/>
              </w:rPr>
            </w:pPr>
          </w:p>
        </w:tc>
        <w:tc>
          <w:tcPr>
            <w:tcW w:w="2790" w:type="dxa"/>
            <w:shd w:val="clear" w:color="auto" w:fill="auto"/>
            <w:hideMark/>
          </w:tcPr>
          <w:p w14:paraId="18AC3D44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Metformin + Hydrochlorothiazide</w:t>
            </w:r>
          </w:p>
        </w:tc>
        <w:tc>
          <w:tcPr>
            <w:tcW w:w="5580" w:type="dxa"/>
            <w:shd w:val="clear" w:color="auto" w:fill="auto"/>
            <w:hideMark/>
          </w:tcPr>
          <w:p w14:paraId="22B7295B" w14:textId="4B6BE505" w:rsidR="009B0B3E" w:rsidRPr="00850BF3" w:rsidRDefault="00220DDB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Pharmacodynamic antagonism: hydrochlorothiazide will increase the level or effect of metformin by basic (cationic) drug competition for renal tubular clearance.</w:t>
            </w:r>
          </w:p>
        </w:tc>
        <w:tc>
          <w:tcPr>
            <w:tcW w:w="4680" w:type="dxa"/>
            <w:shd w:val="clear" w:color="auto" w:fill="auto"/>
            <w:hideMark/>
          </w:tcPr>
          <w:p w14:paraId="67BA3EC1" w14:textId="677349D4" w:rsidR="009B0B3E" w:rsidRPr="00850BF3" w:rsidRDefault="00220DDB" w:rsidP="005772CD">
            <w:pPr>
              <w:widowControl/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Thiazide dosage &gt;50 mg/day may increase blood glucose.</w:t>
            </w:r>
          </w:p>
        </w:tc>
      </w:tr>
      <w:tr w:rsidR="009B0B3E" w:rsidRPr="00850BF3" w14:paraId="640B6F44" w14:textId="77777777" w:rsidTr="005772C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noWrap/>
            <w:hideMark/>
          </w:tcPr>
          <w:p w14:paraId="630C39BD" w14:textId="77777777" w:rsidR="009B0B3E" w:rsidRPr="00850BF3" w:rsidRDefault="009B0B3E" w:rsidP="005772CD">
            <w:pPr>
              <w:widowControl/>
              <w:spacing w:line="259" w:lineRule="auto"/>
              <w:jc w:val="both"/>
              <w:rPr>
                <w:rFonts w:ascii="Times New Roman" w:eastAsia="DengXian" w:hAnsi="Times New Roman" w:cs="Times New Roman"/>
                <w:b w:val="0"/>
                <w:bCs w:val="0"/>
                <w:color w:val="0D0D0D" w:themeColor="text1" w:themeTint="F2"/>
                <w:sz w:val="24"/>
              </w:rPr>
            </w:pPr>
          </w:p>
        </w:tc>
        <w:tc>
          <w:tcPr>
            <w:tcW w:w="2790" w:type="dxa"/>
            <w:shd w:val="clear" w:color="auto" w:fill="auto"/>
            <w:hideMark/>
          </w:tcPr>
          <w:p w14:paraId="670FE5FE" w14:textId="6803D16F" w:rsidR="009B0B3E" w:rsidRPr="00850BF3" w:rsidRDefault="009B0B3E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proofErr w:type="spellStart"/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Famotidine+</w:t>
            </w:r>
            <w:r w:rsidR="00220DDB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M</w:t>
            </w: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etfromin</w:t>
            </w:r>
            <w:proofErr w:type="spellEnd"/>
          </w:p>
        </w:tc>
        <w:tc>
          <w:tcPr>
            <w:tcW w:w="5580" w:type="dxa"/>
            <w:shd w:val="clear" w:color="auto" w:fill="auto"/>
            <w:noWrap/>
            <w:hideMark/>
          </w:tcPr>
          <w:p w14:paraId="67F73569" w14:textId="446B54AA" w:rsidR="009B0B3E" w:rsidRPr="00850BF3" w:rsidRDefault="00220DDB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Famotidine</w:t>
            </w:r>
            <w:r w:rsidR="009B0B3E"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 xml:space="preserve"> increases levels of metformin by decreasing renal clearance.</w:t>
            </w:r>
          </w:p>
        </w:tc>
        <w:tc>
          <w:tcPr>
            <w:tcW w:w="4680" w:type="dxa"/>
            <w:shd w:val="clear" w:color="auto" w:fill="auto"/>
            <w:hideMark/>
          </w:tcPr>
          <w:p w14:paraId="11C8EBD1" w14:textId="77777777" w:rsidR="009B0B3E" w:rsidRPr="00850BF3" w:rsidRDefault="009B0B3E" w:rsidP="005772CD">
            <w:pPr>
              <w:widowControl/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</w:pPr>
            <w:r w:rsidRPr="00850BF3">
              <w:rPr>
                <w:rFonts w:ascii="Times New Roman" w:eastAsia="DengXian" w:hAnsi="Times New Roman" w:cs="Times New Roman"/>
                <w:color w:val="0D0D0D" w:themeColor="text1" w:themeTint="F2"/>
                <w:sz w:val="24"/>
              </w:rPr>
              <w:t>Weak risk of hypoglycemia</w:t>
            </w:r>
          </w:p>
        </w:tc>
      </w:tr>
    </w:tbl>
    <w:p w14:paraId="24C2F0F5" w14:textId="6CD0D03E" w:rsidR="003037FD" w:rsidRPr="00850BF3" w:rsidRDefault="003037FD" w:rsidP="004370F7">
      <w:pPr>
        <w:widowControl/>
        <w:spacing w:line="259" w:lineRule="auto"/>
        <w:jc w:val="both"/>
        <w:rPr>
          <w:rFonts w:ascii="Times New Roman" w:eastAsia="DengXian" w:hAnsi="Times New Roman" w:cs="Times New Roman"/>
          <w:color w:val="171717"/>
          <w:sz w:val="24"/>
        </w:rPr>
        <w:sectPr w:rsidR="003037FD" w:rsidRPr="00850BF3" w:rsidSect="005772CD">
          <w:pgSz w:w="16838" w:h="11906" w:orient="landscape"/>
          <w:pgMar w:top="1800" w:right="1440" w:bottom="1800" w:left="1440" w:header="720" w:footer="720" w:gutter="0"/>
          <w:cols w:space="720"/>
          <w:docGrid w:type="lines" w:linePitch="312"/>
        </w:sectPr>
      </w:pPr>
      <w:r w:rsidRPr="00850BF3">
        <w:rPr>
          <w:rFonts w:ascii="Times New Roman" w:eastAsia="DengXian" w:hAnsi="Times New Roman" w:cs="Times New Roman"/>
          <w:b/>
          <w:bCs/>
          <w:color w:val="171717"/>
          <w:sz w:val="24"/>
        </w:rPr>
        <w:t xml:space="preserve">Note: </w:t>
      </w:r>
      <w:r w:rsidRPr="00850BF3">
        <w:rPr>
          <w:rFonts w:ascii="Times New Roman" w:eastAsia="DengXian" w:hAnsi="Times New Roman" w:cs="Times New Roman"/>
          <w:color w:val="171717"/>
          <w:sz w:val="24"/>
        </w:rPr>
        <w:t>Potential drug–drug interactions (</w:t>
      </w:r>
      <w:proofErr w:type="spellStart"/>
      <w:r w:rsidRPr="00850BF3">
        <w:rPr>
          <w:rFonts w:ascii="Times New Roman" w:eastAsia="DengXian" w:hAnsi="Times New Roman" w:cs="Times New Roman"/>
          <w:color w:val="171717"/>
          <w:sz w:val="24"/>
        </w:rPr>
        <w:t>pDDIs</w:t>
      </w:r>
      <w:proofErr w:type="spellEnd"/>
      <w:r w:rsidRPr="00850BF3">
        <w:rPr>
          <w:rFonts w:ascii="Times New Roman" w:eastAsia="DengXian" w:hAnsi="Times New Roman" w:cs="Times New Roman"/>
          <w:color w:val="171717"/>
          <w:sz w:val="24"/>
        </w:rPr>
        <w:t>) were identified using three online sources—Medscape Drug Interaction Checker (</w:t>
      </w:r>
      <w:hyperlink r:id="rId9" w:history="1">
        <w:r w:rsidRPr="00850BF3">
          <w:rPr>
            <w:rStyle w:val="Hyperlink"/>
            <w:rFonts w:ascii="Times New Roman" w:eastAsia="DengXian" w:hAnsi="Times New Roman" w:cs="Times New Roman"/>
            <w:sz w:val="24"/>
          </w:rPr>
          <w:t>https://reference.medscape.com/drug-interactionchecker</w:t>
        </w:r>
      </w:hyperlink>
      <w:r w:rsidRPr="00850BF3">
        <w:rPr>
          <w:rFonts w:ascii="Times New Roman" w:eastAsia="DengXian" w:hAnsi="Times New Roman" w:cs="Times New Roman"/>
          <w:color w:val="171717"/>
          <w:sz w:val="24"/>
        </w:rPr>
        <w:t xml:space="preserve"> ), Drugs.com Interaction Checker (</w:t>
      </w:r>
      <w:hyperlink r:id="rId10" w:history="1">
        <w:r w:rsidRPr="00850BF3">
          <w:rPr>
            <w:rStyle w:val="Hyperlink"/>
            <w:rFonts w:ascii="Times New Roman" w:eastAsia="DengXian" w:hAnsi="Times New Roman" w:cs="Times New Roman"/>
            <w:sz w:val="24"/>
          </w:rPr>
          <w:t>https://www.drugs.com/drug_interactions.html</w:t>
        </w:r>
      </w:hyperlink>
      <w:r w:rsidRPr="00850BF3">
        <w:rPr>
          <w:rFonts w:ascii="Times New Roman" w:eastAsia="DengXian" w:hAnsi="Times New Roman" w:cs="Times New Roman"/>
          <w:color w:val="171717"/>
          <w:sz w:val="24"/>
        </w:rPr>
        <w:t xml:space="preserve">), and </w:t>
      </w:r>
      <w:r w:rsidR="004370F7" w:rsidRPr="00850BF3">
        <w:rPr>
          <w:rFonts w:ascii="Times New Roman" w:eastAsia="DengXian" w:hAnsi="Times New Roman" w:cs="Times New Roman"/>
          <w:color w:val="171717"/>
          <w:sz w:val="24"/>
        </w:rPr>
        <w:t xml:space="preserve">Micromedex® database </w:t>
      </w:r>
      <w:r w:rsidRPr="00850BF3">
        <w:rPr>
          <w:rFonts w:ascii="Times New Roman" w:eastAsia="DengXian" w:hAnsi="Times New Roman" w:cs="Times New Roman"/>
          <w:color w:val="171717"/>
          <w:sz w:val="24"/>
        </w:rPr>
        <w:t>(</w:t>
      </w:r>
      <w:hyperlink r:id="rId11" w:history="1">
        <w:r w:rsidR="004370F7" w:rsidRPr="00850BF3">
          <w:rPr>
            <w:rStyle w:val="Hyperlink"/>
            <w:rFonts w:ascii="Times New Roman" w:eastAsia="DengXian" w:hAnsi="Times New Roman" w:cs="Times New Roman"/>
            <w:sz w:val="24"/>
          </w:rPr>
          <w:t>https://www.merative.com/clinical-decision-support/micromedex</w:t>
        </w:r>
      </w:hyperlink>
      <w:r w:rsidR="004370F7" w:rsidRPr="00850BF3">
        <w:rPr>
          <w:rFonts w:ascii="Times New Roman" w:eastAsia="DengXian" w:hAnsi="Times New Roman" w:cs="Times New Roman"/>
          <w:color w:val="171717"/>
          <w:sz w:val="24"/>
        </w:rPr>
        <w:t xml:space="preserve"> </w:t>
      </w:r>
      <w:r w:rsidRPr="00850BF3">
        <w:rPr>
          <w:rFonts w:ascii="Times New Roman" w:eastAsia="DengXian" w:hAnsi="Times New Roman" w:cs="Times New Roman"/>
          <w:color w:val="171717"/>
          <w:sz w:val="24"/>
        </w:rPr>
        <w:t xml:space="preserve">). </w:t>
      </w:r>
      <w:bookmarkStart w:id="1" w:name="_Hlk213247958"/>
      <w:r w:rsidRPr="00850BF3">
        <w:rPr>
          <w:rFonts w:ascii="Times New Roman" w:eastAsia="DengXian" w:hAnsi="Times New Roman" w:cs="Times New Roman"/>
          <w:color w:val="171717"/>
          <w:sz w:val="24"/>
        </w:rPr>
        <w:t xml:space="preserve">The results represent </w:t>
      </w:r>
      <w:r w:rsidRPr="00850BF3">
        <w:rPr>
          <w:rFonts w:ascii="Times New Roman" w:eastAsia="DengXian" w:hAnsi="Times New Roman" w:cs="Times New Roman"/>
          <w:i/>
          <w:iCs/>
          <w:color w:val="171717"/>
          <w:sz w:val="24"/>
        </w:rPr>
        <w:t>potential</w:t>
      </w:r>
      <w:r w:rsidRPr="00850BF3">
        <w:rPr>
          <w:rFonts w:ascii="Times New Roman" w:eastAsia="DengXian" w:hAnsi="Times New Roman" w:cs="Times New Roman"/>
          <w:color w:val="171717"/>
          <w:sz w:val="24"/>
        </w:rPr>
        <w:t xml:space="preserve"> interactions derived from pharmacological and clinical evidence; therefore, they should be interpreted with clinical discretion, considering individual patient context, comorbidities, and treatment duration.</w:t>
      </w:r>
      <w:bookmarkEnd w:id="1"/>
    </w:p>
    <w:p w14:paraId="073D815C" w14:textId="7DA7ADC9" w:rsidR="00222F8D" w:rsidRPr="00850BF3" w:rsidRDefault="00222F8D" w:rsidP="004112F6">
      <w:pPr>
        <w:widowControl/>
        <w:spacing w:line="259" w:lineRule="auto"/>
        <w:rPr>
          <w:rFonts w:ascii="Times New Roman" w:eastAsia="DengXian" w:hAnsi="Times New Roman" w:cs="Times New Roman"/>
          <w:b/>
          <w:bCs/>
          <w:color w:val="171717"/>
          <w:sz w:val="24"/>
        </w:rPr>
      </w:pPr>
    </w:p>
    <w:p w14:paraId="5A9549FE" w14:textId="0A6C07EC" w:rsidR="004112F6" w:rsidRPr="00850BF3" w:rsidRDefault="00817122" w:rsidP="00E445D1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850BF3">
        <w:rPr>
          <w:rFonts w:ascii="Times New Roman" w:hAnsi="Times New Roman" w:cs="Times New Roman"/>
          <w:b/>
          <w:bCs/>
          <w:sz w:val="24"/>
        </w:rPr>
        <w:t xml:space="preserve">Table S3. </w:t>
      </w:r>
      <w:r w:rsidR="00E445D1" w:rsidRPr="00850BF3">
        <w:rPr>
          <w:rFonts w:ascii="Times New Roman" w:hAnsi="Times New Roman" w:cs="Times New Roman"/>
          <w:b/>
          <w:bCs/>
          <w:sz w:val="24"/>
        </w:rPr>
        <w:t>Mean and interquartile distribution of drug costs by therapeutic category.</w:t>
      </w:r>
    </w:p>
    <w:tbl>
      <w:tblPr>
        <w:tblStyle w:val="PlainTable4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73"/>
        <w:gridCol w:w="538"/>
        <w:gridCol w:w="1103"/>
        <w:gridCol w:w="1103"/>
        <w:gridCol w:w="1103"/>
        <w:gridCol w:w="1103"/>
        <w:gridCol w:w="1103"/>
      </w:tblGrid>
      <w:tr w:rsidR="00FF4BD2" w:rsidRPr="00FF4BD2" w14:paraId="30DB0A6D" w14:textId="77777777" w:rsidTr="00FF4B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0556C8F" w14:textId="6B3E0355" w:rsidR="00FF4BD2" w:rsidRPr="00FF4BD2" w:rsidRDefault="00FF4BD2" w:rsidP="00817122">
            <w:pPr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 xml:space="preserve">Drug group     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F6518B" w14:textId="34615817" w:rsidR="00FF4BD2" w:rsidRPr="00FF4BD2" w:rsidRDefault="00FF4B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n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B4B5ECF" w14:textId="5837A65E" w:rsidR="00FF4BD2" w:rsidRPr="00FF4BD2" w:rsidRDefault="00FF4B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Mean</w:t>
            </w:r>
          </w:p>
          <w:p w14:paraId="08326106" w14:textId="3FC295F3" w:rsidR="00FF4BD2" w:rsidRPr="00FF4BD2" w:rsidRDefault="00FF4B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(PKR)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F0ABF3E" w14:textId="77777777" w:rsidR="00FF4BD2" w:rsidRPr="00FF4BD2" w:rsidRDefault="00FF4B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SD</w:t>
            </w:r>
          </w:p>
          <w:p w14:paraId="0FC0EA11" w14:textId="14F7CAF5" w:rsidR="00FF4BD2" w:rsidRPr="00FF4BD2" w:rsidRDefault="00FF4B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(PKR)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1F3B485" w14:textId="77777777" w:rsidR="00FF4BD2" w:rsidRPr="00FF4BD2" w:rsidRDefault="00FF4B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p25</w:t>
            </w:r>
          </w:p>
          <w:p w14:paraId="76E03B34" w14:textId="13E6AF56" w:rsidR="00FF4BD2" w:rsidRPr="00FF4BD2" w:rsidRDefault="00FF4B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(PKR)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29C8BE6" w14:textId="77777777" w:rsidR="00FF4BD2" w:rsidRPr="00FF4BD2" w:rsidRDefault="00FF4B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Median</w:t>
            </w:r>
          </w:p>
          <w:p w14:paraId="134C4077" w14:textId="74DD7E95" w:rsidR="00FF4BD2" w:rsidRPr="00FF4BD2" w:rsidRDefault="00FF4B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(PKR)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DF090A9" w14:textId="77777777" w:rsidR="00FF4BD2" w:rsidRPr="00FF4BD2" w:rsidRDefault="00FF4B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p75</w:t>
            </w:r>
          </w:p>
          <w:p w14:paraId="6F51D165" w14:textId="374801DF" w:rsidR="00FF4BD2" w:rsidRPr="00FF4BD2" w:rsidRDefault="00FF4B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(PKR)</w:t>
            </w:r>
          </w:p>
        </w:tc>
      </w:tr>
      <w:tr w:rsidR="00FF4BD2" w:rsidRPr="00FF4BD2" w14:paraId="2401571E" w14:textId="77777777" w:rsidTr="00FF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E2BBF74" w14:textId="77777777" w:rsidR="00FF4BD2" w:rsidRPr="00FF4BD2" w:rsidRDefault="00FF4BD2" w:rsidP="00FF4BD2">
            <w:pPr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Single OAD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7BF6FB" w14:textId="5FDB4AFA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color w:val="000000"/>
                <w:sz w:val="24"/>
              </w:rPr>
              <w:t>213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F5CA666" w14:textId="29A322D4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939.8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068680E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990.2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06CA220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570.0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2947293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942.6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3FC6026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1056.3</w:t>
            </w:r>
          </w:p>
        </w:tc>
      </w:tr>
      <w:tr w:rsidR="00FF4BD2" w:rsidRPr="00FF4BD2" w14:paraId="26FED803" w14:textId="77777777" w:rsidTr="00FF4BD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noWrap/>
            <w:hideMark/>
          </w:tcPr>
          <w:p w14:paraId="6277CE0C" w14:textId="77777777" w:rsidR="00FF4BD2" w:rsidRPr="00FF4BD2" w:rsidRDefault="00FF4BD2" w:rsidP="00FF4BD2">
            <w:pPr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FDC OAD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948A1" w14:textId="7AD8452A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color w:val="000000"/>
                <w:sz w:val="24"/>
              </w:rPr>
              <w:t>393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9288C62" w14:textId="18BEDE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1355.8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139E6645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792.0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3EC6104D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960.0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4F6C2C65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1170.0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03EFF10B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1671.3</w:t>
            </w:r>
          </w:p>
        </w:tc>
      </w:tr>
      <w:tr w:rsidR="00FF4BD2" w:rsidRPr="00FF4BD2" w14:paraId="3CA70E2C" w14:textId="77777777" w:rsidTr="00FF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noWrap/>
            <w:hideMark/>
          </w:tcPr>
          <w:p w14:paraId="19B1BA97" w14:textId="77777777" w:rsidR="00FF4BD2" w:rsidRPr="00FF4BD2" w:rsidRDefault="00FF4BD2" w:rsidP="00FF4BD2">
            <w:pPr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Insulins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BF828" w14:textId="55E24F1F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color w:val="000000"/>
                <w:sz w:val="24"/>
              </w:rPr>
              <w:t>262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525001FB" w14:textId="7B143AAD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2295.7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6268CCD4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1480.6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6986C844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1682.1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2BDBE14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1800.0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431FC40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2193.7</w:t>
            </w:r>
          </w:p>
        </w:tc>
      </w:tr>
      <w:tr w:rsidR="00FF4BD2" w:rsidRPr="00FF4BD2" w14:paraId="78897AA6" w14:textId="77777777" w:rsidTr="00FF4BD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noWrap/>
            <w:hideMark/>
          </w:tcPr>
          <w:p w14:paraId="6FD78F9D" w14:textId="77777777" w:rsidR="00FF4BD2" w:rsidRPr="00FF4BD2" w:rsidRDefault="00FF4BD2" w:rsidP="00FF4BD2">
            <w:pPr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Drugs for CVD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843902" w14:textId="660243A2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3BAD6DE0" w14:textId="160BF35F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1111.6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075CFD53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461.9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156F0F8E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825.0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60B4691D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1054.2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04317606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1581.5</w:t>
            </w:r>
          </w:p>
        </w:tc>
      </w:tr>
      <w:tr w:rsidR="00FF4BD2" w:rsidRPr="00FF4BD2" w14:paraId="306360ED" w14:textId="77777777" w:rsidTr="00FF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noWrap/>
            <w:hideMark/>
          </w:tcPr>
          <w:p w14:paraId="4D333488" w14:textId="77777777" w:rsidR="00FF4BD2" w:rsidRPr="00FF4BD2" w:rsidRDefault="00FF4BD2" w:rsidP="00FF4BD2">
            <w:pPr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Drugs for CNS disease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6CAD91" w14:textId="7FE982DA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4073138F" w14:textId="628BF61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1073.6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19C219BC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552.1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46621165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771.0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3B423033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1050.0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53FEC91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1311.6</w:t>
            </w:r>
          </w:p>
        </w:tc>
      </w:tr>
      <w:tr w:rsidR="00FF4BD2" w:rsidRPr="00FF4BD2" w14:paraId="17C58150" w14:textId="77777777" w:rsidTr="00FF4BD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noWrap/>
            <w:hideMark/>
          </w:tcPr>
          <w:p w14:paraId="6F8A2D73" w14:textId="77777777" w:rsidR="00FF4BD2" w:rsidRPr="00FF4BD2" w:rsidRDefault="00FF4BD2" w:rsidP="00FF4BD2">
            <w:pPr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Antibiotics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7BB536" w14:textId="3C4DDFB4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2FE8E50" w14:textId="1A4B6C05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1065.0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1AA65E85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812.9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B84C46B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460.0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F702E3D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840.0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DAAAD41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1470.0</w:t>
            </w:r>
          </w:p>
        </w:tc>
      </w:tr>
      <w:tr w:rsidR="00FF4BD2" w:rsidRPr="00FF4BD2" w14:paraId="01A00E7F" w14:textId="77777777" w:rsidTr="00FF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noWrap/>
            <w:hideMark/>
          </w:tcPr>
          <w:p w14:paraId="0EFEA6B8" w14:textId="77777777" w:rsidR="00FF4BD2" w:rsidRPr="00FF4BD2" w:rsidRDefault="00FF4BD2" w:rsidP="00FF4BD2">
            <w:pPr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Drugs for Renal disease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0B3B1F" w14:textId="128BD5A2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5A4E8D5A" w14:textId="56E3B7B3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1133.3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12918B7E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1297.2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4A1136C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216.0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62730E58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1133.3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2FA2666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2050.5</w:t>
            </w:r>
          </w:p>
        </w:tc>
      </w:tr>
      <w:tr w:rsidR="00FF4BD2" w:rsidRPr="00FF4BD2" w14:paraId="3B007AF4" w14:textId="77777777" w:rsidTr="00FF4BD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noWrap/>
            <w:hideMark/>
          </w:tcPr>
          <w:p w14:paraId="7458BFED" w14:textId="77777777" w:rsidR="00FF4BD2" w:rsidRPr="00FF4BD2" w:rsidRDefault="00FF4BD2" w:rsidP="00FF4BD2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F4BD2">
              <w:rPr>
                <w:rFonts w:ascii="Times New Roman" w:hAnsi="Times New Roman" w:cs="Times New Roman"/>
                <w:sz w:val="24"/>
              </w:rPr>
              <w:t>Suplements</w:t>
            </w:r>
            <w:proofErr w:type="spellEnd"/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580E27" w14:textId="198F6825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0BC7E43C" w14:textId="3EE80015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1320.0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0E8B777D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1486.9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1773B7E6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531.3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4D62C2F4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759.9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60DDE0A8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1800.0</w:t>
            </w:r>
          </w:p>
        </w:tc>
      </w:tr>
      <w:tr w:rsidR="00FF4BD2" w:rsidRPr="00FF4BD2" w14:paraId="4A117286" w14:textId="77777777" w:rsidTr="00FF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noWrap/>
            <w:hideMark/>
          </w:tcPr>
          <w:p w14:paraId="1C79A807" w14:textId="77777777" w:rsidR="00FF4BD2" w:rsidRPr="00FF4BD2" w:rsidRDefault="00FF4BD2" w:rsidP="00FF4BD2">
            <w:pPr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Drugs for thyroid disease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8CCAA" w14:textId="2D9B0113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022FCFAA" w14:textId="7E23D6EA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132.6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F3E6C4B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33.7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18CD7AA7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136.2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1DE71763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139.8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4578E5B7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143.4</w:t>
            </w:r>
          </w:p>
        </w:tc>
      </w:tr>
      <w:tr w:rsidR="00FF4BD2" w:rsidRPr="00FF4BD2" w14:paraId="58460A0D" w14:textId="77777777" w:rsidTr="00FF4BD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noWrap/>
            <w:hideMark/>
          </w:tcPr>
          <w:p w14:paraId="1A635EBE" w14:textId="77777777" w:rsidR="00FF4BD2" w:rsidRPr="00FF4BD2" w:rsidRDefault="00FF4BD2" w:rsidP="00FF4BD2">
            <w:pPr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Drugs for GI disease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CEBDC" w14:textId="2E850122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1364D40" w14:textId="46D060C3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864.6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4B3E9339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725.4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3AA2DF07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390.0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1552E9E9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742.5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8E4455F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1089.9</w:t>
            </w:r>
          </w:p>
        </w:tc>
      </w:tr>
      <w:tr w:rsidR="00FF4BD2" w:rsidRPr="00FF4BD2" w14:paraId="2FE510DB" w14:textId="77777777" w:rsidTr="00FF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noWrap/>
            <w:hideMark/>
          </w:tcPr>
          <w:p w14:paraId="11FC8BF0" w14:textId="77777777" w:rsidR="00FF4BD2" w:rsidRPr="00FF4BD2" w:rsidRDefault="00FF4BD2" w:rsidP="00FF4BD2">
            <w:pPr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Others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83E971" w14:textId="3F8936EA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091294A" w14:textId="47913AA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670.5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BE9D113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1087.7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5406B3E5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60.2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20304AE9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230.0</w:t>
            </w:r>
          </w:p>
        </w:tc>
        <w:tc>
          <w:tcPr>
            <w:tcW w:w="1103" w:type="dxa"/>
            <w:shd w:val="clear" w:color="auto" w:fill="auto"/>
            <w:noWrap/>
            <w:hideMark/>
          </w:tcPr>
          <w:p w14:paraId="77B683A4" w14:textId="77777777" w:rsidR="00FF4BD2" w:rsidRPr="00FF4BD2" w:rsidRDefault="00FF4BD2" w:rsidP="00FF4B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1080.0</w:t>
            </w:r>
          </w:p>
        </w:tc>
      </w:tr>
      <w:tr w:rsidR="00FF4BD2" w:rsidRPr="00FF4BD2" w14:paraId="56A2E895" w14:textId="77777777" w:rsidTr="00FF4BD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1C47927" w14:textId="77777777" w:rsidR="00FF4BD2" w:rsidRPr="00FF4BD2" w:rsidRDefault="00FF4BD2" w:rsidP="00FF4BD2">
            <w:pPr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Overall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2DE22D" w14:textId="38CC433F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1,198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9688D9B" w14:textId="449F668C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1412.4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B0D553D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1154.6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98C0582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825.0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BBC5247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1161.0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2AD1F9F" w14:textId="77777777" w:rsidR="00FF4BD2" w:rsidRPr="00FF4BD2" w:rsidRDefault="00FF4BD2" w:rsidP="00FF4B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F4BD2">
              <w:rPr>
                <w:rFonts w:ascii="Times New Roman" w:hAnsi="Times New Roman" w:cs="Times New Roman"/>
                <w:sz w:val="24"/>
              </w:rPr>
              <w:t>1710.0</w:t>
            </w:r>
          </w:p>
        </w:tc>
      </w:tr>
    </w:tbl>
    <w:p w14:paraId="0B5E9974" w14:textId="77777777" w:rsidR="00817122" w:rsidRPr="00850BF3" w:rsidRDefault="00817122" w:rsidP="004112F6">
      <w:pPr>
        <w:rPr>
          <w:rFonts w:ascii="Times New Roman" w:hAnsi="Times New Roman" w:cs="Times New Roman"/>
          <w:sz w:val="24"/>
        </w:rPr>
      </w:pPr>
    </w:p>
    <w:sectPr w:rsidR="00817122" w:rsidRPr="00850BF3" w:rsidSect="005772C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D3E6B" w14:textId="77777777" w:rsidR="00F22740" w:rsidRDefault="00F22740" w:rsidP="00B357B6">
      <w:pPr>
        <w:spacing w:after="0" w:line="240" w:lineRule="auto"/>
      </w:pPr>
      <w:r>
        <w:separator/>
      </w:r>
    </w:p>
  </w:endnote>
  <w:endnote w:type="continuationSeparator" w:id="0">
    <w:p w14:paraId="69BF90FD" w14:textId="77777777" w:rsidR="00F22740" w:rsidRDefault="00F22740" w:rsidP="00B35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B3DC2" w14:textId="77777777" w:rsidR="00F22740" w:rsidRDefault="00F22740" w:rsidP="00B357B6">
      <w:pPr>
        <w:spacing w:after="0" w:line="240" w:lineRule="auto"/>
      </w:pPr>
      <w:r>
        <w:separator/>
      </w:r>
    </w:p>
  </w:footnote>
  <w:footnote w:type="continuationSeparator" w:id="0">
    <w:p w14:paraId="73B054FD" w14:textId="77777777" w:rsidR="00F22740" w:rsidRDefault="00F22740" w:rsidP="00B357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510"/>
    <w:rsid w:val="000A4FC7"/>
    <w:rsid w:val="00177E85"/>
    <w:rsid w:val="00220DDB"/>
    <w:rsid w:val="00222F8D"/>
    <w:rsid w:val="00296BE0"/>
    <w:rsid w:val="002A3EA7"/>
    <w:rsid w:val="002A436E"/>
    <w:rsid w:val="003037FD"/>
    <w:rsid w:val="00334095"/>
    <w:rsid w:val="003C0873"/>
    <w:rsid w:val="003C3969"/>
    <w:rsid w:val="003D6510"/>
    <w:rsid w:val="004112F6"/>
    <w:rsid w:val="004370F7"/>
    <w:rsid w:val="004F6F79"/>
    <w:rsid w:val="00507BA7"/>
    <w:rsid w:val="005772CD"/>
    <w:rsid w:val="005E25E3"/>
    <w:rsid w:val="005F4B87"/>
    <w:rsid w:val="00600610"/>
    <w:rsid w:val="00610177"/>
    <w:rsid w:val="006850B8"/>
    <w:rsid w:val="006E2590"/>
    <w:rsid w:val="00703535"/>
    <w:rsid w:val="00785BF2"/>
    <w:rsid w:val="00796206"/>
    <w:rsid w:val="007D16F6"/>
    <w:rsid w:val="00817122"/>
    <w:rsid w:val="00817242"/>
    <w:rsid w:val="00820AA5"/>
    <w:rsid w:val="0083253D"/>
    <w:rsid w:val="00850BF3"/>
    <w:rsid w:val="00864094"/>
    <w:rsid w:val="00920C35"/>
    <w:rsid w:val="0098303E"/>
    <w:rsid w:val="009B0B3E"/>
    <w:rsid w:val="00A472E1"/>
    <w:rsid w:val="00B17160"/>
    <w:rsid w:val="00B357B6"/>
    <w:rsid w:val="00B5530C"/>
    <w:rsid w:val="00B575F9"/>
    <w:rsid w:val="00B71073"/>
    <w:rsid w:val="00BA2066"/>
    <w:rsid w:val="00BB4552"/>
    <w:rsid w:val="00BE07B0"/>
    <w:rsid w:val="00C929A2"/>
    <w:rsid w:val="00D06CE4"/>
    <w:rsid w:val="00D107EB"/>
    <w:rsid w:val="00DE5F1B"/>
    <w:rsid w:val="00E445D1"/>
    <w:rsid w:val="00E57ACE"/>
    <w:rsid w:val="00F22740"/>
    <w:rsid w:val="00F61D6C"/>
    <w:rsid w:val="00F7510D"/>
    <w:rsid w:val="00FD2312"/>
    <w:rsid w:val="00FF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B4415B"/>
  <w15:chartTrackingRefBased/>
  <w15:docId w15:val="{4237756D-C75A-42AD-A72E-201A7BAC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D65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65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51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51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51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51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51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51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51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6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510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510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510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51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51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51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D651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6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51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65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6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65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5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65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5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510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3D6510"/>
    <w:rPr>
      <w:rFonts w:asciiTheme="majorHAnsi" w:eastAsia="SimHei" w:hAnsiTheme="majorHAnsi" w:cstheme="maj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35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7B6"/>
  </w:style>
  <w:style w:type="paragraph" w:styleId="Footer">
    <w:name w:val="footer"/>
    <w:basedOn w:val="Normal"/>
    <w:link w:val="FooterChar"/>
    <w:uiPriority w:val="99"/>
    <w:unhideWhenUsed/>
    <w:rsid w:val="00B35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7B6"/>
  </w:style>
  <w:style w:type="table" w:customStyle="1" w:styleId="PlainTable41">
    <w:name w:val="Plain Table 41"/>
    <w:basedOn w:val="TableNormal"/>
    <w:next w:val="PlainTable4"/>
    <w:uiPriority w:val="44"/>
    <w:rsid w:val="004112F6"/>
    <w:pPr>
      <w:spacing w:after="0" w:line="240" w:lineRule="auto"/>
    </w:pPr>
    <w:rPr>
      <w:kern w:val="0"/>
      <w:szCs w:val="22"/>
      <w:lang w:eastAsia="en-US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4112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920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37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3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merative.com/clinical-decision-support/micromede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drugs.com/drug_interaction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ference.medscape.com/drug-interactionchecker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MNA%20DATA\001%20Research%202024\001%20POST%20DOC\06%20RX%20evaluation\RX%20evaluation%20paper%20writeup\Final%20June%20manuscript\August%20article\Book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11vrc-my.sharepoint.com/personal/iltaf_11vrc_onmicrosoft_com/Documents/Dr%20amna%20saeed/Prescription%20analysis/insuline%20cost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Sheet4!$C$3</c:f>
              <c:strCache>
                <c:ptCount val="1"/>
                <c:pt idx="0">
                  <c:v>Percentage (%)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Sheet4!$A$4:$A$9</c:f>
              <c:strCache>
                <c:ptCount val="6"/>
                <c:pt idx="0">
                  <c:v>No drugs</c:v>
                </c:pt>
                <c:pt idx="1">
                  <c:v>Monotherapy</c:v>
                </c:pt>
                <c:pt idx="2">
                  <c:v>2 drugs</c:v>
                </c:pt>
                <c:pt idx="3">
                  <c:v>3 drugs</c:v>
                </c:pt>
                <c:pt idx="4">
                  <c:v>4 drugs</c:v>
                </c:pt>
                <c:pt idx="5">
                  <c:v>≥ 5 drugs</c:v>
                </c:pt>
              </c:strCache>
            </c:strRef>
          </c:cat>
          <c:val>
            <c:numRef>
              <c:f>Sheet4!$C$4:$C$9</c:f>
              <c:numCache>
                <c:formatCode>0.00%</c:formatCode>
                <c:ptCount val="6"/>
                <c:pt idx="0">
                  <c:v>3.2099999999999997E-2</c:v>
                </c:pt>
                <c:pt idx="1">
                  <c:v>0.1991</c:v>
                </c:pt>
                <c:pt idx="2">
                  <c:v>0.14560000000000001</c:v>
                </c:pt>
                <c:pt idx="3">
                  <c:v>0.21840000000000001</c:v>
                </c:pt>
                <c:pt idx="4">
                  <c:v>0.16700000000000001</c:v>
                </c:pt>
                <c:pt idx="5">
                  <c:v>0.23769999999999999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9F-4540-820D-75211288B4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94501263"/>
        <c:axId val="694500431"/>
      </c:barChart>
      <c:catAx>
        <c:axId val="69450126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4500431"/>
        <c:crosses val="autoZero"/>
        <c:auto val="1"/>
        <c:lblAlgn val="ctr"/>
        <c:lblOffset val="100"/>
        <c:noMultiLvlLbl val="0"/>
      </c:catAx>
      <c:valAx>
        <c:axId val="69450043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450126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Sheet10!$B$1</c:f>
              <c:strCache>
                <c:ptCount val="1"/>
                <c:pt idx="0">
                  <c:v>Number (n)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Sheet10!$A$2:$A$8</c:f>
              <c:numCache>
                <c:formatCode>General</c:formatCode>
                <c:ptCount val="7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</c:numCache>
            </c:numRef>
          </c:cat>
          <c:val>
            <c:numRef>
              <c:f>Sheet10!$B$2:$B$8</c:f>
              <c:numCache>
                <c:formatCode>General</c:formatCode>
                <c:ptCount val="7"/>
                <c:pt idx="0">
                  <c:v>18</c:v>
                </c:pt>
                <c:pt idx="1">
                  <c:v>198</c:v>
                </c:pt>
                <c:pt idx="2">
                  <c:v>101</c:v>
                </c:pt>
                <c:pt idx="3">
                  <c:v>117</c:v>
                </c:pt>
                <c:pt idx="4">
                  <c:v>21</c:v>
                </c:pt>
                <c:pt idx="5">
                  <c:v>6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0B-4C0E-A1D7-B2B0E2363D1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725560848"/>
        <c:axId val="1725554128"/>
      </c:barChart>
      <c:catAx>
        <c:axId val="17255608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>
                    <a:solidFill>
                      <a:sysClr val="windowText" lastClr="000000"/>
                    </a:solidFill>
                  </a:rPr>
                  <a:t>Number of Drugs from NEML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25554128"/>
        <c:crosses val="autoZero"/>
        <c:auto val="1"/>
        <c:lblAlgn val="ctr"/>
        <c:lblOffset val="100"/>
        <c:noMultiLvlLbl val="0"/>
      </c:catAx>
      <c:valAx>
        <c:axId val="17255541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>
                    <a:solidFill>
                      <a:sysClr val="windowText" lastClr="000000"/>
                    </a:solidFill>
                  </a:rPr>
                  <a:t>Frequency</a:t>
                </a:r>
                <a:r>
                  <a:rPr lang="en-US" altLang="zh-CN" baseline="0">
                    <a:solidFill>
                      <a:sysClr val="windowText" lastClr="000000"/>
                    </a:solidFill>
                  </a:rPr>
                  <a:t> (n)</a:t>
                </a:r>
                <a:endParaRPr lang="en-US" altLang="zh-CN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25560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0FBC-B771-40BE-B267-899AD9561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6</Pages>
  <Words>667</Words>
  <Characters>4592</Characters>
  <Application>Microsoft Office Word</Application>
  <DocSecurity>0</DocSecurity>
  <Lines>298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Iltaf Hussain</dc:creator>
  <cp:keywords/>
  <dc:description/>
  <cp:lastModifiedBy>Dr. Amna Saeed</cp:lastModifiedBy>
  <cp:revision>12</cp:revision>
  <dcterms:created xsi:type="dcterms:W3CDTF">2025-11-01T13:56:00Z</dcterms:created>
  <dcterms:modified xsi:type="dcterms:W3CDTF">2025-11-06T14:39:00Z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36bc6249-a3a9-48c4-85f2-8b17d1c111ff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2025-06-23T02:17:12Z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c149d07b-9bf6-4798-b844-41a8af52ca4d</vt:lpwstr>
  </property>
  <property fmtid="{D5CDD505-2E9C-101B-9397-08002B2CF9AE}" pid="8" name="MSIP_Label_defa4170-0d19-0005-0004-bc88714345d2_ActionId">
    <vt:lpwstr>5b4815ba-3cdf-4430-a71a-4bf148cffecf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