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F5C01" w:rsidRDefault="44303F48" w14:paraId="2161FD3E" w14:textId="52F327AA">
      <w:r w:rsidRPr="69308F79">
        <w:rPr>
          <w:rFonts w:ascii="Times New Roman" w:hAnsi="Times New Roman" w:eastAsia="Times New Roman"/>
          <w:b/>
          <w:bCs/>
          <w:color w:val="000000" w:themeColor="text1"/>
        </w:rPr>
        <w:t xml:space="preserve">Supplemental Table 1. </w:t>
      </w:r>
      <w:r w:rsidRPr="69308F79">
        <w:rPr>
          <w:rFonts w:ascii="Times New Roman" w:hAnsi="Times New Roman" w:eastAsia="Times New Roman"/>
          <w:color w:val="000000" w:themeColor="text1"/>
        </w:rPr>
        <w:t>Extraction table for included studies.</w:t>
      </w:r>
    </w:p>
    <w:tbl>
      <w:tblPr>
        <w:tblW w:w="0" w:type="auto"/>
        <w:tblLayout w:type="fixed"/>
        <w:tblLook w:val="06A0" w:firstRow="1" w:lastRow="0" w:firstColumn="1" w:lastColumn="0" w:noHBand="1" w:noVBand="1"/>
      </w:tblPr>
      <w:tblGrid>
        <w:gridCol w:w="1275"/>
        <w:gridCol w:w="1770"/>
        <w:gridCol w:w="1425"/>
        <w:gridCol w:w="3885"/>
        <w:gridCol w:w="1140"/>
        <w:gridCol w:w="1455"/>
        <w:gridCol w:w="1380"/>
        <w:gridCol w:w="3260"/>
      </w:tblGrid>
      <w:tr w:rsidR="69308F79" w:rsidTr="69308F79" w14:paraId="67ED29F3"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909EAF1" w14:textId="0C10FE23">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Title</w:t>
            </w:r>
            <w:r w:rsidRPr="69308F79">
              <w:rPr>
                <w:rFonts w:ascii="Times New Roman" w:hAnsi="Times New Roman" w:eastAsia="Times New Roman"/>
                <w:color w:val="000000" w:themeColor="text1"/>
                <w:sz w:val="20"/>
                <w:szCs w:val="20"/>
              </w:rPr>
              <w:t xml:space="preserve"> </w:t>
            </w:r>
          </w:p>
          <w:p w:rsidR="69308F79" w:rsidP="69308F79" w:rsidRDefault="69308F79" w14:paraId="01119917" w14:textId="1EA1DAC2">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(Lead Author, Year)</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776482C" w14:textId="65FF2352">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Study Inclusion Criteria</w:t>
            </w:r>
            <w:r w:rsidRPr="69308F79">
              <w:rPr>
                <w:rFonts w:ascii="Times New Roman" w:hAnsi="Times New Roman" w:eastAsia="Times New Roman"/>
                <w:color w:val="000000" w:themeColor="text1"/>
                <w:sz w:val="20"/>
                <w:szCs w:val="20"/>
              </w:rPr>
              <w:t xml:space="preserve">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0B5A4D4" w14:textId="467D541D">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Study Exclusion Criteria</w:t>
            </w:r>
            <w:r w:rsidRPr="69308F79">
              <w:rPr>
                <w:rFonts w:ascii="Times New Roman" w:hAnsi="Times New Roman" w:eastAsia="Times New Roman"/>
                <w:color w:val="000000" w:themeColor="text1"/>
                <w:sz w:val="20"/>
                <w:szCs w:val="20"/>
              </w:rPr>
              <w:t xml:space="preserve">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711E9B4" w14:textId="3B576248">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Characteristics of Services in Intervention</w:t>
            </w:r>
            <w:r w:rsidRPr="69308F79">
              <w:rPr>
                <w:rFonts w:ascii="Times New Roman" w:hAnsi="Times New Roman" w:eastAsia="Times New Roman"/>
                <w:color w:val="000000" w:themeColor="text1"/>
                <w:sz w:val="20"/>
                <w:szCs w:val="20"/>
              </w:rPr>
              <w:t xml:space="preserve"> </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1E558B3" w14:textId="1BCB68FA">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Study Design</w:t>
            </w:r>
            <w:r w:rsidRPr="69308F79">
              <w:rPr>
                <w:rFonts w:ascii="Times New Roman" w:hAnsi="Times New Roman" w:eastAsia="Times New Roman"/>
                <w:color w:val="000000" w:themeColor="text1"/>
                <w:sz w:val="20"/>
                <w:szCs w:val="20"/>
              </w:rPr>
              <w:t xml:space="preserve">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3690586" w14:textId="68DC7707">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Comparison Group</w:t>
            </w:r>
            <w:r w:rsidRPr="69308F79">
              <w:rPr>
                <w:rFonts w:ascii="Times New Roman" w:hAnsi="Times New Roman" w:eastAsia="Times New Roman"/>
                <w:color w:val="000000" w:themeColor="text1"/>
                <w:sz w:val="20"/>
                <w:szCs w:val="20"/>
              </w:rPr>
              <w:t xml:space="preserve">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BF5DA2C" w14:textId="54C09720">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Effectiveness Outcomes</w:t>
            </w:r>
            <w:r w:rsidRPr="69308F79">
              <w:rPr>
                <w:rFonts w:ascii="Times New Roman" w:hAnsi="Times New Roman" w:eastAsia="Times New Roman"/>
                <w:color w:val="000000" w:themeColor="text1"/>
                <w:sz w:val="20"/>
                <w:szCs w:val="20"/>
              </w:rPr>
              <w:t xml:space="preserve">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873FB03" w14:textId="48EDEA44">
            <w:pPr>
              <w:spacing w:after="0"/>
              <w:rPr>
                <w:rFonts w:ascii="Times New Roman" w:hAnsi="Times New Roman" w:eastAsia="Times New Roman"/>
                <w:color w:val="000000" w:themeColor="text1"/>
                <w:sz w:val="20"/>
                <w:szCs w:val="20"/>
              </w:rPr>
            </w:pPr>
            <w:r w:rsidRPr="69308F79">
              <w:rPr>
                <w:rFonts w:ascii="Times New Roman" w:hAnsi="Times New Roman" w:eastAsia="Times New Roman"/>
                <w:b/>
                <w:bCs/>
                <w:color w:val="000000" w:themeColor="text1"/>
                <w:sz w:val="20"/>
                <w:szCs w:val="20"/>
              </w:rPr>
              <w:t>Significant Findings</w:t>
            </w:r>
            <w:r w:rsidRPr="69308F79">
              <w:rPr>
                <w:rFonts w:ascii="Times New Roman" w:hAnsi="Times New Roman" w:eastAsia="Times New Roman"/>
                <w:color w:val="000000" w:themeColor="text1"/>
                <w:sz w:val="20"/>
                <w:szCs w:val="20"/>
              </w:rPr>
              <w:t xml:space="preserve"> </w:t>
            </w:r>
          </w:p>
        </w:tc>
      </w:tr>
      <w:tr w:rsidR="69308F79" w:rsidTr="69308F79" w14:paraId="29EAC2B3"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136EBE4" w14:textId="6D14A5F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Mobile crisis services for children and families: Advancing a community-based model in Connecticut </w:t>
            </w:r>
          </w:p>
          <w:p w:rsidR="69308F79" w:rsidP="69308F79" w:rsidRDefault="69308F79" w14:paraId="345034C0" w14:textId="5173BD4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(Vanderploeg, 2016)</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FEABEDF" w14:textId="65791D39">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Quantitative analysis of 12,472 episodes of care involving 7,196 unique children in FY2015; data was used from the Connecticut Department of Children and Families Provider Information Exchange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F738FD3" w14:textId="2AAF6FB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B282117" w14:textId="3FC9E9F3">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Connecticut Emergency Mobile Psychiatric Services (EMPS) offers free, statewide, community-based crisis stabilization, brief treatment, safety planning, care coordination, referral services, and follow-up care for youth 18 and younger, or 19 years old and still in school </w:t>
            </w:r>
            <w:r>
              <w:br/>
            </w:r>
            <w:r w:rsidRPr="69308F79">
              <w:rPr>
                <w:rFonts w:ascii="Times New Roman" w:hAnsi="Times New Roman" w:eastAsia="Times New Roman"/>
                <w:color w:val="000000" w:themeColor="text1"/>
                <w:sz w:val="20"/>
                <w:szCs w:val="20"/>
              </w:rPr>
              <w:t xml:space="preserve"> 2) Clinical perspectives used in the field tend to come from cognitive-behavioral, solution-focused, and family therapy </w:t>
            </w:r>
            <w:r>
              <w:br/>
            </w:r>
            <w:r w:rsidRPr="69308F79">
              <w:rPr>
                <w:rFonts w:ascii="Times New Roman" w:hAnsi="Times New Roman" w:eastAsia="Times New Roman"/>
                <w:color w:val="000000" w:themeColor="text1"/>
                <w:sz w:val="20"/>
                <w:szCs w:val="20"/>
              </w:rPr>
              <w:t xml:space="preserve"> 3) A child and adolescent psychiatrist is available for assessment and medication management </w:t>
            </w:r>
            <w:r>
              <w:br/>
            </w:r>
            <w:r w:rsidRPr="69308F79">
              <w:rPr>
                <w:rFonts w:ascii="Times New Roman" w:hAnsi="Times New Roman" w:eastAsia="Times New Roman"/>
                <w:color w:val="000000" w:themeColor="text1"/>
                <w:sz w:val="20"/>
                <w:szCs w:val="20"/>
              </w:rPr>
              <w:t xml:space="preserve"> 4) A number of standardized assessments are regularly used in the field when appropriate, including the Columbia Suicide Severity Rating Scale, Traumatic Stress Index, and Structured Assessment of Violence Risk in Youth </w:t>
            </w:r>
            <w:r>
              <w:br/>
            </w:r>
            <w:r w:rsidRPr="69308F79">
              <w:rPr>
                <w:rFonts w:ascii="Times New Roman" w:hAnsi="Times New Roman" w:eastAsia="Times New Roman"/>
                <w:color w:val="000000" w:themeColor="text1"/>
                <w:sz w:val="20"/>
                <w:szCs w:val="20"/>
              </w:rPr>
              <w:t xml:space="preserve"> 5) This service has a low threshold for in-person response to crises, claiming "crisis is defined by the caller" </w:t>
            </w:r>
            <w:r>
              <w:br/>
            </w:r>
            <w:r w:rsidRPr="69308F79">
              <w:rPr>
                <w:rFonts w:ascii="Times New Roman" w:hAnsi="Times New Roman" w:eastAsia="Times New Roman"/>
                <w:color w:val="000000" w:themeColor="text1"/>
                <w:sz w:val="20"/>
                <w:szCs w:val="20"/>
              </w:rPr>
              <w:t xml:space="preserve"> 6) The only youths excluded from service are those already receiving inpatient, residential, or sub-acute psychiatric treatment </w:t>
            </w:r>
            <w:r>
              <w:br/>
            </w:r>
            <w:r w:rsidRPr="69308F79">
              <w:rPr>
                <w:rFonts w:ascii="Times New Roman" w:hAnsi="Times New Roman" w:eastAsia="Times New Roman"/>
                <w:color w:val="000000" w:themeColor="text1"/>
                <w:sz w:val="20"/>
                <w:szCs w:val="20"/>
              </w:rPr>
              <w:t xml:space="preserve"> 7) Episodes of treatment can last up to 45 days (mean = 20.8 days), and EMPS can be accessed as needed </w:t>
            </w:r>
            <w:r>
              <w:br/>
            </w:r>
            <w:r w:rsidRPr="69308F79">
              <w:rPr>
                <w:rFonts w:ascii="Times New Roman" w:hAnsi="Times New Roman" w:eastAsia="Times New Roman"/>
                <w:color w:val="000000" w:themeColor="text1"/>
                <w:sz w:val="20"/>
                <w:szCs w:val="20"/>
              </w:rPr>
              <w:t xml:space="preserve"> 8) EMPS services are available 6 am-10 pm Monday-Friday, and 1 pm-10 pm on weekends and holidays </w:t>
            </w:r>
            <w:r>
              <w:br/>
            </w:r>
            <w:r w:rsidRPr="69308F79">
              <w:rPr>
                <w:rFonts w:ascii="Times New Roman" w:hAnsi="Times New Roman" w:eastAsia="Times New Roman"/>
                <w:color w:val="000000" w:themeColor="text1"/>
                <w:sz w:val="20"/>
                <w:szCs w:val="20"/>
              </w:rPr>
              <w:t xml:space="preserve"> 9) Referrals come mainly from self/family, schools, and EDs (who use the EMPS service for follow-up care and inpatient diversion) </w:t>
            </w:r>
            <w:r>
              <w:br/>
            </w:r>
            <w:r w:rsidRPr="69308F79">
              <w:rPr>
                <w:rFonts w:ascii="Times New Roman" w:hAnsi="Times New Roman" w:eastAsia="Times New Roman"/>
                <w:color w:val="000000" w:themeColor="text1"/>
                <w:sz w:val="20"/>
                <w:szCs w:val="20"/>
              </w:rPr>
              <w:t xml:space="preserve"> 10) A statewide 24/7 Call Center, reached with the warmline number "211," directly passes calls to EMPS via warm handoffs, or transfers to an internal clinician for telephonic services if outside of EMPS hours, and assigns the EMPS team to follow-up </w:t>
            </w:r>
            <w:r>
              <w:br/>
            </w:r>
            <w:r w:rsidRPr="69308F79">
              <w:rPr>
                <w:rFonts w:ascii="Times New Roman" w:hAnsi="Times New Roman" w:eastAsia="Times New Roman"/>
                <w:color w:val="000000" w:themeColor="text1"/>
                <w:sz w:val="20"/>
                <w:szCs w:val="20"/>
              </w:rPr>
              <w:t xml:space="preserve"> 11) Six contracted community-behavioral health entities directly provide, or sub-contract, EMPS services at fourteen sites throughout the state. Funding for the six contracted entities comes from the Department of Children and Families supports a Director, child and adolescent psychiatrist, and sufficient full-time clinical staffing for EMPS services (usually with Master's level clinicians); per diem staff are also supported when necessary to meet the demand (170 full time, part time, and per diem EMPS staff members across the state)  Medicaid and private insurance are billed on a fee-for-service basis to fund services. Some of the six contractors fund family outreach, family-led peer support, and family- led quality .</w:t>
            </w:r>
            <w:r>
              <w:br/>
            </w:r>
            <w:r w:rsidRPr="69308F79">
              <w:rPr>
                <w:rFonts w:ascii="Times New Roman" w:hAnsi="Times New Roman" w:eastAsia="Times New Roman"/>
                <w:color w:val="000000" w:themeColor="text1"/>
                <w:sz w:val="20"/>
                <w:szCs w:val="20"/>
              </w:rPr>
              <w:t xml:space="preserve"> 13) Incentives to providers; they publish regular reports regarding performance, utilization, health outcomes, and satisfaction with care using data that is collected by EMPS providers and regularly cleaned. The PIC also designs and tracks completion for a standardized training curriculum for providers, and offers 11 continuing education trainings. The data infrastructure has allowed EMPS providers to internally analyze data and improve their performance.</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3289EFF7" w:rsidP="69308F79" w:rsidRDefault="3289EFF7" w14:paraId="3012F6A7" w14:textId="31B75D8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Pretest</w:t>
            </w:r>
            <w:r w:rsidRPr="69308F79" w:rsidR="287503C2">
              <w:rPr>
                <w:rFonts w:ascii="Times New Roman" w:hAnsi="Times New Roman" w:eastAsia="Times New Roman"/>
                <w:color w:val="000000" w:themeColor="text1"/>
                <w:sz w:val="20"/>
                <w:szCs w:val="20"/>
              </w:rPr>
              <w:t>-</w:t>
            </w:r>
            <w:r w:rsidRPr="69308F79">
              <w:rPr>
                <w:rFonts w:ascii="Times New Roman" w:hAnsi="Times New Roman" w:eastAsia="Times New Roman"/>
                <w:color w:val="000000" w:themeColor="text1"/>
                <w:sz w:val="20"/>
                <w:szCs w:val="20"/>
              </w:rPr>
              <w:t xml:space="preserve">posttest </w:t>
            </w:r>
            <w:r w:rsidRPr="69308F79" w:rsidR="150DCAF1">
              <w:rPr>
                <w:rFonts w:ascii="Times New Roman" w:hAnsi="Times New Roman" w:eastAsia="Times New Roman"/>
                <w:color w:val="000000" w:themeColor="text1"/>
                <w:sz w:val="20"/>
                <w:szCs w:val="20"/>
              </w:rPr>
              <w:t>study</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8EA1A53" w14:textId="19289AF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Before vs after mobile crisis</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3A76B2B" w14:textId="1C899699">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The Ohio Youth Problem, Functioning, and Satisfaction Scales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37D867E" w14:textId="619012C7">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Comparing EMPS intake and discharge Ohio Scale scores, parent-rated child functioning (N=361, 42.94 vs 45.52, p&lt;.001, no CIs reported) and health worker-rated child functioning (N=3,133, 43.44 vs 45.38, p&lt;.001) significantly increased, and parent-rated child problem severity (N=340, 28.66 vs 23.04, p&lt;.001) and health worker-rated child problem severity (N=3,113, 28.51 vs 25.56, p&lt;.001) significantly decreased.</w:t>
            </w:r>
          </w:p>
        </w:tc>
      </w:tr>
      <w:tr w:rsidR="69308F79" w:rsidTr="69308F79" w14:paraId="2EB33BC2"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AC3CE79" w14:textId="5B3DEBF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Mobile crisis team intervention to enhance linkage of discharged suicidal emergency department patients to outpatient psychiatric services: A randomized controlled trial </w:t>
            </w:r>
          </w:p>
          <w:p w:rsidR="69308F79" w:rsidP="69308F79" w:rsidRDefault="69308F79" w14:paraId="4601F2AF" w14:textId="1F803131">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(Currier, 2010)</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C1F4FFB" w14:textId="24EEF082">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All of the following: </w:t>
            </w:r>
            <w:r>
              <w:br/>
            </w:r>
            <w:r w:rsidRPr="69308F79">
              <w:rPr>
                <w:rFonts w:ascii="Times New Roman" w:hAnsi="Times New Roman" w:eastAsia="Times New Roman"/>
                <w:color w:val="000000" w:themeColor="text1"/>
                <w:sz w:val="20"/>
                <w:szCs w:val="20"/>
              </w:rPr>
              <w:t xml:space="preserve"> 1) English or Spanish speaking  </w:t>
            </w:r>
            <w:r>
              <w:br/>
            </w:r>
            <w:r w:rsidRPr="69308F79">
              <w:rPr>
                <w:rFonts w:ascii="Times New Roman" w:hAnsi="Times New Roman" w:eastAsia="Times New Roman"/>
                <w:color w:val="000000" w:themeColor="text1"/>
                <w:sz w:val="20"/>
                <w:szCs w:val="20"/>
              </w:rPr>
              <w:t xml:space="preserve"> 2) Over 18 years old </w:t>
            </w:r>
            <w:r>
              <w:br/>
            </w:r>
            <w:r w:rsidRPr="69308F79">
              <w:rPr>
                <w:rFonts w:ascii="Times New Roman" w:hAnsi="Times New Roman" w:eastAsia="Times New Roman"/>
                <w:color w:val="000000" w:themeColor="text1"/>
                <w:sz w:val="20"/>
                <w:szCs w:val="20"/>
              </w:rPr>
              <w:t xml:space="preserve"> 3) Voluntarily presenting to the ED, or brought by police </w:t>
            </w:r>
            <w:r>
              <w:br/>
            </w:r>
            <w:r w:rsidRPr="69308F79">
              <w:rPr>
                <w:rFonts w:ascii="Times New Roman" w:hAnsi="Times New Roman" w:eastAsia="Times New Roman"/>
                <w:color w:val="000000" w:themeColor="text1"/>
                <w:sz w:val="20"/>
                <w:szCs w:val="20"/>
              </w:rPr>
              <w:t xml:space="preserve"> 4) Scored a rating of 1 or higher on the Spectrum of Suicidal Behavior Scale </w:t>
            </w:r>
            <w:r>
              <w:br/>
            </w:r>
            <w:r w:rsidRPr="69308F79">
              <w:rPr>
                <w:rFonts w:ascii="Times New Roman" w:hAnsi="Times New Roman" w:eastAsia="Times New Roman"/>
                <w:color w:val="000000" w:themeColor="text1"/>
                <w:sz w:val="20"/>
                <w:szCs w:val="20"/>
              </w:rPr>
              <w:t xml:space="preserve"> 5) Deemed clinically suitable for discharge from the ED, </w:t>
            </w:r>
            <w:r>
              <w:br/>
            </w:r>
            <w:r w:rsidRPr="69308F79">
              <w:rPr>
                <w:rFonts w:ascii="Times New Roman" w:hAnsi="Times New Roman" w:eastAsia="Times New Roman"/>
                <w:color w:val="000000" w:themeColor="text1"/>
                <w:sz w:val="20"/>
                <w:szCs w:val="20"/>
              </w:rPr>
              <w:t xml:space="preserve"> 6) Expressed a desire to follow-up in the outpatient setting </w:t>
            </w:r>
            <w:r>
              <w:br/>
            </w:r>
            <w:r w:rsidRPr="69308F79">
              <w:rPr>
                <w:rFonts w:ascii="Times New Roman" w:hAnsi="Times New Roman" w:eastAsia="Times New Roman"/>
                <w:color w:val="000000" w:themeColor="text1"/>
                <w:sz w:val="20"/>
                <w:szCs w:val="20"/>
              </w:rPr>
              <w:t xml:space="preserve"> 7) Gave written consent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91F38FB" w14:textId="0CC64F33">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Any of the following: </w:t>
            </w:r>
            <w:r>
              <w:br/>
            </w:r>
            <w:r w:rsidRPr="69308F79">
              <w:rPr>
                <w:rFonts w:ascii="Times New Roman" w:hAnsi="Times New Roman" w:eastAsia="Times New Roman"/>
                <w:color w:val="000000" w:themeColor="text1"/>
                <w:sz w:val="20"/>
                <w:szCs w:val="20"/>
              </w:rPr>
              <w:t xml:space="preserve"> 1) Currently receiving public or private care from a mental health clinician </w:t>
            </w:r>
            <w:r>
              <w:br/>
            </w:r>
            <w:r w:rsidRPr="69308F79">
              <w:rPr>
                <w:rFonts w:ascii="Times New Roman" w:hAnsi="Times New Roman" w:eastAsia="Times New Roman"/>
                <w:color w:val="000000" w:themeColor="text1"/>
                <w:sz w:val="20"/>
                <w:szCs w:val="20"/>
              </w:rPr>
              <w:t xml:space="preserve"> 2) Incapable of providing informed consent </w:t>
            </w:r>
            <w:r>
              <w:br/>
            </w:r>
            <w:r w:rsidRPr="69308F79">
              <w:rPr>
                <w:rFonts w:ascii="Times New Roman" w:hAnsi="Times New Roman" w:eastAsia="Times New Roman"/>
                <w:color w:val="000000" w:themeColor="text1"/>
                <w:sz w:val="20"/>
                <w:szCs w:val="20"/>
              </w:rPr>
              <w:t xml:space="preserve"> 3) Diagnosed or suspected to have an intellectual disability or dementia.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2059550" w14:textId="5694A54C">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Manualized community-based clinical assessment conducted by an MCU within 48 hours of discharge at a location of the subject’s choice. This MCU also typically provides assessment and triage services in the community prior to hospitalization.  </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38CCBCA" w14:textId="223CFE1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Rater-blinded RCT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7AF3DA2" w14:textId="3474668F">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Referral by treating psychiatrist to crisis outpatient clinic, which offered the same standardized treatment</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D55ABC3" w14:textId="2796C8D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Completion of first follow-up visit scheduled prior to ED discharge </w:t>
            </w:r>
            <w:r>
              <w:br/>
            </w:r>
            <w:r w:rsidRPr="69308F79">
              <w:rPr>
                <w:rFonts w:ascii="Times New Roman" w:hAnsi="Times New Roman" w:eastAsia="Times New Roman"/>
                <w:color w:val="000000" w:themeColor="text1"/>
                <w:sz w:val="20"/>
                <w:szCs w:val="20"/>
              </w:rPr>
              <w:t xml:space="preserve">2) Number of outpatient contacts in the 6 months post-enrollment </w:t>
            </w:r>
            <w:r>
              <w:br/>
            </w:r>
            <w:r w:rsidRPr="69308F79">
              <w:rPr>
                <w:rFonts w:ascii="Times New Roman" w:hAnsi="Times New Roman" w:eastAsia="Times New Roman"/>
                <w:color w:val="000000" w:themeColor="text1"/>
                <w:sz w:val="20"/>
                <w:szCs w:val="20"/>
              </w:rPr>
              <w:t xml:space="preserve">3) Subsequent ED utilization in the 6 months post-enrollment </w:t>
            </w:r>
            <w:r>
              <w:br/>
            </w:r>
            <w:r w:rsidRPr="69308F79">
              <w:rPr>
                <w:rFonts w:ascii="Times New Roman" w:hAnsi="Times New Roman" w:eastAsia="Times New Roman"/>
                <w:color w:val="000000" w:themeColor="text1"/>
                <w:sz w:val="20"/>
                <w:szCs w:val="20"/>
              </w:rPr>
              <w:t xml:space="preserve">4) Changes in Scale for Suicidal Ideation, Brief Psychiatric Rating Scale, Hamilton Depression Scale, and BASIS-32 Functional Scale scores at 2 weeks and 3 months post enrollment </w:t>
            </w:r>
            <w:r>
              <w:br/>
            </w:r>
            <w:r w:rsidRPr="69308F79">
              <w:rPr>
                <w:rFonts w:ascii="Times New Roman" w:hAnsi="Times New Roman" w:eastAsia="Times New Roman"/>
                <w:color w:val="000000" w:themeColor="text1"/>
                <w:sz w:val="20"/>
                <w:szCs w:val="20"/>
              </w:rPr>
              <w:t xml:space="preserve">5) Adverse events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F1A59E0" w14:textId="6C4F5A12">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Individuals in the MCU group had 2.35 times greater likelihood of completing first follow-up compared to control (69.6% vs 29.6%, 95% CI: 1.55-3.56, p&lt;.0001) </w:t>
            </w:r>
            <w:r>
              <w:br/>
            </w:r>
            <w:r w:rsidRPr="69308F79">
              <w:rPr>
                <w:rFonts w:ascii="Times New Roman" w:hAnsi="Times New Roman" w:eastAsia="Times New Roman"/>
                <w:color w:val="000000" w:themeColor="text1"/>
                <w:sz w:val="20"/>
                <w:szCs w:val="20"/>
              </w:rPr>
              <w:t xml:space="preserve">2) No significant difference in the mean number  </w:t>
            </w:r>
            <w:r>
              <w:br/>
            </w:r>
            <w:r w:rsidRPr="69308F79">
              <w:rPr>
                <w:rFonts w:ascii="Times New Roman" w:hAnsi="Times New Roman" w:eastAsia="Times New Roman"/>
                <w:color w:val="000000" w:themeColor="text1"/>
                <w:sz w:val="20"/>
                <w:szCs w:val="20"/>
              </w:rPr>
              <w:t xml:space="preserve">of outpatient mental health contacts at 6-months post-enrollment between MCU and control groups (4.61 vs 5.45, p=.55) </w:t>
            </w:r>
            <w:r>
              <w:br/>
            </w:r>
            <w:r w:rsidRPr="69308F79">
              <w:rPr>
                <w:rFonts w:ascii="Times New Roman" w:hAnsi="Times New Roman" w:eastAsia="Times New Roman"/>
                <w:color w:val="000000" w:themeColor="text1"/>
                <w:sz w:val="20"/>
                <w:szCs w:val="20"/>
              </w:rPr>
              <w:t xml:space="preserve">3) No significant difference in mean ED utilization in 6-months post-enrollment between groups (1.62 vs 1.68 [group designation unspecified], p=.84) </w:t>
            </w:r>
            <w:r>
              <w:br/>
            </w:r>
            <w:r w:rsidRPr="69308F79">
              <w:rPr>
                <w:rFonts w:ascii="Times New Roman" w:hAnsi="Times New Roman" w:eastAsia="Times New Roman"/>
                <w:color w:val="000000" w:themeColor="text1"/>
                <w:sz w:val="20"/>
                <w:szCs w:val="20"/>
              </w:rPr>
              <w:t xml:space="preserve">4) When all participants were combined as one cohort, there were clinically and statistically significant  (p&lt;.0001) decreases in scores for all four scales; there were no significant differences in improvements between MCU and control groups, and no significant differences between the group of patients that did vs did not receive follow-up care </w:t>
            </w:r>
            <w:r>
              <w:br/>
            </w:r>
            <w:r w:rsidRPr="69308F79">
              <w:rPr>
                <w:rFonts w:ascii="Times New Roman" w:hAnsi="Times New Roman" w:eastAsia="Times New Roman"/>
                <w:color w:val="000000" w:themeColor="text1"/>
                <w:sz w:val="20"/>
                <w:szCs w:val="20"/>
              </w:rPr>
              <w:t xml:space="preserve">5) No adverse events were reported in either group </w:t>
            </w:r>
          </w:p>
        </w:tc>
      </w:tr>
      <w:tr w:rsidR="69308F79" w:rsidTr="69308F79" w14:paraId="177DD421"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456FCB6" w14:textId="4E3233A7">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The use of social workers' emergency certificates and factors associated with linkage to services </w:t>
            </w:r>
          </w:p>
          <w:p w:rsidR="69308F79" w:rsidP="69308F79" w:rsidRDefault="69308F79" w14:paraId="1FAE394D" w14:textId="19F71FB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(Holland and Tran, 2010) </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33EDDD8" w14:textId="71C5341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Episodes that occurred between Jun. 2006 and Mar. 2008 involving the New London, Connecticut MCU (N = 192) during which adults in crisis were issued emergency certificates for involuntary transport individuals to an ED.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00C1A67" w14:textId="212BA8BB">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Bivariate tests of association were used to determine significant variables related to the dependent variable of interest; only variables with significant associations (p&lt;.05) were included in the final model</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49463DC" w14:textId="1D89B3F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1) The Mobile Crisis Team (MCT) is a 16  hour/day psychiatric crisis response team that responds to calls from community providers, families, and individuals seeking assistance with crises related to symptoms of mental health and substance abuse disorders.</w:t>
            </w:r>
            <w:r>
              <w:br/>
            </w:r>
            <w:r w:rsidRPr="69308F79">
              <w:rPr>
                <w:rFonts w:ascii="Times New Roman" w:hAnsi="Times New Roman" w:eastAsia="Times New Roman"/>
                <w:color w:val="000000" w:themeColor="text1"/>
                <w:sz w:val="20"/>
                <w:szCs w:val="20"/>
              </w:rPr>
              <w:t xml:space="preserve"> 2) Includes a Crisis intervention Team (CIT) sub-group that partners with local police department and responds to police-involved cases as a co-responder team.  </w:t>
            </w:r>
            <w:r>
              <w:br/>
            </w:r>
            <w:r w:rsidRPr="69308F79">
              <w:rPr>
                <w:rFonts w:ascii="Times New Roman" w:hAnsi="Times New Roman" w:eastAsia="Times New Roman"/>
                <w:color w:val="000000" w:themeColor="text1"/>
                <w:sz w:val="20"/>
                <w:szCs w:val="20"/>
              </w:rPr>
              <w:t xml:space="preserve">3) MCT has capacity to provide treatment/triage on evenings and weekends. </w:t>
            </w:r>
            <w:r>
              <w:br/>
            </w:r>
            <w:r w:rsidRPr="69308F79">
              <w:rPr>
                <w:rFonts w:ascii="Times New Roman" w:hAnsi="Times New Roman" w:eastAsia="Times New Roman"/>
                <w:color w:val="000000" w:themeColor="text1"/>
                <w:sz w:val="20"/>
                <w:szCs w:val="20"/>
              </w:rPr>
              <w:t>4) MCT clinicians collaborate with ED physicians in developing plans for those with emergency certificates that are deemed appropriate for discharge.</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3F5B380" w14:textId="74471F2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Retrospective observational cohort study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5CFB9A7" w14:textId="76F6208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Episodes that occurred between Jun. 2006 and Mar. 2008 involving the New London, Connecticut mental health/police co-responder unit (N = 41) housed within the MCU, during which adults in crisis were issued emergency certificates for involuntary transport individuals to an ED.</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B998885" w14:textId="26774F34">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The outcome of interest was the likelihood of successful linkage to additional services, as determined at the point of Emergency Department (ED) disposition.</w:t>
            </w:r>
            <w:r>
              <w:br/>
            </w:r>
            <w:r w:rsidRPr="69308F79">
              <w:rPr>
                <w:rFonts w:ascii="Times New Roman" w:hAnsi="Times New Roman" w:eastAsia="Times New Roman"/>
                <w:color w:val="000000" w:themeColor="text1"/>
                <w:sz w:val="20"/>
                <w:szCs w:val="20"/>
              </w:rPr>
              <w:t xml:space="preserve"> </w:t>
            </w:r>
            <w:r>
              <w:br/>
            </w:r>
            <w:r w:rsidRPr="69308F79">
              <w:rPr>
                <w:rFonts w:ascii="Times New Roman" w:hAnsi="Times New Roman" w:eastAsia="Times New Roman"/>
                <w:color w:val="000000" w:themeColor="text1"/>
                <w:sz w:val="20"/>
                <w:szCs w:val="20"/>
              </w:rPr>
              <w:t>Linkage was considered to have occurred if the individual was either:</w:t>
            </w:r>
            <w:r>
              <w:br/>
            </w:r>
            <w:r w:rsidRPr="69308F79">
              <w:rPr>
                <w:rFonts w:ascii="Times New Roman" w:hAnsi="Times New Roman" w:eastAsia="Times New Roman"/>
                <w:color w:val="000000" w:themeColor="text1"/>
                <w:sz w:val="20"/>
                <w:szCs w:val="20"/>
              </w:rPr>
              <w:t xml:space="preserve"> </w:t>
            </w:r>
            <w:r>
              <w:br/>
            </w:r>
            <w:r w:rsidRPr="69308F79">
              <w:rPr>
                <w:rFonts w:ascii="Times New Roman" w:hAnsi="Times New Roman" w:eastAsia="Times New Roman"/>
                <w:color w:val="000000" w:themeColor="text1"/>
                <w:sz w:val="20"/>
                <w:szCs w:val="20"/>
              </w:rPr>
              <w:t>Admitted to inpatient care, or</w:t>
            </w:r>
            <w:r>
              <w:br/>
            </w:r>
            <w:r w:rsidRPr="69308F79">
              <w:rPr>
                <w:rFonts w:ascii="Times New Roman" w:hAnsi="Times New Roman" w:eastAsia="Times New Roman"/>
                <w:color w:val="000000" w:themeColor="text1"/>
                <w:sz w:val="20"/>
                <w:szCs w:val="20"/>
              </w:rPr>
              <w:t xml:space="preserve"> </w:t>
            </w:r>
            <w:r>
              <w:br/>
            </w:r>
            <w:r w:rsidRPr="69308F79">
              <w:rPr>
                <w:rFonts w:ascii="Times New Roman" w:hAnsi="Times New Roman" w:eastAsia="Times New Roman"/>
                <w:color w:val="000000" w:themeColor="text1"/>
                <w:sz w:val="20"/>
                <w:szCs w:val="20"/>
              </w:rPr>
              <w:t>Discharged with a documented plan for follow-up services (e.g., outpatient behavioral health appointment, referral to community-based care).</w:t>
            </w:r>
            <w:r>
              <w:br/>
            </w:r>
            <w:r w:rsidRPr="69308F79">
              <w:rPr>
                <w:rFonts w:ascii="Times New Roman" w:hAnsi="Times New Roman" w:eastAsia="Times New Roman"/>
                <w:color w:val="000000" w:themeColor="text1"/>
                <w:sz w:val="20"/>
                <w:szCs w:val="20"/>
              </w:rPr>
              <w:t xml:space="preserve"> </w:t>
            </w:r>
            <w:r>
              <w:br/>
            </w:r>
            <w:r w:rsidRPr="69308F79">
              <w:rPr>
                <w:rFonts w:ascii="Times New Roman" w:hAnsi="Times New Roman" w:eastAsia="Times New Roman"/>
                <w:color w:val="000000" w:themeColor="text1"/>
                <w:sz w:val="20"/>
                <w:szCs w:val="20"/>
              </w:rPr>
              <w:t>Linkage was considered not to have occurred if the individual was discharged from the ED without a documented follow-up plan.</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F71CAAD" w14:textId="41D261A3">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Logistic regression showed that referral by the Co-Responder Unit was associated with significantly lower odds of successful linkage compared to referrals by the MCT (OR = 0.417, p &lt; .05). This suggests that the MCT was either more effective at identifying individuals likely to be admitted by ED physicians, and/or were more effective at collaborating with ER providers to ensure the creation of discharge plans.</w:t>
            </w:r>
          </w:p>
        </w:tc>
      </w:tr>
      <w:tr w:rsidR="69308F79" w:rsidTr="69308F79" w14:paraId="341F701C"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B848AA0" w14:textId="500564F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Mobile crisis outreach and emergency department utilization: A propensity score-matched analysis </w:t>
            </w:r>
          </w:p>
          <w:p w:rsidR="69308F79" w:rsidP="69308F79" w:rsidRDefault="69308F79" w14:paraId="593699EB" w14:textId="4693B0FE">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(Vakkalanka, 2021)</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B45B99B" w14:textId="7647743F">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Experimental group: </w:t>
            </w:r>
            <w:r>
              <w:br/>
            </w:r>
            <w:r w:rsidRPr="69308F79" w:rsidR="364B02EE">
              <w:rPr>
                <w:rFonts w:ascii="Times New Roman" w:hAnsi="Times New Roman" w:eastAsia="Times New Roman"/>
                <w:color w:val="000000" w:themeColor="text1"/>
                <w:sz w:val="20"/>
                <w:szCs w:val="20"/>
              </w:rPr>
              <w:t xml:space="preserve">Children or adults </w:t>
            </w:r>
            <w:r w:rsidRPr="69308F79">
              <w:rPr>
                <w:rFonts w:ascii="Times New Roman" w:hAnsi="Times New Roman" w:eastAsia="Times New Roman"/>
                <w:color w:val="000000" w:themeColor="text1"/>
                <w:sz w:val="20"/>
                <w:szCs w:val="20"/>
              </w:rPr>
              <w:t xml:space="preserve">with mental health or substance abuse diagnoses who, in any 30-day span from 2015-2018, received both mobile crisis services and ED services at a Midwestern ED (in either order) (N=106)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A5CFCCA" w14:textId="0B8ED9F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6B29541" w14:textId="7FAEF81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24/7 hotline and dispatch services of two trained mental health professionals, who provide community-based crisis assessment, stabilization, and referral services</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A7594A6" w14:textId="73BA93B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Quasi-experimental</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227CB82" w14:textId="06428127">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Individuals in the control group were propensity-score matched to up to 2 individuals from the experimental group based on demographic and diagnostic characteristics; control individuals all had a mental health or substance abuse diagnoses and, in any 30-day span from 2015-2018, received ED services without mobile crisis services (N=196)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16FA9AA" w14:textId="71179E84">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All-cause return to the ED within one year of initial visit </w:t>
            </w:r>
            <w:r>
              <w:br/>
            </w:r>
            <w:r w:rsidRPr="69308F79">
              <w:rPr>
                <w:rFonts w:ascii="Times New Roman" w:hAnsi="Times New Roman" w:eastAsia="Times New Roman"/>
                <w:color w:val="000000" w:themeColor="text1"/>
                <w:sz w:val="20"/>
                <w:szCs w:val="20"/>
              </w:rPr>
              <w:t xml:space="preserve"> 2) Psychiatric reason for return to the ED within one year of initial visit </w:t>
            </w:r>
            <w:r>
              <w:br/>
            </w:r>
            <w:r w:rsidRPr="69308F79">
              <w:rPr>
                <w:rFonts w:ascii="Times New Roman" w:hAnsi="Times New Roman" w:eastAsia="Times New Roman"/>
                <w:color w:val="000000" w:themeColor="text1"/>
                <w:sz w:val="20"/>
                <w:szCs w:val="20"/>
              </w:rPr>
              <w:t xml:space="preserve">3) Mortality within one year of initial visit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58878F4" w14:textId="50794463">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Patients in the experimental group were more likely to return to the ED (67% vs 49%, adjusted HR 1.66, 95% CI: 1.22-2.27, p&lt;.05), and did so sooner after the initial visits (median: 28 days vs 88 days, no significance testing performed); in sensitivity analyses, the authors calculated that an unmeasured confounder would need to be associated with both the treatment and outcome by an E-value of HR =2.71 each in order to explain away the finding, indicating that an unmeasured confounder is unlikely to be present. </w:t>
            </w:r>
            <w:r>
              <w:br/>
            </w:r>
            <w:r w:rsidRPr="69308F79">
              <w:rPr>
                <w:rFonts w:ascii="Times New Roman" w:hAnsi="Times New Roman" w:eastAsia="Times New Roman"/>
                <w:color w:val="000000" w:themeColor="text1"/>
                <w:sz w:val="20"/>
                <w:szCs w:val="20"/>
              </w:rPr>
              <w:t xml:space="preserve">2) Patients in the experimental group were more likely to return to the ED for a psychiatric reason (32% vs 19%, adjusted HR 1.70, 95% CI: 1.06-2.74, p&lt;.001), and did so sooner after the initial visits (median: 17 days vs 64 days, no significance testing performed); in sensitivity analyses, the authors calculated that an unmeasured confounder would need to be associated with both the treatment and outcome by an E-value of HR =2.79 each in order to explain away the finding, indicating that an unmeasured confounder is unlikely to be present. </w:t>
            </w:r>
            <w:r>
              <w:br/>
            </w:r>
            <w:r w:rsidRPr="69308F79">
              <w:rPr>
                <w:rFonts w:ascii="Times New Roman" w:hAnsi="Times New Roman" w:eastAsia="Times New Roman"/>
                <w:color w:val="000000" w:themeColor="text1"/>
                <w:sz w:val="20"/>
                <w:szCs w:val="20"/>
              </w:rPr>
              <w:t xml:space="preserve">3) Four deaths due to natural causes and one death by suicide occurred in the control group; the mortality rate was found not to be significantly different between groups (p=.166). </w:t>
            </w:r>
          </w:p>
        </w:tc>
      </w:tr>
      <w:tr w:rsidR="69308F79" w:rsidTr="69308F79" w14:paraId="6187D786"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5F174FD" w14:textId="17730CB4">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Impact of mobile crisis services on emergency department use among youths with behavioral health service needs </w:t>
            </w:r>
          </w:p>
          <w:p w:rsidR="69308F79" w:rsidP="69308F79" w:rsidRDefault="69308F79" w14:paraId="140C189E" w14:textId="7B4015EE">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(Fendrich, 2019)</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659AE76" w14:textId="59471CD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Experimental group (N=2,532): </w:t>
            </w:r>
            <w:r>
              <w:br/>
            </w:r>
            <w:r w:rsidRPr="69308F79">
              <w:rPr>
                <w:rFonts w:ascii="Times New Roman" w:hAnsi="Times New Roman" w:eastAsia="Times New Roman"/>
                <w:color w:val="000000" w:themeColor="text1"/>
                <w:sz w:val="20"/>
                <w:szCs w:val="20"/>
              </w:rPr>
              <w:t xml:space="preserve">1) Between 4 and 17 years old </w:t>
            </w:r>
            <w:r>
              <w:br/>
            </w:r>
            <w:r w:rsidRPr="69308F79">
              <w:rPr>
                <w:rFonts w:ascii="Times New Roman" w:hAnsi="Times New Roman" w:eastAsia="Times New Roman"/>
                <w:color w:val="000000" w:themeColor="text1"/>
                <w:sz w:val="20"/>
                <w:szCs w:val="20"/>
              </w:rPr>
              <w:t xml:space="preserve">2) Eligible for Medicaid in the 18-months before and after the index crisis </w:t>
            </w:r>
            <w:r>
              <w:br/>
            </w:r>
            <w:r w:rsidRPr="69308F79">
              <w:rPr>
                <w:rFonts w:ascii="Times New Roman" w:hAnsi="Times New Roman" w:eastAsia="Times New Roman"/>
                <w:color w:val="000000" w:themeColor="text1"/>
                <w:sz w:val="20"/>
                <w:szCs w:val="20"/>
              </w:rPr>
              <w:t xml:space="preserve">3) Were seen by the Connecticut MCU during 2014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B77DB5E" w14:textId="7AA67ACE">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05A8491" w14:textId="1A7E441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Community-based crisis intervention from a multidisciplinary team of masters-level behavioral health providers, with treatment lasting up to 45 days and involving crisis stabilization and support, screening and assessment, brief intervention, and referral and linkage to additional services (including the ED if clinically necessary) </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237B8EE" w14:textId="7E763D0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Quasi-experimental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19089A7" w14:textId="19B19AE6">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Propensity-score matched control group (N=3,961): </w:t>
            </w:r>
            <w:r>
              <w:br/>
            </w:r>
            <w:r w:rsidRPr="69308F79">
              <w:rPr>
                <w:rFonts w:ascii="Times New Roman" w:hAnsi="Times New Roman" w:eastAsia="Times New Roman"/>
                <w:color w:val="000000" w:themeColor="text1"/>
                <w:sz w:val="20"/>
                <w:szCs w:val="20"/>
              </w:rPr>
              <w:t xml:space="preserve">1) between 4 and 17 years old </w:t>
            </w:r>
            <w:r>
              <w:br/>
            </w:r>
            <w:r w:rsidRPr="69308F79">
              <w:rPr>
                <w:rFonts w:ascii="Times New Roman" w:hAnsi="Times New Roman" w:eastAsia="Times New Roman"/>
                <w:color w:val="000000" w:themeColor="text1"/>
                <w:sz w:val="20"/>
                <w:szCs w:val="20"/>
              </w:rPr>
              <w:t xml:space="preserve">2) eligible for Medicaid in the 18-months before and after the index crisis </w:t>
            </w:r>
            <w:r>
              <w:br/>
            </w:r>
            <w:r w:rsidRPr="69308F79">
              <w:rPr>
                <w:rFonts w:ascii="Times New Roman" w:hAnsi="Times New Roman" w:eastAsia="Times New Roman"/>
                <w:color w:val="000000" w:themeColor="text1"/>
                <w:sz w:val="20"/>
                <w:szCs w:val="20"/>
              </w:rPr>
              <w:t xml:space="preserve">3) had at least one psychiatric ED claim to Medicaid during 2014 </w:t>
            </w:r>
            <w:r>
              <w:br/>
            </w:r>
            <w:r w:rsidRPr="69308F79">
              <w:rPr>
                <w:rFonts w:ascii="Times New Roman" w:hAnsi="Times New Roman" w:eastAsia="Times New Roman"/>
                <w:color w:val="000000" w:themeColor="text1"/>
                <w:sz w:val="20"/>
                <w:szCs w:val="20"/>
              </w:rPr>
              <w:t xml:space="preserve">4) had not accessed MCU services during this time period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0A38331" w14:textId="288BD9B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ED utilization due to psychiatric concern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84CCF8D" w14:textId="4AC9621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Individuals seen by this pediatric MCU were .75 times as likely (odds ratio 95% CI: .66-.84) to have any psychiatric visit to the ED following their index treatment compared to propensity score-matched counterparts; individuals in the experimental group also had .78 times fewer visits (95% CI: .71-.87) than the control group in the 18 month follow-up period. </w:t>
            </w:r>
          </w:p>
        </w:tc>
      </w:tr>
      <w:tr w:rsidR="69308F79" w:rsidTr="69308F79" w14:paraId="4C1D4433"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B0F633F" w14:textId="55DA789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Assessing the impact of community-based mobile crisis services on preventing hospitalization </w:t>
            </w:r>
          </w:p>
          <w:p w:rsidR="69308F79" w:rsidP="69308F79" w:rsidRDefault="69308F79" w14:paraId="06824E31" w14:textId="43965C1B">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(Guo, 2001)</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6153393" w14:textId="652C8E97">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Experimental group: </w:t>
            </w:r>
            <w:r>
              <w:br/>
            </w:r>
            <w:r w:rsidRPr="69308F79">
              <w:rPr>
                <w:rFonts w:ascii="Times New Roman" w:hAnsi="Times New Roman" w:eastAsia="Times New Roman"/>
                <w:color w:val="000000" w:themeColor="text1"/>
                <w:sz w:val="20"/>
                <w:szCs w:val="20"/>
              </w:rPr>
              <w:t>Adults who utilized a midwestern MCU during July 1997-June 1998 (N=1,100 after missing data excluded and matching to controls)</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54F204E" w14:textId="70586A21">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327 individuals were excluded due to missing data</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578BD6D2" w14:textId="44D1121D">
            <w:pPr>
              <w:spacing w:after="0"/>
              <w:rPr>
                <w:rFonts w:ascii="Times New Roman" w:hAnsi="Times New Roman" w:eastAsia="Times New Roman"/>
                <w:color w:val="242424"/>
                <w:sz w:val="20"/>
                <w:szCs w:val="20"/>
              </w:rPr>
            </w:pPr>
            <w:r w:rsidRPr="69308F79">
              <w:rPr>
                <w:rFonts w:ascii="Times New Roman" w:hAnsi="Times New Roman" w:eastAsia="Times New Roman"/>
                <w:color w:val="242424"/>
                <w:sz w:val="20"/>
                <w:szCs w:val="20"/>
              </w:rPr>
              <w:t>A community mental health agency was contracted with a county mental health authority to provide mobile crisis services; teams included crisis intervention specialists, nurses, and psychiatrists who provided screening, diagnostic assessment, crisis stabilization, case management, medical services (if appropriate), and referral and linkage to community or hospital services</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D865658" w14:textId="7CE7E1B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Quasi-experimental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3CB26DC" w14:textId="7D34A4D1">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Control group: </w:t>
            </w:r>
            <w:r>
              <w:br/>
            </w:r>
            <w:r w:rsidRPr="69308F79">
              <w:rPr>
                <w:rFonts w:ascii="Times New Roman" w:hAnsi="Times New Roman" w:eastAsia="Times New Roman"/>
                <w:color w:val="000000" w:themeColor="text1"/>
                <w:sz w:val="20"/>
                <w:szCs w:val="20"/>
              </w:rPr>
              <w:t xml:space="preserve">Adults who utilized a hospital-based psychiatric emergency room during July 1995-June 1996, matched to individuals in the control group on 7 variables: gender, race, age at service utilization, primary diagnostic group, recency of prior service use, indication of substance abuse, and certification of severe mental disability (N=1,100 after missing data excluded and matching to individuals in experimental group)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0860FFD" w14:textId="639A120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Hospitalization within 30 days of initial presentation </w:t>
            </w:r>
            <w:r>
              <w:br/>
            </w:r>
            <w:r w:rsidRPr="69308F79">
              <w:rPr>
                <w:rFonts w:ascii="Times New Roman" w:hAnsi="Times New Roman" w:eastAsia="Times New Roman"/>
                <w:color w:val="000000" w:themeColor="text1"/>
                <w:sz w:val="20"/>
                <w:szCs w:val="20"/>
              </w:rPr>
              <w:t xml:space="preserve"> 2) Timing of rehospitalization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652DCCC" w14:textId="5E8E9591">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Individuals in the control group were 1.51 times more likely (risk ratio 95% CI: 1.26-1.81, p&lt;.001) to receive inpatient hospitalization within 30 days of initial crises, after inclusion of covariates in a cox proportional hazards model </w:t>
            </w:r>
            <w:r>
              <w:br/>
            </w:r>
            <w:r w:rsidRPr="69308F79">
              <w:rPr>
                <w:rFonts w:ascii="Times New Roman" w:hAnsi="Times New Roman" w:eastAsia="Times New Roman"/>
                <w:color w:val="000000" w:themeColor="text1"/>
                <w:sz w:val="20"/>
                <w:szCs w:val="20"/>
              </w:rPr>
              <w:t xml:space="preserve">2) The predicted risk of inpatient hospitalization was significantly higher for the control group in the two days immediately following the initial crisis (26% vs 18% by day 2, p&lt;.001); after day 2, about 4% of individuals in both groups required inpatient hospitalization, indicating that MCU diversion did not have adverse consequences </w:t>
            </w:r>
          </w:p>
        </w:tc>
      </w:tr>
      <w:tr w:rsidR="69308F79" w:rsidTr="69308F79" w14:paraId="77E2DCB5"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752DA1D" w14:textId="6939D3B3">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“They made me feel like I mattered”:</w:t>
            </w:r>
            <w:r>
              <w:br/>
            </w:r>
            <w:r w:rsidRPr="69308F79">
              <w:rPr>
                <w:rFonts w:ascii="Times New Roman" w:hAnsi="Times New Roman" w:eastAsia="Times New Roman"/>
                <w:color w:val="000000" w:themeColor="text1"/>
                <w:sz w:val="20"/>
                <w:szCs w:val="20"/>
              </w:rPr>
              <w:t xml:space="preserve"> a qualitative study of how mobile crisis</w:t>
            </w:r>
            <w:r>
              <w:br/>
            </w:r>
            <w:r w:rsidRPr="69308F79">
              <w:rPr>
                <w:rFonts w:ascii="Times New Roman" w:hAnsi="Times New Roman" w:eastAsia="Times New Roman"/>
                <w:color w:val="000000" w:themeColor="text1"/>
                <w:sz w:val="20"/>
                <w:szCs w:val="20"/>
              </w:rPr>
              <w:t xml:space="preserve"> teams can support people experiencing</w:t>
            </w:r>
            <w:r>
              <w:br/>
            </w:r>
            <w:r w:rsidRPr="69308F79">
              <w:rPr>
                <w:rFonts w:ascii="Times New Roman" w:hAnsi="Times New Roman" w:eastAsia="Times New Roman"/>
                <w:color w:val="000000" w:themeColor="text1"/>
                <w:sz w:val="20"/>
                <w:szCs w:val="20"/>
              </w:rPr>
              <w:t xml:space="preserve"> homelessness</w:t>
            </w:r>
          </w:p>
          <w:p w:rsidR="69308F79" w:rsidP="69308F79" w:rsidRDefault="69308F79" w14:paraId="52D2EC4B" w14:textId="03D3BA6C">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 (McDaniel, 2024)</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8BA90D3" w14:textId="60C35E0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Participants were adults in San Francisco, CA who had received services from the SCRT (Specialized Crisis Response Team) within the previous six months (N = 20). Of these individuals, all but one had experienced homelessness in the past year. They were primarily recruited through referrals during follow-up encounters by the post-crisis case managers in the Department of Public Health's Office of Coordinated Care (OCC), as well as through community flyer distribution.</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40AD612" w14:textId="4BE572E4">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4A05AE2" w14:textId="16E7F1B9">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The Specialized Crisis Response Team (SCRT) is a 911-dispatched mobile crisis team operating 24/7 to respond to behavioral health crises in public spaces. Each team includes a paramedic, a behavioral health clinician, and a peer specialist with lived experience. During crisis encounters, SCRT provides mental and physical health assessment, emotional support, first aid, food, water, clothing, transportation to crisis resources or shelters, information, and referrals to post-crisis follow-up. Post-crisis follow-up is coordinated through the OCC to connect individuals with housing and healthcare. </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DD75E79" w14:textId="65692C97">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Qualitative Interviews</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D3018EB" w14:textId="6CB31BE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Participants contrasted the MCU with law enforcement and emergency medical service providers</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3015EF84" w14:textId="7FEDED7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Satisfaction with care</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CC18CD1" w14:textId="28AAA3AD">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In interviews, participants discussed how care from the SCRT differs from what they have experienced from law enforcement and emergency medical services. While law enforcement was sometimes viewed favorabl</w:t>
            </w:r>
            <w:r w:rsidRPr="69308F79" w:rsidR="11EC1A62">
              <w:rPr>
                <w:rFonts w:ascii="Times New Roman" w:hAnsi="Times New Roman" w:eastAsia="Times New Roman"/>
                <w:color w:val="000000" w:themeColor="text1"/>
                <w:sz w:val="20"/>
                <w:szCs w:val="20"/>
              </w:rPr>
              <w:t>y</w:t>
            </w:r>
            <w:r w:rsidRPr="69308F79">
              <w:rPr>
                <w:rFonts w:ascii="Times New Roman" w:hAnsi="Times New Roman" w:eastAsia="Times New Roman"/>
                <w:color w:val="000000" w:themeColor="text1"/>
                <w:sz w:val="20"/>
                <w:szCs w:val="20"/>
              </w:rPr>
              <w:t xml:space="preserve"> due to their role in ensuring the safety of </w:t>
            </w:r>
            <w:r w:rsidRPr="69308F79" w:rsidR="5D5C5703">
              <w:rPr>
                <w:rFonts w:ascii="Times New Roman" w:hAnsi="Times New Roman" w:eastAsia="Times New Roman"/>
                <w:color w:val="000000" w:themeColor="text1"/>
                <w:sz w:val="20"/>
                <w:szCs w:val="20"/>
              </w:rPr>
              <w:t>interviewee</w:t>
            </w:r>
            <w:r w:rsidRPr="69308F79">
              <w:rPr>
                <w:rFonts w:ascii="Times New Roman" w:hAnsi="Times New Roman" w:eastAsia="Times New Roman"/>
                <w:color w:val="000000" w:themeColor="text1"/>
                <w:sz w:val="20"/>
                <w:szCs w:val="20"/>
              </w:rPr>
              <w:t xml:space="preserve">s and their possessions, other respondents emphasized the ineffectiveness of law enforcement and emergency medical services in actively listening to and addressing their immediate needs. </w:t>
            </w:r>
          </w:p>
        </w:tc>
      </w:tr>
      <w:tr w:rsidR="69308F79" w:rsidTr="69308F79" w14:paraId="28EC1726"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23B5167" w14:textId="663C511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Eleven‐Month Arrest Outcomes Among Three Crisis</w:t>
            </w:r>
            <w:r>
              <w:br/>
            </w:r>
            <w:r w:rsidRPr="69308F79">
              <w:rPr>
                <w:rFonts w:ascii="Times New Roman" w:hAnsi="Times New Roman" w:eastAsia="Times New Roman"/>
                <w:color w:val="000000" w:themeColor="text1"/>
                <w:sz w:val="20"/>
                <w:szCs w:val="20"/>
              </w:rPr>
              <w:t xml:space="preserve"> Response Models in Michigan</w:t>
            </w:r>
          </w:p>
          <w:p w:rsidR="69308F79" w:rsidP="69308F79" w:rsidRDefault="69308F79" w14:paraId="5F88801E" w14:textId="781F869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 (Swanson, 2025)</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CFEC2D6" w14:textId="11F947DC">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Law enforcement agencies from 5 communities in Michigan provided data on law enforcement responses to mental health crises that occurred in their jurisdiction (N = 690 law enforcement records); site-specific key words searches and author discussion and review were used to ensure that data from each record represented an individual in mental health crisis. Mental health agencies from each community also submitted data from one of following crisis services: mobile crisis, police co-response, or office-based crisis response (N = 474 clinical records). </w:t>
            </w:r>
            <w:r w:rsidRPr="69308F79" w:rsidR="149B5EC8">
              <w:rPr>
                <w:rFonts w:ascii="Times New Roman" w:hAnsi="Times New Roman" w:eastAsia="Times New Roman"/>
                <w:color w:val="000000" w:themeColor="text1"/>
                <w:sz w:val="20"/>
                <w:szCs w:val="20"/>
              </w:rPr>
              <w:t xml:space="preserve">The analysis was limited to adults.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D9D3C0B" w14:textId="53EDC058">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While race was a covariate of interest, it was excluded from analysis due to missingness not-at-random within the sample. Individuals were excluded fromn the sample if they represented a threat to others during crisis to eliminate confounding caused by different patient populations being served between groups (e.g. police serving individuals in crisis with a higher potential for violence). Arrests occuring during the incident crises were also removed in order to understand the impact of the intervention on future arrests.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E93ED48" w14:textId="1910E981">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1) Office-based crisis intervention: Integrated Services of Kalamazoo, a CMH agency and newly designated CCBHC, provided office-based crisis interventions primarily through clinicians with existing relationships to clients. Referrals from external sources (e.g., 911, law enforcement) were rare. Services included hospitalization screening, safety planning, and scheduling follow-up care. Services were offered during weekday business hours (8 am–5 pm, Mon–Fri).</w:t>
            </w:r>
            <w:r>
              <w:br/>
            </w:r>
            <w:r w:rsidRPr="69308F79">
              <w:rPr>
                <w:rFonts w:ascii="Times New Roman" w:hAnsi="Times New Roman" w:eastAsia="Times New Roman"/>
                <w:color w:val="000000" w:themeColor="text1"/>
                <w:sz w:val="20"/>
                <w:szCs w:val="20"/>
              </w:rPr>
              <w:t xml:space="preserve"> </w:t>
            </w:r>
            <w:r>
              <w:br/>
            </w:r>
            <w:r w:rsidRPr="69308F79">
              <w:rPr>
                <w:rFonts w:ascii="Times New Roman" w:hAnsi="Times New Roman" w:eastAsia="Times New Roman"/>
                <w:color w:val="000000" w:themeColor="text1"/>
                <w:sz w:val="20"/>
                <w:szCs w:val="20"/>
              </w:rPr>
              <w:t>2) Washtenaw and Jackson Counties operated 24/7 mobile crisis teams providing de-escalation, safety planning, service linkage, and coordination of care. Teams responded to immediate and follow-up requests from homes, schools, law enforcement, and the community. Referrals were evenly split between law enforcement and internal sources. Both counties expanded mobile crisis services in 2018 following mental health millages. Washtenaw had 25+ crisis staff; Jackson had 10+.</w:t>
            </w:r>
            <w:r>
              <w:br/>
            </w:r>
            <w:r w:rsidRPr="69308F79">
              <w:rPr>
                <w:rFonts w:ascii="Times New Roman" w:hAnsi="Times New Roman" w:eastAsia="Times New Roman"/>
                <w:color w:val="000000" w:themeColor="text1"/>
                <w:sz w:val="20"/>
                <w:szCs w:val="20"/>
              </w:rPr>
              <w:t xml:space="preserve"> </w:t>
            </w:r>
            <w:r>
              <w:br/>
            </w:r>
            <w:r w:rsidRPr="69308F79">
              <w:rPr>
                <w:rFonts w:ascii="Times New Roman" w:hAnsi="Times New Roman" w:eastAsia="Times New Roman"/>
                <w:color w:val="000000" w:themeColor="text1"/>
                <w:sz w:val="20"/>
                <w:szCs w:val="20"/>
              </w:rPr>
              <w:t>3) Two co-response programs launched in August 2021, serving four cities in Oakland County and the City of Livonia. Clinicians partnered with law enforcement to respond to live mental health–related incidents and conduct follow-up care. Clinicians rode in separate vehicles and could provide follow-up without police presence. Programs operated 10-hour shifts, four days per week, and were funded by municipal governments.</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A1EC02C" w14:textId="649126FB">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Quasi-experimental</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D4380F3" w14:textId="60AE4177">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Inverse probability of treatment weighting (IPTW) was used to match the law enforcement group to the mental health intervention group on the characteristics of age, sex, jurisdiction, and the presence of prior-year arrest.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602BA6A" w14:textId="512ECF14">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Rate of arrest in the year following an index crisis</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C8C28A0" w14:textId="739E8A40">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After controlling for age, sex, jurisdiction, and arrest history, mobile crisis services were significantly associated with a 45.2% decrease in the incidence rate of arrest in the year following the crisis, compared to individuals who received a law enforcement-only response (IRR = 0.548, p = .024). None of the other interventions—co-response (IRR = 0.917, p = .796), office-based response (IRR = 0.696, p = .373)—nor the three interventions pooled together, yielded a statistically significant change in the incidence rate of arrests in the following year.</w:t>
            </w:r>
          </w:p>
        </w:tc>
      </w:tr>
      <w:tr w:rsidR="69308F79" w:rsidTr="69308F79" w14:paraId="1EB96A84" w14:textId="77777777">
        <w:trPr>
          <w:trHeight w:val="300"/>
        </w:trPr>
        <w:tc>
          <w:tcPr>
            <w:tcW w:w="127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721232CF" w14:textId="1AD4AB1A">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The Impact of Mobile Crisis Services on the Community-Based Mental Health Services</w:t>
            </w:r>
          </w:p>
          <w:p w:rsidR="69308F79" w:rsidP="69308F79" w:rsidRDefault="69308F79" w14:paraId="000FD0E6" w14:textId="6465EB83">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 (Dyches, 2002)</w:t>
            </w:r>
          </w:p>
        </w:tc>
        <w:tc>
          <w:tcPr>
            <w:tcW w:w="177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6CFDAEF8" w14:textId="0A10143A">
            <w:pPr>
              <w:spacing w:after="0"/>
              <w:rPr>
                <w:rFonts w:ascii="Times New Roman" w:hAnsi="Times New Roman" w:eastAsia="Times New Roman"/>
                <w:color w:val="2A2A2A"/>
                <w:sz w:val="20"/>
                <w:szCs w:val="20"/>
              </w:rPr>
            </w:pPr>
            <w:r w:rsidRPr="69308F79">
              <w:rPr>
                <w:rFonts w:ascii="Times New Roman" w:hAnsi="Times New Roman" w:eastAsia="Times New Roman"/>
                <w:color w:val="000000" w:themeColor="text1"/>
                <w:sz w:val="20"/>
                <w:szCs w:val="20"/>
              </w:rPr>
              <w:t xml:space="preserve">Experimental Group: </w:t>
            </w:r>
            <w:r>
              <w:br/>
            </w:r>
            <w:r w:rsidRPr="69308F79">
              <w:rPr>
                <w:rFonts w:ascii="Times New Roman" w:hAnsi="Times New Roman" w:eastAsia="Times New Roman"/>
                <w:color w:val="000000" w:themeColor="text1"/>
                <w:sz w:val="20"/>
                <w:szCs w:val="20"/>
              </w:rPr>
              <w:t xml:space="preserve"> Adults who utilized a midwestern MCU during July 1997-June 1998</w:t>
            </w:r>
            <w:r w:rsidRPr="69308F79">
              <w:rPr>
                <w:rFonts w:ascii="Times New Roman" w:hAnsi="Times New Roman" w:eastAsia="Times New Roman"/>
                <w:color w:val="2A2A2A"/>
                <w:sz w:val="20"/>
                <w:szCs w:val="20"/>
              </w:rPr>
              <w:t xml:space="preserve"> (N=1,187 after missing data excluded and matching to controls) </w:t>
            </w:r>
          </w:p>
        </w:tc>
        <w:tc>
          <w:tcPr>
            <w:tcW w:w="142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689381C" w14:textId="4B930F3B">
            <w:pPr>
              <w:spacing w:after="0"/>
              <w:rPr>
                <w:rFonts w:ascii="Times New Roman" w:hAnsi="Times New Roman" w:eastAsia="Times New Roman"/>
                <w:color w:val="2A2A2A"/>
                <w:sz w:val="20"/>
                <w:szCs w:val="20"/>
              </w:rPr>
            </w:pPr>
            <w:r w:rsidRPr="69308F79">
              <w:rPr>
                <w:rFonts w:ascii="Times New Roman" w:hAnsi="Times New Roman" w:eastAsia="Times New Roman"/>
                <w:color w:val="2A2A2A"/>
                <w:sz w:val="20"/>
                <w:szCs w:val="20"/>
              </w:rPr>
              <w:t xml:space="preserve">Children and 345 individuals excluded due to missing data </w:t>
            </w:r>
          </w:p>
        </w:tc>
        <w:tc>
          <w:tcPr>
            <w:tcW w:w="388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65A6AA5" w14:textId="2F809937">
            <w:pPr>
              <w:spacing w:after="0"/>
              <w:rPr>
                <w:rFonts w:ascii="Times New Roman" w:hAnsi="Times New Roman" w:eastAsia="Times New Roman"/>
                <w:color w:val="2A2A2A"/>
                <w:sz w:val="20"/>
                <w:szCs w:val="20"/>
              </w:rPr>
            </w:pPr>
            <w:r w:rsidRPr="69308F79">
              <w:rPr>
                <w:rFonts w:ascii="Times New Roman" w:hAnsi="Times New Roman" w:eastAsia="Times New Roman"/>
                <w:color w:val="2A2A2A"/>
                <w:sz w:val="20"/>
                <w:szCs w:val="20"/>
              </w:rPr>
              <w:t xml:space="preserve">1) Takes place in the catchment area of a "large, midwestern industrial metropolitan area." </w:t>
            </w:r>
            <w:r>
              <w:br/>
            </w:r>
            <w:r w:rsidRPr="69308F79">
              <w:rPr>
                <w:rFonts w:ascii="Times New Roman" w:hAnsi="Times New Roman" w:eastAsia="Times New Roman"/>
                <w:color w:val="2A2A2A"/>
                <w:sz w:val="20"/>
                <w:szCs w:val="20"/>
              </w:rPr>
              <w:t xml:space="preserve">2) Includes a hotline and mobile team that services adults and children </w:t>
            </w:r>
            <w:r>
              <w:br/>
            </w:r>
            <w:r w:rsidRPr="69308F79">
              <w:rPr>
                <w:rFonts w:ascii="Times New Roman" w:hAnsi="Times New Roman" w:eastAsia="Times New Roman"/>
                <w:color w:val="2A2A2A"/>
                <w:sz w:val="20"/>
                <w:szCs w:val="20"/>
              </w:rPr>
              <w:t xml:space="preserve">3) Team of social workers, psychiatrists, and nurses; social workers do case management, diagnostic screening, and pre-hospital screening, while psychiatrists/nursing team provide medical care and diagnosis. Psychiatrists acted as supervisors. </w:t>
            </w:r>
            <w:r>
              <w:br/>
            </w:r>
            <w:r w:rsidRPr="69308F79">
              <w:rPr>
                <w:rFonts w:ascii="Times New Roman" w:hAnsi="Times New Roman" w:eastAsia="Times New Roman"/>
                <w:color w:val="2A2A2A"/>
                <w:sz w:val="20"/>
                <w:szCs w:val="20"/>
              </w:rPr>
              <w:t xml:space="preserve">4) Provides services to both children and adults and authorized to hospitalize patients in state facilities. </w:t>
            </w:r>
            <w:r>
              <w:br/>
            </w:r>
            <w:r w:rsidRPr="69308F79">
              <w:rPr>
                <w:rFonts w:ascii="Times New Roman" w:hAnsi="Times New Roman" w:eastAsia="Times New Roman"/>
                <w:color w:val="2A2A2A"/>
                <w:sz w:val="20"/>
                <w:szCs w:val="20"/>
              </w:rPr>
              <w:t xml:space="preserve">5) Privately contracted out from the county to a community mental health agency. </w:t>
            </w:r>
            <w:r>
              <w:br/>
            </w:r>
            <w:r w:rsidRPr="69308F79">
              <w:rPr>
                <w:rFonts w:ascii="Times New Roman" w:hAnsi="Times New Roman" w:eastAsia="Times New Roman"/>
                <w:color w:val="2A2A2A"/>
                <w:sz w:val="20"/>
                <w:szCs w:val="20"/>
              </w:rPr>
              <w:t xml:space="preserve">6) Workflow of MCU was to first review case from call to determine eligibility, attempt to stabilize in community, provide linkage to services, and follow up after the event. </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0A4A7ACD" w14:textId="56B4E7FF">
            <w:pPr>
              <w:spacing w:after="0"/>
              <w:rPr>
                <w:rFonts w:ascii="Times New Roman" w:hAnsi="Times New Roman" w:eastAsia="Times New Roman"/>
                <w:color w:val="2A2A2A"/>
                <w:sz w:val="20"/>
                <w:szCs w:val="20"/>
              </w:rPr>
            </w:pPr>
            <w:r w:rsidRPr="69308F79">
              <w:rPr>
                <w:rFonts w:ascii="Times New Roman" w:hAnsi="Times New Roman" w:eastAsia="Times New Roman"/>
                <w:color w:val="2A2A2A"/>
                <w:sz w:val="20"/>
                <w:szCs w:val="20"/>
              </w:rPr>
              <w:t xml:space="preserve">Quasi-experimental </w:t>
            </w:r>
          </w:p>
        </w:tc>
        <w:tc>
          <w:tcPr>
            <w:tcW w:w="1455"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251F93C6" w14:textId="0B8912C1">
            <w:pPr>
              <w:spacing w:after="0"/>
              <w:rPr>
                <w:rFonts w:ascii="Times New Roman" w:hAnsi="Times New Roman" w:eastAsia="Times New Roman"/>
                <w:color w:val="2A2A2A"/>
                <w:sz w:val="20"/>
                <w:szCs w:val="20"/>
              </w:rPr>
            </w:pPr>
            <w:r w:rsidRPr="69308F79">
              <w:rPr>
                <w:rFonts w:ascii="Times New Roman" w:hAnsi="Times New Roman" w:eastAsia="Times New Roman"/>
                <w:color w:val="2A2A2A"/>
                <w:sz w:val="20"/>
                <w:szCs w:val="20"/>
              </w:rPr>
              <w:t xml:space="preserve">Adults who utilized a hospital-based psychiatric emergency room </w:t>
            </w:r>
            <w:r w:rsidRPr="69308F79">
              <w:rPr>
                <w:rFonts w:ascii="Times New Roman" w:hAnsi="Times New Roman" w:eastAsia="Times New Roman"/>
                <w:color w:val="000000" w:themeColor="text1"/>
                <w:sz w:val="20"/>
                <w:szCs w:val="20"/>
              </w:rPr>
              <w:t xml:space="preserve">during July 1995-June 1996, </w:t>
            </w:r>
            <w:r w:rsidRPr="69308F79">
              <w:rPr>
                <w:rFonts w:ascii="Times New Roman" w:hAnsi="Times New Roman" w:eastAsia="Times New Roman"/>
                <w:color w:val="2A2A2A"/>
                <w:sz w:val="20"/>
                <w:szCs w:val="20"/>
              </w:rPr>
              <w:t xml:space="preserve"> matched to individuals in the experimental group on 7 variables: gender, race, age at service utilization, primary diagnostic group, recency of prior service use, indication of substance abuse, and certification of severe mental disability (N=1,187 in each group after missing data excluded and matching to individuals in experimental group) </w:t>
            </w:r>
          </w:p>
        </w:tc>
        <w:tc>
          <w:tcPr>
            <w:tcW w:w="138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16A42348" w14:textId="4A8CEFB7">
            <w:pPr>
              <w:spacing w:after="0"/>
              <w:rPr>
                <w:rFonts w:ascii="Times New Roman" w:hAnsi="Times New Roman" w:eastAsia="Times New Roman"/>
                <w:color w:val="2A2A2A"/>
                <w:sz w:val="20"/>
                <w:szCs w:val="20"/>
              </w:rPr>
            </w:pPr>
            <w:r w:rsidRPr="69308F79">
              <w:rPr>
                <w:rFonts w:ascii="Times New Roman" w:hAnsi="Times New Roman" w:eastAsia="Times New Roman"/>
                <w:color w:val="2A2A2A"/>
                <w:sz w:val="20"/>
                <w:szCs w:val="20"/>
              </w:rPr>
              <w:t xml:space="preserve">1) Community-based mental health service utilization within 90 days of a crisis </w:t>
            </w:r>
            <w:r>
              <w:br/>
            </w:r>
            <w:r w:rsidRPr="69308F79">
              <w:rPr>
                <w:rFonts w:ascii="Times New Roman" w:hAnsi="Times New Roman" w:eastAsia="Times New Roman"/>
                <w:color w:val="2A2A2A"/>
                <w:sz w:val="20"/>
                <w:szCs w:val="20"/>
              </w:rPr>
              <w:t xml:space="preserve">  2) Community-based mental health service utilization of new mental health service users within 90 days of a crisis </w:t>
            </w:r>
          </w:p>
        </w:tc>
        <w:tc>
          <w:tcPr>
            <w:tcW w:w="3260"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15" w:type="dxa"/>
              <w:left w:w="15" w:type="dxa"/>
              <w:right w:w="15" w:type="dxa"/>
            </w:tcMar>
          </w:tcPr>
          <w:p w:rsidR="69308F79" w:rsidP="69308F79" w:rsidRDefault="69308F79" w14:paraId="4634FA3B" w14:textId="29E09BC5">
            <w:pPr>
              <w:spacing w:after="0"/>
              <w:rPr>
                <w:rFonts w:ascii="Times New Roman" w:hAnsi="Times New Roman" w:eastAsia="Times New Roman"/>
                <w:color w:val="000000" w:themeColor="text1"/>
                <w:sz w:val="20"/>
                <w:szCs w:val="20"/>
              </w:rPr>
            </w:pPr>
            <w:r w:rsidRPr="69308F79">
              <w:rPr>
                <w:rFonts w:ascii="Times New Roman" w:hAnsi="Times New Roman" w:eastAsia="Times New Roman"/>
                <w:color w:val="000000" w:themeColor="text1"/>
                <w:sz w:val="20"/>
                <w:szCs w:val="20"/>
              </w:rPr>
              <w:t xml:space="preserve">1) Individuals in the MCU group were 17% (p&lt;.05) more likely to receive follow-up within 90 days of a crisis  </w:t>
            </w:r>
            <w:r>
              <w:br/>
            </w:r>
            <w:r w:rsidRPr="69308F79">
              <w:rPr>
                <w:rFonts w:ascii="Times New Roman" w:hAnsi="Times New Roman" w:eastAsia="Times New Roman"/>
                <w:color w:val="000000" w:themeColor="text1"/>
                <w:sz w:val="20"/>
                <w:szCs w:val="20"/>
              </w:rPr>
              <w:t>2) In an analysis comparing only consumers who received mental healthcare for the first time during the crisis event, the MCU group was about 48% (p&lt;.001) more likely to receive follow-up within 90 days</w:t>
            </w:r>
          </w:p>
        </w:tc>
      </w:tr>
    </w:tbl>
    <w:p w:rsidR="69308F79" w:rsidP="69308F79" w:rsidRDefault="69308F79" w14:paraId="0D5FDE26" w14:textId="0D27684C">
      <w:pPr>
        <w:rPr>
          <w:rFonts w:ascii="Times New Roman" w:hAnsi="Times New Roman" w:eastAsia="Times New Roman"/>
          <w:color w:val="000000" w:themeColor="text1"/>
        </w:rPr>
      </w:pPr>
    </w:p>
    <w:p w:rsidRPr="000565E2" w:rsidR="001F5C01" w:rsidP="001F5C01" w:rsidRDefault="001F5C01" w14:paraId="4B3D955D" w14:textId="77777777">
      <w:pPr>
        <w:jc w:val="center"/>
        <w:rPr>
          <w:rFonts w:ascii="Times New Roman" w:hAnsi="Times New Roman"/>
          <w:b/>
          <w:bCs/>
        </w:rPr>
      </w:pPr>
    </w:p>
    <w:p w:rsidRPr="000565E2" w:rsidR="001F5C01" w:rsidP="001F5C01" w:rsidRDefault="001F5C01" w14:paraId="1497EEE6" w14:textId="77777777">
      <w:pPr>
        <w:jc w:val="center"/>
        <w:rPr>
          <w:rFonts w:ascii="Times New Roman" w:hAnsi="Times New Roman"/>
          <w:b/>
          <w:bCs/>
        </w:rPr>
      </w:pPr>
    </w:p>
    <w:p w:rsidRPr="000565E2" w:rsidR="001F5C01" w:rsidP="001F5C01" w:rsidRDefault="001F5C01" w14:paraId="23B4A66D" w14:textId="77777777">
      <w:pPr>
        <w:jc w:val="center"/>
        <w:rPr>
          <w:rFonts w:ascii="Times New Roman" w:hAnsi="Times New Roman"/>
          <w:b/>
          <w:bCs/>
        </w:rPr>
      </w:pPr>
    </w:p>
    <w:p w:rsidRPr="000565E2" w:rsidR="001F5C01" w:rsidP="001F5C01" w:rsidRDefault="001F5C01" w14:paraId="64617844" w14:textId="77777777">
      <w:pPr>
        <w:jc w:val="center"/>
        <w:rPr>
          <w:rFonts w:ascii="Times New Roman" w:hAnsi="Times New Roman"/>
          <w:b/>
          <w:bCs/>
        </w:rPr>
      </w:pPr>
    </w:p>
    <w:p w:rsidR="001F5C01" w:rsidP="001F5C01" w:rsidRDefault="001F5C01" w14:paraId="0A4FAC49" w14:textId="77777777">
      <w:pPr>
        <w:jc w:val="center"/>
        <w:rPr>
          <w:rFonts w:ascii="Times New Roman" w:hAnsi="Times New Roman"/>
          <w:b/>
          <w:bCs/>
        </w:rPr>
      </w:pPr>
    </w:p>
    <w:p w:rsidR="001F5C01" w:rsidP="001F5C01" w:rsidRDefault="001F5C01" w14:paraId="2D912F5B" w14:textId="77777777">
      <w:pPr>
        <w:jc w:val="center"/>
        <w:rPr>
          <w:rFonts w:ascii="Times New Roman" w:hAnsi="Times New Roman"/>
          <w:b/>
          <w:bCs/>
        </w:rPr>
      </w:pPr>
    </w:p>
    <w:p w:rsidR="001F5C01" w:rsidP="001F5C01" w:rsidRDefault="001F5C01" w14:paraId="35D290CC" w14:textId="77777777">
      <w:pPr>
        <w:jc w:val="center"/>
        <w:rPr>
          <w:rFonts w:ascii="Times New Roman" w:hAnsi="Times New Roman"/>
          <w:b/>
          <w:bCs/>
        </w:rPr>
      </w:pPr>
    </w:p>
    <w:p w:rsidR="001F5C01" w:rsidP="001F5C01" w:rsidRDefault="001F5C01" w14:paraId="6A09BAAC" w14:textId="77777777">
      <w:pPr>
        <w:jc w:val="center"/>
        <w:rPr>
          <w:rFonts w:ascii="Times New Roman" w:hAnsi="Times New Roman"/>
          <w:b/>
          <w:bCs/>
        </w:rPr>
      </w:pPr>
    </w:p>
    <w:p w:rsidR="001F5C01" w:rsidP="001F5C01" w:rsidRDefault="001F5C01" w14:paraId="124B4D27" w14:textId="77777777">
      <w:pPr>
        <w:jc w:val="center"/>
        <w:rPr>
          <w:rFonts w:ascii="Times New Roman" w:hAnsi="Times New Roman"/>
          <w:b/>
          <w:bCs/>
        </w:rPr>
      </w:pPr>
    </w:p>
    <w:p w:rsidR="001F5C01" w:rsidP="001F5C01" w:rsidRDefault="001F5C01" w14:paraId="6DDB7D86" w14:textId="77777777">
      <w:pPr>
        <w:jc w:val="center"/>
        <w:rPr>
          <w:rFonts w:ascii="Times New Roman" w:hAnsi="Times New Roman"/>
          <w:b/>
          <w:bCs/>
        </w:rPr>
      </w:pPr>
    </w:p>
    <w:p w:rsidR="001F5C01" w:rsidP="001F5C01" w:rsidRDefault="001F5C01" w14:paraId="186B6BE7" w14:textId="77777777">
      <w:pPr>
        <w:jc w:val="center"/>
        <w:rPr>
          <w:rFonts w:ascii="Times New Roman" w:hAnsi="Times New Roman"/>
          <w:b/>
          <w:bCs/>
        </w:rPr>
      </w:pPr>
    </w:p>
    <w:p w:rsidR="001F5C01" w:rsidP="001F5C01" w:rsidRDefault="001F5C01" w14:paraId="6C1737E2" w14:textId="77777777">
      <w:pPr>
        <w:jc w:val="center"/>
        <w:rPr>
          <w:rFonts w:ascii="Times New Roman" w:hAnsi="Times New Roman"/>
          <w:b/>
          <w:bCs/>
        </w:rPr>
      </w:pPr>
    </w:p>
    <w:p w:rsidRPr="000565E2" w:rsidR="001F5C01" w:rsidP="001F5C01" w:rsidRDefault="001F5C01" w14:paraId="51C7D76E" w14:textId="77777777">
      <w:pPr>
        <w:jc w:val="center"/>
        <w:rPr>
          <w:rFonts w:ascii="Times New Roman" w:hAnsi="Times New Roman"/>
          <w:b/>
          <w:bCs/>
        </w:rPr>
      </w:pPr>
    </w:p>
    <w:p w:rsidRPr="000565E2" w:rsidR="001F5C01" w:rsidP="001F5C01" w:rsidRDefault="001F5C01" w14:paraId="7AA07A63" w14:textId="77777777">
      <w:pPr>
        <w:jc w:val="center"/>
        <w:rPr>
          <w:rFonts w:ascii="Times New Roman" w:hAnsi="Times New Roman"/>
          <w:b/>
          <w:bCs/>
        </w:rPr>
      </w:pPr>
    </w:p>
    <w:p w:rsidRPr="000565E2" w:rsidR="001F5C01" w:rsidP="001F5C01" w:rsidRDefault="001F5C01" w14:paraId="79842996" w14:textId="77777777">
      <w:pPr>
        <w:jc w:val="center"/>
        <w:rPr>
          <w:rFonts w:ascii="Times New Roman" w:hAnsi="Times New Roman"/>
          <w:b/>
          <w:bCs/>
        </w:rPr>
      </w:pPr>
    </w:p>
    <w:p w:rsidRPr="000565E2" w:rsidR="001F5C01" w:rsidP="001F5C01" w:rsidRDefault="001F5C01" w14:paraId="5E3C68FC" w14:textId="77777777">
      <w:pPr>
        <w:jc w:val="center"/>
        <w:rPr>
          <w:rFonts w:ascii="Times New Roman" w:hAnsi="Times New Roman"/>
          <w:b/>
          <w:bCs/>
        </w:rPr>
      </w:pPr>
    </w:p>
    <w:p w:rsidR="69308F79" w:rsidP="69308F79" w:rsidRDefault="69308F79" w14:paraId="491AB5C7" w14:textId="01E50285">
      <w:pPr>
        <w:rPr>
          <w:rFonts w:ascii="Times New Roman" w:hAnsi="Times New Roman"/>
          <w:b/>
          <w:bCs/>
        </w:rPr>
      </w:pPr>
    </w:p>
    <w:p w:rsidR="69308F79" w:rsidP="69308F79" w:rsidRDefault="69308F79" w14:paraId="271F056F" w14:textId="2F97A24F">
      <w:pPr>
        <w:rPr>
          <w:rFonts w:ascii="Times New Roman" w:hAnsi="Times New Roman"/>
          <w:b/>
          <w:bCs/>
        </w:rPr>
      </w:pPr>
    </w:p>
    <w:p w:rsidR="69308F79" w:rsidP="69308F79" w:rsidRDefault="69308F79" w14:paraId="296D25FA" w14:textId="09AC47DA">
      <w:pPr>
        <w:rPr>
          <w:rFonts w:ascii="Times New Roman" w:hAnsi="Times New Roman"/>
          <w:b/>
          <w:bCs/>
        </w:rPr>
      </w:pPr>
    </w:p>
    <w:p w:rsidR="69308F79" w:rsidP="69308F79" w:rsidRDefault="69308F79" w14:paraId="04D0D012" w14:textId="42F3BD7C">
      <w:pPr>
        <w:rPr>
          <w:rFonts w:ascii="Times New Roman" w:hAnsi="Times New Roman"/>
          <w:b/>
          <w:bCs/>
        </w:rPr>
      </w:pPr>
    </w:p>
    <w:p w:rsidR="69308F79" w:rsidP="69308F79" w:rsidRDefault="69308F79" w14:paraId="057C40A2" w14:textId="4F0426D7">
      <w:pPr>
        <w:rPr>
          <w:rFonts w:ascii="Times New Roman" w:hAnsi="Times New Roman"/>
          <w:b/>
          <w:bCs/>
        </w:rPr>
      </w:pPr>
    </w:p>
    <w:p w:rsidR="69308F79" w:rsidP="69308F79" w:rsidRDefault="69308F79" w14:paraId="7B8BA6AF" w14:textId="39260690">
      <w:pPr>
        <w:rPr>
          <w:rFonts w:ascii="Times New Roman" w:hAnsi="Times New Roman"/>
          <w:b/>
          <w:bCs/>
        </w:rPr>
      </w:pPr>
    </w:p>
    <w:p w:rsidRPr="000565E2" w:rsidR="001F5C01" w:rsidP="001F5C01" w:rsidRDefault="001F5C01" w14:paraId="4E947160" w14:textId="77777777">
      <w:pPr>
        <w:rPr>
          <w:rFonts w:ascii="Times New Roman" w:hAnsi="Times New Roman"/>
          <w:b/>
          <w:bCs/>
        </w:rPr>
      </w:pPr>
      <w:r w:rsidRPr="000565E2">
        <w:rPr>
          <w:rFonts w:ascii="Times New Roman" w:hAnsi="Times New Roman"/>
          <w:b/>
          <w:bCs/>
        </w:rPr>
        <w:t>Supplemental Table 2</w:t>
      </w:r>
      <w:r>
        <w:rPr>
          <w:rFonts w:ascii="Times New Roman" w:hAnsi="Times New Roman"/>
          <w:b/>
          <w:bCs/>
        </w:rPr>
        <w:t>.</w:t>
      </w:r>
      <w:r w:rsidRPr="000565E2">
        <w:rPr>
          <w:rFonts w:ascii="Times New Roman" w:hAnsi="Times New Roman"/>
          <w:b/>
          <w:bCs/>
        </w:rPr>
        <w:t xml:space="preserve"> </w:t>
      </w:r>
      <w:r w:rsidRPr="002E0C8C">
        <w:rPr>
          <w:rFonts w:ascii="Times New Roman" w:hAnsi="Times New Roman"/>
        </w:rPr>
        <w:t xml:space="preserve">Quality </w:t>
      </w:r>
      <w:r>
        <w:rPr>
          <w:rFonts w:ascii="Times New Roman" w:hAnsi="Times New Roman"/>
        </w:rPr>
        <w:t>a</w:t>
      </w:r>
      <w:r w:rsidRPr="002E0C8C">
        <w:rPr>
          <w:rFonts w:ascii="Times New Roman" w:hAnsi="Times New Roman"/>
        </w:rPr>
        <w:t xml:space="preserve">nalysis </w:t>
      </w:r>
      <w:r>
        <w:rPr>
          <w:rFonts w:ascii="Times New Roman" w:hAnsi="Times New Roman"/>
        </w:rPr>
        <w:t>u</w:t>
      </w:r>
      <w:r w:rsidRPr="002E0C8C">
        <w:rPr>
          <w:rFonts w:ascii="Times New Roman" w:hAnsi="Times New Roman"/>
        </w:rPr>
        <w:t>sing the Mixed Methods Appraisal Tool (MMAT)</w:t>
      </w:r>
      <w:r>
        <w:rPr>
          <w:rFonts w:ascii="Times New Roman" w:hAnsi="Times New Roman"/>
        </w:rPr>
        <w:t>.</w:t>
      </w:r>
    </w:p>
    <w:tbl>
      <w:tblPr>
        <w:tblW w:w="15577" w:type="dxa"/>
        <w:tblLayout w:type="fixed"/>
        <w:tblLook w:val="04A0" w:firstRow="1" w:lastRow="0" w:firstColumn="1" w:lastColumn="0" w:noHBand="0" w:noVBand="1"/>
      </w:tblPr>
      <w:tblGrid>
        <w:gridCol w:w="1255"/>
        <w:gridCol w:w="810"/>
        <w:gridCol w:w="1170"/>
        <w:gridCol w:w="45"/>
        <w:gridCol w:w="1215"/>
        <w:gridCol w:w="1440"/>
        <w:gridCol w:w="1530"/>
        <w:gridCol w:w="1530"/>
        <w:gridCol w:w="1440"/>
        <w:gridCol w:w="1620"/>
        <w:gridCol w:w="990"/>
        <w:gridCol w:w="2532"/>
      </w:tblGrid>
      <w:tr w:rsidRPr="00AA6E06" w:rsidR="000313A4" w:rsidTr="2435053F" w14:paraId="681877A0" w14:textId="77777777">
        <w:trPr>
          <w:trHeight w:val="300"/>
        </w:trPr>
        <w:tc>
          <w:tcPr>
            <w:tcW w:w="2065" w:type="dxa"/>
            <w:gridSpan w:val="2"/>
            <w:tcBorders>
              <w:top w:val="single" w:color="auto" w:sz="4" w:space="0"/>
              <w:left w:val="single" w:color="auto" w:sz="4" w:space="0"/>
              <w:bottom w:val="single" w:color="auto" w:sz="4" w:space="0"/>
              <w:right w:val="single" w:color="auto" w:sz="4" w:space="0"/>
            </w:tcBorders>
            <w:tcMar/>
            <w:vAlign w:val="center"/>
            <w:hideMark/>
          </w:tcPr>
          <w:p w:rsidRPr="000565E2" w:rsidR="001F5C01" w:rsidP="69308F79" w:rsidRDefault="44303F48" w14:paraId="2FCE43F2"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color w:val="000000" w:themeColor="text1"/>
                <w:sz w:val="20"/>
                <w:szCs w:val="20"/>
              </w:rPr>
              <w:t>Metadata</w:t>
            </w:r>
          </w:p>
        </w:tc>
        <w:tc>
          <w:tcPr>
            <w:tcW w:w="2430" w:type="dxa"/>
            <w:gridSpan w:val="3"/>
            <w:tcBorders>
              <w:top w:val="single" w:color="auto" w:sz="4" w:space="0"/>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4303F48" w14:paraId="17116D1D"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sz w:val="20"/>
                <w:szCs w:val="20"/>
              </w:rPr>
              <w:t>Screening questions</w:t>
            </w:r>
          </w:p>
        </w:tc>
        <w:tc>
          <w:tcPr>
            <w:tcW w:w="7560" w:type="dxa"/>
            <w:gridSpan w:val="5"/>
            <w:tcBorders>
              <w:top w:val="single" w:color="auto" w:sz="4" w:space="0"/>
              <w:left w:val="nil"/>
              <w:bottom w:val="single" w:color="auto" w:sz="4" w:space="0"/>
              <w:right w:val="single" w:color="auto" w:sz="4" w:space="0"/>
            </w:tcBorders>
            <w:tcMar/>
            <w:vAlign w:val="center"/>
            <w:hideMark/>
          </w:tcPr>
          <w:p w:rsidRPr="000565E2" w:rsidR="001F5C01" w:rsidP="69308F79" w:rsidRDefault="44303F48" w14:paraId="1293AEFB"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color w:val="000000" w:themeColor="text1"/>
                <w:sz w:val="20"/>
                <w:szCs w:val="20"/>
              </w:rPr>
              <w:t>Questions based on study type</w:t>
            </w:r>
          </w:p>
        </w:tc>
        <w:tc>
          <w:tcPr>
            <w:tcW w:w="990" w:type="dxa"/>
            <w:tcBorders>
              <w:top w:val="single" w:color="auto" w:sz="4" w:space="0"/>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4303F48" w14:paraId="46AC8490"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sz w:val="20"/>
                <w:szCs w:val="20"/>
              </w:rPr>
              <w:t>Score (rating)</w:t>
            </w:r>
          </w:p>
        </w:tc>
        <w:tc>
          <w:tcPr>
            <w:tcW w:w="2532" w:type="dxa"/>
            <w:tcBorders>
              <w:top w:val="single" w:color="auto" w:sz="4" w:space="0"/>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4303F48" w14:paraId="636656B0"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sz w:val="20"/>
                <w:szCs w:val="20"/>
              </w:rPr>
              <w:t>Comments</w:t>
            </w:r>
          </w:p>
        </w:tc>
      </w:tr>
      <w:tr w:rsidRPr="00AA6E06" w:rsidR="000313A4" w:rsidTr="2435053F" w14:paraId="43AA9B4E" w14:textId="77777777">
        <w:trPr>
          <w:trHeight w:val="1545"/>
        </w:trPr>
        <w:tc>
          <w:tcPr>
            <w:tcW w:w="1255" w:type="dxa"/>
            <w:tcBorders>
              <w:top w:val="single" w:color="auto" w:sz="4" w:space="0"/>
              <w:left w:val="single" w:color="auto" w:sz="4" w:space="0"/>
              <w:bottom w:val="single" w:color="auto" w:sz="4" w:space="0"/>
              <w:right w:val="single" w:color="auto" w:sz="4" w:space="0"/>
            </w:tcBorders>
            <w:tcMar/>
            <w:vAlign w:val="center"/>
          </w:tcPr>
          <w:p w:rsidRPr="000565E2" w:rsidR="001F5C01" w:rsidP="69308F79" w:rsidRDefault="44303F48" w14:paraId="0DB21F3A" w14:textId="77777777">
            <w:pPr>
              <w:spacing w:after="0" w:line="240" w:lineRule="auto"/>
              <w:jc w:val="center"/>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First author</w:t>
            </w:r>
          </w:p>
        </w:tc>
        <w:tc>
          <w:tcPr>
            <w:tcW w:w="810" w:type="dxa"/>
            <w:tcBorders>
              <w:top w:val="single" w:color="auto" w:sz="4" w:space="0"/>
              <w:left w:val="single" w:color="auto" w:sz="4" w:space="0"/>
              <w:bottom w:val="single" w:color="auto" w:sz="4" w:space="0"/>
              <w:right w:val="single" w:color="auto" w:sz="4" w:space="0"/>
            </w:tcBorders>
            <w:tcMar/>
            <w:vAlign w:val="center"/>
          </w:tcPr>
          <w:p w:rsidRPr="000565E2" w:rsidR="001F5C01" w:rsidP="69308F79" w:rsidRDefault="44303F48" w14:paraId="0564AF58" w14:textId="77777777">
            <w:pPr>
              <w:spacing w:after="0" w:line="240" w:lineRule="auto"/>
              <w:jc w:val="center"/>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Year</w:t>
            </w:r>
          </w:p>
        </w:tc>
        <w:tc>
          <w:tcPr>
            <w:tcW w:w="1215" w:type="dxa"/>
            <w:gridSpan w:val="2"/>
            <w:tcBorders>
              <w:top w:val="single" w:color="auto" w:sz="4" w:space="0"/>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44303F48" w14:paraId="02A76A16" w14:textId="77777777">
            <w:pPr>
              <w:spacing w:after="0" w:line="240" w:lineRule="auto"/>
              <w:jc w:val="center"/>
              <w:rPr>
                <w:rFonts w:ascii="Times New Roman" w:hAnsi="Times New Roman" w:eastAsia="Times New Roman"/>
                <w:sz w:val="20"/>
                <w:szCs w:val="20"/>
              </w:rPr>
            </w:pPr>
            <w:r w:rsidRPr="69308F79">
              <w:rPr>
                <w:rFonts w:ascii="Times New Roman" w:hAnsi="Times New Roman" w:eastAsia="Times New Roman"/>
                <w:sz w:val="20"/>
                <w:szCs w:val="20"/>
              </w:rPr>
              <w:t>S1. Are there clear research questions?</w:t>
            </w:r>
          </w:p>
        </w:tc>
        <w:tc>
          <w:tcPr>
            <w:tcW w:w="1215" w:type="dxa"/>
            <w:tcBorders>
              <w:top w:val="single" w:color="auto" w:sz="4" w:space="0"/>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44303F48" w14:paraId="6B9D7A6C" w14:textId="77777777">
            <w:pPr>
              <w:spacing w:after="0" w:line="240" w:lineRule="auto"/>
              <w:jc w:val="center"/>
              <w:rPr>
                <w:rFonts w:ascii="Times New Roman" w:hAnsi="Times New Roman" w:eastAsia="Times New Roman"/>
                <w:sz w:val="20"/>
                <w:szCs w:val="20"/>
              </w:rPr>
            </w:pPr>
            <w:r w:rsidRPr="69308F79">
              <w:rPr>
                <w:rFonts w:ascii="Times New Roman" w:hAnsi="Times New Roman" w:eastAsia="Times New Roman"/>
                <w:sz w:val="20"/>
                <w:szCs w:val="20"/>
              </w:rPr>
              <w:t xml:space="preserve">S2. Do the collected data allow to address the research questions? </w:t>
            </w:r>
          </w:p>
        </w:tc>
        <w:tc>
          <w:tcPr>
            <w:tcW w:w="7560" w:type="dxa"/>
            <w:gridSpan w:val="5"/>
            <w:tcBorders>
              <w:top w:val="single" w:color="auto" w:sz="4" w:space="0"/>
              <w:left w:val="nil"/>
              <w:bottom w:val="single" w:color="auto" w:sz="4" w:space="0"/>
              <w:right w:val="single" w:color="auto" w:sz="4" w:space="0"/>
            </w:tcBorders>
            <w:tcMar/>
            <w:vAlign w:val="center"/>
          </w:tcPr>
          <w:p w:rsidRPr="000565E2" w:rsidR="001F5C01" w:rsidP="69308F79" w:rsidRDefault="001F5C01" w14:paraId="136E766D" w14:textId="77777777">
            <w:pPr>
              <w:spacing w:after="0" w:line="240" w:lineRule="auto"/>
              <w:jc w:val="center"/>
              <w:rPr>
                <w:rFonts w:ascii="Times New Roman" w:hAnsi="Times New Roman" w:eastAsia="Times New Roman"/>
                <w:b/>
                <w:bCs/>
                <w:color w:val="000000"/>
                <w:sz w:val="20"/>
                <w:szCs w:val="20"/>
              </w:rPr>
            </w:pPr>
          </w:p>
        </w:tc>
        <w:tc>
          <w:tcPr>
            <w:tcW w:w="990" w:type="dxa"/>
            <w:tcBorders>
              <w:top w:val="single" w:color="auto" w:sz="4" w:space="0"/>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0FC20174" w14:textId="77777777">
            <w:pPr>
              <w:spacing w:after="0" w:line="240" w:lineRule="auto"/>
              <w:jc w:val="center"/>
              <w:rPr>
                <w:rFonts w:ascii="Times New Roman" w:hAnsi="Times New Roman" w:eastAsia="Times New Roman"/>
                <w:b/>
                <w:bCs/>
                <w:sz w:val="20"/>
                <w:szCs w:val="20"/>
              </w:rPr>
            </w:pPr>
          </w:p>
        </w:tc>
        <w:tc>
          <w:tcPr>
            <w:tcW w:w="2532" w:type="dxa"/>
            <w:tcBorders>
              <w:top w:val="single" w:color="auto" w:sz="4" w:space="0"/>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20BE680E" w14:textId="77777777">
            <w:pPr>
              <w:spacing w:after="0" w:line="240" w:lineRule="auto"/>
              <w:jc w:val="center"/>
              <w:rPr>
                <w:rFonts w:ascii="Times New Roman" w:hAnsi="Times New Roman" w:eastAsia="Times New Roman"/>
                <w:b/>
                <w:bCs/>
                <w:sz w:val="20"/>
                <w:szCs w:val="20"/>
              </w:rPr>
            </w:pPr>
          </w:p>
        </w:tc>
      </w:tr>
      <w:tr w:rsidRPr="00AA6E06" w:rsidR="001F5C01" w:rsidTr="2435053F" w14:paraId="52A2BC18" w14:textId="77777777">
        <w:trPr>
          <w:trHeight w:val="370"/>
        </w:trPr>
        <w:tc>
          <w:tcPr>
            <w:tcW w:w="15577" w:type="dxa"/>
            <w:gridSpan w:val="12"/>
            <w:tcBorders>
              <w:top w:val="single" w:color="auto" w:sz="4" w:space="0"/>
              <w:left w:val="single" w:color="auto" w:sz="4" w:space="0"/>
              <w:bottom w:val="single" w:color="auto" w:sz="4" w:space="0"/>
              <w:right w:val="single" w:color="auto" w:sz="4" w:space="0"/>
            </w:tcBorders>
            <w:tcMar/>
            <w:vAlign w:val="center"/>
            <w:hideMark/>
          </w:tcPr>
          <w:p w:rsidRPr="000565E2" w:rsidR="001F5C01" w:rsidP="69308F79" w:rsidRDefault="44303F48" w14:paraId="0314DE59"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color w:val="000000" w:themeColor="text1"/>
                <w:sz w:val="20"/>
                <w:szCs w:val="20"/>
              </w:rPr>
              <w:t>Qualitative Studies</w:t>
            </w:r>
          </w:p>
        </w:tc>
      </w:tr>
      <w:tr w:rsidRPr="00AA6E06" w:rsidR="00DB2395" w:rsidTr="2435053F" w14:paraId="22D86AC0" w14:textId="77777777">
        <w:trPr>
          <w:trHeight w:val="1621"/>
        </w:trPr>
        <w:tc>
          <w:tcPr>
            <w:tcW w:w="1255" w:type="dxa"/>
            <w:tcBorders>
              <w:top w:val="nil"/>
              <w:left w:val="single" w:color="auto" w:sz="4" w:space="0"/>
              <w:bottom w:val="single" w:color="auto" w:sz="4" w:space="0"/>
              <w:right w:val="single" w:color="auto" w:sz="4" w:space="0"/>
            </w:tcBorders>
            <w:tcMar/>
            <w:vAlign w:val="center"/>
          </w:tcPr>
          <w:p w:rsidRPr="000565E2" w:rsidR="001F5C01" w:rsidP="69308F79" w:rsidRDefault="001F5C01" w14:paraId="4816D4AA" w14:textId="77777777">
            <w:pPr>
              <w:spacing w:after="0" w:line="240" w:lineRule="auto"/>
              <w:rPr>
                <w:rFonts w:ascii="Times New Roman" w:hAnsi="Times New Roman" w:eastAsia="Times New Roman"/>
                <w:b/>
                <w:bCs/>
                <w:i/>
                <w:iCs/>
                <w:color w:val="000000"/>
                <w:sz w:val="20"/>
                <w:szCs w:val="20"/>
              </w:rPr>
            </w:pPr>
          </w:p>
        </w:tc>
        <w:tc>
          <w:tcPr>
            <w:tcW w:w="810" w:type="dxa"/>
            <w:tcBorders>
              <w:top w:val="nil"/>
              <w:left w:val="nil"/>
              <w:bottom w:val="single" w:color="auto" w:sz="4" w:space="0"/>
              <w:right w:val="single" w:color="auto" w:sz="4" w:space="0"/>
            </w:tcBorders>
            <w:tcMar/>
            <w:vAlign w:val="center"/>
          </w:tcPr>
          <w:p w:rsidRPr="000565E2" w:rsidR="001F5C01" w:rsidP="69308F79" w:rsidRDefault="001F5C01" w14:paraId="2EE95679" w14:textId="77777777">
            <w:pPr>
              <w:spacing w:after="0" w:line="240" w:lineRule="auto"/>
              <w:rPr>
                <w:rFonts w:ascii="Times New Roman" w:hAnsi="Times New Roman" w:eastAsia="Times New Roman"/>
                <w:b/>
                <w:bCs/>
                <w:i/>
                <w:iCs/>
                <w:color w:val="000000"/>
                <w:sz w:val="20"/>
                <w:szCs w:val="20"/>
              </w:rPr>
            </w:pPr>
          </w:p>
        </w:tc>
        <w:tc>
          <w:tcPr>
            <w:tcW w:w="1170" w:type="dxa"/>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48A73C32" w14:textId="77777777">
            <w:pPr>
              <w:spacing w:after="0" w:line="240" w:lineRule="auto"/>
              <w:rPr>
                <w:rFonts w:ascii="Times New Roman" w:hAnsi="Times New Roman" w:eastAsia="Times New Roman"/>
                <w:b/>
                <w:bCs/>
                <w:i/>
                <w:iCs/>
                <w:color w:val="000000"/>
                <w:sz w:val="20"/>
                <w:szCs w:val="20"/>
              </w:rPr>
            </w:pPr>
          </w:p>
        </w:tc>
        <w:tc>
          <w:tcPr>
            <w:tcW w:w="1260" w:type="dxa"/>
            <w:gridSpan w:val="2"/>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52BD14A4" w14:textId="77777777">
            <w:pPr>
              <w:spacing w:after="0" w:line="240" w:lineRule="auto"/>
              <w:rPr>
                <w:rFonts w:ascii="Times New Roman" w:hAnsi="Times New Roman" w:eastAsia="Times New Roman"/>
                <w:b/>
                <w:bCs/>
                <w:i/>
                <w:iCs/>
                <w:color w:val="000000"/>
                <w:sz w:val="20"/>
                <w:szCs w:val="20"/>
              </w:rPr>
            </w:pPr>
          </w:p>
        </w:tc>
        <w:tc>
          <w:tcPr>
            <w:tcW w:w="1440" w:type="dxa"/>
            <w:tcBorders>
              <w:top w:val="nil"/>
              <w:left w:val="nil"/>
              <w:bottom w:val="single" w:color="auto" w:sz="4" w:space="0"/>
              <w:right w:val="single" w:color="auto" w:sz="4" w:space="0"/>
            </w:tcBorders>
            <w:tcMar/>
            <w:vAlign w:val="center"/>
            <w:hideMark/>
          </w:tcPr>
          <w:p w:rsidRPr="000565E2" w:rsidR="001F5C01" w:rsidP="69308F79" w:rsidRDefault="44303F48" w14:paraId="3ACDC68C"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1.1. Is the qualitative approach appropriate to answer the research question?</w:t>
            </w:r>
          </w:p>
        </w:tc>
        <w:tc>
          <w:tcPr>
            <w:tcW w:w="1530" w:type="dxa"/>
            <w:tcBorders>
              <w:top w:val="nil"/>
              <w:left w:val="nil"/>
              <w:bottom w:val="single" w:color="auto" w:sz="4" w:space="0"/>
              <w:right w:val="single" w:color="auto" w:sz="4" w:space="0"/>
            </w:tcBorders>
            <w:tcMar/>
            <w:vAlign w:val="center"/>
            <w:hideMark/>
          </w:tcPr>
          <w:p w:rsidRPr="000565E2" w:rsidR="001F5C01" w:rsidP="69308F79" w:rsidRDefault="44303F48" w14:paraId="0346C314"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1.2. Are the qualitative data collection methods adequate to address the research question?</w:t>
            </w:r>
          </w:p>
        </w:tc>
        <w:tc>
          <w:tcPr>
            <w:tcW w:w="1530" w:type="dxa"/>
            <w:tcBorders>
              <w:top w:val="nil"/>
              <w:left w:val="nil"/>
              <w:bottom w:val="single" w:color="auto" w:sz="4" w:space="0"/>
              <w:right w:val="single" w:color="auto" w:sz="4" w:space="0"/>
            </w:tcBorders>
            <w:tcMar/>
            <w:vAlign w:val="center"/>
            <w:hideMark/>
          </w:tcPr>
          <w:p w:rsidRPr="000565E2" w:rsidR="001F5C01" w:rsidP="69308F79" w:rsidRDefault="44303F48" w14:paraId="4CB67E0D"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1.3. Are the findings adequately derived from the data?</w:t>
            </w:r>
          </w:p>
        </w:tc>
        <w:tc>
          <w:tcPr>
            <w:tcW w:w="1440" w:type="dxa"/>
            <w:tcBorders>
              <w:top w:val="nil"/>
              <w:left w:val="nil"/>
              <w:bottom w:val="single" w:color="auto" w:sz="4" w:space="0"/>
              <w:right w:val="single" w:color="auto" w:sz="4" w:space="0"/>
            </w:tcBorders>
            <w:tcMar/>
            <w:vAlign w:val="center"/>
            <w:hideMark/>
          </w:tcPr>
          <w:p w:rsidRPr="000565E2" w:rsidR="001F5C01" w:rsidP="69308F79" w:rsidRDefault="44303F48" w14:paraId="100EA3E0"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 xml:space="preserve">1.4. Is the interpretation of results sufficiently substantiated by data? </w:t>
            </w:r>
          </w:p>
        </w:tc>
        <w:tc>
          <w:tcPr>
            <w:tcW w:w="1620" w:type="dxa"/>
            <w:tcBorders>
              <w:top w:val="nil"/>
              <w:left w:val="nil"/>
              <w:bottom w:val="single" w:color="auto" w:sz="4" w:space="0"/>
              <w:right w:val="single" w:color="auto" w:sz="4" w:space="0"/>
            </w:tcBorders>
            <w:tcMar/>
            <w:vAlign w:val="center"/>
            <w:hideMark/>
          </w:tcPr>
          <w:p w:rsidRPr="000565E2" w:rsidR="001F5C01" w:rsidP="69308F79" w:rsidRDefault="44303F48" w14:paraId="1CB1891E"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1.5. Is there coherence between qualitative data sources, collection, analysis and interpretation?</w:t>
            </w:r>
          </w:p>
        </w:tc>
        <w:tc>
          <w:tcPr>
            <w:tcW w:w="990" w:type="dxa"/>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61E5F4FA" w14:textId="77777777">
            <w:pPr>
              <w:spacing w:after="0" w:line="240" w:lineRule="auto"/>
              <w:rPr>
                <w:rFonts w:ascii="Times New Roman" w:hAnsi="Times New Roman" w:eastAsia="Times New Roman"/>
                <w:color w:val="000000"/>
                <w:sz w:val="20"/>
                <w:szCs w:val="20"/>
              </w:rPr>
            </w:pPr>
          </w:p>
        </w:tc>
        <w:tc>
          <w:tcPr>
            <w:tcW w:w="2532" w:type="dxa"/>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4DF3F3AF" w14:textId="77777777">
            <w:pPr>
              <w:spacing w:after="0" w:line="240" w:lineRule="auto"/>
              <w:rPr>
                <w:rFonts w:ascii="Times New Roman" w:hAnsi="Times New Roman" w:eastAsia="Times New Roman"/>
                <w:color w:val="000000"/>
                <w:sz w:val="20"/>
                <w:szCs w:val="20"/>
              </w:rPr>
            </w:pPr>
          </w:p>
        </w:tc>
      </w:tr>
      <w:tr w:rsidRPr="00AA6E06" w:rsidR="00DB2395" w:rsidTr="2435053F" w14:paraId="2E57841C" w14:textId="77777777">
        <w:trPr>
          <w:trHeight w:val="2044"/>
        </w:trPr>
        <w:tc>
          <w:tcPr>
            <w:tcW w:w="1255" w:type="dxa"/>
            <w:tcBorders>
              <w:top w:val="nil"/>
              <w:left w:val="single" w:color="auto" w:sz="4" w:space="0"/>
              <w:bottom w:val="single" w:color="auto" w:sz="4" w:space="0"/>
              <w:right w:val="single" w:color="auto" w:sz="4" w:space="0"/>
            </w:tcBorders>
            <w:tcMar/>
            <w:vAlign w:val="center"/>
            <w:hideMark/>
          </w:tcPr>
          <w:p w:rsidRPr="000565E2" w:rsidR="001F5C01" w:rsidP="69308F79" w:rsidRDefault="64896C6F" w14:paraId="638409FC" w14:textId="11171F6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McDaniel et al.</w:t>
            </w:r>
          </w:p>
        </w:tc>
        <w:tc>
          <w:tcPr>
            <w:tcW w:w="810" w:type="dxa"/>
            <w:tcBorders>
              <w:top w:val="nil"/>
              <w:left w:val="nil"/>
              <w:bottom w:val="single" w:color="auto" w:sz="4" w:space="0"/>
              <w:right w:val="single" w:color="auto" w:sz="4" w:space="0"/>
            </w:tcBorders>
            <w:tcMar/>
            <w:vAlign w:val="center"/>
            <w:hideMark/>
          </w:tcPr>
          <w:p w:rsidRPr="000565E2" w:rsidR="001F5C01" w:rsidP="69308F79" w:rsidRDefault="44303F48" w14:paraId="5B7FF843" w14:textId="57F87431">
            <w:pPr>
              <w:spacing w:after="0" w:line="240" w:lineRule="auto"/>
              <w:jc w:val="right"/>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202</w:t>
            </w:r>
            <w:r w:rsidRPr="69308F79" w:rsidR="4A7B44BD">
              <w:rPr>
                <w:rFonts w:ascii="Times New Roman" w:hAnsi="Times New Roman" w:eastAsia="Times New Roman"/>
                <w:color w:val="000000" w:themeColor="text1"/>
                <w:sz w:val="20"/>
                <w:szCs w:val="20"/>
              </w:rPr>
              <w:t>4</w:t>
            </w:r>
          </w:p>
        </w:tc>
        <w:tc>
          <w:tcPr>
            <w:tcW w:w="1170" w:type="dxa"/>
            <w:tcBorders>
              <w:top w:val="nil"/>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4303F48" w14:paraId="57641BD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4303F48" w14:paraId="368E2BAE"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vAlign w:val="center"/>
            <w:hideMark/>
          </w:tcPr>
          <w:p w:rsidRPr="000565E2" w:rsidR="001F5C01" w:rsidP="69308F79" w:rsidRDefault="44303F48" w14:paraId="072E7AB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vAlign w:val="center"/>
            <w:hideMark/>
          </w:tcPr>
          <w:p w:rsidRPr="000565E2" w:rsidR="001F5C01" w:rsidP="69308F79" w:rsidRDefault="44303F48" w14:paraId="1D279E4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vAlign w:val="center"/>
            <w:hideMark/>
          </w:tcPr>
          <w:p w:rsidRPr="000565E2" w:rsidR="001F5C01" w:rsidP="69308F79" w:rsidRDefault="44303F48" w14:paraId="13EF8F57"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vAlign w:val="center"/>
            <w:hideMark/>
          </w:tcPr>
          <w:p w:rsidRPr="000565E2" w:rsidR="001F5C01" w:rsidP="69308F79" w:rsidRDefault="44303F48" w14:paraId="685AC10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620" w:type="dxa"/>
            <w:tcBorders>
              <w:top w:val="nil"/>
              <w:left w:val="nil"/>
              <w:bottom w:val="single" w:color="auto" w:sz="4" w:space="0"/>
              <w:right w:val="single" w:color="auto" w:sz="4" w:space="0"/>
            </w:tcBorders>
            <w:tcMar/>
            <w:vAlign w:val="center"/>
            <w:hideMark/>
          </w:tcPr>
          <w:p w:rsidRPr="000565E2" w:rsidR="001F5C01" w:rsidP="69308F79" w:rsidRDefault="44303F48" w14:paraId="7CAB8A1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990" w:type="dxa"/>
            <w:tcBorders>
              <w:top w:val="nil"/>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4303F48" w14:paraId="5BDCC9A7"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7/7 (high)</w:t>
            </w:r>
          </w:p>
        </w:tc>
        <w:tc>
          <w:tcPr>
            <w:tcW w:w="2532" w:type="dxa"/>
            <w:tcBorders>
              <w:top w:val="nil"/>
              <w:left w:val="nil"/>
              <w:bottom w:val="single" w:color="auto" w:sz="4" w:space="0"/>
              <w:right w:val="single" w:color="auto" w:sz="4" w:space="0"/>
            </w:tcBorders>
            <w:shd w:val="clear" w:color="auto" w:fill="F2F2F2" w:themeFill="background1" w:themeFillShade="F2"/>
            <w:tcMar/>
            <w:vAlign w:val="center"/>
            <w:hideMark/>
          </w:tcPr>
          <w:p w:rsidRPr="000565E2" w:rsidR="001F5C01" w:rsidP="69308F79" w:rsidRDefault="47E80963" w14:paraId="4030E1E9" w14:textId="336D48A3">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Supplemental data provides adequate evidence for themes which support the conclusions drawn in the study 7/7</w:t>
            </w:r>
          </w:p>
        </w:tc>
      </w:tr>
      <w:tr w:rsidRPr="00AA6E06" w:rsidR="001F5C01" w:rsidTr="2435053F" w14:paraId="6E463D67" w14:textId="77777777">
        <w:trPr>
          <w:trHeight w:val="325"/>
        </w:trPr>
        <w:tc>
          <w:tcPr>
            <w:tcW w:w="15577" w:type="dxa"/>
            <w:gridSpan w:val="12"/>
            <w:tcBorders>
              <w:top w:val="single" w:color="auto" w:sz="4" w:space="0"/>
              <w:left w:val="single" w:color="auto" w:sz="4" w:space="0"/>
              <w:bottom w:val="single" w:color="auto" w:sz="4" w:space="0"/>
              <w:right w:val="single" w:color="000000" w:themeColor="text1" w:sz="4" w:space="0"/>
            </w:tcBorders>
            <w:noWrap/>
            <w:tcMar/>
            <w:vAlign w:val="center"/>
            <w:hideMark/>
          </w:tcPr>
          <w:p w:rsidRPr="000565E2" w:rsidR="001F5C01" w:rsidP="69308F79" w:rsidRDefault="44303F48" w14:paraId="6E73DF31"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color w:val="000000" w:themeColor="text1"/>
                <w:sz w:val="20"/>
                <w:szCs w:val="20"/>
              </w:rPr>
              <w:t>Randomized Controlled Trials</w:t>
            </w:r>
          </w:p>
        </w:tc>
      </w:tr>
      <w:tr w:rsidRPr="00AA6E06" w:rsidR="00DB2395" w:rsidTr="2435053F" w14:paraId="23A11F9C" w14:textId="77777777">
        <w:trPr>
          <w:trHeight w:val="1252"/>
        </w:trPr>
        <w:tc>
          <w:tcPr>
            <w:tcW w:w="1255" w:type="dxa"/>
            <w:tcBorders>
              <w:top w:val="nil"/>
              <w:left w:val="single" w:color="auto" w:sz="4" w:space="0"/>
              <w:bottom w:val="single" w:color="auto" w:sz="4" w:space="0"/>
              <w:right w:val="single" w:color="auto" w:sz="4" w:space="0"/>
            </w:tcBorders>
            <w:tcMar/>
            <w:vAlign w:val="center"/>
          </w:tcPr>
          <w:p w:rsidRPr="000565E2" w:rsidR="001F5C01" w:rsidP="69308F79" w:rsidRDefault="001F5C01" w14:paraId="17AE9A1F" w14:textId="77777777">
            <w:pPr>
              <w:spacing w:after="0" w:line="240" w:lineRule="auto"/>
              <w:rPr>
                <w:rFonts w:ascii="Times New Roman" w:hAnsi="Times New Roman" w:eastAsia="Times New Roman"/>
                <w:color w:val="000000"/>
                <w:sz w:val="20"/>
                <w:szCs w:val="20"/>
              </w:rPr>
            </w:pPr>
          </w:p>
        </w:tc>
        <w:tc>
          <w:tcPr>
            <w:tcW w:w="810" w:type="dxa"/>
            <w:tcBorders>
              <w:top w:val="nil"/>
              <w:left w:val="nil"/>
              <w:bottom w:val="single" w:color="auto" w:sz="4" w:space="0"/>
              <w:right w:val="single" w:color="auto" w:sz="4" w:space="0"/>
            </w:tcBorders>
            <w:tcMar/>
            <w:vAlign w:val="center"/>
          </w:tcPr>
          <w:p w:rsidRPr="000565E2" w:rsidR="001F5C01" w:rsidP="69308F79" w:rsidRDefault="001F5C01" w14:paraId="205B5AED" w14:textId="77777777">
            <w:pPr>
              <w:spacing w:after="0" w:line="240" w:lineRule="auto"/>
              <w:rPr>
                <w:rFonts w:ascii="Times New Roman" w:hAnsi="Times New Roman" w:eastAsia="Times New Roman"/>
                <w:color w:val="000000"/>
                <w:sz w:val="20"/>
                <w:szCs w:val="20"/>
              </w:rPr>
            </w:pPr>
          </w:p>
        </w:tc>
        <w:tc>
          <w:tcPr>
            <w:tcW w:w="1170" w:type="dxa"/>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6BBBEA65" w14:textId="77777777">
            <w:pPr>
              <w:spacing w:after="0" w:line="240" w:lineRule="auto"/>
              <w:rPr>
                <w:rFonts w:ascii="Times New Roman" w:hAnsi="Times New Roman" w:eastAsia="Times New Roman"/>
                <w:color w:val="000000"/>
                <w:sz w:val="20"/>
                <w:szCs w:val="20"/>
              </w:rPr>
            </w:pPr>
          </w:p>
        </w:tc>
        <w:tc>
          <w:tcPr>
            <w:tcW w:w="1260" w:type="dxa"/>
            <w:gridSpan w:val="2"/>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231C1CA7" w14:textId="77777777">
            <w:pPr>
              <w:spacing w:after="0" w:line="240" w:lineRule="auto"/>
              <w:rPr>
                <w:rFonts w:ascii="Times New Roman" w:hAnsi="Times New Roman" w:eastAsia="Times New Roman"/>
                <w:color w:val="000000"/>
                <w:sz w:val="20"/>
                <w:szCs w:val="20"/>
              </w:rPr>
            </w:pPr>
          </w:p>
        </w:tc>
        <w:tc>
          <w:tcPr>
            <w:tcW w:w="1440" w:type="dxa"/>
            <w:tcBorders>
              <w:top w:val="nil"/>
              <w:left w:val="nil"/>
              <w:bottom w:val="single" w:color="auto" w:sz="4" w:space="0"/>
              <w:right w:val="single" w:color="auto" w:sz="4" w:space="0"/>
            </w:tcBorders>
            <w:tcMar/>
            <w:hideMark/>
          </w:tcPr>
          <w:p w:rsidRPr="000565E2" w:rsidR="001F5C01" w:rsidP="69308F79" w:rsidRDefault="44303F48" w14:paraId="0884052B"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2.1. Is randomization appropriately performed?</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4BC6F592"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2.2. Are the groups comparable at baseline?</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2AC7CFA9"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2.3. Are there complete outcome data?</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4E765644"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2.4. Are outcome assessors blinded to the intervention provided?</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2CD860AC"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2.5 Did the participants adhere to the assigned intervention?</w:t>
            </w:r>
          </w:p>
        </w:tc>
        <w:tc>
          <w:tcPr>
            <w:tcW w:w="990" w:type="dxa"/>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04016487" w14:textId="77777777">
            <w:pPr>
              <w:spacing w:after="0" w:line="240" w:lineRule="auto"/>
              <w:rPr>
                <w:rFonts w:ascii="Times New Roman" w:hAnsi="Times New Roman" w:eastAsia="Times New Roman"/>
                <w:color w:val="000000"/>
                <w:sz w:val="20"/>
                <w:szCs w:val="20"/>
              </w:rPr>
            </w:pPr>
          </w:p>
        </w:tc>
        <w:tc>
          <w:tcPr>
            <w:tcW w:w="2532" w:type="dxa"/>
            <w:tcBorders>
              <w:top w:val="nil"/>
              <w:left w:val="nil"/>
              <w:bottom w:val="single" w:color="auto" w:sz="4" w:space="0"/>
              <w:right w:val="single" w:color="auto" w:sz="4" w:space="0"/>
            </w:tcBorders>
            <w:shd w:val="clear" w:color="auto" w:fill="F2F2F2" w:themeFill="background1" w:themeFillShade="F2"/>
            <w:tcMar/>
            <w:vAlign w:val="center"/>
          </w:tcPr>
          <w:p w:rsidRPr="000565E2" w:rsidR="001F5C01" w:rsidP="69308F79" w:rsidRDefault="001F5C01" w14:paraId="447A51CE" w14:textId="77777777">
            <w:pPr>
              <w:spacing w:after="0" w:line="240" w:lineRule="auto"/>
              <w:rPr>
                <w:rFonts w:ascii="Times New Roman" w:hAnsi="Times New Roman" w:eastAsia="Times New Roman"/>
                <w:color w:val="000000"/>
                <w:sz w:val="20"/>
                <w:szCs w:val="20"/>
              </w:rPr>
            </w:pPr>
          </w:p>
        </w:tc>
      </w:tr>
      <w:tr w:rsidRPr="00AA6E06" w:rsidR="00DB2395" w:rsidTr="2435053F" w14:paraId="14FA6FE7" w14:textId="77777777">
        <w:trPr>
          <w:trHeight w:val="1072"/>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774659FE"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xml:space="preserve">Currier et al. </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60F7598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2010</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C33BF8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848870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5171B6BE"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127C79A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4C52F0D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24EDB89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4ECFBFA4"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12F7CC4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7/7 (high)</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476551A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Only 2 people in MCU group out of n=58 did not receive their intervention and were excluded. Nobody received the wrong intervention. The study included comparable groups, blind interventions, and the outcome data was complete.</w:t>
            </w:r>
          </w:p>
        </w:tc>
      </w:tr>
      <w:tr w:rsidRPr="00AA6E06" w:rsidR="001F5C01" w:rsidTr="2435053F" w14:paraId="2FD23DC3" w14:textId="77777777">
        <w:trPr>
          <w:trHeight w:val="370"/>
        </w:trPr>
        <w:tc>
          <w:tcPr>
            <w:tcW w:w="15577" w:type="dxa"/>
            <w:gridSpan w:val="12"/>
            <w:tcBorders>
              <w:top w:val="single" w:color="auto" w:sz="4" w:space="0"/>
              <w:left w:val="single" w:color="auto" w:sz="4" w:space="0"/>
              <w:bottom w:val="single" w:color="auto" w:sz="4" w:space="0"/>
              <w:right w:val="single" w:color="auto" w:sz="4" w:space="0"/>
            </w:tcBorders>
            <w:noWrap/>
            <w:tcMar/>
            <w:hideMark/>
          </w:tcPr>
          <w:p w:rsidRPr="000565E2" w:rsidR="001F5C01" w:rsidP="69308F79" w:rsidRDefault="44303F48" w14:paraId="66A3AA89"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color w:val="000000" w:themeColor="text1"/>
                <w:sz w:val="20"/>
                <w:szCs w:val="20"/>
              </w:rPr>
              <w:t>Non-Randomized Studies</w:t>
            </w:r>
          </w:p>
        </w:tc>
      </w:tr>
      <w:tr w:rsidRPr="00AA6E06" w:rsidR="00DB2395" w:rsidTr="2435053F" w14:paraId="016B3CF4" w14:textId="77777777">
        <w:trPr>
          <w:trHeight w:val="1864"/>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2F981C36"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797F0A3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19B7246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21FCC0E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788192A4"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3.1. Are the participants representative of the target population?</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1DE3A247"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3.2. Are measurements appropriate regarding both the outcome and intervention (or exposure)?</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40D54BA5"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3.3. Are there complete outcome data?</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51C3C837"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3.4. Are the confounders accounted for in the design and analysis?</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5EE4C690"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3.5. During the study period, is the intervention administered (or exposure occurred) as intended?</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9A2615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57C6CEB"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r>
      <w:tr w:rsidRPr="00AA6E06" w:rsidR="00DB2395" w:rsidTr="2435053F" w14:paraId="0986028D" w14:textId="77777777">
        <w:trPr>
          <w:trHeight w:val="2160"/>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0A0E1E5B"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xml:space="preserve">Dyches et al. </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5AAF4800"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2002</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1169FD29"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2A21BEE6"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6BA54F7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No</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3FE5DD1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705EE3C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0354A31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Can't tell</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61011E3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2F0152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5/7 (medium)</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4F68FB8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The study sacrificed external validity to the population receiving MCU services to better match hospital controls. The study design appeared thoughtfully implemented with no evident missing data. Authors did discuss that since they didn't do primary data collection there may have been additional confounders that they could not measure.</w:t>
            </w:r>
          </w:p>
        </w:tc>
      </w:tr>
      <w:tr w:rsidRPr="00AA6E06" w:rsidR="00DB2395" w:rsidTr="2435053F" w14:paraId="2921C36F" w14:textId="77777777">
        <w:trPr>
          <w:trHeight w:val="1432"/>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751C8E8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xml:space="preserve">Fendrich et al. </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63957AF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2019</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789AEAA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6A283CB0"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24AD2540"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No</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217ABEA6"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7CF0BB3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3A4A65A6"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532A6E24"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1DD036F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6/7 (high)</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57D8898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The study only included youths enrolled in Medicaid even though service is available for all youths. Other than that, all fields seem to be met.</w:t>
            </w:r>
          </w:p>
        </w:tc>
      </w:tr>
      <w:tr w:rsidRPr="00AA6E06" w:rsidR="00DB2395" w:rsidTr="2435053F" w14:paraId="7CC50C6E" w14:textId="77777777">
        <w:trPr>
          <w:trHeight w:val="91"/>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0B742D29" w14:paraId="0F5351AB" w14:textId="180328D3">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Swanson et al.</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0A70C685" w14:textId="6413A07C">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202</w:t>
            </w:r>
            <w:r w:rsidRPr="69308F79" w:rsidR="0B742D29">
              <w:rPr>
                <w:rFonts w:ascii="Times New Roman" w:hAnsi="Times New Roman" w:eastAsia="Times New Roman"/>
                <w:color w:val="000000" w:themeColor="text1"/>
                <w:sz w:val="20"/>
                <w:szCs w:val="20"/>
              </w:rPr>
              <w:t>5</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237C950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7D6E675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0F80469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472190D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6DBE2420"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327CDD4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620" w:type="dxa"/>
            <w:tcBorders>
              <w:top w:val="nil"/>
              <w:left w:val="nil"/>
              <w:bottom w:val="single" w:color="auto" w:sz="4" w:space="0"/>
              <w:right w:val="single" w:color="auto" w:sz="4" w:space="0"/>
            </w:tcBorders>
            <w:tcMar/>
            <w:hideMark/>
          </w:tcPr>
          <w:p w:rsidRPr="000565E2" w:rsidR="001F5C01" w:rsidP="69308F79" w:rsidRDefault="0B742D29" w14:paraId="7B41DE28" w14:textId="0A3F35FF">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Can’t tell</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0B742D29" w14:paraId="28F49DEB" w14:textId="4C8C4384">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6</w:t>
            </w:r>
            <w:r w:rsidRPr="69308F79" w:rsidR="44303F48">
              <w:rPr>
                <w:rFonts w:ascii="Times New Roman" w:hAnsi="Times New Roman" w:eastAsia="Times New Roman"/>
                <w:sz w:val="20"/>
                <w:szCs w:val="20"/>
              </w:rPr>
              <w:t>/7 (high)</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009A7404" w14:paraId="4B5AFDBD" w14:textId="4C4A1785">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The study</w:t>
            </w:r>
            <w:r w:rsidRPr="69308F79" w:rsidR="4FEC1A28">
              <w:rPr>
                <w:rFonts w:ascii="Times New Roman" w:hAnsi="Times New Roman" w:eastAsia="Times New Roman"/>
                <w:sz w:val="20"/>
                <w:szCs w:val="20"/>
              </w:rPr>
              <w:t xml:space="preserve"> use</w:t>
            </w:r>
            <w:r w:rsidRPr="69308F79">
              <w:rPr>
                <w:rFonts w:ascii="Times New Roman" w:hAnsi="Times New Roman" w:eastAsia="Times New Roman"/>
                <w:sz w:val="20"/>
                <w:szCs w:val="20"/>
              </w:rPr>
              <w:t>d</w:t>
            </w:r>
            <w:r w:rsidRPr="69308F79" w:rsidR="4FEC1A28">
              <w:rPr>
                <w:rFonts w:ascii="Times New Roman" w:hAnsi="Times New Roman" w:eastAsia="Times New Roman"/>
                <w:sz w:val="20"/>
                <w:szCs w:val="20"/>
              </w:rPr>
              <w:t xml:space="preserve"> inverse probability of treatment weighting to account for confounders. Cannot tell if any of the individuals received care from multiple </w:t>
            </w:r>
            <w:r w:rsidRPr="69308F79">
              <w:rPr>
                <w:rFonts w:ascii="Times New Roman" w:hAnsi="Times New Roman" w:eastAsia="Times New Roman"/>
                <w:sz w:val="20"/>
                <w:szCs w:val="20"/>
              </w:rPr>
              <w:t>non-law</w:t>
            </w:r>
            <w:r w:rsidRPr="69308F79" w:rsidR="7F16F748">
              <w:rPr>
                <w:rFonts w:ascii="Times New Roman" w:hAnsi="Times New Roman" w:eastAsia="Times New Roman"/>
                <w:sz w:val="20"/>
                <w:szCs w:val="20"/>
              </w:rPr>
              <w:t xml:space="preserve">-enforcement services, which may introduce confounding. </w:t>
            </w:r>
            <w:r w:rsidRPr="69308F79" w:rsidR="4FEC1A28">
              <w:rPr>
                <w:rFonts w:ascii="Times New Roman" w:hAnsi="Times New Roman" w:eastAsia="Times New Roman"/>
                <w:sz w:val="20"/>
                <w:szCs w:val="20"/>
              </w:rPr>
              <w:t>6/7</w:t>
            </w:r>
          </w:p>
        </w:tc>
      </w:tr>
      <w:tr w:rsidRPr="00AA6E06" w:rsidR="00DB2395" w:rsidTr="2435053F" w14:paraId="3FDE75A9" w14:textId="77777777">
        <w:trPr>
          <w:trHeight w:val="60"/>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2E7AD0D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xml:space="preserve">Guo et al. </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38A9E1AE"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2001</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68439E6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521FA7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03918D0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01DC266E"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75BAF81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20CD6C8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03C9F29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Can't tell</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756BE8A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6/7 (high)</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47CA885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It was unclear how the study dealt with patients who received care from both MCUs and the hospital, which could have distorted the results.</w:t>
            </w:r>
          </w:p>
        </w:tc>
      </w:tr>
      <w:tr w:rsidRPr="00AA6E06" w:rsidR="00DB2395" w:rsidTr="2435053F" w14:paraId="1EC80AC8" w14:textId="77777777">
        <w:trPr>
          <w:trHeight w:val="4032"/>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32F265C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Holland and Tran</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1837720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2010</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221EAEF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E2A2E1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033605D7"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00080507" w14:paraId="4A8ABD68" w14:textId="307F2810">
            <w:pPr>
              <w:spacing w:after="0" w:line="240" w:lineRule="auto"/>
              <w:rPr>
                <w:rFonts w:ascii="Times New Roman" w:hAnsi="Times New Roman" w:eastAsia="Times New Roman"/>
                <w:color w:val="000000"/>
                <w:sz w:val="20"/>
                <w:szCs w:val="20"/>
              </w:rPr>
            </w:pPr>
            <w:r>
              <w:rPr>
                <w:rFonts w:ascii="Times New Roman" w:hAnsi="Times New Roman" w:eastAsia="Times New Roman"/>
                <w:color w:val="000000" w:themeColor="text1"/>
                <w:sz w:val="20"/>
                <w:szCs w:val="20"/>
              </w:rPr>
              <w:t>No</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4791106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Can't tell</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232E42A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No</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40C03D0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Can't tell</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00080507" w14:paraId="29F274D6" w14:textId="36683978">
            <w:pPr>
              <w:spacing w:after="0" w:line="240" w:lineRule="auto"/>
              <w:rPr>
                <w:rFonts w:ascii="Times New Roman" w:hAnsi="Times New Roman" w:eastAsia="Times New Roman"/>
                <w:color w:val="000000"/>
                <w:sz w:val="20"/>
                <w:szCs w:val="20"/>
              </w:rPr>
            </w:pPr>
            <w:r w:rsidRPr="6EA11646">
              <w:rPr>
                <w:rFonts w:ascii="Times New Roman" w:hAnsi="Times New Roman" w:eastAsia="Times New Roman"/>
                <w:sz w:val="20"/>
                <w:szCs w:val="20"/>
              </w:rPr>
              <w:t>3</w:t>
            </w:r>
            <w:r w:rsidRPr="6EA11646" w:rsidR="44303F48">
              <w:rPr>
                <w:rFonts w:ascii="Times New Roman" w:hAnsi="Times New Roman" w:eastAsia="Times New Roman"/>
                <w:sz w:val="20"/>
                <w:szCs w:val="20"/>
              </w:rPr>
              <w:t>/7 (</w:t>
            </w:r>
            <w:r w:rsidRPr="6EA11646" w:rsidR="05ECC06D">
              <w:rPr>
                <w:rFonts w:ascii="Times New Roman" w:hAnsi="Times New Roman" w:eastAsia="Times New Roman"/>
                <w:sz w:val="20"/>
                <w:szCs w:val="20"/>
              </w:rPr>
              <w:t>medium</w:t>
            </w:r>
            <w:r w:rsidRPr="6EA11646" w:rsidR="44303F48">
              <w:rPr>
                <w:rFonts w:ascii="Times New Roman" w:hAnsi="Times New Roman" w:eastAsia="Times New Roman"/>
                <w:sz w:val="20"/>
                <w:szCs w:val="20"/>
              </w:rPr>
              <w:t>)</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EA11646" w:rsidRDefault="2C777919" w14:paraId="5579052A" w14:textId="6ABCCDB8">
            <w:pPr>
              <w:spacing w:after="0" w:line="240" w:lineRule="auto"/>
              <w:rPr>
                <w:rFonts w:ascii="Times New Roman" w:hAnsi="Times New Roman" w:eastAsia="Times New Roman"/>
                <w:sz w:val="20"/>
                <w:szCs w:val="20"/>
              </w:rPr>
            </w:pPr>
            <w:r w:rsidRPr="2435053F" w:rsidR="2C777919">
              <w:rPr>
                <w:rFonts w:ascii="Times New Roman" w:hAnsi="Times New Roman" w:eastAsia="Times New Roman"/>
                <w:sz w:val="20"/>
                <w:szCs w:val="20"/>
              </w:rPr>
              <w:t>The</w:t>
            </w:r>
            <w:r w:rsidRPr="2435053F" w:rsidR="7B11771D">
              <w:rPr>
                <w:rFonts w:ascii="Times New Roman" w:hAnsi="Times New Roman" w:eastAsia="Times New Roman"/>
                <w:sz w:val="20"/>
                <w:szCs w:val="20"/>
              </w:rPr>
              <w:t xml:space="preserve"> binary</w:t>
            </w:r>
            <w:r w:rsidRPr="2435053F" w:rsidR="2C777919">
              <w:rPr>
                <w:rFonts w:ascii="Times New Roman" w:hAnsi="Times New Roman" w:eastAsia="Times New Roman"/>
                <w:sz w:val="20"/>
                <w:szCs w:val="20"/>
              </w:rPr>
              <w:t xml:space="preserve"> outcome variable used in this study was </w:t>
            </w:r>
            <w:r w:rsidRPr="2435053F" w:rsidR="615B4365">
              <w:rPr>
                <w:rFonts w:ascii="Times New Roman" w:hAnsi="Times New Roman" w:eastAsia="Times New Roman"/>
                <w:sz w:val="20"/>
                <w:szCs w:val="20"/>
              </w:rPr>
              <w:t>too broad to be informative</w:t>
            </w:r>
            <w:r w:rsidRPr="2435053F" w:rsidR="640139D4">
              <w:rPr>
                <w:rFonts w:ascii="Times New Roman" w:hAnsi="Times New Roman" w:eastAsia="Times New Roman"/>
                <w:sz w:val="20"/>
                <w:szCs w:val="20"/>
              </w:rPr>
              <w:t xml:space="preserve">; both </w:t>
            </w:r>
            <w:r w:rsidRPr="2435053F" w:rsidR="2C777919">
              <w:rPr>
                <w:rFonts w:ascii="Times New Roman" w:hAnsi="Times New Roman" w:eastAsia="Times New Roman"/>
                <w:sz w:val="20"/>
                <w:szCs w:val="20"/>
              </w:rPr>
              <w:t xml:space="preserve">hospital admission </w:t>
            </w:r>
            <w:r w:rsidRPr="2435053F" w:rsidR="2C777919">
              <w:rPr>
                <w:rFonts w:ascii="Times New Roman" w:hAnsi="Times New Roman" w:eastAsia="Times New Roman"/>
                <w:sz w:val="20"/>
                <w:szCs w:val="20"/>
              </w:rPr>
              <w:t>or</w:t>
            </w:r>
            <w:r w:rsidRPr="2435053F" w:rsidR="2C777919">
              <w:rPr>
                <w:rFonts w:ascii="Times New Roman" w:hAnsi="Times New Roman" w:eastAsia="Times New Roman"/>
                <w:sz w:val="20"/>
                <w:szCs w:val="20"/>
              </w:rPr>
              <w:t xml:space="preserve"> discharge with a follow-up plan</w:t>
            </w:r>
            <w:r w:rsidRPr="2435053F" w:rsidR="260429EB">
              <w:rPr>
                <w:rFonts w:ascii="Times New Roman" w:hAnsi="Times New Roman" w:eastAsia="Times New Roman"/>
                <w:sz w:val="20"/>
                <w:szCs w:val="20"/>
              </w:rPr>
              <w:t xml:space="preserve"> led to a 1 for the outcome</w:t>
            </w:r>
            <w:r w:rsidRPr="2435053F" w:rsidR="2C777919">
              <w:rPr>
                <w:rFonts w:ascii="Times New Roman" w:hAnsi="Times New Roman" w:eastAsia="Times New Roman"/>
                <w:sz w:val="20"/>
                <w:szCs w:val="20"/>
              </w:rPr>
              <w:t xml:space="preserve">. As MCU and co-responder staff </w:t>
            </w:r>
            <w:r w:rsidRPr="2435053F" w:rsidR="3470B7F8">
              <w:rPr>
                <w:rFonts w:ascii="Times New Roman" w:hAnsi="Times New Roman" w:eastAsia="Times New Roman"/>
                <w:sz w:val="20"/>
                <w:szCs w:val="20"/>
              </w:rPr>
              <w:t xml:space="preserve">both </w:t>
            </w:r>
            <w:r w:rsidRPr="2435053F" w:rsidR="3470B7F8">
              <w:rPr>
                <w:rFonts w:ascii="Times New Roman" w:hAnsi="Times New Roman" w:eastAsia="Times New Roman"/>
                <w:sz w:val="20"/>
                <w:szCs w:val="20"/>
              </w:rPr>
              <w:t>initiate</w:t>
            </w:r>
            <w:r w:rsidRPr="2435053F" w:rsidR="3470B7F8">
              <w:rPr>
                <w:rFonts w:ascii="Times New Roman" w:hAnsi="Times New Roman" w:eastAsia="Times New Roman"/>
                <w:sz w:val="20"/>
                <w:szCs w:val="20"/>
              </w:rPr>
              <w:t xml:space="preserve"> involuntary proceedings and </w:t>
            </w:r>
            <w:r w:rsidRPr="2435053F" w:rsidR="2C777919">
              <w:rPr>
                <w:rFonts w:ascii="Times New Roman" w:hAnsi="Times New Roman" w:eastAsia="Times New Roman"/>
                <w:sz w:val="20"/>
                <w:szCs w:val="20"/>
              </w:rPr>
              <w:t xml:space="preserve">ca influence </w:t>
            </w:r>
            <w:r w:rsidRPr="2435053F" w:rsidR="0B4F37AC">
              <w:rPr>
                <w:rFonts w:ascii="Times New Roman" w:hAnsi="Times New Roman" w:eastAsia="Times New Roman"/>
                <w:sz w:val="20"/>
                <w:szCs w:val="20"/>
              </w:rPr>
              <w:t xml:space="preserve">both </w:t>
            </w:r>
            <w:r w:rsidRPr="2435053F" w:rsidR="2C777919">
              <w:rPr>
                <w:rFonts w:ascii="Times New Roman" w:hAnsi="Times New Roman" w:eastAsia="Times New Roman"/>
                <w:sz w:val="20"/>
                <w:szCs w:val="20"/>
              </w:rPr>
              <w:t xml:space="preserve">discharge planning, </w:t>
            </w:r>
            <w:r w:rsidRPr="2435053F" w:rsidR="563CB375">
              <w:rPr>
                <w:rFonts w:ascii="Times New Roman" w:hAnsi="Times New Roman" w:eastAsia="Times New Roman" w:cs="Times New Roman"/>
                <w:noProof w:val="0"/>
                <w:sz w:val="20"/>
                <w:szCs w:val="20"/>
                <w:lang w:val="en-US"/>
              </w:rPr>
              <w:t xml:space="preserve">the </w:t>
            </w:r>
            <w:r w:rsidRPr="2435053F" w:rsidR="18D86FFF">
              <w:rPr>
                <w:rFonts w:ascii="Times New Roman" w:hAnsi="Times New Roman" w:eastAsia="Times New Roman" w:cs="Times New Roman"/>
                <w:noProof w:val="0"/>
                <w:sz w:val="20"/>
                <w:szCs w:val="20"/>
                <w:lang w:val="en-US"/>
              </w:rPr>
              <w:t xml:space="preserve">mechanism by which the MCU exerts its effect on the outcome is unclear. </w:t>
            </w:r>
          </w:p>
        </w:tc>
      </w:tr>
      <w:tr w:rsidRPr="00AA6E06" w:rsidR="00DB2395" w:rsidTr="2435053F" w14:paraId="6001DAB7" w14:textId="77777777">
        <w:trPr>
          <w:trHeight w:val="2016"/>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7FE101A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xml:space="preserve">Vakkalanka et al. </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760A1D8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2021</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7D1C3349"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DE876F9"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1A290740"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3307DF1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5006621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Can't tell</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1FED6240"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No</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70DEE19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180CAA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5/7 (medium)</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4EC1582"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The study could not capture ED follow up at other hospitals during the same time frame and mentioned unclear level of missing data. The study did not adjust for confounding caused by difference between patients who received MCU before or after visiting the ED.</w:t>
            </w:r>
          </w:p>
        </w:tc>
      </w:tr>
      <w:tr w:rsidRPr="00AA6E06" w:rsidR="001F5C01" w:rsidTr="2435053F" w14:paraId="5B535321" w14:textId="77777777">
        <w:trPr>
          <w:trHeight w:val="370"/>
        </w:trPr>
        <w:tc>
          <w:tcPr>
            <w:tcW w:w="15577" w:type="dxa"/>
            <w:gridSpan w:val="12"/>
            <w:tcBorders>
              <w:top w:val="single" w:color="auto" w:sz="4" w:space="0"/>
              <w:left w:val="single" w:color="auto" w:sz="4" w:space="0"/>
              <w:bottom w:val="single" w:color="auto" w:sz="4" w:space="0"/>
              <w:right w:val="single" w:color="auto" w:sz="4" w:space="0"/>
            </w:tcBorders>
            <w:noWrap/>
            <w:tcMar/>
            <w:hideMark/>
          </w:tcPr>
          <w:p w:rsidRPr="000565E2" w:rsidR="001F5C01" w:rsidP="69308F79" w:rsidRDefault="44303F48" w14:paraId="42308B0D" w14:textId="77777777">
            <w:pPr>
              <w:spacing w:after="0" w:line="240" w:lineRule="auto"/>
              <w:jc w:val="center"/>
              <w:rPr>
                <w:rFonts w:ascii="Times New Roman" w:hAnsi="Times New Roman" w:eastAsia="Times New Roman"/>
                <w:b/>
                <w:bCs/>
                <w:color w:val="000000"/>
                <w:sz w:val="20"/>
                <w:szCs w:val="20"/>
              </w:rPr>
            </w:pPr>
            <w:r w:rsidRPr="69308F79">
              <w:rPr>
                <w:rFonts w:ascii="Times New Roman" w:hAnsi="Times New Roman" w:eastAsia="Times New Roman"/>
                <w:b/>
                <w:bCs/>
                <w:color w:val="000000" w:themeColor="text1"/>
                <w:sz w:val="20"/>
                <w:szCs w:val="20"/>
              </w:rPr>
              <w:t>Quantitative Descriptive Studies</w:t>
            </w:r>
          </w:p>
        </w:tc>
      </w:tr>
      <w:tr w:rsidRPr="00AA6E06" w:rsidR="00DB2395" w:rsidTr="2435053F" w14:paraId="4FA31E9E" w14:textId="77777777">
        <w:trPr>
          <w:trHeight w:val="1440"/>
        </w:trPr>
        <w:tc>
          <w:tcPr>
            <w:tcW w:w="1255" w:type="dxa"/>
            <w:tcBorders>
              <w:top w:val="nil"/>
              <w:left w:val="single" w:color="auto" w:sz="4" w:space="0"/>
              <w:bottom w:val="single" w:color="auto" w:sz="4" w:space="0"/>
              <w:right w:val="single" w:color="auto" w:sz="4" w:space="0"/>
            </w:tcBorders>
            <w:noWrap/>
            <w:tcMar/>
            <w:hideMark/>
          </w:tcPr>
          <w:p w:rsidRPr="000565E2" w:rsidR="001F5C01" w:rsidP="69308F79" w:rsidRDefault="44303F48" w14:paraId="26A8F7E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810" w:type="dxa"/>
            <w:tcBorders>
              <w:top w:val="nil"/>
              <w:left w:val="nil"/>
              <w:bottom w:val="single" w:color="auto" w:sz="4" w:space="0"/>
              <w:right w:val="single" w:color="auto" w:sz="4" w:space="0"/>
            </w:tcBorders>
            <w:noWrap/>
            <w:tcMar/>
            <w:hideMark/>
          </w:tcPr>
          <w:p w:rsidRPr="000565E2" w:rsidR="001F5C01" w:rsidP="69308F79" w:rsidRDefault="44303F48" w14:paraId="3B3BF7E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6A1D9E5"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0A30E78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112F0EDF"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4.1. Is the sampling strategy relevant to address the research question?</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555A38E8"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4.2. Is the sample representative of the target population?</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01460975"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4.3. Are the measurements appropriate?</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76E57391"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4.4. Is the risk of nonresponse bias low?</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5B8F6601" w14:textId="77777777">
            <w:pPr>
              <w:spacing w:after="0" w:line="240" w:lineRule="auto"/>
              <w:rPr>
                <w:rFonts w:ascii="Times New Roman" w:hAnsi="Times New Roman" w:eastAsia="Times New Roman"/>
                <w:i/>
                <w:iCs/>
                <w:color w:val="000000"/>
                <w:sz w:val="20"/>
                <w:szCs w:val="20"/>
              </w:rPr>
            </w:pPr>
            <w:r w:rsidRPr="69308F79">
              <w:rPr>
                <w:rFonts w:ascii="Times New Roman" w:hAnsi="Times New Roman" w:eastAsia="Times New Roman"/>
                <w:i/>
                <w:iCs/>
                <w:color w:val="000000" w:themeColor="text1"/>
                <w:sz w:val="20"/>
                <w:szCs w:val="20"/>
              </w:rPr>
              <w:t>4.5. Is the statistical analysis appropriate to answer the research question?</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27492223"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BAF502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 </w:t>
            </w:r>
          </w:p>
        </w:tc>
      </w:tr>
      <w:tr w:rsidRPr="00AA6E06" w:rsidR="00DB2395" w:rsidTr="2435053F" w14:paraId="1D7EB800" w14:textId="77777777">
        <w:trPr>
          <w:trHeight w:val="1770"/>
        </w:trPr>
        <w:tc>
          <w:tcPr>
            <w:tcW w:w="1255" w:type="dxa"/>
            <w:tcBorders>
              <w:top w:val="nil"/>
              <w:left w:val="single" w:color="auto" w:sz="4" w:space="0"/>
              <w:bottom w:val="single" w:color="auto" w:sz="4" w:space="0"/>
              <w:right w:val="single" w:color="auto" w:sz="4" w:space="0"/>
            </w:tcBorders>
            <w:tcMar/>
            <w:hideMark/>
          </w:tcPr>
          <w:p w:rsidRPr="000565E2" w:rsidR="001F5C01" w:rsidP="69308F79" w:rsidRDefault="44303F48" w14:paraId="3FDA788D"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Vanderploeg et al.</w:t>
            </w:r>
          </w:p>
        </w:tc>
        <w:tc>
          <w:tcPr>
            <w:tcW w:w="810" w:type="dxa"/>
            <w:tcBorders>
              <w:top w:val="nil"/>
              <w:left w:val="nil"/>
              <w:bottom w:val="single" w:color="auto" w:sz="4" w:space="0"/>
              <w:right w:val="single" w:color="auto" w:sz="4" w:space="0"/>
            </w:tcBorders>
            <w:tcMar/>
            <w:hideMark/>
          </w:tcPr>
          <w:p w:rsidRPr="000565E2" w:rsidR="001F5C01" w:rsidP="69308F79" w:rsidRDefault="44303F48" w14:paraId="3B4F9B4E"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2016</w:t>
            </w:r>
          </w:p>
        </w:tc>
        <w:tc>
          <w:tcPr>
            <w:tcW w:w="117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7805D04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260" w:type="dxa"/>
            <w:gridSpan w:val="2"/>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1213546A"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0A9A114C"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5396393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530" w:type="dxa"/>
            <w:tcBorders>
              <w:top w:val="nil"/>
              <w:left w:val="nil"/>
              <w:bottom w:val="single" w:color="auto" w:sz="4" w:space="0"/>
              <w:right w:val="single" w:color="auto" w:sz="4" w:space="0"/>
            </w:tcBorders>
            <w:tcMar/>
            <w:hideMark/>
          </w:tcPr>
          <w:p w:rsidRPr="000565E2" w:rsidR="001F5C01" w:rsidP="69308F79" w:rsidRDefault="44303F48" w14:paraId="451E046B"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440" w:type="dxa"/>
            <w:tcBorders>
              <w:top w:val="nil"/>
              <w:left w:val="nil"/>
              <w:bottom w:val="single" w:color="auto" w:sz="4" w:space="0"/>
              <w:right w:val="single" w:color="auto" w:sz="4" w:space="0"/>
            </w:tcBorders>
            <w:tcMar/>
            <w:hideMark/>
          </w:tcPr>
          <w:p w:rsidRPr="000565E2" w:rsidR="001F5C01" w:rsidP="69308F79" w:rsidRDefault="44303F48" w14:paraId="2B9C460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1620" w:type="dxa"/>
            <w:tcBorders>
              <w:top w:val="nil"/>
              <w:left w:val="nil"/>
              <w:bottom w:val="single" w:color="auto" w:sz="4" w:space="0"/>
              <w:right w:val="single" w:color="auto" w:sz="4" w:space="0"/>
            </w:tcBorders>
            <w:tcMar/>
            <w:hideMark/>
          </w:tcPr>
          <w:p w:rsidRPr="000565E2" w:rsidR="001F5C01" w:rsidP="69308F79" w:rsidRDefault="44303F48" w14:paraId="253652A1"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color w:val="000000" w:themeColor="text1"/>
                <w:sz w:val="20"/>
                <w:szCs w:val="20"/>
              </w:rPr>
              <w:t>Yes</w:t>
            </w:r>
          </w:p>
        </w:tc>
        <w:tc>
          <w:tcPr>
            <w:tcW w:w="990"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300CC228"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7/7 (high)</w:t>
            </w:r>
          </w:p>
        </w:tc>
        <w:tc>
          <w:tcPr>
            <w:tcW w:w="2532" w:type="dxa"/>
            <w:tcBorders>
              <w:top w:val="nil"/>
              <w:left w:val="nil"/>
              <w:bottom w:val="single" w:color="auto" w:sz="4" w:space="0"/>
              <w:right w:val="single" w:color="auto" w:sz="4" w:space="0"/>
            </w:tcBorders>
            <w:shd w:val="clear" w:color="auto" w:fill="F2F2F2" w:themeFill="background1" w:themeFillShade="F2"/>
            <w:tcMar/>
            <w:hideMark/>
          </w:tcPr>
          <w:p w:rsidRPr="000565E2" w:rsidR="001F5C01" w:rsidP="69308F79" w:rsidRDefault="44303F48" w14:paraId="74813FEF" w14:textId="77777777">
            <w:pPr>
              <w:spacing w:after="0" w:line="240" w:lineRule="auto"/>
              <w:rPr>
                <w:rFonts w:ascii="Times New Roman" w:hAnsi="Times New Roman" w:eastAsia="Times New Roman"/>
                <w:color w:val="000000"/>
                <w:sz w:val="20"/>
                <w:szCs w:val="20"/>
              </w:rPr>
            </w:pPr>
            <w:r w:rsidRPr="69308F79">
              <w:rPr>
                <w:rFonts w:ascii="Times New Roman" w:hAnsi="Times New Roman" w:eastAsia="Times New Roman"/>
                <w:sz w:val="20"/>
                <w:szCs w:val="20"/>
              </w:rPr>
              <w:t xml:space="preserve">Robust and complete data set that has been cleaned and has no indication of missing data. Data set seems to capture nearly all incidences of care across the state. Defined goals of the study are met.  </w:t>
            </w:r>
          </w:p>
        </w:tc>
      </w:tr>
    </w:tbl>
    <w:p w:rsidR="001F5C01" w:rsidP="001F5C01" w:rsidRDefault="001F5C01" w14:paraId="21659B5D" w14:textId="77777777">
      <w:pPr>
        <w:rPr>
          <w:rFonts w:ascii="Times New Roman" w:hAnsi="Times New Roman"/>
        </w:rPr>
      </w:pPr>
      <w:r>
        <w:rPr>
          <w:rFonts w:ascii="Times New Roman" w:hAnsi="Times New Roman"/>
        </w:rPr>
        <w:t>ED = Emergency Department; MCU = Mobile crisis unit</w:t>
      </w:r>
    </w:p>
    <w:p w:rsidR="00262CB6" w:rsidP="001F5C01" w:rsidRDefault="00262CB6" w14:paraId="532C7292" w14:textId="77777777">
      <w:pPr>
        <w:rPr>
          <w:rFonts w:ascii="Times New Roman" w:hAnsi="Times New Roman"/>
        </w:rPr>
      </w:pPr>
    </w:p>
    <w:p w:rsidR="00262CB6" w:rsidP="001F5C01" w:rsidRDefault="00262CB6" w14:paraId="4DE735D6" w14:textId="77777777">
      <w:pPr>
        <w:rPr>
          <w:rFonts w:ascii="Times New Roman" w:hAnsi="Times New Roman"/>
        </w:rPr>
      </w:pPr>
    </w:p>
    <w:p w:rsidR="00262CB6" w:rsidP="001F5C01" w:rsidRDefault="00262CB6" w14:paraId="0DAC9A0B" w14:textId="77777777">
      <w:pPr>
        <w:rPr>
          <w:rFonts w:ascii="Times New Roman" w:hAnsi="Times New Roman"/>
        </w:rPr>
      </w:pPr>
    </w:p>
    <w:p w:rsidR="00262CB6" w:rsidP="001F5C01" w:rsidRDefault="00262CB6" w14:paraId="23E14EAE" w14:textId="77777777">
      <w:pPr>
        <w:rPr>
          <w:rFonts w:ascii="Times New Roman" w:hAnsi="Times New Roman"/>
        </w:rPr>
      </w:pPr>
    </w:p>
    <w:p w:rsidR="00262CB6" w:rsidP="001F5C01" w:rsidRDefault="00262CB6" w14:paraId="6ED55554" w14:textId="77777777">
      <w:pPr>
        <w:rPr>
          <w:rFonts w:ascii="Times New Roman" w:hAnsi="Times New Roman"/>
        </w:rPr>
      </w:pPr>
    </w:p>
    <w:p w:rsidR="00262CB6" w:rsidP="001F5C01" w:rsidRDefault="00262CB6" w14:paraId="309F5817" w14:textId="77777777">
      <w:pPr>
        <w:rPr>
          <w:rFonts w:ascii="Times New Roman" w:hAnsi="Times New Roman"/>
        </w:rPr>
      </w:pPr>
    </w:p>
    <w:p w:rsidR="00262CB6" w:rsidP="001F5C01" w:rsidRDefault="00262CB6" w14:paraId="5402E7D8" w14:textId="77777777">
      <w:pPr>
        <w:rPr>
          <w:rFonts w:ascii="Times New Roman" w:hAnsi="Times New Roman"/>
        </w:rPr>
      </w:pPr>
    </w:p>
    <w:p w:rsidRPr="00E634D7" w:rsidR="00262CB6" w:rsidP="001F5C01" w:rsidRDefault="00262CB6" w14:paraId="267FCA2A" w14:textId="77777777">
      <w:pPr>
        <w:rPr>
          <w:rFonts w:ascii="Times New Roman" w:hAnsi="Times New Roman"/>
        </w:rPr>
      </w:pPr>
    </w:p>
    <w:p w:rsidRPr="000565E2" w:rsidR="001F5C01" w:rsidP="69308F79" w:rsidRDefault="001F5C01" w14:paraId="7686947B" w14:textId="24598B9F">
      <w:pPr>
        <w:rPr>
          <w:rFonts w:ascii="Times New Roman" w:hAnsi="Times New Roman"/>
          <w:b/>
          <w:bCs/>
        </w:rPr>
      </w:pPr>
    </w:p>
    <w:p w:rsidRPr="000565E2" w:rsidR="001F5C01" w:rsidP="69308F79" w:rsidRDefault="44303F48" w14:paraId="5205FD93" w14:textId="637ABC1C">
      <w:pPr>
        <w:rPr>
          <w:rFonts w:ascii="Times New Roman" w:hAnsi="Times New Roman"/>
          <w:b/>
          <w:bCs/>
        </w:rPr>
      </w:pPr>
      <w:r w:rsidRPr="69308F79">
        <w:rPr>
          <w:rFonts w:ascii="Times New Roman" w:hAnsi="Times New Roman"/>
          <w:b/>
          <w:bCs/>
        </w:rPr>
        <w:t xml:space="preserve">Supplemental Table 3.  </w:t>
      </w:r>
      <w:r w:rsidRPr="69308F79">
        <w:rPr>
          <w:rFonts w:ascii="Times New Roman" w:hAnsi="Times New Roman"/>
        </w:rPr>
        <w:t>PRISMA Checklist</w:t>
      </w:r>
      <w:r w:rsidR="001F5C01">
        <w:tab/>
      </w:r>
    </w:p>
    <w:tbl>
      <w:tblPr>
        <w:tblW w:w="15200" w:type="dxa"/>
        <w:tblBorders>
          <w:top w:val="nil"/>
          <w:left w:val="nil"/>
          <w:bottom w:val="nil"/>
          <w:right w:val="nil"/>
        </w:tblBorders>
        <w:tblLook w:val="0000" w:firstRow="0" w:lastRow="0" w:firstColumn="0" w:lastColumn="0" w:noHBand="0" w:noVBand="0"/>
      </w:tblPr>
      <w:tblGrid>
        <w:gridCol w:w="1658"/>
        <w:gridCol w:w="675"/>
        <w:gridCol w:w="11310"/>
        <w:gridCol w:w="1557"/>
      </w:tblGrid>
      <w:tr w:rsidRPr="00AA6E06" w:rsidR="001F5C01" w:rsidTr="000313A4" w14:paraId="0BA1E7E8" w14:textId="77777777">
        <w:trPr>
          <w:trHeight w:val="65"/>
          <w:tblHeader/>
        </w:trPr>
        <w:tc>
          <w:tcPr>
            <w:tcW w:w="1658" w:type="dxa"/>
            <w:tcBorders>
              <w:top w:val="double" w:color="000000" w:themeColor="text1" w:sz="5" w:space="0"/>
              <w:left w:val="single" w:color="000000" w:themeColor="text1" w:sz="5" w:space="0"/>
              <w:bottom w:val="double" w:color="FFFFCC" w:sz="2" w:space="0"/>
              <w:right w:val="single" w:color="000000" w:themeColor="text1" w:sz="5" w:space="0"/>
            </w:tcBorders>
            <w:shd w:val="clear" w:color="auto" w:fill="63639A"/>
            <w:vAlign w:val="center"/>
          </w:tcPr>
          <w:p w:rsidRPr="000565E2" w:rsidR="001F5C01" w:rsidP="000313A4" w:rsidRDefault="001F5C01" w14:paraId="4ADDD27C" w14:textId="77777777">
            <w:pPr>
              <w:pStyle w:val="Default"/>
              <w:rPr>
                <w:rFonts w:ascii="Times New Roman" w:hAnsi="Times New Roman" w:cs="Times New Roman"/>
                <w:color w:val="FFFFFF"/>
                <w:sz w:val="18"/>
                <w:szCs w:val="18"/>
              </w:rPr>
            </w:pPr>
            <w:r w:rsidRPr="000565E2">
              <w:rPr>
                <w:rFonts w:ascii="Times New Roman" w:hAnsi="Times New Roman" w:cs="Times New Roman"/>
                <w:b/>
                <w:bCs/>
                <w:color w:val="FFFFFF"/>
                <w:sz w:val="18"/>
                <w:szCs w:val="18"/>
              </w:rPr>
              <w:t xml:space="preserve">Section and </w:t>
            </w:r>
            <w:r>
              <w:rPr>
                <w:rFonts w:ascii="Times New Roman" w:hAnsi="Times New Roman" w:cs="Times New Roman"/>
                <w:b/>
                <w:bCs/>
                <w:color w:val="FFFFFF"/>
                <w:sz w:val="18"/>
                <w:szCs w:val="18"/>
              </w:rPr>
              <w:t>t</w:t>
            </w:r>
            <w:r w:rsidRPr="000565E2">
              <w:rPr>
                <w:rFonts w:ascii="Times New Roman" w:hAnsi="Times New Roman" w:cs="Times New Roman"/>
                <w:b/>
                <w:bCs/>
                <w:color w:val="FFFFFF"/>
                <w:sz w:val="18"/>
                <w:szCs w:val="18"/>
              </w:rPr>
              <w:t xml:space="preserve">opic </w:t>
            </w:r>
          </w:p>
        </w:tc>
        <w:tc>
          <w:tcPr>
            <w:tcW w:w="675" w:type="dxa"/>
            <w:tcBorders>
              <w:top w:val="double" w:color="000000" w:themeColor="text1" w:sz="5" w:space="0"/>
              <w:left w:val="single" w:color="000000" w:themeColor="text1" w:sz="5" w:space="0"/>
              <w:bottom w:val="double" w:color="FFFFCC" w:sz="2" w:space="0"/>
              <w:right w:val="single" w:color="000000" w:themeColor="text1" w:sz="5" w:space="0"/>
            </w:tcBorders>
            <w:shd w:val="clear" w:color="auto" w:fill="63639A"/>
            <w:vAlign w:val="center"/>
          </w:tcPr>
          <w:p w:rsidRPr="000565E2" w:rsidR="001F5C01" w:rsidP="000313A4" w:rsidRDefault="001F5C01" w14:paraId="3AE0AFF8" w14:textId="77777777">
            <w:pPr>
              <w:pStyle w:val="Default"/>
              <w:rPr>
                <w:rFonts w:ascii="Times New Roman" w:hAnsi="Times New Roman" w:cs="Times New Roman"/>
                <w:b/>
                <w:bCs/>
                <w:color w:val="FFFFFF"/>
                <w:sz w:val="18"/>
                <w:szCs w:val="18"/>
              </w:rPr>
            </w:pPr>
            <w:r w:rsidRPr="000565E2">
              <w:rPr>
                <w:rFonts w:ascii="Times New Roman" w:hAnsi="Times New Roman" w:cs="Times New Roman"/>
                <w:b/>
                <w:bCs/>
                <w:color w:val="FFFFFF"/>
                <w:sz w:val="18"/>
                <w:szCs w:val="18"/>
              </w:rPr>
              <w:t>Item #</w:t>
            </w:r>
          </w:p>
        </w:tc>
        <w:tc>
          <w:tcPr>
            <w:tcW w:w="11310" w:type="dxa"/>
            <w:tcBorders>
              <w:top w:val="double" w:color="000000" w:themeColor="text1" w:sz="5" w:space="0"/>
              <w:left w:val="single" w:color="000000" w:themeColor="text1" w:sz="5" w:space="0"/>
              <w:bottom w:val="double" w:color="000000" w:themeColor="text1" w:sz="5" w:space="0"/>
              <w:right w:val="single" w:color="000000" w:themeColor="text1" w:sz="5" w:space="0"/>
            </w:tcBorders>
            <w:shd w:val="clear" w:color="auto" w:fill="63639A"/>
            <w:vAlign w:val="center"/>
          </w:tcPr>
          <w:p w:rsidRPr="000565E2" w:rsidR="001F5C01" w:rsidP="000313A4" w:rsidRDefault="001F5C01" w14:paraId="58CB9D86" w14:textId="77777777">
            <w:pPr>
              <w:pStyle w:val="Default"/>
              <w:rPr>
                <w:rFonts w:ascii="Times New Roman" w:hAnsi="Times New Roman" w:cs="Times New Roman"/>
                <w:color w:val="FFFFFF"/>
                <w:sz w:val="18"/>
                <w:szCs w:val="18"/>
              </w:rPr>
            </w:pPr>
            <w:r w:rsidRPr="000565E2">
              <w:rPr>
                <w:rFonts w:ascii="Times New Roman" w:hAnsi="Times New Roman" w:cs="Times New Roman"/>
                <w:b/>
                <w:bCs/>
                <w:color w:val="FFFFFF"/>
                <w:sz w:val="18"/>
                <w:szCs w:val="18"/>
              </w:rPr>
              <w:t xml:space="preserve">Checklist item </w:t>
            </w:r>
          </w:p>
        </w:tc>
        <w:tc>
          <w:tcPr>
            <w:tcW w:w="1557" w:type="dxa"/>
            <w:tcBorders>
              <w:top w:val="double" w:color="000000" w:themeColor="text1" w:sz="5" w:space="0"/>
              <w:left w:val="single" w:color="000000" w:themeColor="text1" w:sz="5" w:space="0"/>
              <w:bottom w:val="double" w:color="000000" w:themeColor="text1" w:sz="5" w:space="0"/>
              <w:right w:val="single" w:color="000000" w:themeColor="text1" w:sz="5" w:space="0"/>
            </w:tcBorders>
            <w:shd w:val="clear" w:color="auto" w:fill="63639A"/>
            <w:vAlign w:val="center"/>
          </w:tcPr>
          <w:p w:rsidRPr="000565E2" w:rsidR="001F5C01" w:rsidP="000313A4" w:rsidRDefault="001F5C01" w14:paraId="1667151E" w14:textId="77777777">
            <w:pPr>
              <w:pStyle w:val="Default"/>
              <w:rPr>
                <w:rFonts w:ascii="Times New Roman" w:hAnsi="Times New Roman" w:cs="Times New Roman"/>
                <w:color w:val="FFFFFF"/>
                <w:sz w:val="18"/>
                <w:szCs w:val="18"/>
              </w:rPr>
            </w:pPr>
            <w:r w:rsidRPr="000565E2">
              <w:rPr>
                <w:rFonts w:ascii="Times New Roman" w:hAnsi="Times New Roman" w:cs="Times New Roman"/>
                <w:b/>
                <w:bCs/>
                <w:color w:val="FFFFFF"/>
                <w:sz w:val="18"/>
                <w:szCs w:val="18"/>
              </w:rPr>
              <w:t xml:space="preserve">Location where item is reported </w:t>
            </w:r>
          </w:p>
        </w:tc>
      </w:tr>
      <w:tr w:rsidRPr="00AA6E06" w:rsidR="001F5C01" w:rsidTr="000313A4" w14:paraId="3D473409"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5D4A781C"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 xml:space="preserve">TITLE </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0CEEB94B" w14:textId="77777777">
            <w:pPr>
              <w:pStyle w:val="Default"/>
              <w:jc w:val="right"/>
              <w:rPr>
                <w:rFonts w:ascii="Times New Roman" w:hAnsi="Times New Roman" w:cs="Times New Roman"/>
                <w:color w:val="auto"/>
                <w:sz w:val="18"/>
                <w:szCs w:val="18"/>
              </w:rPr>
            </w:pPr>
          </w:p>
        </w:tc>
      </w:tr>
      <w:tr w:rsidRPr="00AA6E06" w:rsidR="001F5C01" w:rsidTr="000313A4" w14:paraId="78F7BF67" w14:textId="77777777">
        <w:trPr>
          <w:trHeight w:val="48"/>
        </w:trPr>
        <w:tc>
          <w:tcPr>
            <w:tcW w:w="1658" w:type="dxa"/>
            <w:tcBorders>
              <w:top w:val="single" w:color="000000" w:themeColor="text1" w:sz="5" w:space="0"/>
              <w:left w:val="single" w:color="000000" w:themeColor="text1" w:sz="5" w:space="0"/>
              <w:bottom w:val="double" w:color="FFFFCC" w:sz="2" w:space="0"/>
              <w:right w:val="single" w:color="000000" w:themeColor="text1" w:sz="5" w:space="0"/>
            </w:tcBorders>
          </w:tcPr>
          <w:p w:rsidRPr="000565E2" w:rsidR="001F5C01" w:rsidP="000313A4" w:rsidRDefault="001F5C01" w14:paraId="6FA4032D"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Title </w:t>
            </w:r>
          </w:p>
        </w:tc>
        <w:tc>
          <w:tcPr>
            <w:tcW w:w="675" w:type="dxa"/>
            <w:tcBorders>
              <w:top w:val="single" w:color="000000" w:themeColor="text1" w:sz="5" w:space="0"/>
              <w:left w:val="single" w:color="000000" w:themeColor="text1" w:sz="5" w:space="0"/>
              <w:bottom w:val="double" w:color="FFFFCC" w:sz="2" w:space="0"/>
              <w:right w:val="single" w:color="000000" w:themeColor="text1" w:sz="5" w:space="0"/>
            </w:tcBorders>
          </w:tcPr>
          <w:p w:rsidRPr="000565E2" w:rsidR="001F5C01" w:rsidP="000313A4" w:rsidRDefault="001F5C01" w14:paraId="021AC140"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w:t>
            </w:r>
          </w:p>
        </w:tc>
        <w:tc>
          <w:tcPr>
            <w:tcW w:w="11310"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577456F1"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Identify the report as a systematic review.</w:t>
            </w:r>
          </w:p>
        </w:tc>
        <w:tc>
          <w:tcPr>
            <w:tcW w:w="1557"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25383937"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Title</w:t>
            </w:r>
          </w:p>
        </w:tc>
      </w:tr>
      <w:tr w:rsidRPr="00AA6E06" w:rsidR="001F5C01" w:rsidTr="000313A4" w14:paraId="25C51747"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5376DD1C"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 xml:space="preserve">ABSTRACT </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120D5D68" w14:textId="77777777">
            <w:pPr>
              <w:pStyle w:val="Default"/>
              <w:jc w:val="right"/>
              <w:rPr>
                <w:rFonts w:ascii="Times New Roman" w:hAnsi="Times New Roman" w:cs="Times New Roman"/>
                <w:color w:val="auto"/>
                <w:sz w:val="18"/>
                <w:szCs w:val="18"/>
              </w:rPr>
            </w:pPr>
          </w:p>
        </w:tc>
      </w:tr>
      <w:tr w:rsidRPr="00AA6E06" w:rsidR="001F5C01" w:rsidTr="000313A4" w14:paraId="2BD5D6D7" w14:textId="77777777">
        <w:trPr>
          <w:trHeight w:val="48"/>
        </w:trPr>
        <w:tc>
          <w:tcPr>
            <w:tcW w:w="1658" w:type="dxa"/>
            <w:tcBorders>
              <w:top w:val="single" w:color="000000" w:themeColor="text1" w:sz="5" w:space="0"/>
              <w:left w:val="single" w:color="000000" w:themeColor="text1" w:sz="5" w:space="0"/>
              <w:bottom w:val="double" w:color="FFFFCC" w:sz="2" w:space="0"/>
              <w:right w:val="single" w:color="000000" w:themeColor="text1" w:sz="5" w:space="0"/>
            </w:tcBorders>
          </w:tcPr>
          <w:p w:rsidRPr="000565E2" w:rsidR="001F5C01" w:rsidP="000313A4" w:rsidRDefault="001F5C01" w14:paraId="151AD6FD"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Abstract </w:t>
            </w:r>
          </w:p>
        </w:tc>
        <w:tc>
          <w:tcPr>
            <w:tcW w:w="675" w:type="dxa"/>
            <w:tcBorders>
              <w:top w:val="single" w:color="000000" w:themeColor="text1" w:sz="5" w:space="0"/>
              <w:left w:val="single" w:color="000000" w:themeColor="text1" w:sz="5" w:space="0"/>
              <w:bottom w:val="double" w:color="FFFFCC" w:sz="2" w:space="0"/>
              <w:right w:val="single" w:color="000000" w:themeColor="text1" w:sz="5" w:space="0"/>
            </w:tcBorders>
          </w:tcPr>
          <w:p w:rsidRPr="000565E2" w:rsidR="001F5C01" w:rsidP="000313A4" w:rsidRDefault="001F5C01" w14:paraId="41B6535E"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w:t>
            </w:r>
          </w:p>
        </w:tc>
        <w:tc>
          <w:tcPr>
            <w:tcW w:w="11310"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0AA9247A"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See the PRISMA 2020 for Abstracts checklist.</w:t>
            </w:r>
          </w:p>
        </w:tc>
        <w:tc>
          <w:tcPr>
            <w:tcW w:w="1557"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15E9224E"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Abstract</w:t>
            </w:r>
          </w:p>
        </w:tc>
      </w:tr>
      <w:tr w:rsidRPr="00AA6E06" w:rsidR="001F5C01" w:rsidTr="000313A4" w14:paraId="2DA51463"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459FBB0A"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 xml:space="preserve">INTRODUCTION </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1BD74CAC" w14:textId="77777777">
            <w:pPr>
              <w:pStyle w:val="Default"/>
              <w:jc w:val="right"/>
              <w:rPr>
                <w:rFonts w:ascii="Times New Roman" w:hAnsi="Times New Roman" w:cs="Times New Roman"/>
                <w:color w:val="auto"/>
                <w:sz w:val="18"/>
                <w:szCs w:val="18"/>
              </w:rPr>
            </w:pPr>
          </w:p>
        </w:tc>
      </w:tr>
      <w:tr w:rsidRPr="00AA6E06" w:rsidR="001F5C01" w:rsidTr="000313A4" w14:paraId="4E2274B6"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10BF2C2"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Rationale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26CB952"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3</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00E4526"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the rationale for the review in the context of existing knowledge.</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E7F8BCA"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Purpose</w:t>
            </w:r>
          </w:p>
        </w:tc>
      </w:tr>
      <w:tr w:rsidRPr="00AA6E06" w:rsidR="001F5C01" w:rsidTr="000313A4" w14:paraId="760B819A" w14:textId="77777777">
        <w:trPr>
          <w:trHeight w:val="48"/>
        </w:trPr>
        <w:tc>
          <w:tcPr>
            <w:tcW w:w="1658" w:type="dxa"/>
            <w:tcBorders>
              <w:top w:val="single" w:color="000000" w:themeColor="text1" w:sz="5" w:space="0"/>
              <w:left w:val="single" w:color="000000" w:themeColor="text1" w:sz="5" w:space="0"/>
              <w:bottom w:val="double" w:color="FFFFCC" w:sz="2" w:space="0"/>
              <w:right w:val="single" w:color="000000" w:themeColor="text1" w:sz="5" w:space="0"/>
            </w:tcBorders>
          </w:tcPr>
          <w:p w:rsidRPr="000565E2" w:rsidR="001F5C01" w:rsidP="000313A4" w:rsidRDefault="001F5C01" w14:paraId="1AE44A07"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Objectives </w:t>
            </w:r>
          </w:p>
        </w:tc>
        <w:tc>
          <w:tcPr>
            <w:tcW w:w="675" w:type="dxa"/>
            <w:tcBorders>
              <w:top w:val="single" w:color="000000" w:themeColor="text1" w:sz="5" w:space="0"/>
              <w:left w:val="single" w:color="000000" w:themeColor="text1" w:sz="5" w:space="0"/>
              <w:bottom w:val="double" w:color="FFFFCC" w:sz="2" w:space="0"/>
              <w:right w:val="single" w:color="000000" w:themeColor="text1" w:sz="5" w:space="0"/>
            </w:tcBorders>
          </w:tcPr>
          <w:p w:rsidRPr="000565E2" w:rsidR="001F5C01" w:rsidP="000313A4" w:rsidRDefault="001F5C01" w14:paraId="42F8B533"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4</w:t>
            </w:r>
          </w:p>
        </w:tc>
        <w:tc>
          <w:tcPr>
            <w:tcW w:w="11310"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5A4C4A61"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Provide an explicit statement of the objective(s) or question(s) the review addresses.</w:t>
            </w:r>
          </w:p>
        </w:tc>
        <w:tc>
          <w:tcPr>
            <w:tcW w:w="1557"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3BCE57CF"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Purpose</w:t>
            </w:r>
          </w:p>
        </w:tc>
      </w:tr>
      <w:tr w:rsidRPr="00AA6E06" w:rsidR="001F5C01" w:rsidTr="000313A4" w14:paraId="771AF224"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3277F63E"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 xml:space="preserve">METHODS </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3F2E87C2" w14:textId="77777777">
            <w:pPr>
              <w:pStyle w:val="Default"/>
              <w:jc w:val="right"/>
              <w:rPr>
                <w:rFonts w:ascii="Times New Roman" w:hAnsi="Times New Roman" w:cs="Times New Roman"/>
                <w:color w:val="auto"/>
                <w:sz w:val="18"/>
                <w:szCs w:val="18"/>
              </w:rPr>
            </w:pPr>
          </w:p>
        </w:tc>
      </w:tr>
      <w:tr w:rsidRPr="00AA6E06" w:rsidR="001F5C01" w:rsidTr="000313A4" w14:paraId="18BCAEBB"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FC85905"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Eligibility criteria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40BFE18"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5</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B1F9A0F"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Specify the inclusion and exclusion criteria for the review and how studies were grouped for the syntheses.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6662C43"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Inclusion </w:t>
            </w:r>
            <w:r>
              <w:rPr>
                <w:rFonts w:ascii="Times New Roman" w:hAnsi="Times New Roman" w:cs="Times New Roman"/>
                <w:color w:val="auto"/>
                <w:sz w:val="18"/>
                <w:szCs w:val="18"/>
              </w:rPr>
              <w:t>and exclusion criteria</w:t>
            </w:r>
          </w:p>
        </w:tc>
      </w:tr>
      <w:tr w:rsidRPr="00AA6E06" w:rsidR="001F5C01" w:rsidTr="000313A4" w14:paraId="5E78C957" w14:textId="77777777">
        <w:trPr>
          <w:trHeight w:val="191"/>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987EBB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Information sources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E6B8728"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6</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E2CC6AC"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Specify all databases, registers, websites, organisations, reference lists and other sources searched or consulted to identify studies. Specify the date when each source was last searched or consulted.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6CE96B8"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Search Strategy</w:t>
            </w:r>
          </w:p>
        </w:tc>
      </w:tr>
      <w:tr w:rsidRPr="00AA6E06" w:rsidR="001F5C01" w:rsidTr="000313A4" w14:paraId="37D56FA7"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AD0E6CB"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Search strategy</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B32F1EF"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7</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C781ECA"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the full search strategies for all databases, registers and websites, including any filters and limits used.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741F15D"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Search Strategy</w:t>
            </w:r>
          </w:p>
        </w:tc>
      </w:tr>
      <w:tr w:rsidRPr="00AA6E06" w:rsidR="001F5C01" w:rsidTr="000313A4" w14:paraId="3646C940"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2291EA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Selection process</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E8AB7DA"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8</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ABBFA57"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87FB4C5"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Inclusion </w:t>
            </w:r>
            <w:r>
              <w:rPr>
                <w:rFonts w:ascii="Times New Roman" w:hAnsi="Times New Roman" w:cs="Times New Roman"/>
                <w:color w:val="auto"/>
                <w:sz w:val="18"/>
                <w:szCs w:val="18"/>
              </w:rPr>
              <w:t>and exclusion criteria, Screening and Data Extraction</w:t>
            </w:r>
          </w:p>
        </w:tc>
      </w:tr>
      <w:tr w:rsidRPr="00AA6E06" w:rsidR="001F5C01" w:rsidTr="000313A4" w14:paraId="5C379EFD" w14:textId="77777777">
        <w:trPr>
          <w:trHeight w:val="152"/>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4A3745D"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Data collection process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DB40501"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9</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E30BC73"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EBA4D63"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Screening and Data Extraction</w:t>
            </w:r>
            <w:r w:rsidRPr="000565E2">
              <w:rPr>
                <w:rFonts w:ascii="Times New Roman" w:hAnsi="Times New Roman" w:cs="Times New Roman"/>
                <w:color w:val="auto"/>
                <w:sz w:val="18"/>
                <w:szCs w:val="18"/>
              </w:rPr>
              <w:t xml:space="preserve"> </w:t>
            </w:r>
          </w:p>
        </w:tc>
      </w:tr>
      <w:tr w:rsidRPr="00AA6E06" w:rsidR="001F5C01" w:rsidTr="000313A4" w14:paraId="1A8A46F9" w14:textId="77777777">
        <w:trPr>
          <w:trHeight w:val="48"/>
        </w:trPr>
        <w:tc>
          <w:tcPr>
            <w:tcW w:w="1658" w:type="dxa"/>
            <w:vMerge w:val="restart"/>
            <w:tcBorders>
              <w:top w:val="single" w:color="000000" w:themeColor="text1" w:sz="5" w:space="0"/>
              <w:left w:val="single" w:color="000000" w:themeColor="text1" w:sz="5" w:space="0"/>
              <w:right w:val="single" w:color="000000" w:themeColor="text1" w:sz="5" w:space="0"/>
            </w:tcBorders>
          </w:tcPr>
          <w:p w:rsidRPr="000565E2" w:rsidR="001F5C01" w:rsidP="000313A4" w:rsidRDefault="001F5C01" w14:paraId="5CDB2973"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Data items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ED1FCF0"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10a</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8E16D10"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B21CB8A"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Inclusion and Exclusion Criteria</w:t>
            </w:r>
          </w:p>
        </w:tc>
      </w:tr>
      <w:tr w:rsidRPr="00AA6E06" w:rsidR="001F5C01" w:rsidTr="000313A4" w14:paraId="71BC8585" w14:textId="77777777">
        <w:trPr>
          <w:trHeight w:val="48"/>
        </w:trPr>
        <w:tc>
          <w:tcPr>
            <w:tcW w:w="1658" w:type="dxa"/>
            <w:vMerge/>
          </w:tcPr>
          <w:p w:rsidRPr="000565E2" w:rsidR="001F5C01" w:rsidP="000313A4" w:rsidRDefault="001F5C01" w14:paraId="45D19021"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3931B61"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10b</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D8E2678"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List and define all other variables for which data were sought (e.g. participant and intervention characteristics, funding sources). Describe any assumptions made about any missing or unclear information.</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1666EFC"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 xml:space="preserve">Inclusion and </w:t>
            </w:r>
            <w:r w:rsidRPr="000565E2">
              <w:rPr>
                <w:rFonts w:ascii="Times New Roman" w:hAnsi="Times New Roman" w:cs="Times New Roman"/>
                <w:color w:val="auto"/>
                <w:sz w:val="18"/>
                <w:szCs w:val="18"/>
              </w:rPr>
              <w:t xml:space="preserve">Exclusion </w:t>
            </w:r>
            <w:r>
              <w:rPr>
                <w:rFonts w:ascii="Times New Roman" w:hAnsi="Times New Roman" w:cs="Times New Roman"/>
                <w:color w:val="auto"/>
                <w:sz w:val="18"/>
                <w:szCs w:val="18"/>
              </w:rPr>
              <w:t>C</w:t>
            </w:r>
            <w:r w:rsidRPr="000565E2">
              <w:rPr>
                <w:rFonts w:ascii="Times New Roman" w:hAnsi="Times New Roman" w:cs="Times New Roman"/>
                <w:color w:val="auto"/>
                <w:sz w:val="18"/>
                <w:szCs w:val="18"/>
              </w:rPr>
              <w:t>riteria.</w:t>
            </w:r>
          </w:p>
        </w:tc>
      </w:tr>
      <w:tr w:rsidRPr="00AA6E06" w:rsidR="001F5C01" w:rsidTr="000313A4" w14:paraId="26DD122C"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85B468F"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Study risk of bias assessment</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0AED6E9"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11</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E775EE5"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4803E26"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Quality Assessment</w:t>
            </w:r>
          </w:p>
        </w:tc>
      </w:tr>
      <w:tr w:rsidRPr="00AA6E06" w:rsidR="001F5C01" w:rsidTr="000313A4" w14:paraId="0EEF2AFA"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A0ED7B6"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Effect measures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6761DA8"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12</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C5CAD3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Specify for each outcome the effect measure(s) (e.g. risk ratio, mean difference) used in the synthesis or presentation of results.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A6EFD0F"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Functions and Forms</w:t>
            </w:r>
          </w:p>
        </w:tc>
      </w:tr>
      <w:tr w:rsidRPr="00AA6E06" w:rsidR="001F5C01" w:rsidTr="000313A4" w14:paraId="2CC50473" w14:textId="77777777">
        <w:trPr>
          <w:trHeight w:val="48"/>
        </w:trPr>
        <w:tc>
          <w:tcPr>
            <w:tcW w:w="1658" w:type="dxa"/>
            <w:vMerge w:val="restart"/>
            <w:tcBorders>
              <w:top w:val="single" w:color="000000" w:themeColor="text1" w:sz="5" w:space="0"/>
              <w:left w:val="single" w:color="000000" w:themeColor="text1" w:sz="5" w:space="0"/>
              <w:right w:val="single" w:color="000000" w:themeColor="text1" w:sz="5" w:space="0"/>
            </w:tcBorders>
          </w:tcPr>
          <w:p w:rsidRPr="000565E2" w:rsidR="001F5C01" w:rsidP="000313A4" w:rsidRDefault="001F5C01" w14:paraId="08507C7C"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Synthesis methods</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2C4555A"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13a</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10B08EF"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the processes used to decide which studies were eligible for each synthesis (e.g. tabulating the study intervention characteristics and comparing against the planned groups for each synthesis (item #5)).</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F6264E1"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Functions and Forms</w:t>
            </w:r>
          </w:p>
        </w:tc>
      </w:tr>
      <w:tr w:rsidRPr="00AA6E06" w:rsidR="001F5C01" w:rsidTr="000313A4" w14:paraId="1209BF63" w14:textId="77777777">
        <w:trPr>
          <w:trHeight w:val="48"/>
        </w:trPr>
        <w:tc>
          <w:tcPr>
            <w:tcW w:w="1658" w:type="dxa"/>
            <w:vMerge/>
          </w:tcPr>
          <w:p w:rsidRPr="000565E2" w:rsidR="001F5C01" w:rsidP="000313A4" w:rsidRDefault="001F5C01" w14:paraId="1D487B3C"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0AC5CE8"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13b</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F74D4EB"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methods required to prepare the data for presentation or synthesis, such as handling of missing summary statistics, or data conversions.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01934C1"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Functions and Forms</w:t>
            </w:r>
          </w:p>
        </w:tc>
      </w:tr>
      <w:tr w:rsidRPr="00AA6E06" w:rsidR="001F5C01" w:rsidTr="000313A4" w14:paraId="09D51283" w14:textId="77777777">
        <w:trPr>
          <w:trHeight w:val="48"/>
        </w:trPr>
        <w:tc>
          <w:tcPr>
            <w:tcW w:w="1658" w:type="dxa"/>
            <w:vMerge/>
          </w:tcPr>
          <w:p w:rsidRPr="000565E2" w:rsidR="001F5C01" w:rsidP="000313A4" w:rsidRDefault="001F5C01" w14:paraId="1AFFE267"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59D4E0D"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13c</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EC8313F"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methods used to tabulate or visually display results of individual studies and syntheses.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11626A3"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Functions and Forms</w:t>
            </w:r>
          </w:p>
        </w:tc>
      </w:tr>
      <w:tr w:rsidRPr="00AA6E06" w:rsidR="001F5C01" w:rsidTr="000313A4" w14:paraId="3305D826" w14:textId="77777777">
        <w:trPr>
          <w:trHeight w:val="48"/>
        </w:trPr>
        <w:tc>
          <w:tcPr>
            <w:tcW w:w="1658" w:type="dxa"/>
            <w:vMerge/>
          </w:tcPr>
          <w:p w:rsidRPr="000565E2" w:rsidR="001F5C01" w:rsidP="000313A4" w:rsidRDefault="001F5C01" w14:paraId="4E33D028"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4C55A96"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13d</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230EDFC"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A268694"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Functions and Forms</w:t>
            </w:r>
          </w:p>
        </w:tc>
      </w:tr>
      <w:tr w:rsidRPr="00AA6E06" w:rsidR="001F5C01" w:rsidTr="000313A4" w14:paraId="78F5DDAA" w14:textId="77777777">
        <w:trPr>
          <w:trHeight w:val="48"/>
        </w:trPr>
        <w:tc>
          <w:tcPr>
            <w:tcW w:w="1658" w:type="dxa"/>
            <w:vMerge/>
          </w:tcPr>
          <w:p w:rsidRPr="000565E2" w:rsidR="001F5C01" w:rsidP="000313A4" w:rsidRDefault="001F5C01" w14:paraId="0241F15E"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6D5422B"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13e</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E584D1B"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methods used to explore possible causes of heterogeneity among study results (e.g. subgroup analysis, meta-regression).</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C92DB5B"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NA</w:t>
            </w:r>
          </w:p>
        </w:tc>
      </w:tr>
      <w:tr w:rsidRPr="00AA6E06" w:rsidR="001F5C01" w:rsidTr="000313A4" w14:paraId="0B0AEFDE" w14:textId="77777777">
        <w:trPr>
          <w:trHeight w:val="50"/>
        </w:trPr>
        <w:tc>
          <w:tcPr>
            <w:tcW w:w="1658" w:type="dxa"/>
            <w:vMerge/>
          </w:tcPr>
          <w:p w:rsidRPr="000565E2" w:rsidR="001F5C01" w:rsidP="000313A4" w:rsidRDefault="001F5C01" w14:paraId="0B45B806"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CB17C00"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13f</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FEEB9DC"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sensitivity analyses conducted to assess robustness of the synthesized results.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45CE6B1"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NA</w:t>
            </w:r>
          </w:p>
        </w:tc>
      </w:tr>
      <w:tr w:rsidRPr="00AA6E06" w:rsidR="001F5C01" w:rsidTr="000313A4" w14:paraId="1F04DF2F"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DA0C9C7"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Reporting bias assessment</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C699EA0"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14</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AF736F7"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methods used to assess risk of bias due to missing results in a synthesis (arising from reporting biases).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9048F93"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Quality Assessment</w:t>
            </w:r>
          </w:p>
        </w:tc>
      </w:tr>
      <w:tr w:rsidRPr="00AA6E06" w:rsidR="001F5C01" w:rsidTr="000313A4" w14:paraId="6B2822D1"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8F2CD51"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Certainty assessment</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5BB5B97"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15</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FB58E6A"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any methods used to assess certainty (or confidence) in the body of evidence for an outcome.</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3255B31"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Screening and Data Extraction</w:t>
            </w:r>
          </w:p>
        </w:tc>
      </w:tr>
      <w:tr w:rsidRPr="00AA6E06" w:rsidR="001F5C01" w:rsidTr="000313A4" w14:paraId="36FDEE2E"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7DCC98B8"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 xml:space="preserve">RESULTS </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2D0BC128" w14:textId="77777777">
            <w:pPr>
              <w:pStyle w:val="Default"/>
              <w:jc w:val="center"/>
              <w:rPr>
                <w:rFonts w:ascii="Times New Roman" w:hAnsi="Times New Roman" w:cs="Times New Roman"/>
                <w:color w:val="auto"/>
                <w:sz w:val="18"/>
                <w:szCs w:val="18"/>
              </w:rPr>
            </w:pPr>
          </w:p>
        </w:tc>
      </w:tr>
      <w:tr w:rsidRPr="00AA6E06" w:rsidR="001F5C01" w:rsidTr="000313A4" w14:paraId="05E2CAF0" w14:textId="77777777">
        <w:trPr>
          <w:trHeight w:val="48"/>
        </w:trPr>
        <w:tc>
          <w:tcPr>
            <w:tcW w:w="1658" w:type="dxa"/>
            <w:vMerge w:val="restart"/>
            <w:tcBorders>
              <w:top w:val="single" w:color="000000" w:themeColor="text1" w:sz="5" w:space="0"/>
              <w:left w:val="single" w:color="000000" w:themeColor="text1" w:sz="5" w:space="0"/>
              <w:right w:val="single" w:color="000000" w:themeColor="text1" w:sz="5" w:space="0"/>
            </w:tcBorders>
          </w:tcPr>
          <w:p w:rsidRPr="000565E2" w:rsidR="001F5C01" w:rsidP="000313A4" w:rsidRDefault="001F5C01" w14:paraId="46A71B99"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Study selection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3DAA1F7"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16a</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5842AFD"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the results of the search and selection process, from the number of records identified in the search to the number of studies included in the review, ideally using a flow diagram.</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A7216D4"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Figure 1 </w:t>
            </w:r>
          </w:p>
        </w:tc>
      </w:tr>
      <w:tr w:rsidRPr="00AA6E06" w:rsidR="001F5C01" w:rsidTr="000313A4" w14:paraId="6E2149D1" w14:textId="77777777">
        <w:trPr>
          <w:trHeight w:val="48"/>
        </w:trPr>
        <w:tc>
          <w:tcPr>
            <w:tcW w:w="1658" w:type="dxa"/>
            <w:vMerge/>
          </w:tcPr>
          <w:p w:rsidRPr="000565E2" w:rsidR="001F5C01" w:rsidP="000313A4" w:rsidRDefault="001F5C01" w14:paraId="68901FD8"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C228652"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16b</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387E45C"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Cite studies that might appear to meet the inclusion criteria, but which were excluded, and explain why they were excluded.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F507EE8"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Description of Studies</w:t>
            </w:r>
          </w:p>
        </w:tc>
      </w:tr>
      <w:tr w:rsidRPr="00AA6E06" w:rsidR="001F5C01" w:rsidTr="000313A4" w14:paraId="02F4FDC0" w14:textId="77777777">
        <w:trPr>
          <w:trHeight w:val="103"/>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E19D855"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Study characteristics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08CDCAB"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17</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6FA50E9"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Cite each included study and present its characteristics.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BFEA461"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Supplemental Table 1. Also done in “Description of Studies”</w:t>
            </w:r>
          </w:p>
        </w:tc>
      </w:tr>
      <w:tr w:rsidRPr="00AA6E06" w:rsidR="001F5C01" w:rsidTr="000313A4" w14:paraId="5F653060"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BB7606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Risk of bias in studies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4FB1FDA"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18</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101A809"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assessments of risk of bias for each included study.</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7980E31"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Quality Assessment  </w:t>
            </w:r>
          </w:p>
        </w:tc>
      </w:tr>
      <w:tr w:rsidRPr="00AA6E06" w:rsidR="001F5C01" w:rsidTr="000313A4" w14:paraId="0D9F9479"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7FDB3E8"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Results of individual studies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AEBADBC"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19</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E74F90F"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For all outcomes, present, for each study: (a) summary statistics for each group (where appropriate) and (b) an effect estimate and its precision (e.g. confidence/credible interval), ideally using structured tables or plots.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883A6B8"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Table 1</w:t>
            </w:r>
          </w:p>
        </w:tc>
      </w:tr>
      <w:tr w:rsidRPr="00AA6E06" w:rsidR="001F5C01" w:rsidTr="000313A4" w14:paraId="5D92C279" w14:textId="77777777">
        <w:trPr>
          <w:trHeight w:val="48"/>
        </w:trPr>
        <w:tc>
          <w:tcPr>
            <w:tcW w:w="1658" w:type="dxa"/>
            <w:vMerge w:val="restart"/>
            <w:tcBorders>
              <w:top w:val="single" w:color="000000" w:themeColor="text1" w:sz="5" w:space="0"/>
              <w:left w:val="single" w:color="000000" w:themeColor="text1" w:sz="5" w:space="0"/>
              <w:right w:val="single" w:color="000000" w:themeColor="text1" w:sz="5" w:space="0"/>
            </w:tcBorders>
          </w:tcPr>
          <w:p w:rsidRPr="000565E2" w:rsidR="001F5C01" w:rsidP="000313A4" w:rsidRDefault="001F5C01" w14:paraId="3E0F9F34"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Results of syntheses</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85B5F09"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20a</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459D19B"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For each synthesis, briefly summarise the characteristics and risk of bias among contributing studies.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4CB1287"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Types of Effectiveness Outcomes</w:t>
            </w:r>
          </w:p>
        </w:tc>
      </w:tr>
      <w:tr w:rsidRPr="00AA6E06" w:rsidR="001F5C01" w:rsidTr="000313A4" w14:paraId="602128CA" w14:textId="77777777">
        <w:trPr>
          <w:trHeight w:val="203"/>
        </w:trPr>
        <w:tc>
          <w:tcPr>
            <w:tcW w:w="1658" w:type="dxa"/>
            <w:vMerge/>
          </w:tcPr>
          <w:p w:rsidRPr="000565E2" w:rsidR="001F5C01" w:rsidP="000313A4" w:rsidRDefault="001F5C01" w14:paraId="623B7858"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E84A063"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20b</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109B654"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CA48F7A"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NA</w:t>
            </w:r>
          </w:p>
        </w:tc>
      </w:tr>
      <w:tr w:rsidRPr="00AA6E06" w:rsidR="001F5C01" w:rsidTr="000313A4" w14:paraId="79538B56" w14:textId="77777777">
        <w:trPr>
          <w:trHeight w:val="48"/>
        </w:trPr>
        <w:tc>
          <w:tcPr>
            <w:tcW w:w="1658" w:type="dxa"/>
            <w:vMerge/>
          </w:tcPr>
          <w:p w:rsidRPr="000565E2" w:rsidR="001F5C01" w:rsidP="000313A4" w:rsidRDefault="001F5C01" w14:paraId="7326B5AE"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F14CE6C"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20c</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C3FC29A"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results of all investigations of possible causes of heterogeneity among study results.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5195EB8"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NA</w:t>
            </w:r>
          </w:p>
        </w:tc>
      </w:tr>
      <w:tr w:rsidRPr="00AA6E06" w:rsidR="001F5C01" w:rsidTr="000313A4" w14:paraId="7A4567EC" w14:textId="77777777">
        <w:trPr>
          <w:trHeight w:val="48"/>
        </w:trPr>
        <w:tc>
          <w:tcPr>
            <w:tcW w:w="1658" w:type="dxa"/>
            <w:vMerge/>
          </w:tcPr>
          <w:p w:rsidRPr="000565E2" w:rsidR="001F5C01" w:rsidP="000313A4" w:rsidRDefault="001F5C01" w14:paraId="151561EC"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05A61FD"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20d</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66E1D25"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results of all sensitivity analyses conducted to assess the robustness of the synthesized results.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961068E"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NA</w:t>
            </w:r>
          </w:p>
        </w:tc>
      </w:tr>
      <w:tr w:rsidRPr="00AA6E06" w:rsidR="001F5C01" w:rsidTr="000313A4" w14:paraId="1CDC4F87"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3B0CFFB"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Reporting biases</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127A4C7"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21</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8E942E8"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assessments of risk of bias due to missing results (arising from reporting biases) for each synthesis assessed.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7B8853E"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Quality Assessment</w:t>
            </w:r>
          </w:p>
        </w:tc>
      </w:tr>
      <w:tr w:rsidRPr="00AA6E06" w:rsidR="001F5C01" w:rsidTr="000313A4" w14:paraId="0C20EC5A"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AE3A3C4"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Certainty of evidence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A0E791C"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22</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848F805"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Present assessments of certainty (or confidence) in the body of evidence for each outcome assessed.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25FB147"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Types of Effectiveness Outcomes, </w:t>
            </w:r>
            <w:r>
              <w:rPr>
                <w:rFonts w:ascii="Times New Roman" w:hAnsi="Times New Roman" w:cs="Times New Roman"/>
                <w:color w:val="auto"/>
                <w:sz w:val="18"/>
                <w:szCs w:val="18"/>
              </w:rPr>
              <w:t xml:space="preserve">Table 1 </w:t>
            </w:r>
          </w:p>
        </w:tc>
      </w:tr>
      <w:tr w:rsidRPr="00AA6E06" w:rsidR="001F5C01" w:rsidTr="000313A4" w14:paraId="18CABC03"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66180053"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DISC</w:t>
            </w:r>
            <w:r>
              <w:rPr>
                <w:rFonts w:ascii="Times New Roman" w:hAnsi="Times New Roman" w:cs="Times New Roman"/>
                <w:b/>
                <w:bCs/>
                <w:sz w:val="18"/>
                <w:szCs w:val="18"/>
              </w:rPr>
              <w:t>U.S.</w:t>
            </w:r>
            <w:r w:rsidRPr="000565E2">
              <w:rPr>
                <w:rFonts w:ascii="Times New Roman" w:hAnsi="Times New Roman" w:cs="Times New Roman"/>
                <w:b/>
                <w:bCs/>
                <w:sz w:val="18"/>
                <w:szCs w:val="18"/>
              </w:rPr>
              <w:t xml:space="preserve">SION </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41D162DE" w14:textId="77777777">
            <w:pPr>
              <w:pStyle w:val="Default"/>
              <w:jc w:val="center"/>
              <w:rPr>
                <w:rFonts w:ascii="Times New Roman" w:hAnsi="Times New Roman" w:cs="Times New Roman"/>
                <w:color w:val="auto"/>
                <w:sz w:val="18"/>
                <w:szCs w:val="18"/>
              </w:rPr>
            </w:pPr>
          </w:p>
        </w:tc>
      </w:tr>
      <w:tr w:rsidRPr="00AA6E06" w:rsidR="001F5C01" w:rsidTr="000313A4" w14:paraId="1D40D555" w14:textId="77777777">
        <w:trPr>
          <w:trHeight w:val="48"/>
        </w:trPr>
        <w:tc>
          <w:tcPr>
            <w:tcW w:w="1658" w:type="dxa"/>
            <w:vMerge w:val="restart"/>
            <w:tcBorders>
              <w:top w:val="single" w:color="000000" w:themeColor="text1" w:sz="5" w:space="0"/>
              <w:left w:val="single" w:color="000000" w:themeColor="text1" w:sz="5" w:space="0"/>
              <w:right w:val="single" w:color="000000" w:themeColor="text1" w:sz="5" w:space="0"/>
            </w:tcBorders>
          </w:tcPr>
          <w:p w:rsidRPr="000565E2" w:rsidR="001F5C01" w:rsidP="000313A4" w:rsidRDefault="001F5C01" w14:paraId="349B7F01"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 xml:space="preserve">Discussion </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C6420E1"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23a</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84E3793"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Provide a general interpretation of the results in the context of other evidence.</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BB6C218"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Discussion paragraphs 1-</w:t>
            </w:r>
            <w:r>
              <w:rPr>
                <w:rFonts w:ascii="Times New Roman" w:hAnsi="Times New Roman" w:cs="Times New Roman"/>
                <w:color w:val="auto"/>
                <w:sz w:val="18"/>
                <w:szCs w:val="18"/>
              </w:rPr>
              <w:t>2</w:t>
            </w:r>
          </w:p>
        </w:tc>
      </w:tr>
      <w:tr w:rsidRPr="00AA6E06" w:rsidR="001F5C01" w:rsidTr="000313A4" w14:paraId="0C92B424" w14:textId="77777777">
        <w:trPr>
          <w:trHeight w:val="48"/>
        </w:trPr>
        <w:tc>
          <w:tcPr>
            <w:tcW w:w="1658" w:type="dxa"/>
            <w:vMerge/>
          </w:tcPr>
          <w:p w:rsidRPr="000565E2" w:rsidR="001F5C01" w:rsidP="000313A4" w:rsidRDefault="001F5C01" w14:paraId="5B44E3B6"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CE0A20B"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23b</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0B57389"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Discuss any limitations of the evidence included in the review.</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C1E2C34"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Limitations</w:t>
            </w:r>
          </w:p>
        </w:tc>
      </w:tr>
      <w:tr w:rsidRPr="00AA6E06" w:rsidR="001F5C01" w:rsidTr="000313A4" w14:paraId="28B3C6E5" w14:textId="77777777">
        <w:trPr>
          <w:trHeight w:val="48"/>
        </w:trPr>
        <w:tc>
          <w:tcPr>
            <w:tcW w:w="1658" w:type="dxa"/>
            <w:vMerge/>
          </w:tcPr>
          <w:p w:rsidRPr="000565E2" w:rsidR="001F5C01" w:rsidP="000313A4" w:rsidRDefault="001F5C01" w14:paraId="7315761B"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auto" w:sz="4" w:space="0"/>
              <w:right w:val="single" w:color="000000" w:themeColor="text1" w:sz="5" w:space="0"/>
            </w:tcBorders>
          </w:tcPr>
          <w:p w:rsidRPr="000565E2" w:rsidR="001F5C01" w:rsidP="000313A4" w:rsidRDefault="001F5C01" w14:paraId="1960F062"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23c</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6F29BC5"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Discuss any limitations of the review processes used.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44EA8F0"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Limitations </w:t>
            </w:r>
          </w:p>
        </w:tc>
      </w:tr>
      <w:tr w:rsidRPr="00AA6E06" w:rsidR="001F5C01" w:rsidTr="000313A4" w14:paraId="7853C520" w14:textId="77777777">
        <w:trPr>
          <w:trHeight w:val="48"/>
        </w:trPr>
        <w:tc>
          <w:tcPr>
            <w:tcW w:w="1658" w:type="dxa"/>
            <w:vMerge/>
          </w:tcPr>
          <w:p w:rsidRPr="000565E2" w:rsidR="001F5C01" w:rsidP="000313A4" w:rsidRDefault="001F5C01" w14:paraId="13E21284" w14:textId="77777777">
            <w:pPr>
              <w:pStyle w:val="Default"/>
              <w:spacing w:before="40" w:after="40"/>
              <w:rPr>
                <w:rFonts w:ascii="Times New Roman" w:hAnsi="Times New Roman" w:cs="Times New Roman"/>
                <w:sz w:val="18"/>
                <w:szCs w:val="18"/>
              </w:rPr>
            </w:pPr>
          </w:p>
        </w:tc>
        <w:tc>
          <w:tcPr>
            <w:tcW w:w="675" w:type="dxa"/>
            <w:tcBorders>
              <w:top w:val="single" w:color="auto" w:sz="4" w:space="0"/>
              <w:left w:val="single" w:color="000000" w:themeColor="text1" w:sz="5" w:space="0"/>
              <w:bottom w:val="single" w:color="auto" w:sz="4" w:space="0"/>
              <w:right w:val="single" w:color="auto" w:sz="4" w:space="0"/>
            </w:tcBorders>
          </w:tcPr>
          <w:p w:rsidRPr="000565E2" w:rsidR="001F5C01" w:rsidP="000313A4" w:rsidRDefault="001F5C01" w14:paraId="62ED04D4"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23d</w:t>
            </w:r>
          </w:p>
        </w:tc>
        <w:tc>
          <w:tcPr>
            <w:tcW w:w="11310" w:type="dxa"/>
            <w:tcBorders>
              <w:top w:val="single" w:color="000000" w:themeColor="text1" w:sz="5" w:space="0"/>
              <w:left w:val="single" w:color="auto" w:sz="4" w:space="0"/>
              <w:bottom w:val="double" w:color="000000" w:themeColor="text1" w:sz="5" w:space="0"/>
              <w:right w:val="single" w:color="000000" w:themeColor="text1" w:sz="5" w:space="0"/>
            </w:tcBorders>
          </w:tcPr>
          <w:p w:rsidRPr="000565E2" w:rsidR="001F5C01" w:rsidP="000313A4" w:rsidRDefault="001F5C01" w14:paraId="39DF1FAB"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Discuss implications of the results for practice, policy, and future research.</w:t>
            </w:r>
          </w:p>
        </w:tc>
        <w:tc>
          <w:tcPr>
            <w:tcW w:w="1557"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3FCEB71E"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 xml:space="preserve">Conclusion </w:t>
            </w:r>
          </w:p>
        </w:tc>
      </w:tr>
      <w:tr w:rsidRPr="00AA6E06" w:rsidR="001F5C01" w:rsidTr="000313A4" w14:paraId="0AE4CEA0" w14:textId="77777777">
        <w:trPr>
          <w:trHeight w:val="24"/>
        </w:trPr>
        <w:tc>
          <w:tcPr>
            <w:tcW w:w="13643" w:type="dxa"/>
            <w:gridSpan w:val="3"/>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vAlign w:val="center"/>
          </w:tcPr>
          <w:p w:rsidRPr="000565E2" w:rsidR="001F5C01" w:rsidP="000313A4" w:rsidRDefault="001F5C01" w14:paraId="40BE448D" w14:textId="77777777">
            <w:pPr>
              <w:pStyle w:val="Default"/>
              <w:rPr>
                <w:rFonts w:ascii="Times New Roman" w:hAnsi="Times New Roman" w:cs="Times New Roman"/>
                <w:sz w:val="18"/>
                <w:szCs w:val="18"/>
              </w:rPr>
            </w:pPr>
            <w:r w:rsidRPr="000565E2">
              <w:rPr>
                <w:rFonts w:ascii="Times New Roman" w:hAnsi="Times New Roman" w:cs="Times New Roman"/>
                <w:b/>
                <w:bCs/>
                <w:sz w:val="18"/>
                <w:szCs w:val="18"/>
              </w:rPr>
              <w:t>OTHER INFORMATION</w:t>
            </w:r>
          </w:p>
        </w:tc>
        <w:tc>
          <w:tcPr>
            <w:tcW w:w="1557" w:type="dxa"/>
            <w:tcBorders>
              <w:top w:val="double" w:color="000000" w:themeColor="text1" w:sz="5" w:space="0"/>
              <w:left w:val="single" w:color="000000" w:themeColor="text1" w:sz="5" w:space="0"/>
              <w:bottom w:val="single" w:color="000000" w:themeColor="text1" w:sz="5" w:space="0"/>
              <w:right w:val="single" w:color="000000" w:themeColor="text1" w:sz="5" w:space="0"/>
            </w:tcBorders>
            <w:shd w:val="clear" w:color="auto" w:fill="FFFFCC"/>
          </w:tcPr>
          <w:p w:rsidRPr="000565E2" w:rsidR="001F5C01" w:rsidP="000313A4" w:rsidRDefault="001F5C01" w14:paraId="5E58ACAA" w14:textId="77777777">
            <w:pPr>
              <w:pStyle w:val="Default"/>
              <w:jc w:val="center"/>
              <w:rPr>
                <w:rFonts w:ascii="Times New Roman" w:hAnsi="Times New Roman" w:cs="Times New Roman"/>
                <w:color w:val="auto"/>
                <w:sz w:val="18"/>
                <w:szCs w:val="18"/>
              </w:rPr>
            </w:pPr>
          </w:p>
        </w:tc>
      </w:tr>
      <w:tr w:rsidRPr="00AA6E06" w:rsidR="001F5C01" w:rsidTr="000313A4" w14:paraId="41711C04" w14:textId="77777777">
        <w:trPr>
          <w:trHeight w:val="48"/>
        </w:trPr>
        <w:tc>
          <w:tcPr>
            <w:tcW w:w="1658" w:type="dxa"/>
            <w:vMerge w:val="restart"/>
            <w:tcBorders>
              <w:top w:val="single" w:color="000000" w:themeColor="text1" w:sz="5" w:space="0"/>
              <w:left w:val="single" w:color="000000" w:themeColor="text1" w:sz="5" w:space="0"/>
              <w:right w:val="single" w:color="000000" w:themeColor="text1" w:sz="5" w:space="0"/>
            </w:tcBorders>
          </w:tcPr>
          <w:p w:rsidRPr="000565E2" w:rsidR="001F5C01" w:rsidP="000313A4" w:rsidRDefault="001F5C01" w14:paraId="06D793F0"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Registration and protocol</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753206D"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24a</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6B0FBEF3"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Provide registration information for the review, including register name and registration number, or state that the review was not registered.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61D69CF"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Stated that review was not registered</w:t>
            </w:r>
            <w:r>
              <w:rPr>
                <w:rFonts w:ascii="Times New Roman" w:hAnsi="Times New Roman" w:cs="Times New Roman"/>
                <w:color w:val="auto"/>
                <w:sz w:val="18"/>
                <w:szCs w:val="18"/>
              </w:rPr>
              <w:t xml:space="preserve"> in Methods. </w:t>
            </w:r>
          </w:p>
        </w:tc>
      </w:tr>
      <w:tr w:rsidRPr="00AA6E06" w:rsidR="001F5C01" w:rsidTr="000313A4" w14:paraId="3A93AC53" w14:textId="77777777">
        <w:trPr>
          <w:trHeight w:val="57"/>
        </w:trPr>
        <w:tc>
          <w:tcPr>
            <w:tcW w:w="1658" w:type="dxa"/>
            <w:vMerge/>
          </w:tcPr>
          <w:p w:rsidRPr="000565E2" w:rsidR="001F5C01" w:rsidP="000313A4" w:rsidRDefault="001F5C01" w14:paraId="2B4C9BEC"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350677BD"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24b</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542C60A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Indicate where the review protocol can be accessed, or state that a protocol was not prepared.</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585D6F1"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Stated in methods</w:t>
            </w:r>
            <w:r w:rsidRPr="000565E2">
              <w:rPr>
                <w:rFonts w:ascii="Times New Roman" w:hAnsi="Times New Roman" w:cs="Times New Roman"/>
                <w:color w:val="auto"/>
                <w:sz w:val="18"/>
                <w:szCs w:val="18"/>
              </w:rPr>
              <w:t xml:space="preserve"> </w:t>
            </w:r>
          </w:p>
        </w:tc>
      </w:tr>
      <w:tr w:rsidRPr="00AA6E06" w:rsidR="001F5C01" w:rsidTr="000313A4" w14:paraId="06F2B2E9" w14:textId="77777777">
        <w:trPr>
          <w:trHeight w:val="48"/>
        </w:trPr>
        <w:tc>
          <w:tcPr>
            <w:tcW w:w="1658" w:type="dxa"/>
            <w:vMerge/>
          </w:tcPr>
          <w:p w:rsidRPr="000565E2" w:rsidR="001F5C01" w:rsidP="000313A4" w:rsidRDefault="001F5C01" w14:paraId="4E46BEA6" w14:textId="77777777">
            <w:pPr>
              <w:pStyle w:val="Default"/>
              <w:spacing w:before="40" w:after="40"/>
              <w:rPr>
                <w:rFonts w:ascii="Times New Roman" w:hAnsi="Times New Roman" w:cs="Times New Roman"/>
                <w:sz w:val="18"/>
                <w:szCs w:val="18"/>
              </w:rPr>
            </w:pP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B0CBF9F"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24c</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31FFE06"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and explain any amendments to information provided at registration or in the protocol.</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D60D5B0" w14:textId="77777777">
            <w:pPr>
              <w:pStyle w:val="Default"/>
              <w:spacing w:before="40" w:after="40"/>
              <w:rPr>
                <w:rFonts w:ascii="Times New Roman" w:hAnsi="Times New Roman" w:cs="Times New Roman"/>
                <w:color w:val="auto"/>
                <w:sz w:val="18"/>
                <w:szCs w:val="18"/>
              </w:rPr>
            </w:pPr>
            <w:r w:rsidRPr="000565E2">
              <w:rPr>
                <w:rFonts w:ascii="Times New Roman" w:hAnsi="Times New Roman" w:cs="Times New Roman"/>
                <w:color w:val="auto"/>
                <w:sz w:val="18"/>
                <w:szCs w:val="18"/>
              </w:rPr>
              <w:t>NA</w:t>
            </w:r>
          </w:p>
        </w:tc>
      </w:tr>
      <w:tr w:rsidRPr="00AA6E06" w:rsidR="001F5C01" w:rsidTr="00DE4232" w14:paraId="3366B143"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27C64354"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Support</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7C11A735"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25</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C489736"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Describe sources of financial or non-financial support for the review, and the role of the funders or sponsors in the review.</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7DDCF4E"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Disclosure</w:t>
            </w:r>
          </w:p>
        </w:tc>
      </w:tr>
      <w:tr w:rsidRPr="00AA6E06" w:rsidR="001F5C01" w:rsidTr="00DE4232" w14:paraId="7078958A" w14:textId="77777777">
        <w:trPr>
          <w:trHeight w:val="48"/>
        </w:trPr>
        <w:tc>
          <w:tcPr>
            <w:tcW w:w="1658"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05AB2D96"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Competing interests</w:t>
            </w:r>
          </w:p>
        </w:tc>
        <w:tc>
          <w:tcPr>
            <w:tcW w:w="675"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3008998"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26</w:t>
            </w:r>
          </w:p>
        </w:tc>
        <w:tc>
          <w:tcPr>
            <w:tcW w:w="11310"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16AB453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Declare any competing interests of review authors.</w:t>
            </w:r>
          </w:p>
        </w:tc>
        <w:tc>
          <w:tcPr>
            <w:tcW w:w="1557" w:type="dxa"/>
            <w:tcBorders>
              <w:top w:val="single" w:color="000000" w:themeColor="text1" w:sz="5" w:space="0"/>
              <w:left w:val="single" w:color="000000" w:themeColor="text1" w:sz="5" w:space="0"/>
              <w:bottom w:val="single" w:color="000000" w:themeColor="text1" w:sz="5" w:space="0"/>
              <w:right w:val="single" w:color="000000" w:themeColor="text1" w:sz="5" w:space="0"/>
            </w:tcBorders>
          </w:tcPr>
          <w:p w:rsidRPr="000565E2" w:rsidR="001F5C01" w:rsidP="000313A4" w:rsidRDefault="001F5C01" w14:paraId="438C17C4"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Disclosure</w:t>
            </w:r>
          </w:p>
        </w:tc>
      </w:tr>
      <w:tr w:rsidRPr="00AA6E06" w:rsidR="001F5C01" w:rsidTr="000313A4" w14:paraId="22CAB177" w14:textId="77777777">
        <w:trPr>
          <w:trHeight w:val="219"/>
        </w:trPr>
        <w:tc>
          <w:tcPr>
            <w:tcW w:w="1658"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5D0DB914"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Availability of data, code and other materials</w:t>
            </w:r>
          </w:p>
        </w:tc>
        <w:tc>
          <w:tcPr>
            <w:tcW w:w="675"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72822E79" w14:textId="77777777">
            <w:pPr>
              <w:pStyle w:val="Default"/>
              <w:spacing w:before="40" w:after="40"/>
              <w:jc w:val="right"/>
              <w:rPr>
                <w:rFonts w:ascii="Times New Roman" w:hAnsi="Times New Roman" w:cs="Times New Roman"/>
                <w:sz w:val="18"/>
                <w:szCs w:val="18"/>
              </w:rPr>
            </w:pPr>
            <w:r w:rsidRPr="000565E2">
              <w:rPr>
                <w:rFonts w:ascii="Times New Roman" w:hAnsi="Times New Roman" w:cs="Times New Roman"/>
                <w:sz w:val="18"/>
                <w:szCs w:val="18"/>
              </w:rPr>
              <w:t>27</w:t>
            </w:r>
          </w:p>
        </w:tc>
        <w:tc>
          <w:tcPr>
            <w:tcW w:w="11310"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073DBB9E" w14:textId="77777777">
            <w:pPr>
              <w:pStyle w:val="Default"/>
              <w:spacing w:before="40" w:after="40"/>
              <w:rPr>
                <w:rFonts w:ascii="Times New Roman" w:hAnsi="Times New Roman" w:cs="Times New Roman"/>
                <w:sz w:val="18"/>
                <w:szCs w:val="18"/>
              </w:rPr>
            </w:pPr>
            <w:r w:rsidRPr="000565E2">
              <w:rPr>
                <w:rFonts w:ascii="Times New Roman" w:hAnsi="Times New Roman" w:cs="Times New Roman"/>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557" w:type="dxa"/>
            <w:tcBorders>
              <w:top w:val="single" w:color="000000" w:themeColor="text1" w:sz="5" w:space="0"/>
              <w:left w:val="single" w:color="000000" w:themeColor="text1" w:sz="5" w:space="0"/>
              <w:bottom w:val="double" w:color="000000" w:themeColor="text1" w:sz="5" w:space="0"/>
              <w:right w:val="single" w:color="000000" w:themeColor="text1" w:sz="5" w:space="0"/>
            </w:tcBorders>
          </w:tcPr>
          <w:p w:rsidRPr="000565E2" w:rsidR="001F5C01" w:rsidP="000313A4" w:rsidRDefault="001F5C01" w14:paraId="66533FFD" w14:textId="77777777">
            <w:pPr>
              <w:pStyle w:val="Default"/>
              <w:spacing w:before="40" w:after="40"/>
              <w:rPr>
                <w:rFonts w:ascii="Times New Roman" w:hAnsi="Times New Roman" w:cs="Times New Roman"/>
                <w:color w:val="auto"/>
                <w:sz w:val="18"/>
                <w:szCs w:val="18"/>
              </w:rPr>
            </w:pPr>
            <w:r>
              <w:rPr>
                <w:rFonts w:ascii="Times New Roman" w:hAnsi="Times New Roman" w:cs="Times New Roman"/>
                <w:color w:val="auto"/>
                <w:sz w:val="18"/>
                <w:szCs w:val="18"/>
              </w:rPr>
              <w:t>Methods, Supplemental Table 1</w:t>
            </w:r>
            <w:r w:rsidRPr="000565E2">
              <w:rPr>
                <w:rFonts w:ascii="Times New Roman" w:hAnsi="Times New Roman" w:cs="Times New Roman"/>
                <w:color w:val="auto"/>
                <w:sz w:val="18"/>
                <w:szCs w:val="18"/>
              </w:rPr>
              <w:t xml:space="preserve">  </w:t>
            </w:r>
          </w:p>
        </w:tc>
      </w:tr>
    </w:tbl>
    <w:p w:rsidRPr="000565E2" w:rsidR="001F5C01" w:rsidP="001F5C01" w:rsidRDefault="001F5C01" w14:paraId="5506F2ED" w14:textId="77777777">
      <w:pPr>
        <w:rPr>
          <w:rFonts w:ascii="Times New Roman" w:hAnsi="Times New Roman"/>
          <w:b/>
          <w:bCs/>
        </w:rPr>
        <w:sectPr w:rsidRPr="000565E2" w:rsidR="001F5C01" w:rsidSect="001F5C01">
          <w:pgSz w:w="15840" w:h="12240" w:orient="landscape"/>
          <w:pgMar w:top="187" w:right="187" w:bottom="720" w:left="187" w:header="720" w:footer="720" w:gutter="0"/>
          <w:cols w:space="720"/>
          <w:docGrid w:linePitch="360"/>
        </w:sectPr>
      </w:pPr>
    </w:p>
    <w:p w:rsidRPr="001F5C01" w:rsidR="00292768" w:rsidP="001F5C01" w:rsidRDefault="00292768" w14:paraId="2095D744" w14:textId="77777777"/>
    <w:sectPr w:rsidRPr="001F5C01" w:rsidR="00292768" w:rsidSect="00923C2C">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5367E"/>
    <w:multiLevelType w:val="hybridMultilevel"/>
    <w:tmpl w:val="909A11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2D41454"/>
    <w:multiLevelType w:val="hybridMultilevel"/>
    <w:tmpl w:val="26C8515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5C3754F"/>
    <w:multiLevelType w:val="hybridMultilevel"/>
    <w:tmpl w:val="4280764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70105CD"/>
    <w:multiLevelType w:val="hybridMultilevel"/>
    <w:tmpl w:val="634AA61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368B3899"/>
    <w:multiLevelType w:val="hybridMultilevel"/>
    <w:tmpl w:val="02363D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386D7D27"/>
    <w:multiLevelType w:val="hybridMultilevel"/>
    <w:tmpl w:val="14681E8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CE31034"/>
    <w:multiLevelType w:val="hybridMultilevel"/>
    <w:tmpl w:val="39DAC4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4BD72BEA"/>
    <w:multiLevelType w:val="hybridMultilevel"/>
    <w:tmpl w:val="64DA5E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59AB2EF4"/>
    <w:multiLevelType w:val="multilevel"/>
    <w:tmpl w:val="F20EC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5AF52015"/>
    <w:multiLevelType w:val="hybridMultilevel"/>
    <w:tmpl w:val="F488AA6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5D9F6524"/>
    <w:multiLevelType w:val="hybridMultilevel"/>
    <w:tmpl w:val="B75E13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611A6034"/>
    <w:multiLevelType w:val="hybridMultilevel"/>
    <w:tmpl w:val="BCE06C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F876893"/>
    <w:multiLevelType w:val="hybridMultilevel"/>
    <w:tmpl w:val="399C6E2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2E80FDF"/>
    <w:multiLevelType w:val="hybridMultilevel"/>
    <w:tmpl w:val="42DE9CE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125544561">
    <w:abstractNumId w:val="4"/>
  </w:num>
  <w:num w:numId="2" w16cid:durableId="1266305960">
    <w:abstractNumId w:val="8"/>
  </w:num>
  <w:num w:numId="3" w16cid:durableId="1410805802">
    <w:abstractNumId w:val="13"/>
  </w:num>
  <w:num w:numId="4" w16cid:durableId="1464618730">
    <w:abstractNumId w:val="2"/>
  </w:num>
  <w:num w:numId="5" w16cid:durableId="1527868658">
    <w:abstractNumId w:val="7"/>
  </w:num>
  <w:num w:numId="6" w16cid:durableId="1584876839">
    <w:abstractNumId w:val="3"/>
  </w:num>
  <w:num w:numId="7" w16cid:durableId="173422194">
    <w:abstractNumId w:val="11"/>
  </w:num>
  <w:num w:numId="8" w16cid:durableId="2029868564">
    <w:abstractNumId w:val="1"/>
  </w:num>
  <w:num w:numId="9" w16cid:durableId="215893572">
    <w:abstractNumId w:val="10"/>
  </w:num>
  <w:num w:numId="10" w16cid:durableId="459883298">
    <w:abstractNumId w:val="5"/>
  </w:num>
  <w:num w:numId="11" w16cid:durableId="469523177">
    <w:abstractNumId w:val="9"/>
  </w:num>
  <w:num w:numId="12" w16cid:durableId="598366612">
    <w:abstractNumId w:val="6"/>
  </w:num>
  <w:num w:numId="13" w16cid:durableId="931624893">
    <w:abstractNumId w:val="12"/>
  </w:num>
  <w:num w:numId="14" w16cid:durableId="9727167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C2C"/>
    <w:rsid w:val="0000054C"/>
    <w:rsid w:val="000313A4"/>
    <w:rsid w:val="000524C7"/>
    <w:rsid w:val="00080507"/>
    <w:rsid w:val="000C04B3"/>
    <w:rsid w:val="001A461D"/>
    <w:rsid w:val="001F3E35"/>
    <w:rsid w:val="001F5C01"/>
    <w:rsid w:val="00262CB6"/>
    <w:rsid w:val="002751FC"/>
    <w:rsid w:val="00292768"/>
    <w:rsid w:val="003129AC"/>
    <w:rsid w:val="00387F0A"/>
    <w:rsid w:val="003907A4"/>
    <w:rsid w:val="003C2F2B"/>
    <w:rsid w:val="00451300"/>
    <w:rsid w:val="00564ECC"/>
    <w:rsid w:val="00593BB6"/>
    <w:rsid w:val="0062088A"/>
    <w:rsid w:val="00707A89"/>
    <w:rsid w:val="007523BF"/>
    <w:rsid w:val="007B28EC"/>
    <w:rsid w:val="00835892"/>
    <w:rsid w:val="00853DE8"/>
    <w:rsid w:val="008B5C2D"/>
    <w:rsid w:val="008C070B"/>
    <w:rsid w:val="00915352"/>
    <w:rsid w:val="00923C2C"/>
    <w:rsid w:val="009252F1"/>
    <w:rsid w:val="009428E0"/>
    <w:rsid w:val="009A7404"/>
    <w:rsid w:val="00A86DE9"/>
    <w:rsid w:val="00A94B1C"/>
    <w:rsid w:val="00AE088E"/>
    <w:rsid w:val="00AF526C"/>
    <w:rsid w:val="00B639CB"/>
    <w:rsid w:val="00C05F50"/>
    <w:rsid w:val="00C1092F"/>
    <w:rsid w:val="00C17F2F"/>
    <w:rsid w:val="00C2069D"/>
    <w:rsid w:val="00CD3388"/>
    <w:rsid w:val="00D20C68"/>
    <w:rsid w:val="00D33A8E"/>
    <w:rsid w:val="00D34FE8"/>
    <w:rsid w:val="00DB2395"/>
    <w:rsid w:val="00DE4232"/>
    <w:rsid w:val="00E35815"/>
    <w:rsid w:val="00ED568A"/>
    <w:rsid w:val="00EE65E8"/>
    <w:rsid w:val="00F0052F"/>
    <w:rsid w:val="00F960D2"/>
    <w:rsid w:val="01773817"/>
    <w:rsid w:val="026E15F4"/>
    <w:rsid w:val="05ECC06D"/>
    <w:rsid w:val="082347D3"/>
    <w:rsid w:val="0AAD0C30"/>
    <w:rsid w:val="0AD2560D"/>
    <w:rsid w:val="0B4F37AC"/>
    <w:rsid w:val="0B742D29"/>
    <w:rsid w:val="0C012ECA"/>
    <w:rsid w:val="0EEC8012"/>
    <w:rsid w:val="10741ABE"/>
    <w:rsid w:val="11CBA437"/>
    <w:rsid w:val="11EC1A62"/>
    <w:rsid w:val="13B71836"/>
    <w:rsid w:val="13D1AB20"/>
    <w:rsid w:val="149B5EC8"/>
    <w:rsid w:val="14D643AB"/>
    <w:rsid w:val="150DCAF1"/>
    <w:rsid w:val="15F3280B"/>
    <w:rsid w:val="18D86FFF"/>
    <w:rsid w:val="194AF6F8"/>
    <w:rsid w:val="1A94E8FC"/>
    <w:rsid w:val="1ADD088A"/>
    <w:rsid w:val="1C285CBE"/>
    <w:rsid w:val="1FAD2D0D"/>
    <w:rsid w:val="2098250A"/>
    <w:rsid w:val="20BC59A9"/>
    <w:rsid w:val="212F8CB0"/>
    <w:rsid w:val="21562937"/>
    <w:rsid w:val="2435053F"/>
    <w:rsid w:val="25A2F430"/>
    <w:rsid w:val="260429EB"/>
    <w:rsid w:val="2850091C"/>
    <w:rsid w:val="287503C2"/>
    <w:rsid w:val="291F0A8E"/>
    <w:rsid w:val="297E6E80"/>
    <w:rsid w:val="2ADABE4E"/>
    <w:rsid w:val="2B1E753F"/>
    <w:rsid w:val="2B4ED035"/>
    <w:rsid w:val="2B558E6E"/>
    <w:rsid w:val="2C777919"/>
    <w:rsid w:val="2CD085DB"/>
    <w:rsid w:val="2F3C8F49"/>
    <w:rsid w:val="306AF6EC"/>
    <w:rsid w:val="326BBB6C"/>
    <w:rsid w:val="3289EFF7"/>
    <w:rsid w:val="337A3902"/>
    <w:rsid w:val="3470B7F8"/>
    <w:rsid w:val="364B02EE"/>
    <w:rsid w:val="38256795"/>
    <w:rsid w:val="41454E57"/>
    <w:rsid w:val="41C67E8E"/>
    <w:rsid w:val="42D8D657"/>
    <w:rsid w:val="44050C3A"/>
    <w:rsid w:val="44303F48"/>
    <w:rsid w:val="460979BB"/>
    <w:rsid w:val="47E80963"/>
    <w:rsid w:val="49F8C668"/>
    <w:rsid w:val="4A7B44BD"/>
    <w:rsid w:val="4B9F5939"/>
    <w:rsid w:val="4CA83066"/>
    <w:rsid w:val="4D1FB6F5"/>
    <w:rsid w:val="4F5B1CEB"/>
    <w:rsid w:val="4FEC1A28"/>
    <w:rsid w:val="5252AAC0"/>
    <w:rsid w:val="5258C25B"/>
    <w:rsid w:val="52C78C56"/>
    <w:rsid w:val="563CB375"/>
    <w:rsid w:val="5815C118"/>
    <w:rsid w:val="58E52104"/>
    <w:rsid w:val="5C9D1C2C"/>
    <w:rsid w:val="5D5C5703"/>
    <w:rsid w:val="5F53A305"/>
    <w:rsid w:val="60F0EBE0"/>
    <w:rsid w:val="615B4365"/>
    <w:rsid w:val="63681E00"/>
    <w:rsid w:val="640139D4"/>
    <w:rsid w:val="64896C6F"/>
    <w:rsid w:val="6543D666"/>
    <w:rsid w:val="69308F79"/>
    <w:rsid w:val="6BA7E0CA"/>
    <w:rsid w:val="6BDAB18D"/>
    <w:rsid w:val="6E64FB46"/>
    <w:rsid w:val="6EA11646"/>
    <w:rsid w:val="6FFF8576"/>
    <w:rsid w:val="7001B04B"/>
    <w:rsid w:val="74006BEC"/>
    <w:rsid w:val="7694053B"/>
    <w:rsid w:val="7B11771D"/>
    <w:rsid w:val="7E8B4640"/>
    <w:rsid w:val="7F16F7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0F09E"/>
  <w15:chartTrackingRefBased/>
  <w15:docId w15:val="{896C6F55-C8A5-4AC0-B3FC-E61088C49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53DE8"/>
    <w:rPr>
      <w:rFonts w:ascii="Calibri" w:hAnsi="Calibri" w:eastAsia="Calibri" w:cs="Times New Roman"/>
      <w:kern w:val="0"/>
      <w14:ligatures w14:val="none"/>
    </w:rPr>
  </w:style>
  <w:style w:type="paragraph" w:styleId="Heading1">
    <w:name w:val="heading 1"/>
    <w:basedOn w:val="Normal"/>
    <w:next w:val="Normal"/>
    <w:link w:val="Heading1Char"/>
    <w:uiPriority w:val="9"/>
    <w:qFormat/>
    <w:rsid w:val="00923C2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3C2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3C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3C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3C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3C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3C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3C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3C2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23C2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23C2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23C2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23C2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23C2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23C2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23C2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23C2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23C2C"/>
    <w:rPr>
      <w:rFonts w:eastAsiaTheme="majorEastAsia" w:cstheme="majorBidi"/>
      <w:color w:val="272727" w:themeColor="text1" w:themeTint="D8"/>
    </w:rPr>
  </w:style>
  <w:style w:type="paragraph" w:styleId="Title">
    <w:name w:val="Title"/>
    <w:basedOn w:val="Normal"/>
    <w:next w:val="Normal"/>
    <w:link w:val="TitleChar"/>
    <w:uiPriority w:val="10"/>
    <w:qFormat/>
    <w:rsid w:val="00923C2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23C2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23C2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23C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3C2C"/>
    <w:pPr>
      <w:spacing w:before="160"/>
      <w:jc w:val="center"/>
    </w:pPr>
    <w:rPr>
      <w:i/>
      <w:iCs/>
      <w:color w:val="404040" w:themeColor="text1" w:themeTint="BF"/>
    </w:rPr>
  </w:style>
  <w:style w:type="character" w:styleId="QuoteChar" w:customStyle="1">
    <w:name w:val="Quote Char"/>
    <w:basedOn w:val="DefaultParagraphFont"/>
    <w:link w:val="Quote"/>
    <w:uiPriority w:val="29"/>
    <w:rsid w:val="00923C2C"/>
    <w:rPr>
      <w:i/>
      <w:iCs/>
      <w:color w:val="404040" w:themeColor="text1" w:themeTint="BF"/>
    </w:rPr>
  </w:style>
  <w:style w:type="paragraph" w:styleId="ListParagraph">
    <w:name w:val="List Paragraph"/>
    <w:basedOn w:val="Normal"/>
    <w:uiPriority w:val="34"/>
    <w:qFormat/>
    <w:rsid w:val="00923C2C"/>
    <w:pPr>
      <w:ind w:left="720"/>
      <w:contextualSpacing/>
    </w:pPr>
  </w:style>
  <w:style w:type="character" w:styleId="IntenseEmphasis">
    <w:name w:val="Intense Emphasis"/>
    <w:basedOn w:val="DefaultParagraphFont"/>
    <w:uiPriority w:val="21"/>
    <w:qFormat/>
    <w:rsid w:val="00923C2C"/>
    <w:rPr>
      <w:i/>
      <w:iCs/>
      <w:color w:val="0F4761" w:themeColor="accent1" w:themeShade="BF"/>
    </w:rPr>
  </w:style>
  <w:style w:type="paragraph" w:styleId="IntenseQuote">
    <w:name w:val="Intense Quote"/>
    <w:basedOn w:val="Normal"/>
    <w:next w:val="Normal"/>
    <w:link w:val="IntenseQuoteChar"/>
    <w:uiPriority w:val="30"/>
    <w:qFormat/>
    <w:rsid w:val="00923C2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23C2C"/>
    <w:rPr>
      <w:i/>
      <w:iCs/>
      <w:color w:val="0F4761" w:themeColor="accent1" w:themeShade="BF"/>
    </w:rPr>
  </w:style>
  <w:style w:type="character" w:styleId="IntenseReference">
    <w:name w:val="Intense Reference"/>
    <w:basedOn w:val="DefaultParagraphFont"/>
    <w:uiPriority w:val="32"/>
    <w:qFormat/>
    <w:rsid w:val="00923C2C"/>
    <w:rPr>
      <w:b/>
      <w:bCs/>
      <w:smallCaps/>
      <w:color w:val="0F4761" w:themeColor="accent1" w:themeShade="BF"/>
      <w:spacing w:val="5"/>
    </w:rPr>
  </w:style>
  <w:style w:type="character" w:styleId="normaltextrun" w:customStyle="1">
    <w:name w:val="normaltextrun"/>
    <w:basedOn w:val="DefaultParagraphFont"/>
    <w:rsid w:val="00853DE8"/>
  </w:style>
  <w:style w:type="paragraph" w:styleId="Default" w:customStyle="1">
    <w:name w:val="Default"/>
    <w:rsid w:val="001F5C01"/>
    <w:pPr>
      <w:widowControl w:val="0"/>
      <w:autoSpaceDE w:val="0"/>
      <w:autoSpaceDN w:val="0"/>
      <w:adjustRightInd w:val="0"/>
      <w:spacing w:after="0" w:line="240" w:lineRule="auto"/>
    </w:pPr>
    <w:rPr>
      <w:rFonts w:ascii="Calibri" w:hAnsi="Calibri" w:eastAsia="Times New Roman" w:cs="Calibri"/>
      <w:color w:val="000000"/>
      <w:kern w:val="0"/>
      <w:sz w:val="24"/>
      <w:szCs w:val="24"/>
      <w:lang w:val="en-CA" w:eastAsia="en-CA"/>
      <w14:ligatures w14:val="non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279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Peters, Robert L</dc:creator>
  <keywords/>
  <dc:description/>
  <lastModifiedBy>jdfine@med.unc.edu</lastModifiedBy>
  <revision>39</revision>
  <dcterms:created xsi:type="dcterms:W3CDTF">2024-12-02T16:31:00.0000000Z</dcterms:created>
  <dcterms:modified xsi:type="dcterms:W3CDTF">2025-07-26T19:33:40.1065783Z</dcterms:modified>
</coreProperties>
</file>