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9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6"/>
        <w:gridCol w:w="1431"/>
        <w:gridCol w:w="1349"/>
        <w:gridCol w:w="1553"/>
        <w:gridCol w:w="1479"/>
        <w:gridCol w:w="1634"/>
        <w:gridCol w:w="1439"/>
        <w:gridCol w:w="1727"/>
        <w:gridCol w:w="447"/>
        <w:gridCol w:w="390"/>
        <w:gridCol w:w="442"/>
        <w:gridCol w:w="692"/>
        <w:gridCol w:w="577"/>
        <w:gridCol w:w="505"/>
      </w:tblGrid>
      <w:tr w:rsidR="00E82A9A" w:rsidRPr="00E82A9A" w14:paraId="3403E5AA" w14:textId="77777777" w:rsidTr="003A4ACC">
        <w:trPr>
          <w:trHeight w:val="70"/>
        </w:trPr>
        <w:tc>
          <w:tcPr>
            <w:tcW w:w="1356" w:type="dxa"/>
            <w:vMerge w:val="restart"/>
            <w:shd w:val="clear" w:color="auto" w:fill="auto"/>
          </w:tcPr>
          <w:p w14:paraId="6FBEE724" w14:textId="1EF97A07" w:rsidR="00E82A9A" w:rsidRPr="00E82A9A" w:rsidRDefault="00E82A9A" w:rsidP="00D21EBF">
            <w:pPr>
              <w:spacing w:after="0" w:line="240" w:lineRule="auto"/>
              <w:rPr>
                <w:rFonts w:ascii="Aptos Narrow" w:eastAsia="Times New Roman" w:hAnsi="Aptos Narrow" w:cs="Times New Roman"/>
                <w:color w:val="000000"/>
                <w:lang w:eastAsia="en-AU"/>
                <w14:ligatures w14:val="none"/>
              </w:rPr>
            </w:pPr>
            <w:bookmarkStart w:id="0" w:name="_Hlk198120737"/>
            <w:r>
              <w:rPr>
                <w:rFonts w:ascii="Aptos Narrow" w:eastAsia="Times New Roman" w:hAnsi="Aptos Narrow" w:cs="Times New Roman"/>
                <w:color w:val="000000"/>
                <w:lang w:eastAsia="en-AU"/>
                <w14:ligatures w14:val="none"/>
              </w:rPr>
              <w:t>Author and year</w:t>
            </w:r>
          </w:p>
        </w:tc>
        <w:tc>
          <w:tcPr>
            <w:tcW w:w="1431" w:type="dxa"/>
            <w:vMerge w:val="restart"/>
            <w:shd w:val="clear" w:color="auto" w:fill="auto"/>
            <w:noWrap/>
            <w:vAlign w:val="bottom"/>
            <w:hideMark/>
          </w:tcPr>
          <w:p w14:paraId="2900EDAC" w14:textId="453A7C49" w:rsidR="00E82A9A" w:rsidRPr="00D21EBF" w:rsidRDefault="00E82A9A" w:rsidP="00D21EBF">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State</w:t>
            </w:r>
          </w:p>
        </w:tc>
        <w:tc>
          <w:tcPr>
            <w:tcW w:w="1349" w:type="dxa"/>
            <w:vMerge w:val="restart"/>
            <w:shd w:val="clear" w:color="auto" w:fill="auto"/>
            <w:noWrap/>
            <w:vAlign w:val="bottom"/>
            <w:hideMark/>
          </w:tcPr>
          <w:p w14:paraId="23AAA120" w14:textId="77777777" w:rsidR="00E82A9A" w:rsidRPr="00D21EBF" w:rsidRDefault="00E82A9A" w:rsidP="00D21EBF">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Methodology</w:t>
            </w:r>
          </w:p>
        </w:tc>
        <w:tc>
          <w:tcPr>
            <w:tcW w:w="1553" w:type="dxa"/>
            <w:vMerge w:val="restart"/>
            <w:shd w:val="clear" w:color="auto" w:fill="auto"/>
            <w:noWrap/>
            <w:vAlign w:val="bottom"/>
            <w:hideMark/>
          </w:tcPr>
          <w:p w14:paraId="63F40098" w14:textId="77777777" w:rsidR="00E82A9A" w:rsidRPr="00D21EBF" w:rsidRDefault="00E82A9A" w:rsidP="00D21EBF">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Disability type</w:t>
            </w:r>
          </w:p>
        </w:tc>
        <w:tc>
          <w:tcPr>
            <w:tcW w:w="1479" w:type="dxa"/>
            <w:vMerge w:val="restart"/>
            <w:shd w:val="clear" w:color="auto" w:fill="auto"/>
            <w:noWrap/>
            <w:vAlign w:val="bottom"/>
            <w:hideMark/>
          </w:tcPr>
          <w:p w14:paraId="636B80BA" w14:textId="77777777" w:rsidR="00E82A9A" w:rsidRPr="00D21EBF" w:rsidRDefault="00E82A9A" w:rsidP="00D21EBF">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Perspective  </w:t>
            </w:r>
          </w:p>
        </w:tc>
        <w:tc>
          <w:tcPr>
            <w:tcW w:w="1634" w:type="dxa"/>
            <w:vMerge w:val="restart"/>
            <w:shd w:val="clear" w:color="auto" w:fill="auto"/>
            <w:vAlign w:val="bottom"/>
            <w:hideMark/>
          </w:tcPr>
          <w:p w14:paraId="72E61010" w14:textId="77777777" w:rsidR="00E82A9A" w:rsidRPr="00D21EBF" w:rsidRDefault="00E82A9A" w:rsidP="00D21EBF">
            <w:pPr>
              <w:spacing w:after="0" w:line="240" w:lineRule="auto"/>
              <w:rPr>
                <w:rFonts w:ascii="Aptos Narrow" w:eastAsia="Times New Roman" w:hAnsi="Aptos Narrow" w:cs="Times New Roman"/>
                <w:color w:val="000000" w:themeColor="text1"/>
                <w:lang w:eastAsia="en-AU"/>
                <w14:ligatures w14:val="none"/>
              </w:rPr>
            </w:pPr>
            <w:r w:rsidRPr="00D21EBF">
              <w:rPr>
                <w:rFonts w:ascii="Aptos Narrow" w:eastAsia="Times New Roman" w:hAnsi="Aptos Narrow" w:cs="Times New Roman"/>
                <w:color w:val="000000" w:themeColor="text1"/>
                <w:lang w:eastAsia="en-AU"/>
                <w14:ligatures w14:val="none"/>
              </w:rPr>
              <w:t xml:space="preserve">Intersectionality </w:t>
            </w:r>
          </w:p>
        </w:tc>
        <w:tc>
          <w:tcPr>
            <w:tcW w:w="3109" w:type="dxa"/>
            <w:gridSpan w:val="2"/>
            <w:shd w:val="clear" w:color="auto" w:fill="auto"/>
            <w:vAlign w:val="bottom"/>
          </w:tcPr>
          <w:p w14:paraId="35DAD034" w14:textId="7039491F" w:rsidR="00E82A9A" w:rsidRPr="00D21EBF" w:rsidRDefault="00E82A9A" w:rsidP="00D21EBF">
            <w:pPr>
              <w:spacing w:after="0" w:line="240" w:lineRule="auto"/>
              <w:rPr>
                <w:rFonts w:ascii="Aptos Narrow" w:eastAsia="Times New Roman" w:hAnsi="Aptos Narrow" w:cs="Times New Roman"/>
                <w:color w:val="000000"/>
                <w:lang w:eastAsia="en-AU"/>
                <w14:ligatures w14:val="none"/>
              </w:rPr>
            </w:pPr>
            <w:r w:rsidRPr="00E82A9A">
              <w:rPr>
                <w:rFonts w:ascii="Aptos Narrow" w:eastAsia="Times New Roman" w:hAnsi="Aptos Narrow" w:cs="Times New Roman"/>
                <w:color w:val="000000"/>
                <w:lang w:eastAsia="en-AU"/>
                <w14:ligatures w14:val="none"/>
              </w:rPr>
              <w:t xml:space="preserve">Type of services </w:t>
            </w:r>
          </w:p>
        </w:tc>
        <w:tc>
          <w:tcPr>
            <w:tcW w:w="3053" w:type="dxa"/>
            <w:gridSpan w:val="6"/>
            <w:vMerge w:val="restart"/>
            <w:shd w:val="clear" w:color="auto" w:fill="auto"/>
            <w:noWrap/>
            <w:vAlign w:val="bottom"/>
          </w:tcPr>
          <w:p w14:paraId="6600492B" w14:textId="1671CE54" w:rsidR="00E82A9A" w:rsidRPr="00D21EBF" w:rsidRDefault="00E82A9A" w:rsidP="00D21EBF">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t xml:space="preserve">Structural social determinants  </w:t>
            </w:r>
          </w:p>
        </w:tc>
      </w:tr>
      <w:tr w:rsidR="00E82A9A" w:rsidRPr="00D21EBF" w14:paraId="0EB59751" w14:textId="77777777" w:rsidTr="003A4ACC">
        <w:trPr>
          <w:trHeight w:val="269"/>
        </w:trPr>
        <w:tc>
          <w:tcPr>
            <w:tcW w:w="1356" w:type="dxa"/>
            <w:vMerge/>
            <w:shd w:val="clear" w:color="000000" w:fill="FF0000"/>
          </w:tcPr>
          <w:p w14:paraId="74203A54" w14:textId="77777777" w:rsidR="00E82A9A" w:rsidRPr="00D21EBF" w:rsidRDefault="00E82A9A" w:rsidP="00AB232A">
            <w:pPr>
              <w:spacing w:after="0" w:line="240" w:lineRule="auto"/>
              <w:rPr>
                <w:rFonts w:ascii="Aptos Narrow" w:eastAsia="Times New Roman" w:hAnsi="Aptos Narrow" w:cs="Times New Roman"/>
                <w:b/>
                <w:bCs/>
                <w:color w:val="000000"/>
                <w:lang w:eastAsia="en-AU"/>
                <w14:ligatures w14:val="none"/>
              </w:rPr>
            </w:pPr>
          </w:p>
        </w:tc>
        <w:tc>
          <w:tcPr>
            <w:tcW w:w="1431" w:type="dxa"/>
            <w:vMerge/>
            <w:shd w:val="clear" w:color="000000" w:fill="FF0000"/>
            <w:noWrap/>
            <w:vAlign w:val="bottom"/>
          </w:tcPr>
          <w:p w14:paraId="136A9EAE" w14:textId="77777777" w:rsidR="00E82A9A" w:rsidRPr="00D21EBF" w:rsidRDefault="00E82A9A" w:rsidP="00AB232A">
            <w:pPr>
              <w:spacing w:after="0" w:line="240" w:lineRule="auto"/>
              <w:rPr>
                <w:rFonts w:ascii="Aptos Narrow" w:eastAsia="Times New Roman" w:hAnsi="Aptos Narrow" w:cs="Times New Roman"/>
                <w:b/>
                <w:bCs/>
                <w:color w:val="000000"/>
                <w:lang w:eastAsia="en-AU"/>
                <w14:ligatures w14:val="none"/>
              </w:rPr>
            </w:pPr>
          </w:p>
        </w:tc>
        <w:tc>
          <w:tcPr>
            <w:tcW w:w="1349" w:type="dxa"/>
            <w:vMerge/>
            <w:shd w:val="clear" w:color="000000" w:fill="FFFF00"/>
            <w:noWrap/>
            <w:vAlign w:val="bottom"/>
          </w:tcPr>
          <w:p w14:paraId="7C563DEB" w14:textId="77777777" w:rsidR="00E82A9A" w:rsidRPr="00D21EBF" w:rsidRDefault="00E82A9A" w:rsidP="00AB232A">
            <w:pPr>
              <w:spacing w:after="0" w:line="240" w:lineRule="auto"/>
              <w:rPr>
                <w:rFonts w:ascii="Aptos Narrow" w:eastAsia="Times New Roman" w:hAnsi="Aptos Narrow" w:cs="Times New Roman"/>
                <w:color w:val="000000"/>
                <w:lang w:eastAsia="en-AU"/>
                <w14:ligatures w14:val="none"/>
              </w:rPr>
            </w:pPr>
          </w:p>
        </w:tc>
        <w:tc>
          <w:tcPr>
            <w:tcW w:w="1553" w:type="dxa"/>
            <w:vMerge/>
            <w:shd w:val="clear" w:color="000000" w:fill="FF0000"/>
            <w:noWrap/>
            <w:vAlign w:val="bottom"/>
          </w:tcPr>
          <w:p w14:paraId="13924FDE" w14:textId="77777777" w:rsidR="00E82A9A" w:rsidRPr="00D21EBF" w:rsidRDefault="00E82A9A" w:rsidP="00AB232A">
            <w:pPr>
              <w:spacing w:after="0" w:line="240" w:lineRule="auto"/>
              <w:rPr>
                <w:rFonts w:ascii="Aptos Narrow" w:eastAsia="Times New Roman" w:hAnsi="Aptos Narrow" w:cs="Times New Roman"/>
                <w:b/>
                <w:bCs/>
                <w:color w:val="000000"/>
                <w:lang w:eastAsia="en-AU"/>
                <w14:ligatures w14:val="none"/>
              </w:rPr>
            </w:pPr>
          </w:p>
        </w:tc>
        <w:tc>
          <w:tcPr>
            <w:tcW w:w="1479" w:type="dxa"/>
            <w:vMerge/>
            <w:shd w:val="clear" w:color="000000" w:fill="FF0000"/>
            <w:noWrap/>
            <w:vAlign w:val="bottom"/>
          </w:tcPr>
          <w:p w14:paraId="6F0EB5E9" w14:textId="77777777" w:rsidR="00E82A9A" w:rsidRPr="00D21EBF" w:rsidRDefault="00E82A9A" w:rsidP="00AB232A">
            <w:pPr>
              <w:spacing w:after="0" w:line="240" w:lineRule="auto"/>
              <w:rPr>
                <w:rFonts w:ascii="Aptos Narrow" w:eastAsia="Times New Roman" w:hAnsi="Aptos Narrow" w:cs="Times New Roman"/>
                <w:b/>
                <w:bCs/>
                <w:color w:val="000000"/>
                <w:lang w:eastAsia="en-AU"/>
                <w14:ligatures w14:val="none"/>
              </w:rPr>
            </w:pPr>
          </w:p>
        </w:tc>
        <w:tc>
          <w:tcPr>
            <w:tcW w:w="1634" w:type="dxa"/>
            <w:vMerge/>
            <w:shd w:val="clear" w:color="000000" w:fill="FFFF00"/>
            <w:vAlign w:val="bottom"/>
          </w:tcPr>
          <w:p w14:paraId="2265A9AD" w14:textId="77777777" w:rsidR="00E82A9A" w:rsidRPr="00E82A9A" w:rsidRDefault="00E82A9A" w:rsidP="00AB232A">
            <w:pPr>
              <w:spacing w:after="0" w:line="240" w:lineRule="auto"/>
              <w:rPr>
                <w:rFonts w:ascii="Aptos Narrow" w:eastAsia="Times New Roman" w:hAnsi="Aptos Narrow" w:cs="Times New Roman"/>
                <w:color w:val="000000" w:themeColor="text1"/>
                <w:lang w:eastAsia="en-AU"/>
                <w14:ligatures w14:val="none"/>
              </w:rPr>
            </w:pPr>
          </w:p>
        </w:tc>
        <w:tc>
          <w:tcPr>
            <w:tcW w:w="1439" w:type="dxa"/>
            <w:vMerge w:val="restart"/>
            <w:shd w:val="clear" w:color="auto" w:fill="auto"/>
            <w:vAlign w:val="bottom"/>
          </w:tcPr>
          <w:p w14:paraId="312B1968" w14:textId="6C74F987" w:rsidR="00E82A9A" w:rsidRPr="00D21EBF" w:rsidRDefault="00E82A9A" w:rsidP="00AB232A">
            <w:pPr>
              <w:spacing w:after="0" w:line="240" w:lineRule="auto"/>
              <w:rPr>
                <w:rFonts w:ascii="Aptos Narrow" w:eastAsia="Times New Roman" w:hAnsi="Aptos Narrow" w:cs="Times New Roman"/>
                <w:b/>
                <w:bCs/>
                <w:color w:val="000000"/>
                <w:lang w:eastAsia="en-AU"/>
                <w14:ligatures w14:val="none"/>
              </w:rPr>
            </w:pPr>
            <w:r w:rsidRPr="00D21EBF">
              <w:rPr>
                <w:rFonts w:ascii="Aptos Narrow" w:eastAsia="Times New Roman" w:hAnsi="Aptos Narrow" w:cs="Times New Roman"/>
                <w:b/>
                <w:bCs/>
                <w:color w:val="000000"/>
                <w:lang w:eastAsia="en-AU"/>
                <w14:ligatures w14:val="none"/>
              </w:rPr>
              <w:t xml:space="preserve">Health service  </w:t>
            </w:r>
          </w:p>
        </w:tc>
        <w:tc>
          <w:tcPr>
            <w:tcW w:w="1670" w:type="dxa"/>
            <w:vMerge w:val="restart"/>
            <w:shd w:val="clear" w:color="auto" w:fill="auto"/>
            <w:vAlign w:val="bottom"/>
          </w:tcPr>
          <w:p w14:paraId="5D7A702A" w14:textId="60B720DF" w:rsidR="00E82A9A" w:rsidRPr="00D21EBF" w:rsidRDefault="00E82A9A" w:rsidP="00AB232A">
            <w:pPr>
              <w:spacing w:after="0" w:line="240" w:lineRule="auto"/>
              <w:rPr>
                <w:rFonts w:ascii="Aptos Narrow" w:eastAsia="Times New Roman" w:hAnsi="Aptos Narrow" w:cs="Times New Roman"/>
                <w:b/>
                <w:bCs/>
                <w:color w:val="000000"/>
                <w:lang w:eastAsia="en-AU"/>
                <w14:ligatures w14:val="none"/>
              </w:rPr>
            </w:pPr>
            <w:r w:rsidRPr="00D21EBF">
              <w:rPr>
                <w:rFonts w:ascii="Aptos Narrow" w:eastAsia="Times New Roman" w:hAnsi="Aptos Narrow" w:cs="Times New Roman"/>
                <w:b/>
                <w:bCs/>
                <w:color w:val="000000"/>
                <w:lang w:eastAsia="en-AU"/>
                <w14:ligatures w14:val="none"/>
              </w:rPr>
              <w:t xml:space="preserve">Support service </w:t>
            </w:r>
          </w:p>
        </w:tc>
        <w:tc>
          <w:tcPr>
            <w:tcW w:w="3053" w:type="dxa"/>
            <w:gridSpan w:val="6"/>
            <w:vMerge/>
            <w:shd w:val="clear" w:color="000000" w:fill="DAE9F8"/>
            <w:noWrap/>
            <w:vAlign w:val="bottom"/>
          </w:tcPr>
          <w:p w14:paraId="320541AF" w14:textId="77777777" w:rsidR="00E82A9A" w:rsidRPr="00D21EBF" w:rsidRDefault="00E82A9A" w:rsidP="00AB232A">
            <w:pPr>
              <w:spacing w:after="0" w:line="240" w:lineRule="auto"/>
              <w:rPr>
                <w:rFonts w:ascii="Aptos Narrow" w:eastAsia="Times New Roman" w:hAnsi="Aptos Narrow" w:cs="Times New Roman"/>
                <w:color w:val="000000"/>
                <w:lang w:eastAsia="en-AU"/>
                <w14:ligatures w14:val="none"/>
              </w:rPr>
            </w:pPr>
          </w:p>
        </w:tc>
      </w:tr>
      <w:tr w:rsidR="00E82A9A" w:rsidRPr="00D21EBF" w14:paraId="67EB9E72" w14:textId="77777777" w:rsidTr="005B32AC">
        <w:trPr>
          <w:trHeight w:val="340"/>
        </w:trPr>
        <w:tc>
          <w:tcPr>
            <w:tcW w:w="1356" w:type="dxa"/>
            <w:vMerge/>
            <w:shd w:val="clear" w:color="000000" w:fill="FF0000"/>
          </w:tcPr>
          <w:p w14:paraId="1F7365C7" w14:textId="77777777" w:rsidR="00E82A9A" w:rsidRPr="00D21EBF" w:rsidRDefault="00E82A9A" w:rsidP="00E82A9A">
            <w:pPr>
              <w:spacing w:after="0" w:line="240" w:lineRule="auto"/>
              <w:rPr>
                <w:rFonts w:ascii="Aptos Narrow" w:eastAsia="Times New Roman" w:hAnsi="Aptos Narrow" w:cs="Times New Roman"/>
                <w:b/>
                <w:bCs/>
                <w:color w:val="000000"/>
                <w:lang w:eastAsia="en-AU"/>
                <w14:ligatures w14:val="none"/>
              </w:rPr>
            </w:pPr>
          </w:p>
        </w:tc>
        <w:tc>
          <w:tcPr>
            <w:tcW w:w="1431" w:type="dxa"/>
            <w:vMerge/>
            <w:shd w:val="clear" w:color="000000" w:fill="FF0000"/>
            <w:noWrap/>
            <w:vAlign w:val="bottom"/>
          </w:tcPr>
          <w:p w14:paraId="29145677" w14:textId="77777777" w:rsidR="00E82A9A" w:rsidRPr="00D21EBF" w:rsidRDefault="00E82A9A" w:rsidP="00E82A9A">
            <w:pPr>
              <w:spacing w:after="0" w:line="240" w:lineRule="auto"/>
              <w:rPr>
                <w:rFonts w:ascii="Aptos Narrow" w:eastAsia="Times New Roman" w:hAnsi="Aptos Narrow" w:cs="Times New Roman"/>
                <w:b/>
                <w:bCs/>
                <w:color w:val="000000"/>
                <w:lang w:eastAsia="en-AU"/>
                <w14:ligatures w14:val="none"/>
              </w:rPr>
            </w:pPr>
          </w:p>
        </w:tc>
        <w:tc>
          <w:tcPr>
            <w:tcW w:w="1349" w:type="dxa"/>
            <w:vMerge/>
            <w:shd w:val="clear" w:color="000000" w:fill="FFFF00"/>
            <w:noWrap/>
            <w:vAlign w:val="bottom"/>
          </w:tcPr>
          <w:p w14:paraId="0C45DE89"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p>
        </w:tc>
        <w:tc>
          <w:tcPr>
            <w:tcW w:w="1553" w:type="dxa"/>
            <w:vMerge/>
            <w:shd w:val="clear" w:color="000000" w:fill="FF0000"/>
            <w:noWrap/>
            <w:vAlign w:val="bottom"/>
          </w:tcPr>
          <w:p w14:paraId="6F76F64C" w14:textId="77777777" w:rsidR="00E82A9A" w:rsidRPr="00D21EBF" w:rsidRDefault="00E82A9A" w:rsidP="00E82A9A">
            <w:pPr>
              <w:spacing w:after="0" w:line="240" w:lineRule="auto"/>
              <w:rPr>
                <w:rFonts w:ascii="Aptos Narrow" w:eastAsia="Times New Roman" w:hAnsi="Aptos Narrow" w:cs="Times New Roman"/>
                <w:b/>
                <w:bCs/>
                <w:color w:val="000000"/>
                <w:lang w:eastAsia="en-AU"/>
                <w14:ligatures w14:val="none"/>
              </w:rPr>
            </w:pPr>
          </w:p>
        </w:tc>
        <w:tc>
          <w:tcPr>
            <w:tcW w:w="1479" w:type="dxa"/>
            <w:vMerge/>
            <w:shd w:val="clear" w:color="000000" w:fill="FF0000"/>
            <w:noWrap/>
            <w:vAlign w:val="bottom"/>
          </w:tcPr>
          <w:p w14:paraId="41D3BB38" w14:textId="77777777" w:rsidR="00E82A9A" w:rsidRPr="00D21EBF" w:rsidRDefault="00E82A9A" w:rsidP="00E82A9A">
            <w:pPr>
              <w:spacing w:after="0" w:line="240" w:lineRule="auto"/>
              <w:rPr>
                <w:rFonts w:ascii="Aptos Narrow" w:eastAsia="Times New Roman" w:hAnsi="Aptos Narrow" w:cs="Times New Roman"/>
                <w:b/>
                <w:bCs/>
                <w:color w:val="000000"/>
                <w:lang w:eastAsia="en-AU"/>
                <w14:ligatures w14:val="none"/>
              </w:rPr>
            </w:pPr>
          </w:p>
        </w:tc>
        <w:tc>
          <w:tcPr>
            <w:tcW w:w="1634" w:type="dxa"/>
            <w:vMerge/>
            <w:shd w:val="clear" w:color="000000" w:fill="FFFF00"/>
            <w:vAlign w:val="bottom"/>
          </w:tcPr>
          <w:p w14:paraId="72C225B0" w14:textId="77777777" w:rsidR="00E82A9A" w:rsidRPr="00E82A9A" w:rsidRDefault="00E82A9A" w:rsidP="00E82A9A">
            <w:pPr>
              <w:spacing w:after="0" w:line="240" w:lineRule="auto"/>
              <w:rPr>
                <w:rFonts w:ascii="Aptos Narrow" w:eastAsia="Times New Roman" w:hAnsi="Aptos Narrow" w:cs="Times New Roman"/>
                <w:color w:val="000000" w:themeColor="text1"/>
                <w:lang w:eastAsia="en-AU"/>
                <w14:ligatures w14:val="none"/>
              </w:rPr>
            </w:pPr>
          </w:p>
        </w:tc>
        <w:tc>
          <w:tcPr>
            <w:tcW w:w="1439" w:type="dxa"/>
            <w:vMerge/>
            <w:shd w:val="clear" w:color="auto" w:fill="auto"/>
            <w:vAlign w:val="bottom"/>
          </w:tcPr>
          <w:p w14:paraId="1D2CC2AE" w14:textId="77777777" w:rsidR="00E82A9A" w:rsidRPr="00D21EBF" w:rsidRDefault="00E82A9A" w:rsidP="00E82A9A">
            <w:pPr>
              <w:spacing w:after="0" w:line="240" w:lineRule="auto"/>
              <w:rPr>
                <w:rFonts w:ascii="Aptos Narrow" w:eastAsia="Times New Roman" w:hAnsi="Aptos Narrow" w:cs="Times New Roman"/>
                <w:b/>
                <w:bCs/>
                <w:color w:val="000000"/>
                <w:lang w:eastAsia="en-AU"/>
                <w14:ligatures w14:val="none"/>
              </w:rPr>
            </w:pPr>
          </w:p>
        </w:tc>
        <w:tc>
          <w:tcPr>
            <w:tcW w:w="1670" w:type="dxa"/>
            <w:vMerge/>
            <w:shd w:val="clear" w:color="auto" w:fill="auto"/>
            <w:vAlign w:val="bottom"/>
          </w:tcPr>
          <w:p w14:paraId="59355CDC" w14:textId="77777777" w:rsidR="00E82A9A" w:rsidRPr="00D21EBF" w:rsidRDefault="00E82A9A" w:rsidP="00E82A9A">
            <w:pPr>
              <w:spacing w:after="0" w:line="240" w:lineRule="auto"/>
              <w:rPr>
                <w:rFonts w:ascii="Aptos Narrow" w:eastAsia="Times New Roman" w:hAnsi="Aptos Narrow" w:cs="Times New Roman"/>
                <w:b/>
                <w:bCs/>
                <w:color w:val="000000"/>
                <w:lang w:eastAsia="en-AU"/>
                <w14:ligatures w14:val="none"/>
              </w:rPr>
            </w:pPr>
          </w:p>
        </w:tc>
        <w:tc>
          <w:tcPr>
            <w:tcW w:w="447" w:type="dxa"/>
            <w:shd w:val="clear" w:color="auto" w:fill="auto"/>
            <w:noWrap/>
            <w:vAlign w:val="bottom"/>
          </w:tcPr>
          <w:p w14:paraId="6F3840FB" w14:textId="3579D17D"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t>SP</w:t>
            </w:r>
          </w:p>
        </w:tc>
        <w:tc>
          <w:tcPr>
            <w:tcW w:w="390" w:type="dxa"/>
            <w:shd w:val="clear" w:color="auto" w:fill="auto"/>
            <w:noWrap/>
            <w:vAlign w:val="bottom"/>
          </w:tcPr>
          <w:p w14:paraId="5C21CDF3" w14:textId="1D668343"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t>In</w:t>
            </w:r>
          </w:p>
        </w:tc>
        <w:tc>
          <w:tcPr>
            <w:tcW w:w="442" w:type="dxa"/>
            <w:shd w:val="clear" w:color="auto" w:fill="auto"/>
            <w:noWrap/>
            <w:vAlign w:val="bottom"/>
          </w:tcPr>
          <w:p w14:paraId="17E6CB5B" w14:textId="00C67138"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t>Ed</w:t>
            </w:r>
          </w:p>
        </w:tc>
        <w:tc>
          <w:tcPr>
            <w:tcW w:w="692" w:type="dxa"/>
            <w:shd w:val="clear" w:color="auto" w:fill="auto"/>
            <w:noWrap/>
            <w:vAlign w:val="bottom"/>
          </w:tcPr>
          <w:p w14:paraId="0C142100" w14:textId="57F21695"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t>Emp</w:t>
            </w:r>
          </w:p>
        </w:tc>
        <w:tc>
          <w:tcPr>
            <w:tcW w:w="577" w:type="dxa"/>
            <w:shd w:val="clear" w:color="auto" w:fill="auto"/>
            <w:noWrap/>
            <w:vAlign w:val="bottom"/>
          </w:tcPr>
          <w:p w14:paraId="7B42C6A7" w14:textId="7D593688"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t>Gen</w:t>
            </w:r>
          </w:p>
        </w:tc>
        <w:tc>
          <w:tcPr>
            <w:tcW w:w="505" w:type="dxa"/>
            <w:shd w:val="clear" w:color="auto" w:fill="auto"/>
            <w:noWrap/>
            <w:vAlign w:val="bottom"/>
          </w:tcPr>
          <w:p w14:paraId="4BCBE3B6" w14:textId="628DF3FE"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t>Eth</w:t>
            </w:r>
          </w:p>
        </w:tc>
      </w:tr>
      <w:tr w:rsidR="00E82A9A" w:rsidRPr="00D21EBF" w14:paraId="373D2B71" w14:textId="77777777" w:rsidTr="005B32AC">
        <w:trPr>
          <w:trHeight w:val="310"/>
        </w:trPr>
        <w:tc>
          <w:tcPr>
            <w:tcW w:w="1356" w:type="dxa"/>
          </w:tcPr>
          <w:p w14:paraId="2F2D6EC5" w14:textId="76B5482E"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fldChar w:fldCharType="begin"/>
            </w:r>
            <w:r>
              <w:rPr>
                <w:rFonts w:ascii="Aptos Narrow" w:eastAsia="Times New Roman" w:hAnsi="Aptos Narrow" w:cs="Times New Roman"/>
                <w:color w:val="000000"/>
                <w:lang w:eastAsia="en-AU"/>
                <w14:ligatures w14:val="none"/>
              </w:rPr>
              <w:instrText xml:space="preserve"> ADDIN EN.CITE &lt;EndNote&gt;&lt;Cite&gt;&lt;Author&gt;Devine&lt;/Author&gt;&lt;Year&gt;2022&lt;/Year&gt;&lt;RecNum&gt;50206&lt;/RecNum&gt;&lt;DisplayText&gt;(Devine et al., 2022)&lt;/DisplayText&gt;&lt;record&gt;&lt;rec-number&gt;50206&lt;/rec-number&gt;&lt;foreign-keys&gt;&lt;key app="EN" db-id="feav29prs929zneaprxvex2z55wwe0dtx9rf" timestamp="1742949803" guid="105997c0-7d4b-4882-9261-4197751b893d"&gt;50206&lt;/key&gt;&lt;/foreign-keys&gt;&lt;ref-type name="Journal Article"&gt;17&lt;/ref-type&gt;&lt;contributors&gt;&lt;authors&gt;&lt;author&gt;Devine, Alexandra&lt;/author&gt;&lt;author&gt;Dickinson, Helen&lt;/author&gt;&lt;author&gt;Rangi, Mediya&lt;/author&gt;&lt;author&gt;Huska, Marie&lt;/author&gt;&lt;author&gt;Disney, George&lt;/author&gt;&lt;author&gt;Yang, Yi&lt;/author&gt;&lt;author&gt;Barney, Jody&lt;/author&gt;&lt;author&gt;Kavanagh, Anne&lt;/author&gt;&lt;author&gt;Bonyhady, Bruce&lt;/author&gt;&lt;author&gt;Deane, Kirsten&lt;/author&gt;&lt;/authors&gt;&lt;/contributors&gt;&lt;titles&gt;&lt;title&gt;‘Nearly gave up on it to be honest’: Utilisation of individualised budgets by people with psychosocial disability within Australia&amp;apos;s National Disability Insurance Scheme&lt;/title&gt;&lt;secondary-title&gt;Social Policy &amp;amp; Administration&lt;/secondary-title&gt;&lt;/titles&gt;&lt;periodical&gt;&lt;full-title&gt;Social Policy &amp;amp; Administration&lt;/full-title&gt;&lt;/periodical&gt;&lt;pages&gt;1056-1073&lt;/pages&gt;&lt;volume&gt;56&lt;/volume&gt;&lt;number&gt;7&lt;/number&gt;&lt;dates&gt;&lt;year&gt;2022&lt;/year&gt;&lt;/dates&gt;&lt;publisher&gt;Wiley Online Library&lt;/publisher&gt;&lt;urls&gt;&lt;/urls&gt;&lt;/record&gt;&lt;/Cite&gt;&lt;/EndNote&gt;</w:instrText>
            </w:r>
            <w:r>
              <w:rPr>
                <w:rFonts w:ascii="Aptos Narrow" w:eastAsia="Times New Roman" w:hAnsi="Aptos Narrow" w:cs="Times New Roman"/>
                <w:color w:val="000000"/>
                <w:lang w:eastAsia="en-AU"/>
                <w14:ligatures w14:val="none"/>
              </w:rPr>
              <w:fldChar w:fldCharType="separate"/>
            </w:r>
            <w:r>
              <w:rPr>
                <w:rFonts w:ascii="Aptos Narrow" w:eastAsia="Times New Roman" w:hAnsi="Aptos Narrow" w:cs="Times New Roman"/>
                <w:noProof/>
                <w:color w:val="000000"/>
                <w:lang w:eastAsia="en-AU"/>
                <w14:ligatures w14:val="none"/>
              </w:rPr>
              <w:t>(Devine et al., 2022)</w:t>
            </w:r>
            <w:r>
              <w:rPr>
                <w:rFonts w:ascii="Aptos Narrow" w:eastAsia="Times New Roman" w:hAnsi="Aptos Narrow" w:cs="Times New Roman"/>
                <w:color w:val="000000"/>
                <w:lang w:eastAsia="en-AU"/>
                <w14:ligatures w14:val="none"/>
              </w:rPr>
              <w:fldChar w:fldCharType="end"/>
            </w:r>
          </w:p>
        </w:tc>
        <w:tc>
          <w:tcPr>
            <w:tcW w:w="1431" w:type="dxa"/>
            <w:shd w:val="clear" w:color="auto" w:fill="auto"/>
            <w:noWrap/>
            <w:vAlign w:val="bottom"/>
            <w:hideMark/>
          </w:tcPr>
          <w:p w14:paraId="3B9B6695" w14:textId="09B63C21"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VIC</w:t>
            </w:r>
          </w:p>
        </w:tc>
        <w:tc>
          <w:tcPr>
            <w:tcW w:w="1349" w:type="dxa"/>
            <w:shd w:val="clear" w:color="auto" w:fill="auto"/>
            <w:noWrap/>
            <w:vAlign w:val="bottom"/>
            <w:hideMark/>
          </w:tcPr>
          <w:p w14:paraId="53BB2749"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Mixed</w:t>
            </w:r>
          </w:p>
        </w:tc>
        <w:tc>
          <w:tcPr>
            <w:tcW w:w="1553" w:type="dxa"/>
            <w:shd w:val="clear" w:color="auto" w:fill="auto"/>
            <w:noWrap/>
            <w:vAlign w:val="bottom"/>
            <w:hideMark/>
          </w:tcPr>
          <w:p w14:paraId="4DDF0E76"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Psychosocial </w:t>
            </w:r>
          </w:p>
        </w:tc>
        <w:tc>
          <w:tcPr>
            <w:tcW w:w="1479" w:type="dxa"/>
            <w:shd w:val="clear" w:color="auto" w:fill="auto"/>
            <w:noWrap/>
            <w:vAlign w:val="bottom"/>
            <w:hideMark/>
          </w:tcPr>
          <w:p w14:paraId="3ED0AF7B"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proofErr w:type="spellStart"/>
            <w:r w:rsidRPr="00D21EBF">
              <w:rPr>
                <w:rFonts w:ascii="Aptos Narrow" w:eastAsia="Times New Roman" w:hAnsi="Aptos Narrow" w:cs="Times New Roman"/>
                <w:color w:val="000000"/>
                <w:lang w:eastAsia="en-AU"/>
                <w14:ligatures w14:val="none"/>
              </w:rPr>
              <w:t>PwD</w:t>
            </w:r>
            <w:proofErr w:type="spellEnd"/>
          </w:p>
        </w:tc>
        <w:tc>
          <w:tcPr>
            <w:tcW w:w="1634" w:type="dxa"/>
            <w:shd w:val="clear" w:color="auto" w:fill="auto"/>
            <w:vAlign w:val="bottom"/>
            <w:hideMark/>
          </w:tcPr>
          <w:p w14:paraId="0E0C82E3" w14:textId="77777777" w:rsidR="00E82A9A" w:rsidRPr="00D21EBF" w:rsidRDefault="00E82A9A" w:rsidP="00E82A9A">
            <w:pPr>
              <w:spacing w:after="0" w:line="240" w:lineRule="auto"/>
              <w:rPr>
                <w:rFonts w:ascii="Aptos Narrow" w:eastAsia="Times New Roman" w:hAnsi="Aptos Narrow" w:cs="Times New Roman"/>
                <w:color w:val="000000" w:themeColor="text1"/>
                <w:lang w:eastAsia="en-AU"/>
                <w14:ligatures w14:val="none"/>
              </w:rPr>
            </w:pPr>
            <w:r w:rsidRPr="00D21EBF">
              <w:rPr>
                <w:rFonts w:ascii="Aptos Narrow" w:eastAsia="Times New Roman" w:hAnsi="Aptos Narrow" w:cs="Times New Roman"/>
                <w:color w:val="000000" w:themeColor="text1"/>
                <w:lang w:eastAsia="en-AU"/>
                <w14:ligatures w14:val="none"/>
              </w:rPr>
              <w:t>CALD</w:t>
            </w:r>
          </w:p>
        </w:tc>
        <w:tc>
          <w:tcPr>
            <w:tcW w:w="1439" w:type="dxa"/>
            <w:shd w:val="clear" w:color="auto" w:fill="auto"/>
            <w:vAlign w:val="bottom"/>
            <w:hideMark/>
          </w:tcPr>
          <w:p w14:paraId="1106050D"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1670" w:type="dxa"/>
            <w:shd w:val="clear" w:color="auto" w:fill="auto"/>
            <w:vAlign w:val="bottom"/>
            <w:hideMark/>
          </w:tcPr>
          <w:p w14:paraId="2EFC7B3F"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NDIS </w:t>
            </w:r>
          </w:p>
        </w:tc>
        <w:tc>
          <w:tcPr>
            <w:tcW w:w="447" w:type="dxa"/>
            <w:shd w:val="clear" w:color="auto" w:fill="auto"/>
            <w:noWrap/>
            <w:vAlign w:val="bottom"/>
            <w:hideMark/>
          </w:tcPr>
          <w:p w14:paraId="2710EA38" w14:textId="76B400D1" w:rsidR="00E82A9A" w:rsidRPr="00D21EBF" w:rsidRDefault="00E82A9A" w:rsidP="00E82A9A">
            <w:pPr>
              <w:spacing w:after="0" w:line="240" w:lineRule="auto"/>
              <w:rPr>
                <w:rFonts w:ascii="Wingdings" w:eastAsia="Times New Roman" w:hAnsi="Wingdings" w:cs="Times New Roman"/>
                <w:color w:val="000000"/>
                <w:lang w:eastAsia="en-AU"/>
                <w14:ligatures w14:val="none"/>
              </w:rPr>
            </w:pPr>
          </w:p>
        </w:tc>
        <w:tc>
          <w:tcPr>
            <w:tcW w:w="390" w:type="dxa"/>
            <w:shd w:val="clear" w:color="auto" w:fill="auto"/>
            <w:noWrap/>
            <w:vAlign w:val="bottom"/>
            <w:hideMark/>
          </w:tcPr>
          <w:p w14:paraId="4EF62103"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442" w:type="dxa"/>
            <w:shd w:val="clear" w:color="auto" w:fill="auto"/>
            <w:noWrap/>
            <w:vAlign w:val="bottom"/>
            <w:hideMark/>
          </w:tcPr>
          <w:p w14:paraId="535D528B"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692" w:type="dxa"/>
            <w:shd w:val="clear" w:color="auto" w:fill="auto"/>
            <w:noWrap/>
            <w:vAlign w:val="bottom"/>
            <w:hideMark/>
          </w:tcPr>
          <w:p w14:paraId="3E349243"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577" w:type="dxa"/>
            <w:shd w:val="clear" w:color="auto" w:fill="auto"/>
            <w:noWrap/>
            <w:vAlign w:val="bottom"/>
            <w:hideMark/>
          </w:tcPr>
          <w:p w14:paraId="01DBE02C"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05" w:type="dxa"/>
            <w:shd w:val="clear" w:color="auto" w:fill="auto"/>
            <w:noWrap/>
            <w:vAlign w:val="bottom"/>
            <w:hideMark/>
          </w:tcPr>
          <w:p w14:paraId="6B33A490"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r>
      <w:tr w:rsidR="00E82A9A" w:rsidRPr="00D21EBF" w14:paraId="7C87328F" w14:textId="77777777" w:rsidTr="005B32AC">
        <w:trPr>
          <w:trHeight w:val="310"/>
        </w:trPr>
        <w:tc>
          <w:tcPr>
            <w:tcW w:w="1356" w:type="dxa"/>
          </w:tcPr>
          <w:p w14:paraId="66299A3E" w14:textId="133B26EF"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fldChar w:fldCharType="begin"/>
            </w:r>
            <w:r>
              <w:rPr>
                <w:rFonts w:ascii="Aptos Narrow" w:eastAsia="Times New Roman" w:hAnsi="Aptos Narrow" w:cs="Times New Roman"/>
                <w:color w:val="000000"/>
                <w:lang w:eastAsia="en-AU"/>
                <w14:ligatures w14:val="none"/>
              </w:rPr>
              <w:instrText xml:space="preserve"> ADDIN EN.CITE &lt;EndNote&gt;&lt;Cite&gt;&lt;Author&gt;Moskos&lt;/Author&gt;&lt;Year&gt;2021&lt;/Year&gt;&lt;RecNum&gt;50205&lt;/RecNum&gt;&lt;DisplayText&gt;(Moskos et al., 2021)&lt;/DisplayText&gt;&lt;record&gt;&lt;rec-number&gt;50205&lt;/rec-number&gt;&lt;foreign-keys&gt;&lt;key app="EN" db-id="feav29prs929zneaprxvex2z55wwe0dtx9rf" timestamp="1742949803" guid="9ab15b3b-cf6d-446b-9147-8d47cf9c3724"&gt;50205&lt;/key&gt;&lt;/foreign-keys&gt;&lt;ref-type name="Journal Article"&gt;17&lt;/ref-type&gt;&lt;contributors&gt;&lt;authors&gt;&lt;author&gt;Moskos, Megan&lt;/author&gt;&lt;author&gt;Isherwood, Linda&lt;/author&gt;&lt;author&gt;Smith, Llainey&lt;/author&gt;&lt;author&gt;Sutton, Zoei&lt;/author&gt;&lt;author&gt;Walton, Helen&lt;/author&gt;&lt;author&gt;Mavromaras, Kostas&lt;/author&gt;&lt;/authors&gt;&lt;/contributors&gt;&lt;titles&gt;&lt;title&gt;NDIS Utilisation Project: Understanding Drivers of Plan Utilisation from the point of view of Participants&lt;/title&gt;&lt;/titles&gt;&lt;dates&gt;&lt;year&gt;2021&lt;/year&gt;&lt;/dates&gt;&lt;publisher&gt;The University of Adelaide Adelaide, Australia&lt;/publisher&gt;&lt;urls&gt;&lt;/urls&gt;&lt;/record&gt;&lt;/Cite&gt;&lt;/EndNote&gt;</w:instrText>
            </w:r>
            <w:r>
              <w:rPr>
                <w:rFonts w:ascii="Aptos Narrow" w:eastAsia="Times New Roman" w:hAnsi="Aptos Narrow" w:cs="Times New Roman"/>
                <w:color w:val="000000"/>
                <w:lang w:eastAsia="en-AU"/>
                <w14:ligatures w14:val="none"/>
              </w:rPr>
              <w:fldChar w:fldCharType="separate"/>
            </w:r>
            <w:r>
              <w:rPr>
                <w:rFonts w:ascii="Aptos Narrow" w:eastAsia="Times New Roman" w:hAnsi="Aptos Narrow" w:cs="Times New Roman"/>
                <w:noProof/>
                <w:color w:val="000000"/>
                <w:lang w:eastAsia="en-AU"/>
                <w14:ligatures w14:val="none"/>
              </w:rPr>
              <w:t>(Moskos et al., 2021)</w:t>
            </w:r>
            <w:r>
              <w:rPr>
                <w:rFonts w:ascii="Aptos Narrow" w:eastAsia="Times New Roman" w:hAnsi="Aptos Narrow" w:cs="Times New Roman"/>
                <w:color w:val="000000"/>
                <w:lang w:eastAsia="en-AU"/>
                <w14:ligatures w14:val="none"/>
              </w:rPr>
              <w:fldChar w:fldCharType="end"/>
            </w:r>
          </w:p>
        </w:tc>
        <w:tc>
          <w:tcPr>
            <w:tcW w:w="1431" w:type="dxa"/>
            <w:shd w:val="clear" w:color="auto" w:fill="auto"/>
            <w:noWrap/>
            <w:vAlign w:val="bottom"/>
            <w:hideMark/>
          </w:tcPr>
          <w:p w14:paraId="7A6E4A6A" w14:textId="7CFF388E"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Australia </w:t>
            </w:r>
          </w:p>
        </w:tc>
        <w:tc>
          <w:tcPr>
            <w:tcW w:w="1349" w:type="dxa"/>
            <w:shd w:val="clear" w:color="auto" w:fill="auto"/>
            <w:noWrap/>
            <w:vAlign w:val="bottom"/>
            <w:hideMark/>
          </w:tcPr>
          <w:p w14:paraId="7429C468"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Qualitative</w:t>
            </w:r>
          </w:p>
        </w:tc>
        <w:tc>
          <w:tcPr>
            <w:tcW w:w="1553" w:type="dxa"/>
            <w:shd w:val="clear" w:color="auto" w:fill="auto"/>
            <w:noWrap/>
            <w:vAlign w:val="bottom"/>
            <w:hideMark/>
          </w:tcPr>
          <w:p w14:paraId="0160CC63" w14:textId="4C24EDF1"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Mixed </w:t>
            </w:r>
          </w:p>
        </w:tc>
        <w:tc>
          <w:tcPr>
            <w:tcW w:w="1479" w:type="dxa"/>
            <w:shd w:val="clear" w:color="auto" w:fill="auto"/>
            <w:noWrap/>
            <w:vAlign w:val="bottom"/>
            <w:hideMark/>
          </w:tcPr>
          <w:p w14:paraId="47C64C1B"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proofErr w:type="spellStart"/>
            <w:r w:rsidRPr="00D21EBF">
              <w:rPr>
                <w:rFonts w:ascii="Aptos Narrow" w:eastAsia="Times New Roman" w:hAnsi="Aptos Narrow" w:cs="Times New Roman"/>
                <w:color w:val="000000"/>
                <w:lang w:eastAsia="en-AU"/>
                <w14:ligatures w14:val="none"/>
              </w:rPr>
              <w:t>PwD</w:t>
            </w:r>
            <w:proofErr w:type="spellEnd"/>
            <w:r w:rsidRPr="00D21EBF">
              <w:rPr>
                <w:rFonts w:ascii="Aptos Narrow" w:eastAsia="Times New Roman" w:hAnsi="Aptos Narrow" w:cs="Times New Roman"/>
                <w:color w:val="000000"/>
                <w:lang w:eastAsia="en-AU"/>
                <w14:ligatures w14:val="none"/>
              </w:rPr>
              <w:t>; Caregiver; Provider</w:t>
            </w:r>
          </w:p>
        </w:tc>
        <w:tc>
          <w:tcPr>
            <w:tcW w:w="1634" w:type="dxa"/>
            <w:shd w:val="clear" w:color="auto" w:fill="auto"/>
            <w:vAlign w:val="bottom"/>
            <w:hideMark/>
          </w:tcPr>
          <w:p w14:paraId="683F8186" w14:textId="77777777" w:rsidR="00E82A9A" w:rsidRPr="00D21EBF" w:rsidRDefault="00E82A9A" w:rsidP="00E82A9A">
            <w:pPr>
              <w:spacing w:after="0" w:line="240" w:lineRule="auto"/>
              <w:rPr>
                <w:rFonts w:ascii="Aptos Narrow" w:eastAsia="Times New Roman" w:hAnsi="Aptos Narrow" w:cs="Times New Roman"/>
                <w:color w:val="000000" w:themeColor="text1"/>
                <w:lang w:eastAsia="en-AU"/>
                <w14:ligatures w14:val="none"/>
              </w:rPr>
            </w:pPr>
            <w:r w:rsidRPr="00D21EBF">
              <w:rPr>
                <w:rFonts w:ascii="Aptos Narrow" w:eastAsia="Times New Roman" w:hAnsi="Aptos Narrow" w:cs="Times New Roman"/>
                <w:color w:val="000000" w:themeColor="text1"/>
                <w:lang w:eastAsia="en-AU"/>
                <w14:ligatures w14:val="none"/>
              </w:rPr>
              <w:t>Rural (remote); CALD</w:t>
            </w:r>
          </w:p>
        </w:tc>
        <w:tc>
          <w:tcPr>
            <w:tcW w:w="1439" w:type="dxa"/>
            <w:shd w:val="clear" w:color="auto" w:fill="auto"/>
            <w:vAlign w:val="bottom"/>
            <w:hideMark/>
          </w:tcPr>
          <w:p w14:paraId="6758EAD6"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1670" w:type="dxa"/>
            <w:shd w:val="clear" w:color="auto" w:fill="auto"/>
            <w:vAlign w:val="bottom"/>
            <w:hideMark/>
          </w:tcPr>
          <w:p w14:paraId="593608EE"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NDIS </w:t>
            </w:r>
          </w:p>
        </w:tc>
        <w:tc>
          <w:tcPr>
            <w:tcW w:w="447" w:type="dxa"/>
            <w:shd w:val="clear" w:color="auto" w:fill="auto"/>
            <w:noWrap/>
            <w:vAlign w:val="bottom"/>
            <w:hideMark/>
          </w:tcPr>
          <w:p w14:paraId="09016F9A"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390" w:type="dxa"/>
            <w:shd w:val="clear" w:color="auto" w:fill="auto"/>
            <w:noWrap/>
            <w:vAlign w:val="bottom"/>
            <w:hideMark/>
          </w:tcPr>
          <w:p w14:paraId="172311F5"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442" w:type="dxa"/>
            <w:shd w:val="clear" w:color="auto" w:fill="auto"/>
            <w:noWrap/>
            <w:vAlign w:val="bottom"/>
            <w:hideMark/>
          </w:tcPr>
          <w:p w14:paraId="3774A185"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692" w:type="dxa"/>
            <w:shd w:val="clear" w:color="auto" w:fill="auto"/>
            <w:noWrap/>
            <w:vAlign w:val="bottom"/>
            <w:hideMark/>
          </w:tcPr>
          <w:p w14:paraId="10654A07"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77" w:type="dxa"/>
            <w:shd w:val="clear" w:color="auto" w:fill="auto"/>
            <w:noWrap/>
            <w:vAlign w:val="bottom"/>
            <w:hideMark/>
          </w:tcPr>
          <w:p w14:paraId="18D5B8CD"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05" w:type="dxa"/>
            <w:shd w:val="clear" w:color="auto" w:fill="auto"/>
            <w:noWrap/>
            <w:vAlign w:val="bottom"/>
            <w:hideMark/>
          </w:tcPr>
          <w:p w14:paraId="5A1F442C"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r>
      <w:tr w:rsidR="00E82A9A" w:rsidRPr="00D21EBF" w14:paraId="78716825" w14:textId="77777777" w:rsidTr="005B32AC">
        <w:trPr>
          <w:trHeight w:val="310"/>
        </w:trPr>
        <w:tc>
          <w:tcPr>
            <w:tcW w:w="1356" w:type="dxa"/>
          </w:tcPr>
          <w:p w14:paraId="10D96871" w14:textId="41EA077D"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fldChar w:fldCharType="begin"/>
            </w:r>
            <w:r>
              <w:rPr>
                <w:rFonts w:ascii="Aptos Narrow" w:eastAsia="Times New Roman" w:hAnsi="Aptos Narrow" w:cs="Times New Roman"/>
                <w:color w:val="000000"/>
                <w:lang w:eastAsia="en-AU"/>
                <w14:ligatures w14:val="none"/>
              </w:rPr>
              <w:instrText xml:space="preserve"> ADDIN EN.CITE &lt;EndNote&gt;&lt;Cite&gt;&lt;Author&gt;Veli</w:instrText>
            </w:r>
            <w:r>
              <w:rPr>
                <w:rFonts w:ascii="Cambria Math" w:eastAsia="Times New Roman" w:hAnsi="Cambria Math" w:cs="Cambria Math"/>
                <w:color w:val="000000"/>
                <w:lang w:eastAsia="en-AU"/>
                <w14:ligatures w14:val="none"/>
              </w:rPr>
              <w:instrText>‐</w:instrText>
            </w:r>
            <w:r>
              <w:rPr>
                <w:rFonts w:ascii="Aptos Narrow" w:eastAsia="Times New Roman" w:hAnsi="Aptos Narrow" w:cs="Times New Roman"/>
                <w:color w:val="000000"/>
                <w:lang w:eastAsia="en-AU"/>
                <w14:ligatures w14:val="none"/>
              </w:rPr>
              <w:instrText>Gold&lt;/Author&gt;&lt;Year&gt;2023&lt;/Year&gt;&lt;RecNum&gt;50204&lt;/RecNum&gt;&lt;DisplayText&gt;(Veli</w:instrText>
            </w:r>
            <w:r>
              <w:rPr>
                <w:rFonts w:ascii="Cambria Math" w:eastAsia="Times New Roman" w:hAnsi="Cambria Math" w:cs="Cambria Math"/>
                <w:color w:val="000000"/>
                <w:lang w:eastAsia="en-AU"/>
                <w14:ligatures w14:val="none"/>
              </w:rPr>
              <w:instrText>‐</w:instrText>
            </w:r>
            <w:r>
              <w:rPr>
                <w:rFonts w:ascii="Aptos Narrow" w:eastAsia="Times New Roman" w:hAnsi="Aptos Narrow" w:cs="Times New Roman"/>
                <w:color w:val="000000"/>
                <w:lang w:eastAsia="en-AU"/>
                <w14:ligatures w14:val="none"/>
              </w:rPr>
              <w:instrText>Gold et al., 2023)&lt;/DisplayText&gt;&lt;record&gt;&lt;rec-number&gt;50204&lt;/rec-number&gt;&lt;foreign-keys&gt;&lt;key app="EN" db-id="feav29prs929zneaprxvex2z55wwe0dtx9rf" timestamp="1742949803" guid="49d93582-e8d9-4d19-88a9-100dd851fc72"&gt;50204&lt;/key&gt;&lt;/foreign-keys&gt;&lt;ref-type name="Journal Article"&gt;17&lt;/ref-type&gt;&lt;contributors&gt;&lt;authors&gt;&lt;author&gt;Veli</w:instrText>
            </w:r>
            <w:r>
              <w:rPr>
                <w:rFonts w:ascii="Cambria Math" w:eastAsia="Times New Roman" w:hAnsi="Cambria Math" w:cs="Cambria Math"/>
                <w:color w:val="000000"/>
                <w:lang w:eastAsia="en-AU"/>
                <w14:ligatures w14:val="none"/>
              </w:rPr>
              <w:instrText>‐</w:instrText>
            </w:r>
            <w:r>
              <w:rPr>
                <w:rFonts w:ascii="Aptos Narrow" w:eastAsia="Times New Roman" w:hAnsi="Aptos Narrow" w:cs="Times New Roman"/>
                <w:color w:val="000000"/>
                <w:lang w:eastAsia="en-AU"/>
                <w14:ligatures w14:val="none"/>
              </w:rPr>
              <w:instrText>Gold, Sarah&lt;/author&gt;&lt;author&gt;Gilroy, John&lt;/author&gt;&lt;author&gt;Wright, Wayne&lt;/author&gt;&lt;author&gt;Bulkeley, Kim&lt;/author&gt;&lt;author&gt;Jensen, Heather&lt;/author&gt;&lt;author&gt;Dew, Angela&lt;/author&gt;&lt;author&gt;Lincoln, Michelle&lt;/author&gt;&lt;/authors&gt;&lt;/contributors&gt;&lt;titles&gt;&lt;title&gt;The experiences of people with disability and their families/carers navigating the NDIS planning process in regional, rural and remote regions of Australia: Scoping review&lt;/title&gt;&lt;secondary-title&gt;Australian Journal of Rural Health&lt;/secondary-title&gt;&lt;/titles&gt;&lt;periodical&gt;&lt;full-title&gt;Australian Journal of Rural Health&lt;/full-title&gt;&lt;abbr-1&gt;Austr. J. Rural Health&lt;/abbr-1&gt;&lt;/periodical&gt;&lt;pages&gt;631-647&lt;/pages&gt;&lt;volume&gt;31&lt;/volume&gt;&lt;number&gt;4&lt;/number&gt;&lt;dates&gt;&lt;year&gt;2023&lt;/year&gt;&lt;/dates&gt;&lt;publisher&gt;Wiley Online Library&lt;/publisher&gt;&lt;urls&gt;&lt;/urls&gt;&lt;/record&gt;&lt;/Cite&gt;&lt;/EndNote&gt;</w:instrText>
            </w:r>
            <w:r>
              <w:rPr>
                <w:rFonts w:ascii="Aptos Narrow" w:eastAsia="Times New Roman" w:hAnsi="Aptos Narrow" w:cs="Times New Roman"/>
                <w:color w:val="000000"/>
                <w:lang w:eastAsia="en-AU"/>
                <w14:ligatures w14:val="none"/>
              </w:rPr>
              <w:fldChar w:fldCharType="separate"/>
            </w:r>
            <w:r>
              <w:rPr>
                <w:rFonts w:ascii="Aptos Narrow" w:eastAsia="Times New Roman" w:hAnsi="Aptos Narrow" w:cs="Times New Roman"/>
                <w:noProof/>
                <w:color w:val="000000"/>
                <w:lang w:eastAsia="en-AU"/>
                <w14:ligatures w14:val="none"/>
              </w:rPr>
              <w:t>(Veli</w:t>
            </w:r>
            <w:r>
              <w:rPr>
                <w:rFonts w:ascii="Cambria Math" w:eastAsia="Times New Roman" w:hAnsi="Cambria Math" w:cs="Cambria Math"/>
                <w:noProof/>
                <w:color w:val="000000"/>
                <w:lang w:eastAsia="en-AU"/>
                <w14:ligatures w14:val="none"/>
              </w:rPr>
              <w:t>‐</w:t>
            </w:r>
            <w:r>
              <w:rPr>
                <w:rFonts w:ascii="Aptos Narrow" w:eastAsia="Times New Roman" w:hAnsi="Aptos Narrow" w:cs="Times New Roman"/>
                <w:noProof/>
                <w:color w:val="000000"/>
                <w:lang w:eastAsia="en-AU"/>
                <w14:ligatures w14:val="none"/>
              </w:rPr>
              <w:t>Gold et al., 2023)</w:t>
            </w:r>
            <w:r>
              <w:rPr>
                <w:rFonts w:ascii="Aptos Narrow" w:eastAsia="Times New Roman" w:hAnsi="Aptos Narrow" w:cs="Times New Roman"/>
                <w:color w:val="000000"/>
                <w:lang w:eastAsia="en-AU"/>
                <w14:ligatures w14:val="none"/>
              </w:rPr>
              <w:fldChar w:fldCharType="end"/>
            </w:r>
          </w:p>
        </w:tc>
        <w:tc>
          <w:tcPr>
            <w:tcW w:w="1431" w:type="dxa"/>
            <w:shd w:val="clear" w:color="auto" w:fill="auto"/>
            <w:noWrap/>
            <w:vAlign w:val="bottom"/>
            <w:hideMark/>
          </w:tcPr>
          <w:p w14:paraId="750D57F4" w14:textId="650F23B3"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Australia </w:t>
            </w:r>
          </w:p>
        </w:tc>
        <w:tc>
          <w:tcPr>
            <w:tcW w:w="1349" w:type="dxa"/>
            <w:shd w:val="clear" w:color="auto" w:fill="auto"/>
            <w:noWrap/>
            <w:vAlign w:val="bottom"/>
            <w:hideMark/>
          </w:tcPr>
          <w:p w14:paraId="1BF41332"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Review</w:t>
            </w:r>
          </w:p>
        </w:tc>
        <w:tc>
          <w:tcPr>
            <w:tcW w:w="1553" w:type="dxa"/>
            <w:shd w:val="clear" w:color="auto" w:fill="auto"/>
            <w:noWrap/>
            <w:vAlign w:val="bottom"/>
            <w:hideMark/>
          </w:tcPr>
          <w:p w14:paraId="7D9119D6" w14:textId="3FC91E7A"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Mixed </w:t>
            </w:r>
          </w:p>
        </w:tc>
        <w:tc>
          <w:tcPr>
            <w:tcW w:w="1479" w:type="dxa"/>
            <w:shd w:val="clear" w:color="auto" w:fill="auto"/>
            <w:noWrap/>
            <w:vAlign w:val="bottom"/>
            <w:hideMark/>
          </w:tcPr>
          <w:p w14:paraId="06B4980B"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proofErr w:type="spellStart"/>
            <w:r w:rsidRPr="00D21EBF">
              <w:rPr>
                <w:rFonts w:ascii="Aptos Narrow" w:eastAsia="Times New Roman" w:hAnsi="Aptos Narrow" w:cs="Times New Roman"/>
                <w:color w:val="000000"/>
                <w:lang w:eastAsia="en-AU"/>
                <w14:ligatures w14:val="none"/>
              </w:rPr>
              <w:t>PwD</w:t>
            </w:r>
            <w:proofErr w:type="spellEnd"/>
            <w:r w:rsidRPr="00D21EBF">
              <w:rPr>
                <w:rFonts w:ascii="Aptos Narrow" w:eastAsia="Times New Roman" w:hAnsi="Aptos Narrow" w:cs="Times New Roman"/>
                <w:color w:val="000000"/>
                <w:lang w:eastAsia="en-AU"/>
                <w14:ligatures w14:val="none"/>
              </w:rPr>
              <w:t>; Caregiver</w:t>
            </w:r>
          </w:p>
        </w:tc>
        <w:tc>
          <w:tcPr>
            <w:tcW w:w="1634" w:type="dxa"/>
            <w:shd w:val="clear" w:color="auto" w:fill="auto"/>
            <w:vAlign w:val="bottom"/>
            <w:hideMark/>
          </w:tcPr>
          <w:p w14:paraId="11CDB247" w14:textId="77777777" w:rsidR="00E82A9A" w:rsidRPr="00D21EBF" w:rsidRDefault="00E82A9A" w:rsidP="00E82A9A">
            <w:pPr>
              <w:spacing w:after="0" w:line="240" w:lineRule="auto"/>
              <w:rPr>
                <w:rFonts w:ascii="Aptos Narrow" w:eastAsia="Times New Roman" w:hAnsi="Aptos Narrow" w:cs="Times New Roman"/>
                <w:color w:val="000000" w:themeColor="text1"/>
                <w:lang w:eastAsia="en-AU"/>
                <w14:ligatures w14:val="none"/>
              </w:rPr>
            </w:pPr>
            <w:r w:rsidRPr="00D21EBF">
              <w:rPr>
                <w:rFonts w:ascii="Aptos Narrow" w:eastAsia="Times New Roman" w:hAnsi="Aptos Narrow" w:cs="Times New Roman"/>
                <w:color w:val="000000" w:themeColor="text1"/>
                <w:lang w:eastAsia="en-AU"/>
                <w14:ligatures w14:val="none"/>
              </w:rPr>
              <w:t>Rural (remote)</w:t>
            </w:r>
          </w:p>
        </w:tc>
        <w:tc>
          <w:tcPr>
            <w:tcW w:w="1439" w:type="dxa"/>
            <w:shd w:val="clear" w:color="auto" w:fill="auto"/>
            <w:vAlign w:val="bottom"/>
            <w:hideMark/>
          </w:tcPr>
          <w:p w14:paraId="1B3D03BE"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1670" w:type="dxa"/>
            <w:shd w:val="clear" w:color="auto" w:fill="auto"/>
            <w:vAlign w:val="bottom"/>
            <w:hideMark/>
          </w:tcPr>
          <w:p w14:paraId="0EC56179"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NDIS</w:t>
            </w:r>
          </w:p>
        </w:tc>
        <w:tc>
          <w:tcPr>
            <w:tcW w:w="447" w:type="dxa"/>
            <w:shd w:val="clear" w:color="auto" w:fill="auto"/>
            <w:noWrap/>
            <w:vAlign w:val="bottom"/>
            <w:hideMark/>
          </w:tcPr>
          <w:p w14:paraId="45392371"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390" w:type="dxa"/>
            <w:shd w:val="clear" w:color="auto" w:fill="auto"/>
            <w:noWrap/>
            <w:vAlign w:val="bottom"/>
            <w:hideMark/>
          </w:tcPr>
          <w:p w14:paraId="3C1180A4"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442" w:type="dxa"/>
            <w:shd w:val="clear" w:color="auto" w:fill="auto"/>
            <w:noWrap/>
            <w:vAlign w:val="bottom"/>
            <w:hideMark/>
          </w:tcPr>
          <w:p w14:paraId="0680DE36"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692" w:type="dxa"/>
            <w:shd w:val="clear" w:color="auto" w:fill="auto"/>
            <w:noWrap/>
            <w:vAlign w:val="bottom"/>
            <w:hideMark/>
          </w:tcPr>
          <w:p w14:paraId="18D96DCC"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77" w:type="dxa"/>
            <w:shd w:val="clear" w:color="auto" w:fill="auto"/>
            <w:noWrap/>
            <w:vAlign w:val="bottom"/>
            <w:hideMark/>
          </w:tcPr>
          <w:p w14:paraId="6855FD14"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505" w:type="dxa"/>
            <w:shd w:val="clear" w:color="auto" w:fill="auto"/>
            <w:noWrap/>
            <w:vAlign w:val="bottom"/>
            <w:hideMark/>
          </w:tcPr>
          <w:p w14:paraId="45DADD87"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r>
      <w:tr w:rsidR="00E82A9A" w:rsidRPr="00D21EBF" w14:paraId="508B8087" w14:textId="77777777" w:rsidTr="005B32AC">
        <w:trPr>
          <w:trHeight w:val="310"/>
        </w:trPr>
        <w:tc>
          <w:tcPr>
            <w:tcW w:w="1356" w:type="dxa"/>
          </w:tcPr>
          <w:p w14:paraId="2EA81783" w14:textId="7BF5D890"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fldChar w:fldCharType="begin"/>
            </w:r>
            <w:r>
              <w:rPr>
                <w:rFonts w:ascii="Aptos Narrow" w:eastAsia="Times New Roman" w:hAnsi="Aptos Narrow" w:cs="Times New Roman"/>
                <w:color w:val="000000"/>
                <w:lang w:eastAsia="en-AU"/>
                <w14:ligatures w14:val="none"/>
              </w:rPr>
              <w:instrText xml:space="preserve"> ADDIN EN.CITE &lt;EndNote&gt;&lt;Cite&gt;&lt;Author&gt;Disney&lt;/Author&gt;&lt;RecNum&gt;50203&lt;/RecNum&gt;&lt;DisplayText&gt;(Disney et al.)&lt;/DisplayText&gt;&lt;record&gt;&lt;rec-number&gt;50203&lt;/rec-number&gt;&lt;foreign-keys&gt;&lt;key app="EN" db-id="feav29prs929zneaprxvex2z55wwe0dtx9rf" timestamp="1742949803" guid="3a8b579a-6104-43d1-83c0-243966cd8f0d"&gt;50203&lt;/key&gt;&lt;/foreign-keys&gt;&lt;ref-type name="Generic"&gt;13&lt;/ref-type&gt;&lt;contributors&gt;&lt;authors&gt;&lt;author&gt;Disney, G.&lt;/author&gt;&lt;author&gt;Yang, Y.&lt;/author&gt;&lt;author&gt;Summers, P.&lt;/author&gt;&lt;/authors&gt;&lt;/contributors&gt;&lt;titles&gt;&lt;title&gt;NDIS Utilisation Project: describing, understanding and explaining inequalities in plan utilisation. Melbourne: Melbourne Disability Institute, 2021&lt;/title&gt;&lt;/titles&gt;&lt;dates&gt;&lt;/dates&gt;&lt;urls&gt;&lt;/urls&gt;&lt;/record&gt;&lt;/Cite&gt;&lt;/EndNote&gt;</w:instrText>
            </w:r>
            <w:r>
              <w:rPr>
                <w:rFonts w:ascii="Aptos Narrow" w:eastAsia="Times New Roman" w:hAnsi="Aptos Narrow" w:cs="Times New Roman"/>
                <w:color w:val="000000"/>
                <w:lang w:eastAsia="en-AU"/>
                <w14:ligatures w14:val="none"/>
              </w:rPr>
              <w:fldChar w:fldCharType="separate"/>
            </w:r>
            <w:r>
              <w:rPr>
                <w:rFonts w:ascii="Aptos Narrow" w:eastAsia="Times New Roman" w:hAnsi="Aptos Narrow" w:cs="Times New Roman"/>
                <w:noProof/>
                <w:color w:val="000000"/>
                <w:lang w:eastAsia="en-AU"/>
                <w14:ligatures w14:val="none"/>
              </w:rPr>
              <w:t>(Disney et al.)</w:t>
            </w:r>
            <w:r>
              <w:rPr>
                <w:rFonts w:ascii="Aptos Narrow" w:eastAsia="Times New Roman" w:hAnsi="Aptos Narrow" w:cs="Times New Roman"/>
                <w:color w:val="000000"/>
                <w:lang w:eastAsia="en-AU"/>
                <w14:ligatures w14:val="none"/>
              </w:rPr>
              <w:fldChar w:fldCharType="end"/>
            </w:r>
          </w:p>
        </w:tc>
        <w:tc>
          <w:tcPr>
            <w:tcW w:w="1431" w:type="dxa"/>
            <w:shd w:val="clear" w:color="auto" w:fill="auto"/>
            <w:noWrap/>
            <w:vAlign w:val="bottom"/>
            <w:hideMark/>
          </w:tcPr>
          <w:p w14:paraId="1273C86B" w14:textId="7F88656E"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Australia </w:t>
            </w:r>
          </w:p>
        </w:tc>
        <w:tc>
          <w:tcPr>
            <w:tcW w:w="1349" w:type="dxa"/>
            <w:shd w:val="clear" w:color="auto" w:fill="auto"/>
            <w:noWrap/>
            <w:vAlign w:val="bottom"/>
            <w:hideMark/>
          </w:tcPr>
          <w:p w14:paraId="7EDC6CA9"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Qualitative</w:t>
            </w:r>
          </w:p>
        </w:tc>
        <w:tc>
          <w:tcPr>
            <w:tcW w:w="1553" w:type="dxa"/>
            <w:shd w:val="clear" w:color="auto" w:fill="auto"/>
            <w:noWrap/>
            <w:vAlign w:val="bottom"/>
            <w:hideMark/>
          </w:tcPr>
          <w:p w14:paraId="69418DA6" w14:textId="21A305B0"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Mixed </w:t>
            </w:r>
          </w:p>
        </w:tc>
        <w:tc>
          <w:tcPr>
            <w:tcW w:w="1479" w:type="dxa"/>
            <w:shd w:val="clear" w:color="auto" w:fill="auto"/>
            <w:noWrap/>
            <w:vAlign w:val="bottom"/>
            <w:hideMark/>
          </w:tcPr>
          <w:p w14:paraId="4E555FB7"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proofErr w:type="spellStart"/>
            <w:r w:rsidRPr="00D21EBF">
              <w:rPr>
                <w:rFonts w:ascii="Aptos Narrow" w:eastAsia="Times New Roman" w:hAnsi="Aptos Narrow" w:cs="Times New Roman"/>
                <w:color w:val="000000"/>
                <w:lang w:eastAsia="en-AU"/>
                <w14:ligatures w14:val="none"/>
              </w:rPr>
              <w:t>PwD</w:t>
            </w:r>
            <w:proofErr w:type="spellEnd"/>
          </w:p>
        </w:tc>
        <w:tc>
          <w:tcPr>
            <w:tcW w:w="1634" w:type="dxa"/>
            <w:shd w:val="clear" w:color="auto" w:fill="auto"/>
            <w:vAlign w:val="bottom"/>
            <w:hideMark/>
          </w:tcPr>
          <w:p w14:paraId="5E378A37" w14:textId="77777777" w:rsidR="00E82A9A" w:rsidRPr="00D21EBF" w:rsidRDefault="00E82A9A" w:rsidP="00E82A9A">
            <w:pPr>
              <w:spacing w:after="0" w:line="240" w:lineRule="auto"/>
              <w:rPr>
                <w:rFonts w:ascii="Aptos Narrow" w:eastAsia="Times New Roman" w:hAnsi="Aptos Narrow" w:cs="Times New Roman"/>
                <w:color w:val="000000" w:themeColor="text1"/>
                <w:lang w:eastAsia="en-AU"/>
                <w14:ligatures w14:val="none"/>
              </w:rPr>
            </w:pPr>
            <w:r w:rsidRPr="00D21EBF">
              <w:rPr>
                <w:rFonts w:ascii="Aptos Narrow" w:eastAsia="Times New Roman" w:hAnsi="Aptos Narrow" w:cs="Times New Roman"/>
                <w:color w:val="000000" w:themeColor="text1"/>
                <w:lang w:eastAsia="en-AU"/>
                <w14:ligatures w14:val="none"/>
              </w:rPr>
              <w:t> </w:t>
            </w:r>
          </w:p>
        </w:tc>
        <w:tc>
          <w:tcPr>
            <w:tcW w:w="1439" w:type="dxa"/>
            <w:shd w:val="clear" w:color="auto" w:fill="auto"/>
            <w:vAlign w:val="bottom"/>
            <w:hideMark/>
          </w:tcPr>
          <w:p w14:paraId="13BE4D74"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1670" w:type="dxa"/>
            <w:shd w:val="clear" w:color="auto" w:fill="auto"/>
            <w:vAlign w:val="bottom"/>
            <w:hideMark/>
          </w:tcPr>
          <w:p w14:paraId="06AE1D15"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NDIS</w:t>
            </w:r>
          </w:p>
        </w:tc>
        <w:tc>
          <w:tcPr>
            <w:tcW w:w="447" w:type="dxa"/>
            <w:shd w:val="clear" w:color="auto" w:fill="auto"/>
            <w:noWrap/>
            <w:vAlign w:val="bottom"/>
            <w:hideMark/>
          </w:tcPr>
          <w:p w14:paraId="609E5C1C"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390" w:type="dxa"/>
            <w:shd w:val="clear" w:color="auto" w:fill="auto"/>
            <w:noWrap/>
            <w:vAlign w:val="bottom"/>
            <w:hideMark/>
          </w:tcPr>
          <w:p w14:paraId="364081D4"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442" w:type="dxa"/>
            <w:shd w:val="clear" w:color="auto" w:fill="auto"/>
            <w:noWrap/>
            <w:vAlign w:val="bottom"/>
            <w:hideMark/>
          </w:tcPr>
          <w:p w14:paraId="63C16BD1"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692" w:type="dxa"/>
            <w:shd w:val="clear" w:color="auto" w:fill="auto"/>
            <w:noWrap/>
            <w:vAlign w:val="bottom"/>
            <w:hideMark/>
          </w:tcPr>
          <w:p w14:paraId="0E522DE9"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77" w:type="dxa"/>
            <w:shd w:val="clear" w:color="auto" w:fill="auto"/>
            <w:noWrap/>
            <w:vAlign w:val="bottom"/>
            <w:hideMark/>
          </w:tcPr>
          <w:p w14:paraId="01B7F63A"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05" w:type="dxa"/>
            <w:shd w:val="clear" w:color="auto" w:fill="auto"/>
            <w:noWrap/>
            <w:vAlign w:val="bottom"/>
            <w:hideMark/>
          </w:tcPr>
          <w:p w14:paraId="096DB37D"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r>
      <w:tr w:rsidR="00E82A9A" w:rsidRPr="00D21EBF" w14:paraId="30DD5E0F" w14:textId="77777777" w:rsidTr="005B32AC">
        <w:trPr>
          <w:trHeight w:val="310"/>
        </w:trPr>
        <w:tc>
          <w:tcPr>
            <w:tcW w:w="1356" w:type="dxa"/>
          </w:tcPr>
          <w:p w14:paraId="28163A31" w14:textId="53E55A62"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fldChar w:fldCharType="begin"/>
            </w:r>
            <w:r>
              <w:rPr>
                <w:rFonts w:ascii="Aptos Narrow" w:eastAsia="Times New Roman" w:hAnsi="Aptos Narrow" w:cs="Times New Roman"/>
                <w:color w:val="000000"/>
                <w:lang w:eastAsia="en-AU"/>
                <w14:ligatures w14:val="none"/>
              </w:rPr>
              <w:instrText xml:space="preserve"> ADDIN EN.CITE &lt;EndNote&gt;&lt;Cite&gt;&lt;Author&gt;Hui&lt;/Author&gt;&lt;Year&gt;2018&lt;/Year&gt;&lt;RecNum&gt;50202&lt;/RecNum&gt;&lt;DisplayText&gt;(Hui et al., 2018)&lt;/DisplayText&gt;&lt;record&gt;&lt;rec-number&gt;50202&lt;/rec-number&gt;&lt;foreign-keys&gt;&lt;key app="EN" db-id="feav29prs929zneaprxvex2z55wwe0dtx9rf" timestamp="1742949803" guid="bf01f6a9-dd51-41da-bb90-37b2ba51cd02"&gt;50202&lt;/key&gt;&lt;/foreign-keys&gt;&lt;ref-type name="Journal Article"&gt;17&lt;/ref-type&gt;&lt;contributors&gt;&lt;authors&gt;&lt;author&gt;Hui, F.&lt;/author&gt;&lt;author&gt;Cortese, C.&lt;/author&gt;&lt;author&gt;Nikidehaghani, Mona&lt;/author&gt;&lt;author&gt;Chapple, S.&lt;/author&gt;&lt;author&gt;McCombie, K.&lt;/author&gt;&lt;/authors&gt;&lt;/contributors&gt;&lt;titles&gt;&lt;title&gt;Hard to reach: examining the National Disability Insurance Scheme Experience a Case study in Wollongong&lt;/title&gt;&lt;secondary-title&gt;Retrieved from University of Woollongong website: business. uow. edu. au/research/crop/ndis-research&lt;/secondary-title&gt;&lt;/titles&gt;&lt;periodical&gt;&lt;full-title&gt;Retrieved from University of Woollongong website: business. uow. edu. au/research/crop/ndis-research&lt;/full-title&gt;&lt;/periodical&gt;&lt;dates&gt;&lt;year&gt;2018&lt;/year&gt;&lt;/dates&gt;&lt;urls&gt;&lt;/urls&gt;&lt;/record&gt;&lt;/Cite&gt;&lt;/EndNote&gt;</w:instrText>
            </w:r>
            <w:r>
              <w:rPr>
                <w:rFonts w:ascii="Aptos Narrow" w:eastAsia="Times New Roman" w:hAnsi="Aptos Narrow" w:cs="Times New Roman"/>
                <w:color w:val="000000"/>
                <w:lang w:eastAsia="en-AU"/>
                <w14:ligatures w14:val="none"/>
              </w:rPr>
              <w:fldChar w:fldCharType="separate"/>
            </w:r>
            <w:r>
              <w:rPr>
                <w:rFonts w:ascii="Aptos Narrow" w:eastAsia="Times New Roman" w:hAnsi="Aptos Narrow" w:cs="Times New Roman"/>
                <w:noProof/>
                <w:color w:val="000000"/>
                <w:lang w:eastAsia="en-AU"/>
                <w14:ligatures w14:val="none"/>
              </w:rPr>
              <w:t>(Hui et al., 2018)</w:t>
            </w:r>
            <w:r>
              <w:rPr>
                <w:rFonts w:ascii="Aptos Narrow" w:eastAsia="Times New Roman" w:hAnsi="Aptos Narrow" w:cs="Times New Roman"/>
                <w:color w:val="000000"/>
                <w:lang w:eastAsia="en-AU"/>
                <w14:ligatures w14:val="none"/>
              </w:rPr>
              <w:fldChar w:fldCharType="end"/>
            </w:r>
          </w:p>
        </w:tc>
        <w:tc>
          <w:tcPr>
            <w:tcW w:w="1431" w:type="dxa"/>
            <w:shd w:val="clear" w:color="auto" w:fill="auto"/>
            <w:noWrap/>
            <w:vAlign w:val="bottom"/>
            <w:hideMark/>
          </w:tcPr>
          <w:p w14:paraId="1B3A8BDE" w14:textId="019ABB75"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NSW</w:t>
            </w:r>
          </w:p>
        </w:tc>
        <w:tc>
          <w:tcPr>
            <w:tcW w:w="1349" w:type="dxa"/>
            <w:shd w:val="clear" w:color="auto" w:fill="auto"/>
            <w:noWrap/>
            <w:vAlign w:val="bottom"/>
            <w:hideMark/>
          </w:tcPr>
          <w:p w14:paraId="30147913"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Qualitative</w:t>
            </w:r>
          </w:p>
        </w:tc>
        <w:tc>
          <w:tcPr>
            <w:tcW w:w="1553" w:type="dxa"/>
            <w:shd w:val="clear" w:color="auto" w:fill="auto"/>
            <w:noWrap/>
            <w:vAlign w:val="bottom"/>
            <w:hideMark/>
          </w:tcPr>
          <w:p w14:paraId="1C7594F0" w14:textId="061E02D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Mixed </w:t>
            </w:r>
          </w:p>
        </w:tc>
        <w:tc>
          <w:tcPr>
            <w:tcW w:w="1479" w:type="dxa"/>
            <w:shd w:val="clear" w:color="auto" w:fill="auto"/>
            <w:noWrap/>
            <w:vAlign w:val="bottom"/>
            <w:hideMark/>
          </w:tcPr>
          <w:p w14:paraId="48C4B47F"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proofErr w:type="spellStart"/>
            <w:r w:rsidRPr="00D21EBF">
              <w:rPr>
                <w:rFonts w:ascii="Aptos Narrow" w:eastAsia="Times New Roman" w:hAnsi="Aptos Narrow" w:cs="Times New Roman"/>
                <w:color w:val="000000"/>
                <w:lang w:eastAsia="en-AU"/>
                <w14:ligatures w14:val="none"/>
              </w:rPr>
              <w:t>PwD</w:t>
            </w:r>
            <w:proofErr w:type="spellEnd"/>
          </w:p>
        </w:tc>
        <w:tc>
          <w:tcPr>
            <w:tcW w:w="1634" w:type="dxa"/>
            <w:shd w:val="clear" w:color="auto" w:fill="auto"/>
            <w:vAlign w:val="bottom"/>
            <w:hideMark/>
          </w:tcPr>
          <w:p w14:paraId="59EC8932" w14:textId="77777777" w:rsidR="00E82A9A" w:rsidRPr="00D21EBF" w:rsidRDefault="00E82A9A" w:rsidP="00E82A9A">
            <w:pPr>
              <w:spacing w:after="0" w:line="240" w:lineRule="auto"/>
              <w:rPr>
                <w:rFonts w:ascii="Aptos Narrow" w:eastAsia="Times New Roman" w:hAnsi="Aptos Narrow" w:cs="Times New Roman"/>
                <w:color w:val="000000" w:themeColor="text1"/>
                <w:lang w:eastAsia="en-AU"/>
                <w14:ligatures w14:val="none"/>
              </w:rPr>
            </w:pPr>
            <w:r w:rsidRPr="00D21EBF">
              <w:rPr>
                <w:rFonts w:ascii="Aptos Narrow" w:eastAsia="Times New Roman" w:hAnsi="Aptos Narrow" w:cs="Times New Roman"/>
                <w:color w:val="000000" w:themeColor="text1"/>
                <w:lang w:eastAsia="en-AU"/>
                <w14:ligatures w14:val="none"/>
              </w:rPr>
              <w:t> </w:t>
            </w:r>
          </w:p>
        </w:tc>
        <w:tc>
          <w:tcPr>
            <w:tcW w:w="1439" w:type="dxa"/>
            <w:shd w:val="clear" w:color="auto" w:fill="auto"/>
            <w:vAlign w:val="bottom"/>
            <w:hideMark/>
          </w:tcPr>
          <w:p w14:paraId="62582E62"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1670" w:type="dxa"/>
            <w:shd w:val="clear" w:color="auto" w:fill="auto"/>
            <w:vAlign w:val="bottom"/>
            <w:hideMark/>
          </w:tcPr>
          <w:p w14:paraId="6BF86307"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NDIS </w:t>
            </w:r>
          </w:p>
        </w:tc>
        <w:tc>
          <w:tcPr>
            <w:tcW w:w="447" w:type="dxa"/>
            <w:shd w:val="clear" w:color="auto" w:fill="auto"/>
            <w:noWrap/>
            <w:vAlign w:val="bottom"/>
            <w:hideMark/>
          </w:tcPr>
          <w:p w14:paraId="32FC064B"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390" w:type="dxa"/>
            <w:shd w:val="clear" w:color="auto" w:fill="auto"/>
            <w:noWrap/>
            <w:vAlign w:val="bottom"/>
            <w:hideMark/>
          </w:tcPr>
          <w:p w14:paraId="098A43BD"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442" w:type="dxa"/>
            <w:shd w:val="clear" w:color="auto" w:fill="auto"/>
            <w:noWrap/>
            <w:vAlign w:val="bottom"/>
            <w:hideMark/>
          </w:tcPr>
          <w:p w14:paraId="185570FF"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692" w:type="dxa"/>
            <w:shd w:val="clear" w:color="auto" w:fill="auto"/>
            <w:noWrap/>
            <w:vAlign w:val="bottom"/>
            <w:hideMark/>
          </w:tcPr>
          <w:p w14:paraId="20DC971E"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577" w:type="dxa"/>
            <w:shd w:val="clear" w:color="auto" w:fill="auto"/>
            <w:noWrap/>
            <w:vAlign w:val="bottom"/>
            <w:hideMark/>
          </w:tcPr>
          <w:p w14:paraId="499E2161"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05" w:type="dxa"/>
            <w:shd w:val="clear" w:color="auto" w:fill="auto"/>
            <w:noWrap/>
            <w:vAlign w:val="bottom"/>
            <w:hideMark/>
          </w:tcPr>
          <w:p w14:paraId="52736B04"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r>
      <w:tr w:rsidR="00E82A9A" w:rsidRPr="00D21EBF" w14:paraId="1A44EB34" w14:textId="77777777" w:rsidTr="005B32AC">
        <w:trPr>
          <w:trHeight w:val="310"/>
        </w:trPr>
        <w:tc>
          <w:tcPr>
            <w:tcW w:w="1356" w:type="dxa"/>
          </w:tcPr>
          <w:p w14:paraId="17129E42" w14:textId="522EDE18"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fldChar w:fldCharType="begin"/>
            </w:r>
            <w:r>
              <w:rPr>
                <w:rFonts w:ascii="Aptos Narrow" w:eastAsia="Times New Roman" w:hAnsi="Aptos Narrow" w:cs="Times New Roman"/>
                <w:color w:val="000000"/>
                <w:lang w:eastAsia="en-AU"/>
                <w14:ligatures w14:val="none"/>
              </w:rPr>
              <w:instrText xml:space="preserve"> ADDIN EN.CITE &lt;EndNote&gt;&lt;Cite&gt;&lt;Author&gt;Baldry&lt;/Author&gt;&lt;Year&gt;2023&lt;/Year&gt;&lt;RecNum&gt;50201&lt;/RecNum&gt;&lt;DisplayText&gt;(Baldry et al., 2023)&lt;/DisplayText&gt;&lt;record&gt;&lt;rec-number&gt;50201&lt;/rec-number&gt;&lt;foreign-keys&gt;&lt;key app="EN" db-id="feav29prs929zneaprxvex2z55wwe0dtx9rf" timestamp="1742949803" guid="e2f9ee5a-3e80-4291-9e11-e12e324674a5"&gt;50201&lt;/key&gt;&lt;/foreign-keys&gt;&lt;ref-type name="Journal Article"&gt;17&lt;/ref-type&gt;&lt;contributors&gt;&lt;authors&gt;&lt;author&gt;Baldry, Eileen&lt;/author&gt;&lt;author&gt;Spring, Jane&lt;/author&gt;&lt;author&gt;Greiner, Kathryn&lt;/author&gt;&lt;author&gt;Warrilow, Prue&lt;/author&gt;&lt;author&gt;Ageing, N. S. W.&lt;/author&gt;&lt;author&gt;Disability, Commission&lt;/author&gt;&lt;/authors&gt;&lt;/contributors&gt;&lt;titles&gt;&lt;title&gt;Housing issues for people with disability, older people and carers in NSW&lt;/title&gt;&lt;/titles&gt;&lt;dates&gt;&lt;year&gt;2023&lt;/year&gt;&lt;/dates&gt;&lt;publisher&gt;APO: Analysis &amp;amp; Policy Observatory&lt;/publisher&gt;&lt;urls&gt;&lt;/urls&gt;&lt;/record&gt;&lt;/Cite&gt;&lt;/EndNote&gt;</w:instrText>
            </w:r>
            <w:r>
              <w:rPr>
                <w:rFonts w:ascii="Aptos Narrow" w:eastAsia="Times New Roman" w:hAnsi="Aptos Narrow" w:cs="Times New Roman"/>
                <w:color w:val="000000"/>
                <w:lang w:eastAsia="en-AU"/>
                <w14:ligatures w14:val="none"/>
              </w:rPr>
              <w:fldChar w:fldCharType="separate"/>
            </w:r>
            <w:r>
              <w:rPr>
                <w:rFonts w:ascii="Aptos Narrow" w:eastAsia="Times New Roman" w:hAnsi="Aptos Narrow" w:cs="Times New Roman"/>
                <w:noProof/>
                <w:color w:val="000000"/>
                <w:lang w:eastAsia="en-AU"/>
                <w14:ligatures w14:val="none"/>
              </w:rPr>
              <w:t>(Baldry et al., 2023)</w:t>
            </w:r>
            <w:r>
              <w:rPr>
                <w:rFonts w:ascii="Aptos Narrow" w:eastAsia="Times New Roman" w:hAnsi="Aptos Narrow" w:cs="Times New Roman"/>
                <w:color w:val="000000"/>
                <w:lang w:eastAsia="en-AU"/>
                <w14:ligatures w14:val="none"/>
              </w:rPr>
              <w:fldChar w:fldCharType="end"/>
            </w:r>
          </w:p>
        </w:tc>
        <w:tc>
          <w:tcPr>
            <w:tcW w:w="1431" w:type="dxa"/>
            <w:shd w:val="clear" w:color="auto" w:fill="auto"/>
            <w:noWrap/>
            <w:vAlign w:val="bottom"/>
            <w:hideMark/>
          </w:tcPr>
          <w:p w14:paraId="177F7999" w14:textId="77C3369A"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NSW</w:t>
            </w:r>
          </w:p>
        </w:tc>
        <w:tc>
          <w:tcPr>
            <w:tcW w:w="1349" w:type="dxa"/>
            <w:shd w:val="clear" w:color="auto" w:fill="auto"/>
            <w:noWrap/>
            <w:vAlign w:val="bottom"/>
            <w:hideMark/>
          </w:tcPr>
          <w:p w14:paraId="10689EE7"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Review</w:t>
            </w:r>
          </w:p>
        </w:tc>
        <w:tc>
          <w:tcPr>
            <w:tcW w:w="1553" w:type="dxa"/>
            <w:shd w:val="clear" w:color="auto" w:fill="auto"/>
            <w:noWrap/>
            <w:vAlign w:val="bottom"/>
            <w:hideMark/>
          </w:tcPr>
          <w:p w14:paraId="18A4BFDD" w14:textId="485F93AC"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Mixed </w:t>
            </w:r>
          </w:p>
        </w:tc>
        <w:tc>
          <w:tcPr>
            <w:tcW w:w="1479" w:type="dxa"/>
            <w:shd w:val="clear" w:color="auto" w:fill="auto"/>
            <w:vAlign w:val="bottom"/>
            <w:hideMark/>
          </w:tcPr>
          <w:p w14:paraId="44FDD9D2"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Government bodies </w:t>
            </w:r>
          </w:p>
        </w:tc>
        <w:tc>
          <w:tcPr>
            <w:tcW w:w="1634" w:type="dxa"/>
            <w:shd w:val="clear" w:color="auto" w:fill="auto"/>
            <w:vAlign w:val="bottom"/>
            <w:hideMark/>
          </w:tcPr>
          <w:p w14:paraId="08B6BBDB" w14:textId="77777777" w:rsidR="00E82A9A" w:rsidRPr="00D21EBF" w:rsidRDefault="00E82A9A" w:rsidP="00E82A9A">
            <w:pPr>
              <w:spacing w:after="0" w:line="240" w:lineRule="auto"/>
              <w:rPr>
                <w:rFonts w:ascii="Aptos Narrow" w:eastAsia="Times New Roman" w:hAnsi="Aptos Narrow" w:cs="Times New Roman"/>
                <w:color w:val="000000" w:themeColor="text1"/>
                <w:lang w:eastAsia="en-AU"/>
                <w14:ligatures w14:val="none"/>
              </w:rPr>
            </w:pPr>
            <w:r w:rsidRPr="00D21EBF">
              <w:rPr>
                <w:rFonts w:ascii="Aptos Narrow" w:eastAsia="Times New Roman" w:hAnsi="Aptos Narrow" w:cs="Times New Roman"/>
                <w:color w:val="000000" w:themeColor="text1"/>
                <w:lang w:eastAsia="en-AU"/>
                <w14:ligatures w14:val="none"/>
              </w:rPr>
              <w:t xml:space="preserve">First nation; Women </w:t>
            </w:r>
          </w:p>
        </w:tc>
        <w:tc>
          <w:tcPr>
            <w:tcW w:w="1439" w:type="dxa"/>
            <w:shd w:val="clear" w:color="auto" w:fill="auto"/>
            <w:vAlign w:val="bottom"/>
            <w:hideMark/>
          </w:tcPr>
          <w:p w14:paraId="655171EF"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1670" w:type="dxa"/>
            <w:shd w:val="clear" w:color="auto" w:fill="auto"/>
            <w:vAlign w:val="bottom"/>
            <w:hideMark/>
          </w:tcPr>
          <w:p w14:paraId="008CD291"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Housing </w:t>
            </w:r>
          </w:p>
        </w:tc>
        <w:tc>
          <w:tcPr>
            <w:tcW w:w="447" w:type="dxa"/>
            <w:shd w:val="clear" w:color="auto" w:fill="auto"/>
            <w:noWrap/>
            <w:vAlign w:val="bottom"/>
            <w:hideMark/>
          </w:tcPr>
          <w:p w14:paraId="3576B801"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390" w:type="dxa"/>
            <w:shd w:val="clear" w:color="auto" w:fill="auto"/>
            <w:noWrap/>
            <w:vAlign w:val="bottom"/>
            <w:hideMark/>
          </w:tcPr>
          <w:p w14:paraId="267DC21A"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442" w:type="dxa"/>
            <w:shd w:val="clear" w:color="auto" w:fill="auto"/>
            <w:noWrap/>
            <w:vAlign w:val="bottom"/>
            <w:hideMark/>
          </w:tcPr>
          <w:p w14:paraId="418C262E"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692" w:type="dxa"/>
            <w:shd w:val="clear" w:color="auto" w:fill="auto"/>
            <w:noWrap/>
            <w:vAlign w:val="bottom"/>
            <w:hideMark/>
          </w:tcPr>
          <w:p w14:paraId="38A1782C"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577" w:type="dxa"/>
            <w:shd w:val="clear" w:color="auto" w:fill="auto"/>
            <w:noWrap/>
            <w:vAlign w:val="bottom"/>
            <w:hideMark/>
          </w:tcPr>
          <w:p w14:paraId="258BF213"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505" w:type="dxa"/>
            <w:shd w:val="clear" w:color="auto" w:fill="auto"/>
            <w:noWrap/>
            <w:vAlign w:val="bottom"/>
            <w:hideMark/>
          </w:tcPr>
          <w:p w14:paraId="04D27E53"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r>
      <w:tr w:rsidR="00E82A9A" w:rsidRPr="00D21EBF" w14:paraId="70E2CEED" w14:textId="77777777" w:rsidTr="005B32AC">
        <w:trPr>
          <w:trHeight w:val="310"/>
        </w:trPr>
        <w:tc>
          <w:tcPr>
            <w:tcW w:w="1356" w:type="dxa"/>
          </w:tcPr>
          <w:p w14:paraId="0B5D18AD" w14:textId="0F315BC8"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fldChar w:fldCharType="begin"/>
            </w:r>
            <w:r>
              <w:rPr>
                <w:rFonts w:ascii="Aptos Narrow" w:eastAsia="Times New Roman" w:hAnsi="Aptos Narrow" w:cs="Times New Roman"/>
                <w:color w:val="000000"/>
                <w:lang w:eastAsia="en-AU"/>
                <w14:ligatures w14:val="none"/>
              </w:rPr>
              <w:instrText xml:space="preserve"> ADDIN EN.CITE &lt;EndNote&gt;&lt;Cite&gt;&lt;Author&gt;Smith-Merry&lt;/Author&gt;&lt;Year&gt;2018&lt;/Year&gt;&lt;RecNum&gt;50200&lt;/RecNum&gt;&lt;DisplayText&gt;(Smith-Merry et al., 2018)&lt;/DisplayText&gt;&lt;record&gt;&lt;rec-number&gt;50200&lt;/rec-number&gt;&lt;foreign-keys&gt;&lt;key app="EN" db-id="feav29prs929zneaprxvex2z55wwe0dtx9rf" timestamp="1742949803" guid="75e498f3-881a-46f8-89cf-a9095877fe85"&gt;50200&lt;/key&gt;&lt;/foreign-keys&gt;&lt;ref-type name="Journal Article"&gt;17&lt;/ref-type&gt;&lt;contributors&gt;&lt;authors&gt;&lt;author&gt;Smith-Merry, Jennifer&lt;/author&gt;&lt;author&gt;Hancock, Nicola&lt;/author&gt;&lt;author&gt;Gilroy, John&lt;/author&gt;&lt;author&gt;Llewellyn, Gwynnyth&lt;/author&gt;&lt;author&gt;Yen, Ivy&lt;/author&gt;&lt;/authors&gt;&lt;/contributors&gt;&lt;titles&gt;&lt;title&gt;Mind the gap: the national disability insurance scheme and psychosocial disability&lt;/title&gt;&lt;/titles&gt;&lt;dates&gt;&lt;year&gt;2018&lt;/year&gt;&lt;/dates&gt;&lt;publisher&gt;Centre for Disability Research and Policy&lt;/publisher&gt;&lt;urls&gt;&lt;/urls&gt;&lt;/record&gt;&lt;/Cite&gt;&lt;/EndNote&gt;</w:instrText>
            </w:r>
            <w:r>
              <w:rPr>
                <w:rFonts w:ascii="Aptos Narrow" w:eastAsia="Times New Roman" w:hAnsi="Aptos Narrow" w:cs="Times New Roman"/>
                <w:color w:val="000000"/>
                <w:lang w:eastAsia="en-AU"/>
                <w14:ligatures w14:val="none"/>
              </w:rPr>
              <w:fldChar w:fldCharType="separate"/>
            </w:r>
            <w:r>
              <w:rPr>
                <w:rFonts w:ascii="Aptos Narrow" w:eastAsia="Times New Roman" w:hAnsi="Aptos Narrow" w:cs="Times New Roman"/>
                <w:noProof/>
                <w:color w:val="000000"/>
                <w:lang w:eastAsia="en-AU"/>
                <w14:ligatures w14:val="none"/>
              </w:rPr>
              <w:t>(Smith-Merry et al., 2018)</w:t>
            </w:r>
            <w:r>
              <w:rPr>
                <w:rFonts w:ascii="Aptos Narrow" w:eastAsia="Times New Roman" w:hAnsi="Aptos Narrow" w:cs="Times New Roman"/>
                <w:color w:val="000000"/>
                <w:lang w:eastAsia="en-AU"/>
                <w14:ligatures w14:val="none"/>
              </w:rPr>
              <w:fldChar w:fldCharType="end"/>
            </w:r>
          </w:p>
        </w:tc>
        <w:tc>
          <w:tcPr>
            <w:tcW w:w="1431" w:type="dxa"/>
            <w:shd w:val="clear" w:color="auto" w:fill="auto"/>
            <w:noWrap/>
            <w:vAlign w:val="bottom"/>
            <w:hideMark/>
          </w:tcPr>
          <w:p w14:paraId="565188FD" w14:textId="404DFFDA"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Australia </w:t>
            </w:r>
          </w:p>
        </w:tc>
        <w:tc>
          <w:tcPr>
            <w:tcW w:w="1349" w:type="dxa"/>
            <w:shd w:val="clear" w:color="auto" w:fill="auto"/>
            <w:noWrap/>
            <w:vAlign w:val="bottom"/>
            <w:hideMark/>
          </w:tcPr>
          <w:p w14:paraId="11012802"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Qualitative</w:t>
            </w:r>
          </w:p>
        </w:tc>
        <w:tc>
          <w:tcPr>
            <w:tcW w:w="1553" w:type="dxa"/>
            <w:shd w:val="clear" w:color="auto" w:fill="auto"/>
            <w:noWrap/>
            <w:vAlign w:val="bottom"/>
            <w:hideMark/>
          </w:tcPr>
          <w:p w14:paraId="74687CE3"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Psychosocial </w:t>
            </w:r>
          </w:p>
        </w:tc>
        <w:tc>
          <w:tcPr>
            <w:tcW w:w="1479" w:type="dxa"/>
            <w:shd w:val="clear" w:color="auto" w:fill="auto"/>
            <w:noWrap/>
            <w:vAlign w:val="bottom"/>
            <w:hideMark/>
          </w:tcPr>
          <w:p w14:paraId="7FB96C48"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proofErr w:type="spellStart"/>
            <w:r w:rsidRPr="00D21EBF">
              <w:rPr>
                <w:rFonts w:ascii="Aptos Narrow" w:eastAsia="Times New Roman" w:hAnsi="Aptos Narrow" w:cs="Times New Roman"/>
                <w:color w:val="000000"/>
                <w:lang w:eastAsia="en-AU"/>
                <w14:ligatures w14:val="none"/>
              </w:rPr>
              <w:t>PwD</w:t>
            </w:r>
            <w:proofErr w:type="spellEnd"/>
            <w:r w:rsidRPr="00D21EBF">
              <w:rPr>
                <w:rFonts w:ascii="Aptos Narrow" w:eastAsia="Times New Roman" w:hAnsi="Aptos Narrow" w:cs="Times New Roman"/>
                <w:color w:val="000000"/>
                <w:lang w:eastAsia="en-AU"/>
                <w14:ligatures w14:val="none"/>
              </w:rPr>
              <w:t>; Caregiver; Provider</w:t>
            </w:r>
          </w:p>
        </w:tc>
        <w:tc>
          <w:tcPr>
            <w:tcW w:w="1634" w:type="dxa"/>
            <w:shd w:val="clear" w:color="auto" w:fill="auto"/>
            <w:vAlign w:val="bottom"/>
            <w:hideMark/>
          </w:tcPr>
          <w:p w14:paraId="3E5FCE79" w14:textId="77777777" w:rsidR="00E82A9A" w:rsidRPr="00D21EBF" w:rsidRDefault="00E82A9A" w:rsidP="00E82A9A">
            <w:pPr>
              <w:spacing w:after="0" w:line="240" w:lineRule="auto"/>
              <w:rPr>
                <w:rFonts w:ascii="Aptos Narrow" w:eastAsia="Times New Roman" w:hAnsi="Aptos Narrow" w:cs="Times New Roman"/>
                <w:color w:val="000000" w:themeColor="text1"/>
                <w:lang w:eastAsia="en-AU"/>
                <w14:ligatures w14:val="none"/>
              </w:rPr>
            </w:pPr>
            <w:r w:rsidRPr="00D21EBF">
              <w:rPr>
                <w:rFonts w:ascii="Aptos Narrow" w:eastAsia="Times New Roman" w:hAnsi="Aptos Narrow" w:cs="Times New Roman"/>
                <w:color w:val="000000" w:themeColor="text1"/>
                <w:lang w:eastAsia="en-AU"/>
                <w14:ligatures w14:val="none"/>
              </w:rPr>
              <w:t>First nation; Rural (remote); CALD</w:t>
            </w:r>
          </w:p>
        </w:tc>
        <w:tc>
          <w:tcPr>
            <w:tcW w:w="1439" w:type="dxa"/>
            <w:shd w:val="clear" w:color="auto" w:fill="auto"/>
            <w:vAlign w:val="bottom"/>
            <w:hideMark/>
          </w:tcPr>
          <w:p w14:paraId="7C80D637"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1670" w:type="dxa"/>
            <w:shd w:val="clear" w:color="auto" w:fill="auto"/>
            <w:vAlign w:val="bottom"/>
            <w:hideMark/>
          </w:tcPr>
          <w:p w14:paraId="75A6E926"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NDIS and support services </w:t>
            </w:r>
          </w:p>
        </w:tc>
        <w:tc>
          <w:tcPr>
            <w:tcW w:w="447" w:type="dxa"/>
            <w:shd w:val="clear" w:color="auto" w:fill="auto"/>
            <w:noWrap/>
            <w:vAlign w:val="bottom"/>
            <w:hideMark/>
          </w:tcPr>
          <w:p w14:paraId="1F4B49AC"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390" w:type="dxa"/>
            <w:shd w:val="clear" w:color="auto" w:fill="auto"/>
            <w:noWrap/>
            <w:vAlign w:val="bottom"/>
            <w:hideMark/>
          </w:tcPr>
          <w:p w14:paraId="2656107F"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442" w:type="dxa"/>
            <w:shd w:val="clear" w:color="auto" w:fill="auto"/>
            <w:noWrap/>
            <w:vAlign w:val="bottom"/>
            <w:hideMark/>
          </w:tcPr>
          <w:p w14:paraId="4EC396C7"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692" w:type="dxa"/>
            <w:shd w:val="clear" w:color="auto" w:fill="auto"/>
            <w:noWrap/>
            <w:vAlign w:val="bottom"/>
            <w:hideMark/>
          </w:tcPr>
          <w:p w14:paraId="407C2470"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577" w:type="dxa"/>
            <w:shd w:val="clear" w:color="auto" w:fill="auto"/>
            <w:noWrap/>
            <w:vAlign w:val="bottom"/>
            <w:hideMark/>
          </w:tcPr>
          <w:p w14:paraId="758EB5D9"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505" w:type="dxa"/>
            <w:shd w:val="clear" w:color="auto" w:fill="auto"/>
            <w:noWrap/>
            <w:vAlign w:val="bottom"/>
            <w:hideMark/>
          </w:tcPr>
          <w:p w14:paraId="7EE34BE0"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r>
      <w:tr w:rsidR="00E82A9A" w:rsidRPr="00D21EBF" w14:paraId="29508CA4" w14:textId="77777777" w:rsidTr="005B32AC">
        <w:trPr>
          <w:trHeight w:val="310"/>
        </w:trPr>
        <w:tc>
          <w:tcPr>
            <w:tcW w:w="1356" w:type="dxa"/>
          </w:tcPr>
          <w:p w14:paraId="45DBD55B" w14:textId="776B73FB"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fldChar w:fldCharType="begin"/>
            </w:r>
            <w:r>
              <w:rPr>
                <w:rFonts w:ascii="Aptos Narrow" w:eastAsia="Times New Roman" w:hAnsi="Aptos Narrow" w:cs="Times New Roman"/>
                <w:color w:val="000000"/>
                <w:lang w:eastAsia="en-AU"/>
                <w14:ligatures w14:val="none"/>
              </w:rPr>
              <w:instrText xml:space="preserve"> ADDIN EN.CITE &lt;EndNote&gt;&lt;Cite&gt;&lt;Author&gt;Mellifont&lt;/Author&gt;&lt;Year&gt;2023&lt;/Year&gt;&lt;RecNum&gt;50199&lt;/RecNum&gt;&lt;DisplayText&gt;(Mellifont, Hancock, et al., 2023)&lt;/DisplayText&gt;&lt;record&gt;&lt;rec-number&gt;50199&lt;/rec-number&gt;&lt;foreign-keys&gt;&lt;key app="EN" db-id="feav29prs929zneaprxvex2z55wwe0dtx9rf" timestamp="1742949803" guid="6534824c-9567-46ce-898b-7395493416d4"&gt;50199&lt;/key&gt;&lt;/foreign-keys&gt;&lt;ref-type name="Journal Article"&gt;17&lt;/ref-type&gt;&lt;contributors&gt;&lt;authors&gt;&lt;author&gt;Mellifont, Damian&lt;/author&gt;&lt;author&gt;Hancock, Nicola&lt;/author&gt;&lt;author&gt;Scanlan, Justin Newton&lt;/author&gt;&lt;author&gt;Hamilton, Deborah&lt;/author&gt;&lt;/authors&gt;&lt;/contributors&gt;&lt;titles&gt;&lt;title&gt;Barriers to applying to the NDIS for Australians with psychosocial disability: A scoping review&lt;/title&gt;&lt;secondary-title&gt;Australian Journal of Social Issues&lt;/secondary-title&gt;&lt;/titles&gt;&lt;periodical&gt;&lt;full-title&gt;Australian Journal of Social Issues&lt;/full-title&gt;&lt;/periodical&gt;&lt;pages&gt;262-278&lt;/pages&gt;&lt;volume&gt;58&lt;/volume&gt;&lt;number&gt;2&lt;/number&gt;&lt;dates&gt;&lt;year&gt;2023&lt;/year&gt;&lt;/dates&gt;&lt;publisher&gt;Wiley Online Library&lt;/publisher&gt;&lt;urls&gt;&lt;/urls&gt;&lt;/record&gt;&lt;/Cite&gt;&lt;/EndNote&gt;</w:instrText>
            </w:r>
            <w:r>
              <w:rPr>
                <w:rFonts w:ascii="Aptos Narrow" w:eastAsia="Times New Roman" w:hAnsi="Aptos Narrow" w:cs="Times New Roman"/>
                <w:color w:val="000000"/>
                <w:lang w:eastAsia="en-AU"/>
                <w14:ligatures w14:val="none"/>
              </w:rPr>
              <w:fldChar w:fldCharType="separate"/>
            </w:r>
            <w:r>
              <w:rPr>
                <w:rFonts w:ascii="Aptos Narrow" w:eastAsia="Times New Roman" w:hAnsi="Aptos Narrow" w:cs="Times New Roman"/>
                <w:noProof/>
                <w:color w:val="000000"/>
                <w:lang w:eastAsia="en-AU"/>
                <w14:ligatures w14:val="none"/>
              </w:rPr>
              <w:t>(Mellifont, Hancock, et al., 2023)</w:t>
            </w:r>
            <w:r>
              <w:rPr>
                <w:rFonts w:ascii="Aptos Narrow" w:eastAsia="Times New Roman" w:hAnsi="Aptos Narrow" w:cs="Times New Roman"/>
                <w:color w:val="000000"/>
                <w:lang w:eastAsia="en-AU"/>
                <w14:ligatures w14:val="none"/>
              </w:rPr>
              <w:fldChar w:fldCharType="end"/>
            </w:r>
          </w:p>
        </w:tc>
        <w:tc>
          <w:tcPr>
            <w:tcW w:w="1431" w:type="dxa"/>
            <w:shd w:val="clear" w:color="auto" w:fill="auto"/>
            <w:noWrap/>
            <w:vAlign w:val="bottom"/>
            <w:hideMark/>
          </w:tcPr>
          <w:p w14:paraId="74495B6D" w14:textId="0D886D75"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Australia </w:t>
            </w:r>
          </w:p>
        </w:tc>
        <w:tc>
          <w:tcPr>
            <w:tcW w:w="1349" w:type="dxa"/>
            <w:shd w:val="clear" w:color="auto" w:fill="auto"/>
            <w:noWrap/>
            <w:vAlign w:val="bottom"/>
            <w:hideMark/>
          </w:tcPr>
          <w:p w14:paraId="3D4553CB"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Review</w:t>
            </w:r>
          </w:p>
        </w:tc>
        <w:tc>
          <w:tcPr>
            <w:tcW w:w="1553" w:type="dxa"/>
            <w:shd w:val="clear" w:color="auto" w:fill="auto"/>
            <w:noWrap/>
            <w:vAlign w:val="bottom"/>
            <w:hideMark/>
          </w:tcPr>
          <w:p w14:paraId="27AC5B81"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Psychosocial </w:t>
            </w:r>
          </w:p>
        </w:tc>
        <w:tc>
          <w:tcPr>
            <w:tcW w:w="1479" w:type="dxa"/>
            <w:shd w:val="clear" w:color="auto" w:fill="auto"/>
            <w:noWrap/>
            <w:vAlign w:val="bottom"/>
            <w:hideMark/>
          </w:tcPr>
          <w:p w14:paraId="03943D95"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proofErr w:type="spellStart"/>
            <w:r w:rsidRPr="00D21EBF">
              <w:rPr>
                <w:rFonts w:ascii="Aptos Narrow" w:eastAsia="Times New Roman" w:hAnsi="Aptos Narrow" w:cs="Times New Roman"/>
                <w:color w:val="000000"/>
                <w:lang w:eastAsia="en-AU"/>
                <w14:ligatures w14:val="none"/>
              </w:rPr>
              <w:t>PwD</w:t>
            </w:r>
            <w:proofErr w:type="spellEnd"/>
            <w:r w:rsidRPr="00D21EBF">
              <w:rPr>
                <w:rFonts w:ascii="Aptos Narrow" w:eastAsia="Times New Roman" w:hAnsi="Aptos Narrow" w:cs="Times New Roman"/>
                <w:color w:val="000000"/>
                <w:lang w:eastAsia="en-AU"/>
                <w14:ligatures w14:val="none"/>
              </w:rPr>
              <w:t>; Caregiver; Provider</w:t>
            </w:r>
          </w:p>
        </w:tc>
        <w:tc>
          <w:tcPr>
            <w:tcW w:w="1634" w:type="dxa"/>
            <w:shd w:val="clear" w:color="auto" w:fill="auto"/>
            <w:vAlign w:val="bottom"/>
            <w:hideMark/>
          </w:tcPr>
          <w:p w14:paraId="6A497F07" w14:textId="77777777" w:rsidR="00E82A9A" w:rsidRPr="00D21EBF" w:rsidRDefault="00E82A9A" w:rsidP="00E82A9A">
            <w:pPr>
              <w:spacing w:after="0" w:line="240" w:lineRule="auto"/>
              <w:rPr>
                <w:rFonts w:ascii="Aptos Narrow" w:eastAsia="Times New Roman" w:hAnsi="Aptos Narrow" w:cs="Times New Roman"/>
                <w:color w:val="000000" w:themeColor="text1"/>
                <w:lang w:eastAsia="en-AU"/>
                <w14:ligatures w14:val="none"/>
              </w:rPr>
            </w:pPr>
            <w:r w:rsidRPr="00D21EBF">
              <w:rPr>
                <w:rFonts w:ascii="Aptos Narrow" w:eastAsia="Times New Roman" w:hAnsi="Aptos Narrow" w:cs="Times New Roman"/>
                <w:color w:val="000000" w:themeColor="text1"/>
                <w:lang w:eastAsia="en-AU"/>
                <w14:ligatures w14:val="none"/>
              </w:rPr>
              <w:t> </w:t>
            </w:r>
          </w:p>
        </w:tc>
        <w:tc>
          <w:tcPr>
            <w:tcW w:w="1439" w:type="dxa"/>
            <w:shd w:val="clear" w:color="auto" w:fill="auto"/>
            <w:vAlign w:val="bottom"/>
            <w:hideMark/>
          </w:tcPr>
          <w:p w14:paraId="209B0D35"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1670" w:type="dxa"/>
            <w:shd w:val="clear" w:color="auto" w:fill="auto"/>
            <w:vAlign w:val="bottom"/>
            <w:hideMark/>
          </w:tcPr>
          <w:p w14:paraId="77565FAD"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NDIS </w:t>
            </w:r>
          </w:p>
        </w:tc>
        <w:tc>
          <w:tcPr>
            <w:tcW w:w="447" w:type="dxa"/>
            <w:shd w:val="clear" w:color="auto" w:fill="auto"/>
            <w:noWrap/>
            <w:vAlign w:val="bottom"/>
            <w:hideMark/>
          </w:tcPr>
          <w:p w14:paraId="47A15D3E"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390" w:type="dxa"/>
            <w:shd w:val="clear" w:color="auto" w:fill="auto"/>
            <w:noWrap/>
            <w:vAlign w:val="bottom"/>
            <w:hideMark/>
          </w:tcPr>
          <w:p w14:paraId="1482F4DC"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442" w:type="dxa"/>
            <w:shd w:val="clear" w:color="auto" w:fill="auto"/>
            <w:noWrap/>
            <w:vAlign w:val="bottom"/>
            <w:hideMark/>
          </w:tcPr>
          <w:p w14:paraId="7EF84D85"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692" w:type="dxa"/>
            <w:shd w:val="clear" w:color="auto" w:fill="auto"/>
            <w:noWrap/>
            <w:vAlign w:val="bottom"/>
            <w:hideMark/>
          </w:tcPr>
          <w:p w14:paraId="16C2F0F6"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77" w:type="dxa"/>
            <w:shd w:val="clear" w:color="auto" w:fill="auto"/>
            <w:noWrap/>
            <w:vAlign w:val="bottom"/>
            <w:hideMark/>
          </w:tcPr>
          <w:p w14:paraId="4FA2DAC4"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05" w:type="dxa"/>
            <w:shd w:val="clear" w:color="auto" w:fill="auto"/>
            <w:noWrap/>
            <w:vAlign w:val="bottom"/>
            <w:hideMark/>
          </w:tcPr>
          <w:p w14:paraId="35AF8365"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r>
      <w:tr w:rsidR="00E82A9A" w:rsidRPr="00D21EBF" w14:paraId="29820701" w14:textId="77777777" w:rsidTr="005B32AC">
        <w:trPr>
          <w:trHeight w:val="310"/>
        </w:trPr>
        <w:tc>
          <w:tcPr>
            <w:tcW w:w="1356" w:type="dxa"/>
          </w:tcPr>
          <w:p w14:paraId="71512666" w14:textId="1354BD30"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fldChar w:fldCharType="begin"/>
            </w:r>
            <w:r>
              <w:rPr>
                <w:rFonts w:ascii="Aptos Narrow" w:eastAsia="Times New Roman" w:hAnsi="Aptos Narrow" w:cs="Times New Roman"/>
                <w:color w:val="000000"/>
                <w:lang w:eastAsia="en-AU"/>
                <w14:ligatures w14:val="none"/>
              </w:rPr>
              <w:instrText xml:space="preserve"> ADDIN EN.CITE &lt;EndNote&gt;&lt;Cite&gt;&lt;Author&gt;Ferdinand&lt;/Author&gt;&lt;Year&gt;2021&lt;/Year&gt;&lt;RecNum&gt;50198&lt;/RecNum&gt;&lt;DisplayText&gt;(Ferdinand et al., 2021)&lt;/DisplayText&gt;&lt;record&gt;&lt;rec-number&gt;50198&lt;/rec-number&gt;&lt;foreign-keys&gt;&lt;key app="EN" db-id="feav29prs929zneaprxvex2z55wwe0dtx9rf" timestamp="1742949803" guid="da663ed0-0c97-4580-b972-d61ffb4c684e"&gt;50198&lt;/key&gt;&lt;/foreign-keys&gt;&lt;ref-type name="Journal Article"&gt;17&lt;/ref-type&gt;&lt;contributors&gt;&lt;authors&gt;&lt;author&gt;Ferdinand, A.&lt;/author&gt;&lt;author&gt;Massey, L.&lt;/author&gt;&lt;author&gt;Cullen, J.&lt;/author&gt;&lt;author&gt;Temple, J.&lt;/author&gt;&lt;author&gt;Meiselbach, K.&lt;/author&gt;&lt;author&gt;Paradies, Y.&lt;/author&gt;&lt;author&gt;Baynam, G.&lt;/author&gt;&lt;author&gt;Savarirayan, R.&lt;/author&gt;&lt;author&gt;Kelaher, M.&lt;/author&gt;&lt;/authors&gt;&lt;/contributors&gt;&lt;titles&gt;&lt;title&gt;Culturally competent communication in Indigenous disability assessment: a qualitative study&lt;/title&gt;&lt;secondary-title&gt;International Journal for Equity in Health&lt;/secondary-title&gt;&lt;/titles&gt;&lt;periodical&gt;&lt;full-title&gt;International Journal for Equity in Health&lt;/full-title&gt;&lt;/periodical&gt;&lt;pages&gt;68&lt;/pages&gt;&lt;volume&gt;20&lt;/volume&gt;&lt;number&gt;1&lt;/number&gt;&lt;dates&gt;&lt;year&gt;2021&lt;/year&gt;&lt;/dates&gt;&lt;pub-location&gt;United Kingdom&lt;/pub-location&gt;&lt;publisher&gt;BioMed Central Ltd&lt;/publisher&gt;&lt;accession-num&gt;2010627045&lt;/accession-num&gt;&lt;urls&gt;&lt;related-urls&gt;&lt;url&gt;http://www.equityhealthj.com/home/&lt;/url&gt;&lt;/related-urls&gt;&lt;/urls&gt;&lt;electronic-resource-num&gt;https://dx.doi.org/10.1186/s12939-021-01402-9&lt;/electronic-resource-num&gt;&lt;/record&gt;&lt;/Cite&gt;&lt;/EndNote&gt;</w:instrText>
            </w:r>
            <w:r>
              <w:rPr>
                <w:rFonts w:ascii="Aptos Narrow" w:eastAsia="Times New Roman" w:hAnsi="Aptos Narrow" w:cs="Times New Roman"/>
                <w:color w:val="000000"/>
                <w:lang w:eastAsia="en-AU"/>
                <w14:ligatures w14:val="none"/>
              </w:rPr>
              <w:fldChar w:fldCharType="separate"/>
            </w:r>
            <w:r>
              <w:rPr>
                <w:rFonts w:ascii="Aptos Narrow" w:eastAsia="Times New Roman" w:hAnsi="Aptos Narrow" w:cs="Times New Roman"/>
                <w:noProof/>
                <w:color w:val="000000"/>
                <w:lang w:eastAsia="en-AU"/>
                <w14:ligatures w14:val="none"/>
              </w:rPr>
              <w:t>(Ferdinand et al., 2021)</w:t>
            </w:r>
            <w:r>
              <w:rPr>
                <w:rFonts w:ascii="Aptos Narrow" w:eastAsia="Times New Roman" w:hAnsi="Aptos Narrow" w:cs="Times New Roman"/>
                <w:color w:val="000000"/>
                <w:lang w:eastAsia="en-AU"/>
                <w14:ligatures w14:val="none"/>
              </w:rPr>
              <w:fldChar w:fldCharType="end"/>
            </w:r>
          </w:p>
        </w:tc>
        <w:tc>
          <w:tcPr>
            <w:tcW w:w="1431" w:type="dxa"/>
            <w:shd w:val="clear" w:color="auto" w:fill="auto"/>
            <w:noWrap/>
            <w:vAlign w:val="bottom"/>
            <w:hideMark/>
          </w:tcPr>
          <w:p w14:paraId="5C2DBCB6" w14:textId="1D94D236"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NT; QLD</w:t>
            </w:r>
          </w:p>
        </w:tc>
        <w:tc>
          <w:tcPr>
            <w:tcW w:w="1349" w:type="dxa"/>
            <w:shd w:val="clear" w:color="auto" w:fill="auto"/>
            <w:noWrap/>
            <w:vAlign w:val="bottom"/>
            <w:hideMark/>
          </w:tcPr>
          <w:p w14:paraId="61AD8A9A"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Qualitative</w:t>
            </w:r>
          </w:p>
        </w:tc>
        <w:tc>
          <w:tcPr>
            <w:tcW w:w="1553" w:type="dxa"/>
            <w:shd w:val="clear" w:color="auto" w:fill="auto"/>
            <w:noWrap/>
            <w:vAlign w:val="bottom"/>
            <w:hideMark/>
          </w:tcPr>
          <w:p w14:paraId="59AB12C8" w14:textId="459AB3FE"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Mixed </w:t>
            </w:r>
            <w:r>
              <w:rPr>
                <w:rFonts w:ascii="Aptos Narrow" w:eastAsia="Times New Roman" w:hAnsi="Aptos Narrow" w:cs="Times New Roman"/>
                <w:color w:val="000000"/>
                <w:lang w:eastAsia="en-AU"/>
                <w14:ligatures w14:val="none"/>
              </w:rPr>
              <w:t xml:space="preserve"> </w:t>
            </w:r>
          </w:p>
        </w:tc>
        <w:tc>
          <w:tcPr>
            <w:tcW w:w="1479" w:type="dxa"/>
            <w:shd w:val="clear" w:color="auto" w:fill="auto"/>
            <w:noWrap/>
            <w:vAlign w:val="bottom"/>
            <w:hideMark/>
          </w:tcPr>
          <w:p w14:paraId="76C2E250"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proofErr w:type="spellStart"/>
            <w:r w:rsidRPr="00D21EBF">
              <w:rPr>
                <w:rFonts w:ascii="Aptos Narrow" w:eastAsia="Times New Roman" w:hAnsi="Aptos Narrow" w:cs="Times New Roman"/>
                <w:color w:val="000000"/>
                <w:lang w:eastAsia="en-AU"/>
                <w14:ligatures w14:val="none"/>
              </w:rPr>
              <w:t>PwD</w:t>
            </w:r>
            <w:proofErr w:type="spellEnd"/>
            <w:r w:rsidRPr="00D21EBF">
              <w:rPr>
                <w:rFonts w:ascii="Aptos Narrow" w:eastAsia="Times New Roman" w:hAnsi="Aptos Narrow" w:cs="Times New Roman"/>
                <w:color w:val="000000"/>
                <w:lang w:eastAsia="en-AU"/>
                <w14:ligatures w14:val="none"/>
              </w:rPr>
              <w:t>; Provider</w:t>
            </w:r>
          </w:p>
        </w:tc>
        <w:tc>
          <w:tcPr>
            <w:tcW w:w="1634" w:type="dxa"/>
            <w:shd w:val="clear" w:color="auto" w:fill="auto"/>
            <w:vAlign w:val="bottom"/>
            <w:hideMark/>
          </w:tcPr>
          <w:p w14:paraId="6717B78E" w14:textId="77777777" w:rsidR="00E82A9A" w:rsidRPr="00D21EBF" w:rsidRDefault="00E82A9A" w:rsidP="00E82A9A">
            <w:pPr>
              <w:spacing w:after="0" w:line="240" w:lineRule="auto"/>
              <w:rPr>
                <w:rFonts w:ascii="Aptos Narrow" w:eastAsia="Times New Roman" w:hAnsi="Aptos Narrow" w:cs="Times New Roman"/>
                <w:color w:val="000000" w:themeColor="text1"/>
                <w:lang w:eastAsia="en-AU"/>
                <w14:ligatures w14:val="none"/>
              </w:rPr>
            </w:pPr>
            <w:r w:rsidRPr="00D21EBF">
              <w:rPr>
                <w:rFonts w:ascii="Aptos Narrow" w:eastAsia="Times New Roman" w:hAnsi="Aptos Narrow" w:cs="Times New Roman"/>
                <w:color w:val="000000" w:themeColor="text1"/>
                <w:lang w:eastAsia="en-AU"/>
                <w14:ligatures w14:val="none"/>
              </w:rPr>
              <w:t>First nation</w:t>
            </w:r>
          </w:p>
        </w:tc>
        <w:tc>
          <w:tcPr>
            <w:tcW w:w="1439" w:type="dxa"/>
            <w:shd w:val="clear" w:color="auto" w:fill="auto"/>
            <w:vAlign w:val="bottom"/>
            <w:hideMark/>
          </w:tcPr>
          <w:p w14:paraId="13E9A259"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1670" w:type="dxa"/>
            <w:shd w:val="clear" w:color="auto" w:fill="auto"/>
            <w:vAlign w:val="bottom"/>
            <w:hideMark/>
          </w:tcPr>
          <w:p w14:paraId="0505E90F"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NDIS</w:t>
            </w:r>
          </w:p>
        </w:tc>
        <w:tc>
          <w:tcPr>
            <w:tcW w:w="447" w:type="dxa"/>
            <w:shd w:val="clear" w:color="auto" w:fill="auto"/>
            <w:noWrap/>
            <w:vAlign w:val="bottom"/>
            <w:hideMark/>
          </w:tcPr>
          <w:p w14:paraId="4ECA84D1"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390" w:type="dxa"/>
            <w:shd w:val="clear" w:color="auto" w:fill="auto"/>
            <w:noWrap/>
            <w:vAlign w:val="bottom"/>
            <w:hideMark/>
          </w:tcPr>
          <w:p w14:paraId="4A5631BF"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442" w:type="dxa"/>
            <w:shd w:val="clear" w:color="auto" w:fill="auto"/>
            <w:noWrap/>
            <w:vAlign w:val="bottom"/>
            <w:hideMark/>
          </w:tcPr>
          <w:p w14:paraId="67BF54D6"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692" w:type="dxa"/>
            <w:shd w:val="clear" w:color="auto" w:fill="auto"/>
            <w:noWrap/>
            <w:vAlign w:val="bottom"/>
            <w:hideMark/>
          </w:tcPr>
          <w:p w14:paraId="32267786"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577" w:type="dxa"/>
            <w:shd w:val="clear" w:color="auto" w:fill="auto"/>
            <w:noWrap/>
            <w:vAlign w:val="bottom"/>
            <w:hideMark/>
          </w:tcPr>
          <w:p w14:paraId="08C42B19"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505" w:type="dxa"/>
            <w:shd w:val="clear" w:color="auto" w:fill="auto"/>
            <w:noWrap/>
            <w:vAlign w:val="bottom"/>
            <w:hideMark/>
          </w:tcPr>
          <w:p w14:paraId="68B60245"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r>
      <w:tr w:rsidR="00E82A9A" w:rsidRPr="00D21EBF" w14:paraId="05EC0A31" w14:textId="77777777" w:rsidTr="005B32AC">
        <w:trPr>
          <w:trHeight w:val="310"/>
        </w:trPr>
        <w:tc>
          <w:tcPr>
            <w:tcW w:w="1356" w:type="dxa"/>
          </w:tcPr>
          <w:p w14:paraId="61826189" w14:textId="07FEE38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fldChar w:fldCharType="begin"/>
            </w:r>
            <w:r>
              <w:rPr>
                <w:rFonts w:ascii="Aptos Narrow" w:eastAsia="Times New Roman" w:hAnsi="Aptos Narrow" w:cs="Times New Roman"/>
                <w:color w:val="000000"/>
                <w:lang w:eastAsia="en-AU"/>
                <w14:ligatures w14:val="none"/>
              </w:rPr>
              <w:instrText xml:space="preserve"> ADDIN EN.CITE &lt;EndNote&gt;&lt;Cite&gt;&lt;Author&gt;Devine&lt;/Author&gt;&lt;Year&gt;2021&lt;/Year&gt;&lt;RecNum&gt;50197&lt;/RecNum&gt;&lt;DisplayText&gt;(Devine et al., 2021)&lt;/DisplayText&gt;&lt;record&gt;&lt;rec-number&gt;50197&lt;/rec-number&gt;&lt;foreign-keys&gt;&lt;key app="EN" db-id="feav29prs929zneaprxvex2z55wwe0dtx9rf" timestamp="1742949803" guid="74a2dd40-90c4-4817-95e1-98f9bb064cf5"&gt;50197&lt;/key&gt;&lt;/foreign-keys&gt;&lt;ref-type name="Journal Article"&gt;17&lt;/ref-type&gt;&lt;contributors&gt;&lt;authors&gt;&lt;author&gt;Devine, A.&lt;/author&gt;&lt;author&gt;Shields, M.&lt;/author&gt;&lt;author&gt;Dimov, S.&lt;/author&gt;&lt;author&gt;Dickinson, H.&lt;/author&gt;&lt;author&gt;Vaughan, C.&lt;/author&gt;&lt;author&gt;Bentley, R.&lt;/author&gt;&lt;author&gt;Lamontagne, A. D.&lt;/author&gt;&lt;author&gt;Kavanagh, A.&lt;/author&gt;&lt;/authors&gt;&lt;/contributors&gt;&lt;titles&gt;&lt;title&gt;Australia&amp;apos;s disability employment services program: Participant perspectives on factors influencing access to work&lt;/title&gt;&lt;secondary-title&gt;International Journal of Environmental Research and Public Health&lt;/secondary-title&gt;&lt;/titles&gt;&lt;periodical&gt;&lt;full-title&gt;International Journal of Environmental Research and Public Health&lt;/full-title&gt;&lt;/periodical&gt;&lt;pages&gt;11485&lt;/pages&gt;&lt;volume&gt;18&lt;/volume&gt;&lt;number&gt;21&lt;/number&gt;&lt;dates&gt;&lt;year&gt;2021&lt;/year&gt;&lt;/dates&gt;&lt;pub-location&gt;Switzerland&lt;/pub-location&gt;&lt;publisher&gt;MDPI&lt;/publisher&gt;&lt;accession-num&gt;2014346521&lt;/accession-num&gt;&lt;urls&gt;&lt;related-urls&gt;&lt;url&gt;https://www.mdpi.com/1660-4601/18/21/11485/pdf&lt;/url&gt;&lt;/related-urls&gt;&lt;/urls&gt;&lt;electronic-resource-num&gt;https://dx.doi.org/10.3390/ijerph182111485&lt;/electronic-resource-num&gt;&lt;/record&gt;&lt;/Cite&gt;&lt;/EndNote&gt;</w:instrText>
            </w:r>
            <w:r>
              <w:rPr>
                <w:rFonts w:ascii="Aptos Narrow" w:eastAsia="Times New Roman" w:hAnsi="Aptos Narrow" w:cs="Times New Roman"/>
                <w:color w:val="000000"/>
                <w:lang w:eastAsia="en-AU"/>
                <w14:ligatures w14:val="none"/>
              </w:rPr>
              <w:fldChar w:fldCharType="separate"/>
            </w:r>
            <w:r>
              <w:rPr>
                <w:rFonts w:ascii="Aptos Narrow" w:eastAsia="Times New Roman" w:hAnsi="Aptos Narrow" w:cs="Times New Roman"/>
                <w:noProof/>
                <w:color w:val="000000"/>
                <w:lang w:eastAsia="en-AU"/>
                <w14:ligatures w14:val="none"/>
              </w:rPr>
              <w:t>(Devine et al., 2021)</w:t>
            </w:r>
            <w:r>
              <w:rPr>
                <w:rFonts w:ascii="Aptos Narrow" w:eastAsia="Times New Roman" w:hAnsi="Aptos Narrow" w:cs="Times New Roman"/>
                <w:color w:val="000000"/>
                <w:lang w:eastAsia="en-AU"/>
                <w14:ligatures w14:val="none"/>
              </w:rPr>
              <w:fldChar w:fldCharType="end"/>
            </w:r>
          </w:p>
        </w:tc>
        <w:tc>
          <w:tcPr>
            <w:tcW w:w="1431" w:type="dxa"/>
            <w:shd w:val="clear" w:color="auto" w:fill="auto"/>
            <w:noWrap/>
            <w:vAlign w:val="bottom"/>
            <w:hideMark/>
          </w:tcPr>
          <w:p w14:paraId="2B806208" w14:textId="513B0D84"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Australia </w:t>
            </w:r>
          </w:p>
        </w:tc>
        <w:tc>
          <w:tcPr>
            <w:tcW w:w="1349" w:type="dxa"/>
            <w:shd w:val="clear" w:color="auto" w:fill="auto"/>
            <w:noWrap/>
            <w:vAlign w:val="bottom"/>
            <w:hideMark/>
          </w:tcPr>
          <w:p w14:paraId="773D8E2A"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Quantitative</w:t>
            </w:r>
          </w:p>
        </w:tc>
        <w:tc>
          <w:tcPr>
            <w:tcW w:w="1553" w:type="dxa"/>
            <w:shd w:val="clear" w:color="auto" w:fill="auto"/>
            <w:noWrap/>
            <w:vAlign w:val="bottom"/>
            <w:hideMark/>
          </w:tcPr>
          <w:p w14:paraId="0F83E97B" w14:textId="5AF7FF0C"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Mixed </w:t>
            </w:r>
          </w:p>
        </w:tc>
        <w:tc>
          <w:tcPr>
            <w:tcW w:w="1479" w:type="dxa"/>
            <w:shd w:val="clear" w:color="auto" w:fill="auto"/>
            <w:noWrap/>
            <w:vAlign w:val="bottom"/>
            <w:hideMark/>
          </w:tcPr>
          <w:p w14:paraId="7E52B290"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proofErr w:type="spellStart"/>
            <w:r w:rsidRPr="00D21EBF">
              <w:rPr>
                <w:rFonts w:ascii="Aptos Narrow" w:eastAsia="Times New Roman" w:hAnsi="Aptos Narrow" w:cs="Times New Roman"/>
                <w:color w:val="000000"/>
                <w:lang w:eastAsia="en-AU"/>
                <w14:ligatures w14:val="none"/>
              </w:rPr>
              <w:t>PwD</w:t>
            </w:r>
            <w:proofErr w:type="spellEnd"/>
          </w:p>
        </w:tc>
        <w:tc>
          <w:tcPr>
            <w:tcW w:w="1634" w:type="dxa"/>
            <w:shd w:val="clear" w:color="auto" w:fill="auto"/>
            <w:vAlign w:val="bottom"/>
            <w:hideMark/>
          </w:tcPr>
          <w:p w14:paraId="20487F00" w14:textId="77777777" w:rsidR="00E82A9A" w:rsidRPr="00D21EBF" w:rsidRDefault="00E82A9A" w:rsidP="00E82A9A">
            <w:pPr>
              <w:spacing w:after="0" w:line="240" w:lineRule="auto"/>
              <w:rPr>
                <w:rFonts w:ascii="Aptos Narrow" w:eastAsia="Times New Roman" w:hAnsi="Aptos Narrow" w:cs="Times New Roman"/>
                <w:color w:val="000000" w:themeColor="text1"/>
                <w:lang w:eastAsia="en-AU"/>
                <w14:ligatures w14:val="none"/>
              </w:rPr>
            </w:pPr>
            <w:r w:rsidRPr="00D21EBF">
              <w:rPr>
                <w:rFonts w:ascii="Aptos Narrow" w:eastAsia="Times New Roman" w:hAnsi="Aptos Narrow" w:cs="Times New Roman"/>
                <w:color w:val="000000" w:themeColor="text1"/>
                <w:lang w:eastAsia="en-AU"/>
                <w14:ligatures w14:val="none"/>
              </w:rPr>
              <w:t> </w:t>
            </w:r>
          </w:p>
        </w:tc>
        <w:tc>
          <w:tcPr>
            <w:tcW w:w="1439" w:type="dxa"/>
            <w:shd w:val="clear" w:color="auto" w:fill="auto"/>
            <w:vAlign w:val="bottom"/>
            <w:hideMark/>
          </w:tcPr>
          <w:p w14:paraId="183CDCD9"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1670" w:type="dxa"/>
            <w:shd w:val="clear" w:color="auto" w:fill="auto"/>
            <w:vAlign w:val="bottom"/>
            <w:hideMark/>
          </w:tcPr>
          <w:p w14:paraId="71F12CFF"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Disability Employment services </w:t>
            </w:r>
          </w:p>
        </w:tc>
        <w:tc>
          <w:tcPr>
            <w:tcW w:w="447" w:type="dxa"/>
            <w:shd w:val="clear" w:color="auto" w:fill="auto"/>
            <w:noWrap/>
            <w:vAlign w:val="bottom"/>
            <w:hideMark/>
          </w:tcPr>
          <w:p w14:paraId="4C582D5E"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390" w:type="dxa"/>
            <w:shd w:val="clear" w:color="auto" w:fill="auto"/>
            <w:noWrap/>
            <w:vAlign w:val="bottom"/>
            <w:hideMark/>
          </w:tcPr>
          <w:p w14:paraId="6DD15D5E"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442" w:type="dxa"/>
            <w:shd w:val="clear" w:color="auto" w:fill="auto"/>
            <w:noWrap/>
            <w:vAlign w:val="bottom"/>
            <w:hideMark/>
          </w:tcPr>
          <w:p w14:paraId="13F7C069"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692" w:type="dxa"/>
            <w:shd w:val="clear" w:color="auto" w:fill="auto"/>
            <w:noWrap/>
            <w:vAlign w:val="bottom"/>
            <w:hideMark/>
          </w:tcPr>
          <w:p w14:paraId="229D26EE"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577" w:type="dxa"/>
            <w:shd w:val="clear" w:color="auto" w:fill="auto"/>
            <w:noWrap/>
            <w:vAlign w:val="bottom"/>
            <w:hideMark/>
          </w:tcPr>
          <w:p w14:paraId="01EB4771"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05" w:type="dxa"/>
            <w:shd w:val="clear" w:color="auto" w:fill="auto"/>
            <w:noWrap/>
            <w:vAlign w:val="bottom"/>
            <w:hideMark/>
          </w:tcPr>
          <w:p w14:paraId="3A205866"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r>
      <w:tr w:rsidR="00E82A9A" w:rsidRPr="00D21EBF" w14:paraId="760D5866" w14:textId="77777777" w:rsidTr="005B32AC">
        <w:trPr>
          <w:trHeight w:val="310"/>
        </w:trPr>
        <w:tc>
          <w:tcPr>
            <w:tcW w:w="1356" w:type="dxa"/>
          </w:tcPr>
          <w:p w14:paraId="1B6BEF6C" w14:textId="102C7CD9"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fldChar w:fldCharType="begin"/>
            </w:r>
            <w:r>
              <w:rPr>
                <w:rFonts w:ascii="Aptos Narrow" w:eastAsia="Times New Roman" w:hAnsi="Aptos Narrow" w:cs="Times New Roman"/>
                <w:color w:val="000000"/>
                <w:lang w:eastAsia="en-AU"/>
                <w14:ligatures w14:val="none"/>
              </w:rPr>
              <w:instrText xml:space="preserve"> ADDIN EN.CITE &lt;EndNote&gt;&lt;Cite&gt;&lt;Author&gt;Malbon&lt;/Author&gt;&lt;Year&gt;2022&lt;/Year&gt;&lt;RecNum&gt;50196&lt;/RecNum&gt;&lt;DisplayText&gt;(Malbon et al., 2022)&lt;/DisplayText&gt;&lt;record&gt;&lt;rec-number&gt;50196&lt;/rec-number&gt;&lt;foreign-keys&gt;&lt;key app="EN" db-id="feav29prs929zneaprxvex2z55wwe0dtx9rf" timestamp="1742949803" guid="f5a48ed9-248a-4a2c-8558-85306ad360d3"&gt;50196&lt;/key&gt;&lt;/foreign-keys&gt;&lt;ref-type name="Journal Article"&gt;17&lt;/ref-type&gt;&lt;contributors&gt;&lt;authors&gt;&lt;author&gt;Malbon, E.&lt;/author&gt;&lt;author&gt;Weier, M.&lt;/author&gt;&lt;author&gt;Carey, G.&lt;/author&gt;&lt;author&gt;Writer, T.&lt;/author&gt;&lt;/authors&gt;&lt;/contributors&gt;&lt;titles&gt;&lt;title&gt;How personalisation programs can exacerbate socio-economic inequities: findings from budget utilisation in the Australian National Disability Insurance Scheme&lt;/title&gt;&lt;secondary-title&gt;BMC public health&lt;/secondary-title&gt;&lt;/titles&gt;&lt;periodical&gt;&lt;full-title&gt;BMC Public Health&lt;/full-title&gt;&lt;/periodical&gt;&lt;pages&gt;878&lt;/pages&gt;&lt;volume&gt;22&lt;/volume&gt;&lt;number&gt;1&lt;/number&gt;&lt;dates&gt;&lt;year&gt;2022&lt;/year&gt;&lt;/dates&gt;&lt;pub-location&gt;United Kingdom&lt;/pub-location&gt;&lt;publisher&gt;NLM (Medline)&lt;/publisher&gt;&lt;accession-num&gt;637921337&lt;/accession-num&gt;&lt;urls&gt;&lt;/urls&gt;&lt;electronic-resource-num&gt;https://dx.doi.org/10.1186/s12889-022-13301-x&lt;/electronic-resource-num&gt;&lt;/record&gt;&lt;/Cite&gt;&lt;/EndNote&gt;</w:instrText>
            </w:r>
            <w:r>
              <w:rPr>
                <w:rFonts w:ascii="Aptos Narrow" w:eastAsia="Times New Roman" w:hAnsi="Aptos Narrow" w:cs="Times New Roman"/>
                <w:color w:val="000000"/>
                <w:lang w:eastAsia="en-AU"/>
                <w14:ligatures w14:val="none"/>
              </w:rPr>
              <w:fldChar w:fldCharType="separate"/>
            </w:r>
            <w:r>
              <w:rPr>
                <w:rFonts w:ascii="Aptos Narrow" w:eastAsia="Times New Roman" w:hAnsi="Aptos Narrow" w:cs="Times New Roman"/>
                <w:noProof/>
                <w:color w:val="000000"/>
                <w:lang w:eastAsia="en-AU"/>
                <w14:ligatures w14:val="none"/>
              </w:rPr>
              <w:t>(Malbon et al., 2022)</w:t>
            </w:r>
            <w:r>
              <w:rPr>
                <w:rFonts w:ascii="Aptos Narrow" w:eastAsia="Times New Roman" w:hAnsi="Aptos Narrow" w:cs="Times New Roman"/>
                <w:color w:val="000000"/>
                <w:lang w:eastAsia="en-AU"/>
                <w14:ligatures w14:val="none"/>
              </w:rPr>
              <w:fldChar w:fldCharType="end"/>
            </w:r>
          </w:p>
        </w:tc>
        <w:tc>
          <w:tcPr>
            <w:tcW w:w="1431" w:type="dxa"/>
            <w:shd w:val="clear" w:color="auto" w:fill="auto"/>
            <w:noWrap/>
            <w:vAlign w:val="bottom"/>
            <w:hideMark/>
          </w:tcPr>
          <w:p w14:paraId="4A07F65A" w14:textId="61E4A3C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Australia </w:t>
            </w:r>
          </w:p>
        </w:tc>
        <w:tc>
          <w:tcPr>
            <w:tcW w:w="1349" w:type="dxa"/>
            <w:shd w:val="clear" w:color="auto" w:fill="auto"/>
            <w:noWrap/>
            <w:vAlign w:val="bottom"/>
            <w:hideMark/>
          </w:tcPr>
          <w:p w14:paraId="2E82C94A"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Quantitative</w:t>
            </w:r>
          </w:p>
        </w:tc>
        <w:tc>
          <w:tcPr>
            <w:tcW w:w="1553" w:type="dxa"/>
            <w:shd w:val="clear" w:color="auto" w:fill="auto"/>
            <w:noWrap/>
            <w:vAlign w:val="bottom"/>
            <w:hideMark/>
          </w:tcPr>
          <w:p w14:paraId="6A70F99E" w14:textId="77005F26"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Mixed </w:t>
            </w:r>
          </w:p>
        </w:tc>
        <w:tc>
          <w:tcPr>
            <w:tcW w:w="1479" w:type="dxa"/>
            <w:shd w:val="clear" w:color="auto" w:fill="auto"/>
            <w:noWrap/>
            <w:vAlign w:val="bottom"/>
            <w:hideMark/>
          </w:tcPr>
          <w:p w14:paraId="26439272"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proofErr w:type="spellStart"/>
            <w:r w:rsidRPr="00D21EBF">
              <w:rPr>
                <w:rFonts w:ascii="Aptos Narrow" w:eastAsia="Times New Roman" w:hAnsi="Aptos Narrow" w:cs="Times New Roman"/>
                <w:color w:val="000000"/>
                <w:lang w:eastAsia="en-AU"/>
                <w14:ligatures w14:val="none"/>
              </w:rPr>
              <w:t>PwD</w:t>
            </w:r>
            <w:proofErr w:type="spellEnd"/>
          </w:p>
        </w:tc>
        <w:tc>
          <w:tcPr>
            <w:tcW w:w="1634" w:type="dxa"/>
            <w:shd w:val="clear" w:color="auto" w:fill="auto"/>
            <w:vAlign w:val="bottom"/>
            <w:hideMark/>
          </w:tcPr>
          <w:p w14:paraId="3DB618EC" w14:textId="77777777" w:rsidR="00E82A9A" w:rsidRPr="00D21EBF" w:rsidRDefault="00E82A9A" w:rsidP="00E82A9A">
            <w:pPr>
              <w:spacing w:after="0" w:line="240" w:lineRule="auto"/>
              <w:rPr>
                <w:rFonts w:ascii="Aptos Narrow" w:eastAsia="Times New Roman" w:hAnsi="Aptos Narrow" w:cs="Times New Roman"/>
                <w:color w:val="000000" w:themeColor="text1"/>
                <w:lang w:eastAsia="en-AU"/>
                <w14:ligatures w14:val="none"/>
              </w:rPr>
            </w:pPr>
            <w:r w:rsidRPr="00D21EBF">
              <w:rPr>
                <w:rFonts w:ascii="Aptos Narrow" w:eastAsia="Times New Roman" w:hAnsi="Aptos Narrow" w:cs="Times New Roman"/>
                <w:color w:val="000000" w:themeColor="text1"/>
                <w:lang w:eastAsia="en-AU"/>
                <w14:ligatures w14:val="none"/>
              </w:rPr>
              <w:t> </w:t>
            </w:r>
          </w:p>
        </w:tc>
        <w:tc>
          <w:tcPr>
            <w:tcW w:w="1439" w:type="dxa"/>
            <w:shd w:val="clear" w:color="auto" w:fill="auto"/>
            <w:vAlign w:val="bottom"/>
            <w:hideMark/>
          </w:tcPr>
          <w:p w14:paraId="0DE6E46A"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1670" w:type="dxa"/>
            <w:shd w:val="clear" w:color="auto" w:fill="auto"/>
            <w:vAlign w:val="bottom"/>
            <w:hideMark/>
          </w:tcPr>
          <w:p w14:paraId="6DD55F57"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NDIS </w:t>
            </w:r>
          </w:p>
        </w:tc>
        <w:tc>
          <w:tcPr>
            <w:tcW w:w="447" w:type="dxa"/>
            <w:shd w:val="clear" w:color="auto" w:fill="auto"/>
            <w:noWrap/>
            <w:vAlign w:val="bottom"/>
            <w:hideMark/>
          </w:tcPr>
          <w:p w14:paraId="2DB78C96"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390" w:type="dxa"/>
            <w:shd w:val="clear" w:color="auto" w:fill="auto"/>
            <w:noWrap/>
            <w:vAlign w:val="bottom"/>
            <w:hideMark/>
          </w:tcPr>
          <w:p w14:paraId="75991342"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442" w:type="dxa"/>
            <w:shd w:val="clear" w:color="auto" w:fill="auto"/>
            <w:noWrap/>
            <w:vAlign w:val="bottom"/>
            <w:hideMark/>
          </w:tcPr>
          <w:p w14:paraId="0C84B0BC"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692" w:type="dxa"/>
            <w:shd w:val="clear" w:color="auto" w:fill="auto"/>
            <w:noWrap/>
            <w:vAlign w:val="bottom"/>
            <w:hideMark/>
          </w:tcPr>
          <w:p w14:paraId="597CC32F"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77" w:type="dxa"/>
            <w:shd w:val="clear" w:color="auto" w:fill="auto"/>
            <w:noWrap/>
            <w:vAlign w:val="bottom"/>
            <w:hideMark/>
          </w:tcPr>
          <w:p w14:paraId="2258C655"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05" w:type="dxa"/>
            <w:shd w:val="clear" w:color="auto" w:fill="auto"/>
            <w:noWrap/>
            <w:vAlign w:val="bottom"/>
            <w:hideMark/>
          </w:tcPr>
          <w:p w14:paraId="42BD5FB4"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r>
      <w:tr w:rsidR="00E82A9A" w:rsidRPr="00D21EBF" w14:paraId="0A30C4BB" w14:textId="77777777" w:rsidTr="005B32AC">
        <w:trPr>
          <w:trHeight w:val="305"/>
        </w:trPr>
        <w:tc>
          <w:tcPr>
            <w:tcW w:w="1356" w:type="dxa"/>
          </w:tcPr>
          <w:p w14:paraId="49B3D2A3" w14:textId="37F63A31"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fldChar w:fldCharType="begin"/>
            </w:r>
            <w:r>
              <w:rPr>
                <w:rFonts w:ascii="Aptos Narrow" w:eastAsia="Times New Roman" w:hAnsi="Aptos Narrow" w:cs="Times New Roman"/>
                <w:color w:val="000000"/>
                <w:lang w:eastAsia="en-AU"/>
                <w14:ligatures w14:val="none"/>
              </w:rPr>
              <w:instrText xml:space="preserve"> ADDIN EN.CITE &lt;EndNote&gt;&lt;Cite&gt;&lt;Author&gt;Shea&lt;/Author&gt;&lt;Year&gt;2022&lt;/Year&gt;&lt;RecNum&gt;50195&lt;/RecNum&gt;&lt;DisplayText&gt;(Shea et al., 2022)&lt;/DisplayText&gt;&lt;record&gt;&lt;rec-number&gt;50195&lt;/rec-number&gt;&lt;foreign-keys&gt;&lt;key app="EN" db-id="feav29prs929zneaprxvex2z55wwe0dtx9rf" timestamp="1742949803" guid="4f9b27be-452a-4198-8082-6e7b7b577c49"&gt;50195&lt;/key&gt;&lt;/foreign-keys&gt;&lt;ref-type name="Journal Article"&gt;17&lt;/ref-type&gt;&lt;contributors&gt;&lt;authors&gt;&lt;author&gt;Shea, B.&lt;/author&gt;&lt;author&gt;Bailie, J.&lt;/author&gt;&lt;author&gt;Dykgraaf, S. H.&lt;/author&gt;&lt;author&gt;Fortune, N.&lt;/author&gt;&lt;author&gt;Lennox, N.&lt;/author&gt;&lt;author&gt;Bailie, R.&lt;/author&gt;&lt;/authors&gt;&lt;/contributors&gt;&lt;titles&gt;&lt;title&gt;Access to general practice for people with intellectual disability in Australia: a systematic scoping review&lt;/title&gt;&lt;secondary-title&gt;BMC primary care&lt;/secondary-title&gt;&lt;/titles&gt;&lt;periodical&gt;&lt;full-title&gt;BMC Primary Care&lt;/full-title&gt;&lt;/periodical&gt;&lt;pages&gt;306&lt;/pages&gt;&lt;volume&gt;23&lt;/volume&gt;&lt;number&gt;1&lt;/number&gt;&lt;dates&gt;&lt;year&gt;2022&lt;/year&gt;&lt;/dates&gt;&lt;pub-location&gt;United Kingdom&lt;/pub-location&gt;&lt;publisher&gt;NLM (Medline)&lt;/publisher&gt;&lt;accession-num&gt;639663844&lt;/accession-num&gt;&lt;urls&gt;&lt;/urls&gt;&lt;electronic-resource-num&gt;https://dx.doi.org/10.1186/s12875-022-01917-2&lt;/electronic-resource-num&gt;&lt;/record&gt;&lt;/Cite&gt;&lt;/EndNote&gt;</w:instrText>
            </w:r>
            <w:r>
              <w:rPr>
                <w:rFonts w:ascii="Aptos Narrow" w:eastAsia="Times New Roman" w:hAnsi="Aptos Narrow" w:cs="Times New Roman"/>
                <w:color w:val="000000"/>
                <w:lang w:eastAsia="en-AU"/>
                <w14:ligatures w14:val="none"/>
              </w:rPr>
              <w:fldChar w:fldCharType="separate"/>
            </w:r>
            <w:r>
              <w:rPr>
                <w:rFonts w:ascii="Aptos Narrow" w:eastAsia="Times New Roman" w:hAnsi="Aptos Narrow" w:cs="Times New Roman"/>
                <w:noProof/>
                <w:color w:val="000000"/>
                <w:lang w:eastAsia="en-AU"/>
                <w14:ligatures w14:val="none"/>
              </w:rPr>
              <w:t>(Shea et al., 2022)</w:t>
            </w:r>
            <w:r>
              <w:rPr>
                <w:rFonts w:ascii="Aptos Narrow" w:eastAsia="Times New Roman" w:hAnsi="Aptos Narrow" w:cs="Times New Roman"/>
                <w:color w:val="000000"/>
                <w:lang w:eastAsia="en-AU"/>
                <w14:ligatures w14:val="none"/>
              </w:rPr>
              <w:fldChar w:fldCharType="end"/>
            </w:r>
          </w:p>
        </w:tc>
        <w:tc>
          <w:tcPr>
            <w:tcW w:w="1431" w:type="dxa"/>
            <w:shd w:val="clear" w:color="auto" w:fill="auto"/>
            <w:noWrap/>
            <w:vAlign w:val="bottom"/>
            <w:hideMark/>
          </w:tcPr>
          <w:p w14:paraId="59F5CF1A" w14:textId="16CCCBD1"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Australia </w:t>
            </w:r>
          </w:p>
        </w:tc>
        <w:tc>
          <w:tcPr>
            <w:tcW w:w="1349" w:type="dxa"/>
            <w:shd w:val="clear" w:color="auto" w:fill="auto"/>
            <w:noWrap/>
            <w:vAlign w:val="bottom"/>
            <w:hideMark/>
          </w:tcPr>
          <w:p w14:paraId="4616F894"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Review</w:t>
            </w:r>
          </w:p>
        </w:tc>
        <w:tc>
          <w:tcPr>
            <w:tcW w:w="1553" w:type="dxa"/>
            <w:shd w:val="clear" w:color="auto" w:fill="auto"/>
            <w:noWrap/>
            <w:vAlign w:val="bottom"/>
            <w:hideMark/>
          </w:tcPr>
          <w:p w14:paraId="7A4B2153" w14:textId="644F354E"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Intellectual </w:t>
            </w:r>
          </w:p>
        </w:tc>
        <w:tc>
          <w:tcPr>
            <w:tcW w:w="1479" w:type="dxa"/>
            <w:shd w:val="clear" w:color="auto" w:fill="auto"/>
            <w:noWrap/>
            <w:vAlign w:val="bottom"/>
            <w:hideMark/>
          </w:tcPr>
          <w:p w14:paraId="551E5022"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proofErr w:type="spellStart"/>
            <w:r w:rsidRPr="00D21EBF">
              <w:rPr>
                <w:rFonts w:ascii="Aptos Narrow" w:eastAsia="Times New Roman" w:hAnsi="Aptos Narrow" w:cs="Times New Roman"/>
                <w:color w:val="000000"/>
                <w:lang w:eastAsia="en-AU"/>
                <w14:ligatures w14:val="none"/>
              </w:rPr>
              <w:t>PwD</w:t>
            </w:r>
            <w:proofErr w:type="spellEnd"/>
            <w:r w:rsidRPr="00D21EBF">
              <w:rPr>
                <w:rFonts w:ascii="Aptos Narrow" w:eastAsia="Times New Roman" w:hAnsi="Aptos Narrow" w:cs="Times New Roman"/>
                <w:color w:val="000000"/>
                <w:lang w:eastAsia="en-AU"/>
                <w14:ligatures w14:val="none"/>
              </w:rPr>
              <w:t>; Caregiver; Provider</w:t>
            </w:r>
          </w:p>
        </w:tc>
        <w:tc>
          <w:tcPr>
            <w:tcW w:w="1634" w:type="dxa"/>
            <w:shd w:val="clear" w:color="auto" w:fill="auto"/>
            <w:vAlign w:val="bottom"/>
            <w:hideMark/>
          </w:tcPr>
          <w:p w14:paraId="00FA3C9F" w14:textId="77777777" w:rsidR="00E82A9A" w:rsidRPr="00D21EBF" w:rsidRDefault="00E82A9A" w:rsidP="00E82A9A">
            <w:pPr>
              <w:spacing w:after="0" w:line="240" w:lineRule="auto"/>
              <w:rPr>
                <w:rFonts w:ascii="Aptos Narrow" w:eastAsia="Times New Roman" w:hAnsi="Aptos Narrow" w:cs="Times New Roman"/>
                <w:color w:val="000000" w:themeColor="text1"/>
                <w:lang w:eastAsia="en-AU"/>
                <w14:ligatures w14:val="none"/>
              </w:rPr>
            </w:pPr>
            <w:r w:rsidRPr="00D21EBF">
              <w:rPr>
                <w:rFonts w:ascii="Aptos Narrow" w:eastAsia="Times New Roman" w:hAnsi="Aptos Narrow" w:cs="Times New Roman"/>
                <w:color w:val="000000" w:themeColor="text1"/>
                <w:lang w:eastAsia="en-AU"/>
                <w14:ligatures w14:val="none"/>
              </w:rPr>
              <w:t> </w:t>
            </w:r>
          </w:p>
        </w:tc>
        <w:tc>
          <w:tcPr>
            <w:tcW w:w="1439" w:type="dxa"/>
            <w:shd w:val="clear" w:color="auto" w:fill="auto"/>
            <w:vAlign w:val="bottom"/>
            <w:hideMark/>
          </w:tcPr>
          <w:p w14:paraId="1AF45E8E"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GP services</w:t>
            </w:r>
          </w:p>
        </w:tc>
        <w:tc>
          <w:tcPr>
            <w:tcW w:w="1670" w:type="dxa"/>
            <w:shd w:val="clear" w:color="auto" w:fill="auto"/>
            <w:vAlign w:val="bottom"/>
            <w:hideMark/>
          </w:tcPr>
          <w:p w14:paraId="2BDC294E"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447" w:type="dxa"/>
            <w:shd w:val="clear" w:color="auto" w:fill="auto"/>
            <w:noWrap/>
            <w:vAlign w:val="bottom"/>
            <w:hideMark/>
          </w:tcPr>
          <w:p w14:paraId="382971C3"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390" w:type="dxa"/>
            <w:shd w:val="clear" w:color="auto" w:fill="auto"/>
            <w:noWrap/>
            <w:vAlign w:val="bottom"/>
            <w:hideMark/>
          </w:tcPr>
          <w:p w14:paraId="28FE0E8F"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442" w:type="dxa"/>
            <w:shd w:val="clear" w:color="auto" w:fill="auto"/>
            <w:noWrap/>
            <w:vAlign w:val="bottom"/>
            <w:hideMark/>
          </w:tcPr>
          <w:p w14:paraId="35815579"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692" w:type="dxa"/>
            <w:shd w:val="clear" w:color="auto" w:fill="auto"/>
            <w:noWrap/>
            <w:vAlign w:val="bottom"/>
            <w:hideMark/>
          </w:tcPr>
          <w:p w14:paraId="3DB8CE69"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77" w:type="dxa"/>
            <w:shd w:val="clear" w:color="auto" w:fill="auto"/>
            <w:noWrap/>
            <w:vAlign w:val="bottom"/>
            <w:hideMark/>
          </w:tcPr>
          <w:p w14:paraId="75D3689C"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05" w:type="dxa"/>
            <w:shd w:val="clear" w:color="auto" w:fill="auto"/>
            <w:noWrap/>
            <w:vAlign w:val="bottom"/>
            <w:hideMark/>
          </w:tcPr>
          <w:p w14:paraId="4A611A0A"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r>
      <w:tr w:rsidR="00E82A9A" w:rsidRPr="00D21EBF" w14:paraId="6D62AC25" w14:textId="77777777" w:rsidTr="005B32AC">
        <w:trPr>
          <w:trHeight w:val="310"/>
        </w:trPr>
        <w:tc>
          <w:tcPr>
            <w:tcW w:w="1356" w:type="dxa"/>
          </w:tcPr>
          <w:p w14:paraId="501563F8" w14:textId="30FF095D"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lastRenderedPageBreak/>
              <w:fldChar w:fldCharType="begin"/>
            </w:r>
            <w:r>
              <w:rPr>
                <w:rFonts w:ascii="Aptos Narrow" w:eastAsia="Times New Roman" w:hAnsi="Aptos Narrow" w:cs="Times New Roman"/>
                <w:color w:val="000000"/>
                <w:lang w:eastAsia="en-AU"/>
                <w14:ligatures w14:val="none"/>
              </w:rPr>
              <w:instrText xml:space="preserve"> ADDIN EN.CITE &lt;EndNote&gt;&lt;Cite&gt;&lt;Author&gt;Murphy&lt;/Author&gt;&lt;Year&gt;2023&lt;/Year&gt;&lt;RecNum&gt;50194&lt;/RecNum&gt;&lt;DisplayText&gt;(Murphy et al., 2023)&lt;/DisplayText&gt;&lt;record&gt;&lt;rec-number&gt;50194&lt;/rec-number&gt;&lt;foreign-keys&gt;&lt;key app="EN" db-id="feav29prs929zneaprxvex2z55wwe0dtx9rf" timestamp="1742949803" guid="debfa438-cce9-4dba-92dd-15845f693f5a"&gt;50194&lt;/key&gt;&lt;/foreign-keys&gt;&lt;ref-type name="Journal Article"&gt;17&lt;/ref-type&gt;&lt;contributors&gt;&lt;authors&gt;&lt;author&gt;Murphy, S.&lt;/author&gt;&lt;author&gt;Flower, R. L.&lt;/author&gt;&lt;author&gt;Jellett, R.&lt;/author&gt;&lt;/authors&gt;&lt;/contributors&gt;&lt;titles&gt;&lt;title&gt;Women seeking an autism diagnosis in Australia: A qualitative exploration of factors that help and hinder&lt;/title&gt;&lt;secondary-title&gt;Autism&lt;/secondary-title&gt;&lt;/titles&gt;&lt;periodical&gt;&lt;full-title&gt;Autism&lt;/full-title&gt;&lt;/periodical&gt;&lt;pages&gt;808-821&lt;/pages&gt;&lt;volume&gt;27&lt;/volume&gt;&lt;number&gt;3&lt;/number&gt;&lt;dates&gt;&lt;year&gt;2023&lt;/year&gt;&lt;/dates&gt;&lt;pub-location&gt;United Kingdom&lt;/pub-location&gt;&lt;publisher&gt;SAGE Publications Ltd&lt;/publisher&gt;&lt;accession-num&gt;2018708939&lt;/accession-num&gt;&lt;urls&gt;&lt;related-urls&gt;&lt;url&gt;https://journals.sagepub.com/home/AUT&lt;/url&gt;&lt;/related-urls&gt;&lt;/urls&gt;&lt;electronic-resource-num&gt;https://dx.doi.org/10.1177/13623613221117911&lt;/electronic-resource-num&gt;&lt;/record&gt;&lt;/Cite&gt;&lt;/EndNote&gt;</w:instrText>
            </w:r>
            <w:r>
              <w:rPr>
                <w:rFonts w:ascii="Aptos Narrow" w:eastAsia="Times New Roman" w:hAnsi="Aptos Narrow" w:cs="Times New Roman"/>
                <w:color w:val="000000"/>
                <w:lang w:eastAsia="en-AU"/>
                <w14:ligatures w14:val="none"/>
              </w:rPr>
              <w:fldChar w:fldCharType="separate"/>
            </w:r>
            <w:r>
              <w:rPr>
                <w:rFonts w:ascii="Aptos Narrow" w:eastAsia="Times New Roman" w:hAnsi="Aptos Narrow" w:cs="Times New Roman"/>
                <w:noProof/>
                <w:color w:val="000000"/>
                <w:lang w:eastAsia="en-AU"/>
                <w14:ligatures w14:val="none"/>
              </w:rPr>
              <w:t>(Murphy et al., 2023)</w:t>
            </w:r>
            <w:r>
              <w:rPr>
                <w:rFonts w:ascii="Aptos Narrow" w:eastAsia="Times New Roman" w:hAnsi="Aptos Narrow" w:cs="Times New Roman"/>
                <w:color w:val="000000"/>
                <w:lang w:eastAsia="en-AU"/>
                <w14:ligatures w14:val="none"/>
              </w:rPr>
              <w:fldChar w:fldCharType="end"/>
            </w:r>
          </w:p>
        </w:tc>
        <w:tc>
          <w:tcPr>
            <w:tcW w:w="1431" w:type="dxa"/>
            <w:shd w:val="clear" w:color="auto" w:fill="auto"/>
            <w:noWrap/>
            <w:vAlign w:val="bottom"/>
            <w:hideMark/>
          </w:tcPr>
          <w:p w14:paraId="43E269B8" w14:textId="12A49C85"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Australia </w:t>
            </w:r>
          </w:p>
        </w:tc>
        <w:tc>
          <w:tcPr>
            <w:tcW w:w="1349" w:type="dxa"/>
            <w:shd w:val="clear" w:color="auto" w:fill="auto"/>
            <w:noWrap/>
            <w:vAlign w:val="bottom"/>
            <w:hideMark/>
          </w:tcPr>
          <w:p w14:paraId="5FFE8AB6"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Qualitative</w:t>
            </w:r>
          </w:p>
        </w:tc>
        <w:tc>
          <w:tcPr>
            <w:tcW w:w="1553" w:type="dxa"/>
            <w:shd w:val="clear" w:color="auto" w:fill="auto"/>
            <w:noWrap/>
            <w:vAlign w:val="bottom"/>
            <w:hideMark/>
          </w:tcPr>
          <w:p w14:paraId="431C6446"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Psychosocial </w:t>
            </w:r>
          </w:p>
        </w:tc>
        <w:tc>
          <w:tcPr>
            <w:tcW w:w="1479" w:type="dxa"/>
            <w:shd w:val="clear" w:color="auto" w:fill="auto"/>
            <w:noWrap/>
            <w:vAlign w:val="bottom"/>
            <w:hideMark/>
          </w:tcPr>
          <w:p w14:paraId="2C7AA92A"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proofErr w:type="spellStart"/>
            <w:r w:rsidRPr="00D21EBF">
              <w:rPr>
                <w:rFonts w:ascii="Aptos Narrow" w:eastAsia="Times New Roman" w:hAnsi="Aptos Narrow" w:cs="Times New Roman"/>
                <w:color w:val="000000"/>
                <w:lang w:eastAsia="en-AU"/>
                <w14:ligatures w14:val="none"/>
              </w:rPr>
              <w:t>PwD</w:t>
            </w:r>
            <w:proofErr w:type="spellEnd"/>
          </w:p>
        </w:tc>
        <w:tc>
          <w:tcPr>
            <w:tcW w:w="1634" w:type="dxa"/>
            <w:shd w:val="clear" w:color="auto" w:fill="auto"/>
            <w:vAlign w:val="bottom"/>
            <w:hideMark/>
          </w:tcPr>
          <w:p w14:paraId="55D109B7" w14:textId="77777777" w:rsidR="00E82A9A" w:rsidRPr="00D21EBF" w:rsidRDefault="00E82A9A" w:rsidP="00E82A9A">
            <w:pPr>
              <w:spacing w:after="0" w:line="240" w:lineRule="auto"/>
              <w:rPr>
                <w:rFonts w:ascii="Aptos Narrow" w:eastAsia="Times New Roman" w:hAnsi="Aptos Narrow" w:cs="Times New Roman"/>
                <w:color w:val="000000" w:themeColor="text1"/>
                <w:lang w:eastAsia="en-AU"/>
                <w14:ligatures w14:val="none"/>
              </w:rPr>
            </w:pPr>
            <w:r w:rsidRPr="00D21EBF">
              <w:rPr>
                <w:rFonts w:ascii="Aptos Narrow" w:eastAsia="Times New Roman" w:hAnsi="Aptos Narrow" w:cs="Times New Roman"/>
                <w:color w:val="000000" w:themeColor="text1"/>
                <w:lang w:eastAsia="en-AU"/>
                <w14:ligatures w14:val="none"/>
              </w:rPr>
              <w:t xml:space="preserve">Women </w:t>
            </w:r>
          </w:p>
        </w:tc>
        <w:tc>
          <w:tcPr>
            <w:tcW w:w="1439" w:type="dxa"/>
            <w:shd w:val="clear" w:color="auto" w:fill="auto"/>
            <w:vAlign w:val="bottom"/>
            <w:hideMark/>
          </w:tcPr>
          <w:p w14:paraId="4F6EA40C"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Health diagnostic service </w:t>
            </w:r>
          </w:p>
        </w:tc>
        <w:tc>
          <w:tcPr>
            <w:tcW w:w="1670" w:type="dxa"/>
            <w:shd w:val="clear" w:color="auto" w:fill="auto"/>
            <w:vAlign w:val="bottom"/>
            <w:hideMark/>
          </w:tcPr>
          <w:p w14:paraId="62982FC8"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447" w:type="dxa"/>
            <w:shd w:val="clear" w:color="auto" w:fill="auto"/>
            <w:noWrap/>
            <w:vAlign w:val="bottom"/>
            <w:hideMark/>
          </w:tcPr>
          <w:p w14:paraId="036DFA2E"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390" w:type="dxa"/>
            <w:shd w:val="clear" w:color="auto" w:fill="auto"/>
            <w:noWrap/>
            <w:vAlign w:val="bottom"/>
            <w:hideMark/>
          </w:tcPr>
          <w:p w14:paraId="2D23671E"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442" w:type="dxa"/>
            <w:shd w:val="clear" w:color="auto" w:fill="auto"/>
            <w:noWrap/>
            <w:vAlign w:val="bottom"/>
            <w:hideMark/>
          </w:tcPr>
          <w:p w14:paraId="4237AA69"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692" w:type="dxa"/>
            <w:shd w:val="clear" w:color="auto" w:fill="auto"/>
            <w:noWrap/>
            <w:vAlign w:val="bottom"/>
            <w:hideMark/>
          </w:tcPr>
          <w:p w14:paraId="6C91670B"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77" w:type="dxa"/>
            <w:shd w:val="clear" w:color="auto" w:fill="auto"/>
            <w:noWrap/>
            <w:vAlign w:val="bottom"/>
            <w:hideMark/>
          </w:tcPr>
          <w:p w14:paraId="212AF63A"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505" w:type="dxa"/>
            <w:shd w:val="clear" w:color="auto" w:fill="auto"/>
            <w:noWrap/>
            <w:vAlign w:val="bottom"/>
            <w:hideMark/>
          </w:tcPr>
          <w:p w14:paraId="0834D1D6"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r>
      <w:tr w:rsidR="00E82A9A" w:rsidRPr="00D21EBF" w14:paraId="7EC65A88" w14:textId="77777777" w:rsidTr="005B32AC">
        <w:trPr>
          <w:trHeight w:val="310"/>
        </w:trPr>
        <w:tc>
          <w:tcPr>
            <w:tcW w:w="1356" w:type="dxa"/>
          </w:tcPr>
          <w:p w14:paraId="73DCEFE5" w14:textId="711A9899"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fldChar w:fldCharType="begin"/>
            </w:r>
            <w:r>
              <w:rPr>
                <w:rFonts w:ascii="Aptos Narrow" w:eastAsia="Times New Roman" w:hAnsi="Aptos Narrow" w:cs="Times New Roman"/>
                <w:color w:val="000000"/>
                <w:lang w:eastAsia="en-AU"/>
                <w14:ligatures w14:val="none"/>
              </w:rPr>
              <w:instrText xml:space="preserve"> ADDIN EN.CITE &lt;EndNote&gt;&lt;Cite&gt;&lt;Author&gt;Amos&lt;/Author&gt;&lt;Year&gt;2023&lt;/Year&gt;&lt;RecNum&gt;50193&lt;/RecNum&gt;&lt;DisplayText&gt;(Amos et al., 2023)&lt;/DisplayText&gt;&lt;record&gt;&lt;rec-number&gt;50193&lt;/rec-number&gt;&lt;foreign-keys&gt;&lt;key app="EN" db-id="feav29prs929zneaprxvex2z55wwe0dtx9rf" timestamp="1742949803" guid="e54f82b5-b30b-4d8d-9647-b88f8f8ee45a"&gt;50193&lt;/key&gt;&lt;/foreign-keys&gt;&lt;ref-type name="Journal Article"&gt;17&lt;/ref-type&gt;&lt;contributors&gt;&lt;authors&gt;&lt;author&gt;Amos, A.&lt;/author&gt;&lt;author&gt;Coleman, M.&lt;/author&gt;&lt;author&gt;Spring Walsh, B.&lt;/author&gt;&lt;author&gt;Gardiner, F. W.&lt;/author&gt;&lt;/authors&gt;&lt;/contributors&gt;&lt;titles&gt;&lt;title&gt;Remoteness and socioeconomic status reduce access to specialist mental health care across Australia&lt;/title&gt;&lt;secondary-title&gt;Australasian Psychiatry&lt;/secondary-title&gt;&lt;/titles&gt;&lt;periodical&gt;&lt;full-title&gt;Australasian Psychiatry&lt;/full-title&gt;&lt;abbr-1&gt;Australas. Psychiatry&lt;/abbr-1&gt;&lt;/periodical&gt;&lt;pages&gt;19-26&lt;/pages&gt;&lt;volume&gt;31&lt;/volume&gt;&lt;number&gt;1&lt;/number&gt;&lt;dates&gt;&lt;year&gt;2023&lt;/year&gt;&lt;/dates&gt;&lt;pub-location&gt;United Kingdom&lt;/pub-location&gt;&lt;publisher&gt;SAGE Publications Inc.&lt;/publisher&gt;&lt;accession-num&gt;2020128177&lt;/accession-num&gt;&lt;urls&gt;&lt;related-urls&gt;&lt;url&gt;https://journals.sagepub.com/home/APY&lt;/url&gt;&lt;/related-urls&gt;&lt;/urls&gt;&lt;electronic-resource-num&gt;https://dx.doi.org/10.1177/10398562221139129&lt;/electronic-resource-num&gt;&lt;/record&gt;&lt;/Cite&gt;&lt;/EndNote&gt;</w:instrText>
            </w:r>
            <w:r>
              <w:rPr>
                <w:rFonts w:ascii="Aptos Narrow" w:eastAsia="Times New Roman" w:hAnsi="Aptos Narrow" w:cs="Times New Roman"/>
                <w:color w:val="000000"/>
                <w:lang w:eastAsia="en-AU"/>
                <w14:ligatures w14:val="none"/>
              </w:rPr>
              <w:fldChar w:fldCharType="separate"/>
            </w:r>
            <w:r>
              <w:rPr>
                <w:rFonts w:ascii="Aptos Narrow" w:eastAsia="Times New Roman" w:hAnsi="Aptos Narrow" w:cs="Times New Roman"/>
                <w:noProof/>
                <w:color w:val="000000"/>
                <w:lang w:eastAsia="en-AU"/>
                <w14:ligatures w14:val="none"/>
              </w:rPr>
              <w:t>(Amos et al., 2023)</w:t>
            </w:r>
            <w:r>
              <w:rPr>
                <w:rFonts w:ascii="Aptos Narrow" w:eastAsia="Times New Roman" w:hAnsi="Aptos Narrow" w:cs="Times New Roman"/>
                <w:color w:val="000000"/>
                <w:lang w:eastAsia="en-AU"/>
                <w14:ligatures w14:val="none"/>
              </w:rPr>
              <w:fldChar w:fldCharType="end"/>
            </w:r>
          </w:p>
        </w:tc>
        <w:tc>
          <w:tcPr>
            <w:tcW w:w="1431" w:type="dxa"/>
            <w:shd w:val="clear" w:color="auto" w:fill="auto"/>
            <w:noWrap/>
            <w:vAlign w:val="bottom"/>
            <w:hideMark/>
          </w:tcPr>
          <w:p w14:paraId="416651C6" w14:textId="5FA91023"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Australia </w:t>
            </w:r>
          </w:p>
        </w:tc>
        <w:tc>
          <w:tcPr>
            <w:tcW w:w="1349" w:type="dxa"/>
            <w:shd w:val="clear" w:color="auto" w:fill="auto"/>
            <w:noWrap/>
            <w:vAlign w:val="bottom"/>
            <w:hideMark/>
          </w:tcPr>
          <w:p w14:paraId="0D5BF638"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Quantitative</w:t>
            </w:r>
          </w:p>
        </w:tc>
        <w:tc>
          <w:tcPr>
            <w:tcW w:w="1553" w:type="dxa"/>
            <w:shd w:val="clear" w:color="auto" w:fill="auto"/>
            <w:noWrap/>
            <w:vAlign w:val="bottom"/>
            <w:hideMark/>
          </w:tcPr>
          <w:p w14:paraId="1C017B4B"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Psychosocial </w:t>
            </w:r>
          </w:p>
        </w:tc>
        <w:tc>
          <w:tcPr>
            <w:tcW w:w="1479" w:type="dxa"/>
            <w:shd w:val="clear" w:color="auto" w:fill="auto"/>
            <w:noWrap/>
            <w:vAlign w:val="bottom"/>
            <w:hideMark/>
          </w:tcPr>
          <w:p w14:paraId="5AB84AC6"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proofErr w:type="spellStart"/>
            <w:r w:rsidRPr="00D21EBF">
              <w:rPr>
                <w:rFonts w:ascii="Aptos Narrow" w:eastAsia="Times New Roman" w:hAnsi="Aptos Narrow" w:cs="Times New Roman"/>
                <w:color w:val="000000"/>
                <w:lang w:eastAsia="en-AU"/>
                <w14:ligatures w14:val="none"/>
              </w:rPr>
              <w:t>PwD</w:t>
            </w:r>
            <w:proofErr w:type="spellEnd"/>
            <w:r w:rsidRPr="00D21EBF">
              <w:rPr>
                <w:rFonts w:ascii="Aptos Narrow" w:eastAsia="Times New Roman" w:hAnsi="Aptos Narrow" w:cs="Times New Roman"/>
                <w:color w:val="000000"/>
                <w:lang w:eastAsia="en-AU"/>
                <w14:ligatures w14:val="none"/>
              </w:rPr>
              <w:t>; Admin data</w:t>
            </w:r>
          </w:p>
        </w:tc>
        <w:tc>
          <w:tcPr>
            <w:tcW w:w="1634" w:type="dxa"/>
            <w:shd w:val="clear" w:color="auto" w:fill="auto"/>
            <w:vAlign w:val="bottom"/>
            <w:hideMark/>
          </w:tcPr>
          <w:p w14:paraId="4B1026D2" w14:textId="77777777" w:rsidR="00E82A9A" w:rsidRPr="00D21EBF" w:rsidRDefault="00E82A9A" w:rsidP="00E82A9A">
            <w:pPr>
              <w:spacing w:after="0" w:line="240" w:lineRule="auto"/>
              <w:rPr>
                <w:rFonts w:ascii="Aptos Narrow" w:eastAsia="Times New Roman" w:hAnsi="Aptos Narrow" w:cs="Times New Roman"/>
                <w:color w:val="000000" w:themeColor="text1"/>
                <w:lang w:eastAsia="en-AU"/>
                <w14:ligatures w14:val="none"/>
              </w:rPr>
            </w:pPr>
            <w:r w:rsidRPr="00D21EBF">
              <w:rPr>
                <w:rFonts w:ascii="Aptos Narrow" w:eastAsia="Times New Roman" w:hAnsi="Aptos Narrow" w:cs="Times New Roman"/>
                <w:color w:val="000000" w:themeColor="text1"/>
                <w:lang w:eastAsia="en-AU"/>
                <w14:ligatures w14:val="none"/>
              </w:rPr>
              <w:t> </w:t>
            </w:r>
          </w:p>
        </w:tc>
        <w:tc>
          <w:tcPr>
            <w:tcW w:w="1439" w:type="dxa"/>
            <w:shd w:val="clear" w:color="auto" w:fill="auto"/>
            <w:vAlign w:val="bottom"/>
            <w:hideMark/>
          </w:tcPr>
          <w:p w14:paraId="45AE2885"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Mental health</w:t>
            </w:r>
          </w:p>
        </w:tc>
        <w:tc>
          <w:tcPr>
            <w:tcW w:w="1670" w:type="dxa"/>
            <w:shd w:val="clear" w:color="auto" w:fill="auto"/>
            <w:vAlign w:val="bottom"/>
            <w:hideMark/>
          </w:tcPr>
          <w:p w14:paraId="4555552D"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447" w:type="dxa"/>
            <w:shd w:val="clear" w:color="auto" w:fill="auto"/>
            <w:noWrap/>
            <w:vAlign w:val="bottom"/>
            <w:hideMark/>
          </w:tcPr>
          <w:p w14:paraId="75B17789"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390" w:type="dxa"/>
            <w:shd w:val="clear" w:color="auto" w:fill="auto"/>
            <w:noWrap/>
            <w:vAlign w:val="bottom"/>
            <w:hideMark/>
          </w:tcPr>
          <w:p w14:paraId="3443BAF5"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442" w:type="dxa"/>
            <w:shd w:val="clear" w:color="auto" w:fill="auto"/>
            <w:noWrap/>
            <w:vAlign w:val="bottom"/>
            <w:hideMark/>
          </w:tcPr>
          <w:p w14:paraId="256809F8"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692" w:type="dxa"/>
            <w:shd w:val="clear" w:color="auto" w:fill="auto"/>
            <w:noWrap/>
            <w:vAlign w:val="bottom"/>
            <w:hideMark/>
          </w:tcPr>
          <w:p w14:paraId="23533514"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77" w:type="dxa"/>
            <w:shd w:val="clear" w:color="auto" w:fill="auto"/>
            <w:noWrap/>
            <w:vAlign w:val="bottom"/>
            <w:hideMark/>
          </w:tcPr>
          <w:p w14:paraId="4A280CC4"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05" w:type="dxa"/>
            <w:shd w:val="clear" w:color="auto" w:fill="auto"/>
            <w:noWrap/>
            <w:vAlign w:val="bottom"/>
            <w:hideMark/>
          </w:tcPr>
          <w:p w14:paraId="7D7EA67F"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r>
      <w:tr w:rsidR="00E82A9A" w:rsidRPr="00D21EBF" w14:paraId="5FEF54EF" w14:textId="77777777" w:rsidTr="005B32AC">
        <w:trPr>
          <w:trHeight w:val="310"/>
        </w:trPr>
        <w:tc>
          <w:tcPr>
            <w:tcW w:w="1356" w:type="dxa"/>
          </w:tcPr>
          <w:p w14:paraId="64DE83A6" w14:textId="2E90EB04"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fldChar w:fldCharType="begin"/>
            </w:r>
            <w:r>
              <w:rPr>
                <w:rFonts w:ascii="Aptos Narrow" w:eastAsia="Times New Roman" w:hAnsi="Aptos Narrow" w:cs="Times New Roman"/>
                <w:color w:val="000000"/>
                <w:lang w:eastAsia="en-AU"/>
                <w14:ligatures w14:val="none"/>
              </w:rPr>
              <w:instrText xml:space="preserve"> ADDIN EN.CITE &lt;EndNote&gt;&lt;Cite&gt;&lt;Author&gt;Skinner&lt;/Author&gt;&lt;Year&gt;2023&lt;/Year&gt;&lt;RecNum&gt;50192&lt;/RecNum&gt;&lt;DisplayText&gt;(Skinner et al., 2023)&lt;/DisplayText&gt;&lt;record&gt;&lt;rec-number&gt;50192&lt;/rec-number&gt;&lt;foreign-keys&gt;&lt;key app="EN" db-id="feav29prs929zneaprxvex2z55wwe0dtx9rf" timestamp="1742949803" guid="44664bd2-0b19-4cb8-8c5d-6764795d815b"&gt;50192&lt;/key&gt;&lt;/foreign-keys&gt;&lt;ref-type name="Journal Article"&gt;17&lt;/ref-type&gt;&lt;contributors&gt;&lt;authors&gt;&lt;author&gt;Skinner, M.&lt;/author&gt;&lt;author&gt;Quinn, R.&lt;/author&gt;&lt;author&gt;Nance, J.&lt;/author&gt;&lt;author&gt;Wright, S.&lt;/author&gt;&lt;author&gt;Kendall, M.&lt;/author&gt;&lt;/authors&gt;&lt;/contributors&gt;&lt;titles&gt;&lt;title&gt;A case study approach to understanding the pathway to individualised funded supports under the National Disability Insurance Scheme for community-dwelling individuals with acquired brain injury&lt;/title&gt;&lt;secondary-title&gt;Brain Impairment&lt;/secondary-title&gt;&lt;/titles&gt;&lt;periodical&gt;&lt;full-title&gt;Brain Impairment&lt;/full-title&gt;&lt;abbr-1&gt;Brain Impairment&lt;/abbr-1&gt;&lt;/periodical&gt;&lt;pages&gt;489-507&lt;/pages&gt;&lt;volume&gt;24&lt;/volume&gt;&lt;number&gt;3&lt;/number&gt;&lt;dates&gt;&lt;year&gt;2023&lt;/year&gt;&lt;/dates&gt;&lt;pub-location&gt;United Kingdom&lt;/pub-location&gt;&lt;publisher&gt;Cambridge University Press&lt;/publisher&gt;&lt;accession-num&gt;2028569839&lt;/accession-num&gt;&lt;urls&gt;&lt;related-urls&gt;&lt;url&gt;https://www.publish.csiro.au/ib&lt;/url&gt;&lt;/related-urls&gt;&lt;/urls&gt;&lt;electronic-resource-num&gt;https://dx.doi.org/10.1017/BrImp.2022.21&lt;/electronic-resource-num&gt;&lt;/record&gt;&lt;/Cite&gt;&lt;/EndNote&gt;</w:instrText>
            </w:r>
            <w:r>
              <w:rPr>
                <w:rFonts w:ascii="Aptos Narrow" w:eastAsia="Times New Roman" w:hAnsi="Aptos Narrow" w:cs="Times New Roman"/>
                <w:color w:val="000000"/>
                <w:lang w:eastAsia="en-AU"/>
                <w14:ligatures w14:val="none"/>
              </w:rPr>
              <w:fldChar w:fldCharType="separate"/>
            </w:r>
            <w:r>
              <w:rPr>
                <w:rFonts w:ascii="Aptos Narrow" w:eastAsia="Times New Roman" w:hAnsi="Aptos Narrow" w:cs="Times New Roman"/>
                <w:noProof/>
                <w:color w:val="000000"/>
                <w:lang w:eastAsia="en-AU"/>
                <w14:ligatures w14:val="none"/>
              </w:rPr>
              <w:t>(Skinner et al., 2023)</w:t>
            </w:r>
            <w:r>
              <w:rPr>
                <w:rFonts w:ascii="Aptos Narrow" w:eastAsia="Times New Roman" w:hAnsi="Aptos Narrow" w:cs="Times New Roman"/>
                <w:color w:val="000000"/>
                <w:lang w:eastAsia="en-AU"/>
                <w14:ligatures w14:val="none"/>
              </w:rPr>
              <w:fldChar w:fldCharType="end"/>
            </w:r>
          </w:p>
        </w:tc>
        <w:tc>
          <w:tcPr>
            <w:tcW w:w="1431" w:type="dxa"/>
            <w:shd w:val="clear" w:color="auto" w:fill="auto"/>
            <w:noWrap/>
            <w:vAlign w:val="bottom"/>
            <w:hideMark/>
          </w:tcPr>
          <w:p w14:paraId="0A9F9C02" w14:textId="7DEC1495"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QLD</w:t>
            </w:r>
          </w:p>
        </w:tc>
        <w:tc>
          <w:tcPr>
            <w:tcW w:w="1349" w:type="dxa"/>
            <w:shd w:val="clear" w:color="auto" w:fill="auto"/>
            <w:noWrap/>
            <w:vAlign w:val="bottom"/>
            <w:hideMark/>
          </w:tcPr>
          <w:p w14:paraId="2830B86B"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Mixed</w:t>
            </w:r>
          </w:p>
        </w:tc>
        <w:tc>
          <w:tcPr>
            <w:tcW w:w="1553" w:type="dxa"/>
            <w:shd w:val="clear" w:color="auto" w:fill="auto"/>
            <w:noWrap/>
            <w:vAlign w:val="bottom"/>
            <w:hideMark/>
          </w:tcPr>
          <w:p w14:paraId="701FA37B" w14:textId="1EBCFEA0"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t>ABI</w:t>
            </w:r>
          </w:p>
        </w:tc>
        <w:tc>
          <w:tcPr>
            <w:tcW w:w="1479" w:type="dxa"/>
            <w:shd w:val="clear" w:color="auto" w:fill="auto"/>
            <w:noWrap/>
            <w:vAlign w:val="bottom"/>
            <w:hideMark/>
          </w:tcPr>
          <w:p w14:paraId="1E1C49AB"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proofErr w:type="spellStart"/>
            <w:r w:rsidRPr="00D21EBF">
              <w:rPr>
                <w:rFonts w:ascii="Aptos Narrow" w:eastAsia="Times New Roman" w:hAnsi="Aptos Narrow" w:cs="Times New Roman"/>
                <w:color w:val="000000"/>
                <w:lang w:eastAsia="en-AU"/>
                <w14:ligatures w14:val="none"/>
              </w:rPr>
              <w:t>PwD</w:t>
            </w:r>
            <w:proofErr w:type="spellEnd"/>
            <w:r w:rsidRPr="00D21EBF">
              <w:rPr>
                <w:rFonts w:ascii="Aptos Narrow" w:eastAsia="Times New Roman" w:hAnsi="Aptos Narrow" w:cs="Times New Roman"/>
                <w:color w:val="000000"/>
                <w:lang w:eastAsia="en-AU"/>
                <w14:ligatures w14:val="none"/>
              </w:rPr>
              <w:t>; Caregiver; Provider</w:t>
            </w:r>
          </w:p>
        </w:tc>
        <w:tc>
          <w:tcPr>
            <w:tcW w:w="1634" w:type="dxa"/>
            <w:shd w:val="clear" w:color="auto" w:fill="auto"/>
            <w:vAlign w:val="bottom"/>
            <w:hideMark/>
          </w:tcPr>
          <w:p w14:paraId="29562AE6" w14:textId="77777777" w:rsidR="00E82A9A" w:rsidRPr="00D21EBF" w:rsidRDefault="00E82A9A" w:rsidP="00E82A9A">
            <w:pPr>
              <w:spacing w:after="0" w:line="240" w:lineRule="auto"/>
              <w:rPr>
                <w:rFonts w:ascii="Aptos Narrow" w:eastAsia="Times New Roman" w:hAnsi="Aptos Narrow" w:cs="Times New Roman"/>
                <w:color w:val="000000" w:themeColor="text1"/>
                <w:lang w:eastAsia="en-AU"/>
                <w14:ligatures w14:val="none"/>
              </w:rPr>
            </w:pPr>
            <w:r w:rsidRPr="00D21EBF">
              <w:rPr>
                <w:rFonts w:ascii="Aptos Narrow" w:eastAsia="Times New Roman" w:hAnsi="Aptos Narrow" w:cs="Times New Roman"/>
                <w:color w:val="000000" w:themeColor="text1"/>
                <w:lang w:eastAsia="en-AU"/>
                <w14:ligatures w14:val="none"/>
              </w:rPr>
              <w:t> </w:t>
            </w:r>
          </w:p>
        </w:tc>
        <w:tc>
          <w:tcPr>
            <w:tcW w:w="1439" w:type="dxa"/>
            <w:shd w:val="clear" w:color="auto" w:fill="auto"/>
            <w:vAlign w:val="bottom"/>
            <w:hideMark/>
          </w:tcPr>
          <w:p w14:paraId="69B8727F"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1670" w:type="dxa"/>
            <w:shd w:val="clear" w:color="auto" w:fill="auto"/>
            <w:vAlign w:val="bottom"/>
            <w:hideMark/>
          </w:tcPr>
          <w:p w14:paraId="640D7423"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NDIS</w:t>
            </w:r>
          </w:p>
        </w:tc>
        <w:tc>
          <w:tcPr>
            <w:tcW w:w="447" w:type="dxa"/>
            <w:shd w:val="clear" w:color="auto" w:fill="auto"/>
            <w:noWrap/>
            <w:vAlign w:val="bottom"/>
            <w:hideMark/>
          </w:tcPr>
          <w:p w14:paraId="732D422C"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390" w:type="dxa"/>
            <w:shd w:val="clear" w:color="auto" w:fill="auto"/>
            <w:noWrap/>
            <w:vAlign w:val="bottom"/>
            <w:hideMark/>
          </w:tcPr>
          <w:p w14:paraId="2A507B8F"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442" w:type="dxa"/>
            <w:shd w:val="clear" w:color="auto" w:fill="auto"/>
            <w:noWrap/>
            <w:vAlign w:val="bottom"/>
            <w:hideMark/>
          </w:tcPr>
          <w:p w14:paraId="6CA0F43D"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692" w:type="dxa"/>
            <w:shd w:val="clear" w:color="auto" w:fill="auto"/>
            <w:noWrap/>
            <w:vAlign w:val="bottom"/>
            <w:hideMark/>
          </w:tcPr>
          <w:p w14:paraId="75C6B973"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77" w:type="dxa"/>
            <w:shd w:val="clear" w:color="auto" w:fill="auto"/>
            <w:noWrap/>
            <w:vAlign w:val="bottom"/>
            <w:hideMark/>
          </w:tcPr>
          <w:p w14:paraId="63C56331"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05" w:type="dxa"/>
            <w:shd w:val="clear" w:color="auto" w:fill="auto"/>
            <w:noWrap/>
            <w:vAlign w:val="bottom"/>
            <w:hideMark/>
          </w:tcPr>
          <w:p w14:paraId="267B36BA"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r>
      <w:tr w:rsidR="00E82A9A" w:rsidRPr="00D21EBF" w14:paraId="504E3887" w14:textId="77777777" w:rsidTr="005B32AC">
        <w:trPr>
          <w:trHeight w:val="310"/>
        </w:trPr>
        <w:tc>
          <w:tcPr>
            <w:tcW w:w="1356" w:type="dxa"/>
          </w:tcPr>
          <w:p w14:paraId="4B949EA9" w14:textId="7FAE272B"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fldChar w:fldCharType="begin"/>
            </w:r>
            <w:r>
              <w:rPr>
                <w:rFonts w:ascii="Aptos Narrow" w:eastAsia="Times New Roman" w:hAnsi="Aptos Narrow" w:cs="Times New Roman"/>
                <w:color w:val="000000"/>
                <w:lang w:eastAsia="en-AU"/>
                <w14:ligatures w14:val="none"/>
              </w:rPr>
              <w:instrText xml:space="preserve"> ADDIN EN.CITE &lt;EndNote&gt;&lt;Cite&gt;&lt;Author&gt;Fitts&lt;/Author&gt;&lt;Year&gt;2024&lt;/Year&gt;&lt;RecNum&gt;50191&lt;/RecNum&gt;&lt;DisplayText&gt;(Fitts &amp;amp; Soldatic, 2024)&lt;/DisplayText&gt;&lt;record&gt;&lt;rec-number&gt;50191&lt;/rec-number&gt;&lt;foreign-keys&gt;&lt;key app="EN" db-id="feav29prs929zneaprxvex2z55wwe0dtx9rf" timestamp="1742949803" guid="ec55f324-a026-421e-a930-9abb8bccdafc"&gt;50191&lt;/key&gt;&lt;/foreign-keys&gt;&lt;ref-type name="Journal Article"&gt;17&lt;/ref-type&gt;&lt;contributors&gt;&lt;authors&gt;&lt;author&gt;Fitts, M.&lt;/author&gt;&lt;author&gt;Soldatic, K.&lt;/author&gt;&lt;/authors&gt;&lt;/contributors&gt;&lt;titles&gt;&lt;title&gt;Temporalities of emergency: the experiences of Indigenous women with traumatic brain injury from violence waiting for healthcare and service support in Australia&lt;/title&gt;&lt;secondary-title&gt;Health sociology review : the journal of the Health Section of the Australian Sociological Association&lt;/secondary-title&gt;&lt;/titles&gt;&lt;periodical&gt;&lt;full-title&gt;Health sociology review : the journal of the Health Section of the Australian Sociological Association&lt;/full-title&gt;&lt;/periodical&gt;&lt;pages&gt;160-174&lt;/pages&gt;&lt;volume&gt;33&lt;/volume&gt;&lt;number&gt;2&lt;/number&gt;&lt;dates&gt;&lt;year&gt;2024&lt;/year&gt;&lt;/dates&gt;&lt;pub-location&gt;United States&lt;/pub-location&gt;&lt;accession-num&gt;644328165&lt;/accession-num&gt;&lt;urls&gt;&lt;/urls&gt;&lt;electronic-resource-num&gt;https://dx.doi.org/10.1080/14461242.2024.2345596&lt;/electronic-resource-num&gt;&lt;/record&gt;&lt;/Cite&gt;&lt;/EndNote&gt;</w:instrText>
            </w:r>
            <w:r>
              <w:rPr>
                <w:rFonts w:ascii="Aptos Narrow" w:eastAsia="Times New Roman" w:hAnsi="Aptos Narrow" w:cs="Times New Roman"/>
                <w:color w:val="000000"/>
                <w:lang w:eastAsia="en-AU"/>
                <w14:ligatures w14:val="none"/>
              </w:rPr>
              <w:fldChar w:fldCharType="separate"/>
            </w:r>
            <w:r>
              <w:rPr>
                <w:rFonts w:ascii="Aptos Narrow" w:eastAsia="Times New Roman" w:hAnsi="Aptos Narrow" w:cs="Times New Roman"/>
                <w:noProof/>
                <w:color w:val="000000"/>
                <w:lang w:eastAsia="en-AU"/>
                <w14:ligatures w14:val="none"/>
              </w:rPr>
              <w:t>(Fitts &amp; Soldatic, 2024)</w:t>
            </w:r>
            <w:r>
              <w:rPr>
                <w:rFonts w:ascii="Aptos Narrow" w:eastAsia="Times New Roman" w:hAnsi="Aptos Narrow" w:cs="Times New Roman"/>
                <w:color w:val="000000"/>
                <w:lang w:eastAsia="en-AU"/>
                <w14:ligatures w14:val="none"/>
              </w:rPr>
              <w:fldChar w:fldCharType="end"/>
            </w:r>
          </w:p>
        </w:tc>
        <w:tc>
          <w:tcPr>
            <w:tcW w:w="1431" w:type="dxa"/>
            <w:shd w:val="clear" w:color="auto" w:fill="auto"/>
            <w:noWrap/>
            <w:vAlign w:val="bottom"/>
            <w:hideMark/>
          </w:tcPr>
          <w:p w14:paraId="698C0CEC" w14:textId="476D6A52"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Australia </w:t>
            </w:r>
          </w:p>
        </w:tc>
        <w:tc>
          <w:tcPr>
            <w:tcW w:w="1349" w:type="dxa"/>
            <w:shd w:val="clear" w:color="auto" w:fill="auto"/>
            <w:noWrap/>
            <w:vAlign w:val="bottom"/>
            <w:hideMark/>
          </w:tcPr>
          <w:p w14:paraId="3CD8A1F6"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Qualitative</w:t>
            </w:r>
          </w:p>
        </w:tc>
        <w:tc>
          <w:tcPr>
            <w:tcW w:w="1553" w:type="dxa"/>
            <w:shd w:val="clear" w:color="auto" w:fill="auto"/>
            <w:noWrap/>
            <w:vAlign w:val="bottom"/>
            <w:hideMark/>
          </w:tcPr>
          <w:p w14:paraId="5DCA273E" w14:textId="24D284B0"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t>ABI</w:t>
            </w:r>
          </w:p>
        </w:tc>
        <w:tc>
          <w:tcPr>
            <w:tcW w:w="1479" w:type="dxa"/>
            <w:shd w:val="clear" w:color="auto" w:fill="auto"/>
            <w:noWrap/>
            <w:vAlign w:val="bottom"/>
            <w:hideMark/>
          </w:tcPr>
          <w:p w14:paraId="39181C67"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proofErr w:type="spellStart"/>
            <w:r w:rsidRPr="00D21EBF">
              <w:rPr>
                <w:rFonts w:ascii="Aptos Narrow" w:eastAsia="Times New Roman" w:hAnsi="Aptos Narrow" w:cs="Times New Roman"/>
                <w:color w:val="000000"/>
                <w:lang w:eastAsia="en-AU"/>
                <w14:ligatures w14:val="none"/>
              </w:rPr>
              <w:t>PwD</w:t>
            </w:r>
            <w:proofErr w:type="spellEnd"/>
            <w:r w:rsidRPr="00D21EBF">
              <w:rPr>
                <w:rFonts w:ascii="Aptos Narrow" w:eastAsia="Times New Roman" w:hAnsi="Aptos Narrow" w:cs="Times New Roman"/>
                <w:color w:val="000000"/>
                <w:lang w:eastAsia="en-AU"/>
                <w14:ligatures w14:val="none"/>
              </w:rPr>
              <w:t>; Provider</w:t>
            </w:r>
          </w:p>
        </w:tc>
        <w:tc>
          <w:tcPr>
            <w:tcW w:w="1634" w:type="dxa"/>
            <w:shd w:val="clear" w:color="auto" w:fill="auto"/>
            <w:vAlign w:val="bottom"/>
            <w:hideMark/>
          </w:tcPr>
          <w:p w14:paraId="2BD8B622" w14:textId="77777777" w:rsidR="00E82A9A" w:rsidRPr="00D21EBF" w:rsidRDefault="00E82A9A" w:rsidP="00E82A9A">
            <w:pPr>
              <w:spacing w:after="0" w:line="240" w:lineRule="auto"/>
              <w:rPr>
                <w:rFonts w:ascii="Aptos Narrow" w:eastAsia="Times New Roman" w:hAnsi="Aptos Narrow" w:cs="Times New Roman"/>
                <w:color w:val="000000" w:themeColor="text1"/>
                <w:lang w:eastAsia="en-AU"/>
                <w14:ligatures w14:val="none"/>
              </w:rPr>
            </w:pPr>
            <w:r w:rsidRPr="00D21EBF">
              <w:rPr>
                <w:rFonts w:ascii="Aptos Narrow" w:eastAsia="Times New Roman" w:hAnsi="Aptos Narrow" w:cs="Times New Roman"/>
                <w:color w:val="000000" w:themeColor="text1"/>
                <w:lang w:eastAsia="en-AU"/>
                <w14:ligatures w14:val="none"/>
              </w:rPr>
              <w:t xml:space="preserve">First nation; Women </w:t>
            </w:r>
          </w:p>
        </w:tc>
        <w:tc>
          <w:tcPr>
            <w:tcW w:w="1439" w:type="dxa"/>
            <w:shd w:val="clear" w:color="auto" w:fill="auto"/>
            <w:vAlign w:val="bottom"/>
            <w:hideMark/>
          </w:tcPr>
          <w:p w14:paraId="33CFFF68"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Emergency department</w:t>
            </w:r>
          </w:p>
        </w:tc>
        <w:tc>
          <w:tcPr>
            <w:tcW w:w="1670" w:type="dxa"/>
            <w:shd w:val="clear" w:color="auto" w:fill="auto"/>
            <w:vAlign w:val="bottom"/>
            <w:hideMark/>
          </w:tcPr>
          <w:p w14:paraId="4D861671"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447" w:type="dxa"/>
            <w:shd w:val="clear" w:color="auto" w:fill="auto"/>
            <w:noWrap/>
            <w:vAlign w:val="bottom"/>
            <w:hideMark/>
          </w:tcPr>
          <w:p w14:paraId="2C17C8D7"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390" w:type="dxa"/>
            <w:shd w:val="clear" w:color="auto" w:fill="auto"/>
            <w:noWrap/>
            <w:vAlign w:val="bottom"/>
            <w:hideMark/>
          </w:tcPr>
          <w:p w14:paraId="2780A724"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442" w:type="dxa"/>
            <w:shd w:val="clear" w:color="auto" w:fill="auto"/>
            <w:noWrap/>
            <w:vAlign w:val="bottom"/>
            <w:hideMark/>
          </w:tcPr>
          <w:p w14:paraId="0D98CB0D"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692" w:type="dxa"/>
            <w:shd w:val="clear" w:color="auto" w:fill="auto"/>
            <w:noWrap/>
            <w:vAlign w:val="bottom"/>
            <w:hideMark/>
          </w:tcPr>
          <w:p w14:paraId="39B26353"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77" w:type="dxa"/>
            <w:shd w:val="clear" w:color="auto" w:fill="auto"/>
            <w:noWrap/>
            <w:vAlign w:val="bottom"/>
            <w:hideMark/>
          </w:tcPr>
          <w:p w14:paraId="0B994A70"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05" w:type="dxa"/>
            <w:shd w:val="clear" w:color="auto" w:fill="auto"/>
            <w:noWrap/>
            <w:vAlign w:val="bottom"/>
            <w:hideMark/>
          </w:tcPr>
          <w:p w14:paraId="12C951A7"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r>
      <w:tr w:rsidR="00E82A9A" w:rsidRPr="00D21EBF" w14:paraId="67DC3E25" w14:textId="77777777" w:rsidTr="005B32AC">
        <w:trPr>
          <w:trHeight w:val="310"/>
        </w:trPr>
        <w:tc>
          <w:tcPr>
            <w:tcW w:w="1356" w:type="dxa"/>
          </w:tcPr>
          <w:p w14:paraId="145CFD75" w14:textId="07C2F88E"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fldChar w:fldCharType="begin"/>
            </w:r>
            <w:r>
              <w:rPr>
                <w:rFonts w:ascii="Aptos Narrow" w:eastAsia="Times New Roman" w:hAnsi="Aptos Narrow" w:cs="Times New Roman"/>
                <w:color w:val="000000"/>
                <w:lang w:eastAsia="en-AU"/>
                <w14:ligatures w14:val="none"/>
              </w:rPr>
              <w:instrText xml:space="preserve"> ADDIN EN.CITE &lt;EndNote&gt;&lt;Cite&gt;&lt;Author&gt;Paget&lt;/Author&gt;&lt;Year&gt;2022&lt;/Year&gt;&lt;RecNum&gt;50189&lt;/RecNum&gt;&lt;DisplayText&gt;(Paget et al., 2022)&lt;/DisplayText&gt;&lt;record&gt;&lt;rec-number&gt;50189&lt;/rec-number&gt;&lt;foreign-keys&gt;&lt;key app="EN" db-id="feav29prs929zneaprxvex2z55wwe0dtx9rf" timestamp="1742949803" guid="c3d18983-050e-4534-88bc-00c4d866b369"&gt;50189&lt;/key&gt;&lt;/foreign-keys&gt;&lt;ref-type name="Journal Article"&gt;17&lt;/ref-type&gt;&lt;contributors&gt;&lt;authors&gt;&lt;author&gt;Paget, S. P.&lt;/author&gt;&lt;author&gt;McIntyre, S.&lt;/author&gt;&lt;author&gt;Goldsmith, S.&lt;/author&gt;&lt;author&gt;Ostojic, K.&lt;/author&gt;&lt;author&gt;Shrapnel, J.&lt;/author&gt;&lt;author&gt;Schneuer, F.&lt;/author&gt;&lt;author&gt;Waugh, M. C.&lt;/author&gt;&lt;author&gt;Kyriagis, M.&lt;/author&gt;&lt;author&gt;Nassar, N.&lt;/author&gt;&lt;/authors&gt;&lt;/contributors&gt;&lt;titles&gt;&lt;title&gt;Non-attendance at outpatient clinic appointments by children with cerebral palsy&lt;/title&gt;&lt;secondary-title&gt;Dev. Med. Child Neurol.&lt;/secondary-title&gt;&lt;/titles&gt;&lt;periodical&gt;&lt;full-title&gt;Dev. Med. Child Neurol.&lt;/full-title&gt;&lt;/periodical&gt;&lt;pages&gt;1106-1113&lt;/pages&gt;&lt;volume&gt;64&lt;/volume&gt;&lt;number&gt;9&lt;/number&gt;&lt;dates&gt;&lt;year&gt;2022&lt;/year&gt;&lt;/dates&gt;&lt;publisher&gt;John Wiley and Sons Inc&lt;/publisher&gt;&lt;urls&gt;&lt;related-urls&gt;&lt;url&gt;https://www.scopus.com/inward/record.uri?eid=2-s2.0-85125577678&amp;amp;doi=10.1111%2fdmcn.15197&amp;amp;partnerID=40&amp;amp;md5=0c9462f61c3787eb78d0ef7c7d9f1358&lt;/url&gt;&lt;/related-urls&gt;&lt;/urls&gt;&lt;electronic-resource-num&gt;10.1111/dmcn.15197&lt;/electronic-resource-num&gt;&lt;/record&gt;&lt;/Cite&gt;&lt;/EndNote&gt;</w:instrText>
            </w:r>
            <w:r>
              <w:rPr>
                <w:rFonts w:ascii="Aptos Narrow" w:eastAsia="Times New Roman" w:hAnsi="Aptos Narrow" w:cs="Times New Roman"/>
                <w:color w:val="000000"/>
                <w:lang w:eastAsia="en-AU"/>
                <w14:ligatures w14:val="none"/>
              </w:rPr>
              <w:fldChar w:fldCharType="separate"/>
            </w:r>
            <w:r>
              <w:rPr>
                <w:rFonts w:ascii="Aptos Narrow" w:eastAsia="Times New Roman" w:hAnsi="Aptos Narrow" w:cs="Times New Roman"/>
                <w:noProof/>
                <w:color w:val="000000"/>
                <w:lang w:eastAsia="en-AU"/>
                <w14:ligatures w14:val="none"/>
              </w:rPr>
              <w:t>(Paget et al., 2022)</w:t>
            </w:r>
            <w:r>
              <w:rPr>
                <w:rFonts w:ascii="Aptos Narrow" w:eastAsia="Times New Roman" w:hAnsi="Aptos Narrow" w:cs="Times New Roman"/>
                <w:color w:val="000000"/>
                <w:lang w:eastAsia="en-AU"/>
                <w14:ligatures w14:val="none"/>
              </w:rPr>
              <w:fldChar w:fldCharType="end"/>
            </w:r>
          </w:p>
        </w:tc>
        <w:tc>
          <w:tcPr>
            <w:tcW w:w="1431" w:type="dxa"/>
            <w:shd w:val="clear" w:color="auto" w:fill="auto"/>
            <w:noWrap/>
            <w:vAlign w:val="bottom"/>
            <w:hideMark/>
          </w:tcPr>
          <w:p w14:paraId="7382908E" w14:textId="1F978F31"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ACT; NSW</w:t>
            </w:r>
          </w:p>
        </w:tc>
        <w:tc>
          <w:tcPr>
            <w:tcW w:w="1349" w:type="dxa"/>
            <w:shd w:val="clear" w:color="auto" w:fill="auto"/>
            <w:noWrap/>
            <w:vAlign w:val="bottom"/>
            <w:hideMark/>
          </w:tcPr>
          <w:p w14:paraId="72F0965D"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Quantitative</w:t>
            </w:r>
          </w:p>
        </w:tc>
        <w:tc>
          <w:tcPr>
            <w:tcW w:w="1553" w:type="dxa"/>
            <w:shd w:val="clear" w:color="auto" w:fill="auto"/>
            <w:noWrap/>
            <w:vAlign w:val="bottom"/>
            <w:hideMark/>
          </w:tcPr>
          <w:p w14:paraId="12C55484"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Physical </w:t>
            </w:r>
          </w:p>
        </w:tc>
        <w:tc>
          <w:tcPr>
            <w:tcW w:w="1479" w:type="dxa"/>
            <w:shd w:val="clear" w:color="auto" w:fill="auto"/>
            <w:noWrap/>
            <w:vAlign w:val="bottom"/>
            <w:hideMark/>
          </w:tcPr>
          <w:p w14:paraId="604CEE90"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proofErr w:type="spellStart"/>
            <w:r w:rsidRPr="00D21EBF">
              <w:rPr>
                <w:rFonts w:ascii="Aptos Narrow" w:eastAsia="Times New Roman" w:hAnsi="Aptos Narrow" w:cs="Times New Roman"/>
                <w:color w:val="000000"/>
                <w:lang w:eastAsia="en-AU"/>
                <w14:ligatures w14:val="none"/>
              </w:rPr>
              <w:t>PwD</w:t>
            </w:r>
            <w:proofErr w:type="spellEnd"/>
          </w:p>
        </w:tc>
        <w:tc>
          <w:tcPr>
            <w:tcW w:w="1634" w:type="dxa"/>
            <w:shd w:val="clear" w:color="auto" w:fill="auto"/>
            <w:vAlign w:val="bottom"/>
            <w:hideMark/>
          </w:tcPr>
          <w:p w14:paraId="0E922BFF" w14:textId="77777777" w:rsidR="00E82A9A" w:rsidRPr="00D21EBF" w:rsidRDefault="00E82A9A" w:rsidP="00E82A9A">
            <w:pPr>
              <w:spacing w:after="0" w:line="240" w:lineRule="auto"/>
              <w:rPr>
                <w:rFonts w:ascii="Aptos Narrow" w:eastAsia="Times New Roman" w:hAnsi="Aptos Narrow" w:cs="Times New Roman"/>
                <w:color w:val="000000" w:themeColor="text1"/>
                <w:lang w:eastAsia="en-AU"/>
                <w14:ligatures w14:val="none"/>
              </w:rPr>
            </w:pPr>
            <w:r w:rsidRPr="00D21EBF">
              <w:rPr>
                <w:rFonts w:ascii="Aptos Narrow" w:eastAsia="Times New Roman" w:hAnsi="Aptos Narrow" w:cs="Times New Roman"/>
                <w:color w:val="000000" w:themeColor="text1"/>
                <w:lang w:eastAsia="en-AU"/>
                <w14:ligatures w14:val="none"/>
              </w:rPr>
              <w:t xml:space="preserve">Children </w:t>
            </w:r>
          </w:p>
        </w:tc>
        <w:tc>
          <w:tcPr>
            <w:tcW w:w="1439" w:type="dxa"/>
            <w:shd w:val="clear" w:color="auto" w:fill="auto"/>
            <w:vAlign w:val="bottom"/>
            <w:hideMark/>
          </w:tcPr>
          <w:p w14:paraId="18AE8F69"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Health and rehabilitation services </w:t>
            </w:r>
          </w:p>
        </w:tc>
        <w:tc>
          <w:tcPr>
            <w:tcW w:w="1670" w:type="dxa"/>
            <w:shd w:val="clear" w:color="auto" w:fill="auto"/>
            <w:vAlign w:val="bottom"/>
            <w:hideMark/>
          </w:tcPr>
          <w:p w14:paraId="7BC07B58"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447" w:type="dxa"/>
            <w:shd w:val="clear" w:color="auto" w:fill="auto"/>
            <w:noWrap/>
            <w:vAlign w:val="bottom"/>
            <w:hideMark/>
          </w:tcPr>
          <w:p w14:paraId="2248D4C2"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390" w:type="dxa"/>
            <w:shd w:val="clear" w:color="auto" w:fill="auto"/>
            <w:noWrap/>
            <w:vAlign w:val="bottom"/>
            <w:hideMark/>
          </w:tcPr>
          <w:p w14:paraId="5F16DEA2"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442" w:type="dxa"/>
            <w:shd w:val="clear" w:color="auto" w:fill="auto"/>
            <w:noWrap/>
            <w:vAlign w:val="bottom"/>
            <w:hideMark/>
          </w:tcPr>
          <w:p w14:paraId="0B67C39F"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692" w:type="dxa"/>
            <w:shd w:val="clear" w:color="auto" w:fill="auto"/>
            <w:noWrap/>
            <w:vAlign w:val="bottom"/>
            <w:hideMark/>
          </w:tcPr>
          <w:p w14:paraId="26C86B47"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77" w:type="dxa"/>
            <w:shd w:val="clear" w:color="auto" w:fill="auto"/>
            <w:noWrap/>
            <w:vAlign w:val="bottom"/>
            <w:hideMark/>
          </w:tcPr>
          <w:p w14:paraId="71C84554"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05" w:type="dxa"/>
            <w:shd w:val="clear" w:color="auto" w:fill="auto"/>
            <w:noWrap/>
            <w:vAlign w:val="bottom"/>
            <w:hideMark/>
          </w:tcPr>
          <w:p w14:paraId="2B188CBF"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r>
      <w:tr w:rsidR="00E82A9A" w:rsidRPr="00D21EBF" w14:paraId="755F947A" w14:textId="77777777" w:rsidTr="005B32AC">
        <w:trPr>
          <w:trHeight w:val="310"/>
        </w:trPr>
        <w:tc>
          <w:tcPr>
            <w:tcW w:w="1356" w:type="dxa"/>
          </w:tcPr>
          <w:p w14:paraId="578510D2" w14:textId="3628C525"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fldChar w:fldCharType="begin"/>
            </w:r>
            <w:r>
              <w:rPr>
                <w:rFonts w:ascii="Aptos Narrow" w:eastAsia="Times New Roman" w:hAnsi="Aptos Narrow" w:cs="Times New Roman"/>
                <w:color w:val="000000"/>
                <w:lang w:eastAsia="en-AU"/>
                <w14:ligatures w14:val="none"/>
              </w:rPr>
              <w:instrText xml:space="preserve"> ADDIN EN.CITE &lt;EndNote&gt;&lt;Cite&gt;&lt;Author&gt;Barr&lt;/Author&gt;&lt;Year&gt;2021&lt;/Year&gt;&lt;RecNum&gt;50187&lt;/RecNum&gt;&lt;DisplayText&gt;(Barr et al., 2021)&lt;/DisplayText&gt;&lt;record&gt;&lt;rec-number&gt;50187&lt;/rec-number&gt;&lt;foreign-keys&gt;&lt;key app="EN" db-id="feav29prs929zneaprxvex2z55wwe0dtx9rf" timestamp="1742949803" guid="ea1c207d-020e-4937-9f02-293daa153261"&gt;50187&lt;/key&gt;&lt;/foreign-keys&gt;&lt;ref-type name="Journal Article"&gt;17&lt;/ref-type&gt;&lt;contributors&gt;&lt;authors&gt;&lt;author&gt;Barr, M.&lt;/author&gt;&lt;author&gt;Duncan, J.&lt;/author&gt;&lt;author&gt;Dally, K.&lt;/author&gt;&lt;/authors&gt;&lt;/contributors&gt;&lt;titles&gt;&lt;title&gt;Parent experience of the national disability insurance scheme (NDIS) for children with hearing loss in Australia&lt;/title&gt;&lt;secondary-title&gt;Disabil. Soc.&lt;/secondary-title&gt;&lt;/titles&gt;&lt;periodical&gt;&lt;full-title&gt;Disability and Society&lt;/full-title&gt;&lt;abbr-1&gt;Disabil. Soc.&lt;/abbr-1&gt;&lt;/periodical&gt;&lt;pages&gt;1663-1687&lt;/pages&gt;&lt;volume&gt;36&lt;/volume&gt;&lt;number&gt;10&lt;/number&gt;&lt;dates&gt;&lt;year&gt;2021&lt;/year&gt;&lt;/dates&gt;&lt;publisher&gt;Routledge&lt;/publisher&gt;&lt;urls&gt;&lt;related-urls&gt;&lt;url&gt;https://www.scopus.com/inward/record.uri?eid=2-s2.0-85090938144&amp;amp;doi=10.1080%2f09687599.2020.1816906&amp;amp;partnerID=40&amp;amp;md5=7d0c732701db80a3b176a5f316319530&lt;/url&gt;&lt;/related-urls&gt;&lt;/urls&gt;&lt;electronic-resource-num&gt;10.1080/09687599.2020.1816906&lt;/electronic-resource-num&gt;&lt;/record&gt;&lt;/Cite&gt;&lt;/EndNote&gt;</w:instrText>
            </w:r>
            <w:r>
              <w:rPr>
                <w:rFonts w:ascii="Aptos Narrow" w:eastAsia="Times New Roman" w:hAnsi="Aptos Narrow" w:cs="Times New Roman"/>
                <w:color w:val="000000"/>
                <w:lang w:eastAsia="en-AU"/>
                <w14:ligatures w14:val="none"/>
              </w:rPr>
              <w:fldChar w:fldCharType="separate"/>
            </w:r>
            <w:r>
              <w:rPr>
                <w:rFonts w:ascii="Aptos Narrow" w:eastAsia="Times New Roman" w:hAnsi="Aptos Narrow" w:cs="Times New Roman"/>
                <w:noProof/>
                <w:color w:val="000000"/>
                <w:lang w:eastAsia="en-AU"/>
                <w14:ligatures w14:val="none"/>
              </w:rPr>
              <w:t>(Barr et al., 2021)</w:t>
            </w:r>
            <w:r>
              <w:rPr>
                <w:rFonts w:ascii="Aptos Narrow" w:eastAsia="Times New Roman" w:hAnsi="Aptos Narrow" w:cs="Times New Roman"/>
                <w:color w:val="000000"/>
                <w:lang w:eastAsia="en-AU"/>
                <w14:ligatures w14:val="none"/>
              </w:rPr>
              <w:fldChar w:fldCharType="end"/>
            </w:r>
          </w:p>
        </w:tc>
        <w:tc>
          <w:tcPr>
            <w:tcW w:w="1431" w:type="dxa"/>
            <w:shd w:val="clear" w:color="auto" w:fill="auto"/>
            <w:noWrap/>
            <w:vAlign w:val="bottom"/>
            <w:hideMark/>
          </w:tcPr>
          <w:p w14:paraId="184DE317" w14:textId="4E741CE3"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Australia </w:t>
            </w:r>
          </w:p>
        </w:tc>
        <w:tc>
          <w:tcPr>
            <w:tcW w:w="1349" w:type="dxa"/>
            <w:shd w:val="clear" w:color="auto" w:fill="auto"/>
            <w:noWrap/>
            <w:vAlign w:val="bottom"/>
            <w:hideMark/>
          </w:tcPr>
          <w:p w14:paraId="7F0DB747"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Mixed</w:t>
            </w:r>
          </w:p>
        </w:tc>
        <w:tc>
          <w:tcPr>
            <w:tcW w:w="1553" w:type="dxa"/>
            <w:shd w:val="clear" w:color="auto" w:fill="auto"/>
            <w:noWrap/>
            <w:vAlign w:val="bottom"/>
            <w:hideMark/>
          </w:tcPr>
          <w:p w14:paraId="4C3D1B66"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Sensory</w:t>
            </w:r>
          </w:p>
        </w:tc>
        <w:tc>
          <w:tcPr>
            <w:tcW w:w="1479" w:type="dxa"/>
            <w:shd w:val="clear" w:color="auto" w:fill="auto"/>
            <w:noWrap/>
            <w:vAlign w:val="bottom"/>
            <w:hideMark/>
          </w:tcPr>
          <w:p w14:paraId="3FC42B35"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Caregiver</w:t>
            </w:r>
          </w:p>
        </w:tc>
        <w:tc>
          <w:tcPr>
            <w:tcW w:w="1634" w:type="dxa"/>
            <w:shd w:val="clear" w:color="auto" w:fill="auto"/>
            <w:vAlign w:val="bottom"/>
            <w:hideMark/>
          </w:tcPr>
          <w:p w14:paraId="02372460" w14:textId="77777777" w:rsidR="00E82A9A" w:rsidRPr="00D21EBF" w:rsidRDefault="00E82A9A" w:rsidP="00E82A9A">
            <w:pPr>
              <w:spacing w:after="0" w:line="240" w:lineRule="auto"/>
              <w:rPr>
                <w:rFonts w:ascii="Aptos Narrow" w:eastAsia="Times New Roman" w:hAnsi="Aptos Narrow" w:cs="Times New Roman"/>
                <w:color w:val="000000" w:themeColor="text1"/>
                <w:lang w:eastAsia="en-AU"/>
                <w14:ligatures w14:val="none"/>
              </w:rPr>
            </w:pPr>
            <w:r w:rsidRPr="00D21EBF">
              <w:rPr>
                <w:rFonts w:ascii="Aptos Narrow" w:eastAsia="Times New Roman" w:hAnsi="Aptos Narrow" w:cs="Times New Roman"/>
                <w:color w:val="000000" w:themeColor="text1"/>
                <w:lang w:eastAsia="en-AU"/>
                <w14:ligatures w14:val="none"/>
              </w:rPr>
              <w:t xml:space="preserve">Children </w:t>
            </w:r>
          </w:p>
        </w:tc>
        <w:tc>
          <w:tcPr>
            <w:tcW w:w="1439" w:type="dxa"/>
            <w:shd w:val="clear" w:color="auto" w:fill="auto"/>
            <w:vAlign w:val="bottom"/>
            <w:hideMark/>
          </w:tcPr>
          <w:p w14:paraId="187B36F1"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1670" w:type="dxa"/>
            <w:shd w:val="clear" w:color="auto" w:fill="auto"/>
            <w:vAlign w:val="bottom"/>
            <w:hideMark/>
          </w:tcPr>
          <w:p w14:paraId="49F77AA4"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NDIS Early intervention services </w:t>
            </w:r>
          </w:p>
        </w:tc>
        <w:tc>
          <w:tcPr>
            <w:tcW w:w="447" w:type="dxa"/>
            <w:shd w:val="clear" w:color="auto" w:fill="auto"/>
            <w:noWrap/>
            <w:vAlign w:val="bottom"/>
            <w:hideMark/>
          </w:tcPr>
          <w:p w14:paraId="3628D42C"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390" w:type="dxa"/>
            <w:shd w:val="clear" w:color="auto" w:fill="auto"/>
            <w:noWrap/>
            <w:vAlign w:val="bottom"/>
            <w:hideMark/>
          </w:tcPr>
          <w:p w14:paraId="576079B8"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442" w:type="dxa"/>
            <w:shd w:val="clear" w:color="auto" w:fill="auto"/>
            <w:noWrap/>
            <w:vAlign w:val="bottom"/>
            <w:hideMark/>
          </w:tcPr>
          <w:p w14:paraId="2B2A6A9A"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692" w:type="dxa"/>
            <w:shd w:val="clear" w:color="auto" w:fill="auto"/>
            <w:noWrap/>
            <w:vAlign w:val="bottom"/>
            <w:hideMark/>
          </w:tcPr>
          <w:p w14:paraId="154858DC"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77" w:type="dxa"/>
            <w:shd w:val="clear" w:color="auto" w:fill="auto"/>
            <w:noWrap/>
            <w:vAlign w:val="bottom"/>
            <w:hideMark/>
          </w:tcPr>
          <w:p w14:paraId="1385AB45"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05" w:type="dxa"/>
            <w:shd w:val="clear" w:color="auto" w:fill="auto"/>
            <w:noWrap/>
            <w:vAlign w:val="bottom"/>
            <w:hideMark/>
          </w:tcPr>
          <w:p w14:paraId="0A082427"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r>
      <w:tr w:rsidR="00E82A9A" w:rsidRPr="00D21EBF" w14:paraId="200ACC9F" w14:textId="77777777" w:rsidTr="005B32AC">
        <w:trPr>
          <w:trHeight w:val="310"/>
        </w:trPr>
        <w:tc>
          <w:tcPr>
            <w:tcW w:w="1356" w:type="dxa"/>
          </w:tcPr>
          <w:p w14:paraId="7605369A" w14:textId="3C426D6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fldChar w:fldCharType="begin"/>
            </w:r>
            <w:r>
              <w:rPr>
                <w:rFonts w:ascii="Aptos Narrow" w:eastAsia="Times New Roman" w:hAnsi="Aptos Narrow" w:cs="Times New Roman"/>
                <w:color w:val="000000"/>
                <w:lang w:eastAsia="en-AU"/>
                <w14:ligatures w14:val="none"/>
              </w:rPr>
              <w:instrText xml:space="preserve"> ADDIN EN.CITE &lt;EndNote&gt;&lt;Cite&gt;&lt;Author&gt;Mithen&lt;/Author&gt;&lt;Year&gt;2015&lt;/Year&gt;&lt;RecNum&gt;50186&lt;/RecNum&gt;&lt;DisplayText&gt;(Mithen et al., 2015)&lt;/DisplayText&gt;&lt;record&gt;&lt;rec-number&gt;50186&lt;/rec-number&gt;&lt;foreign-keys&gt;&lt;key app="EN" db-id="feav29prs929zneaprxvex2z55wwe0dtx9rf" timestamp="1742949803" guid="9b3a0a3c-bc08-4e82-ba07-8dca04af02a2"&gt;50186&lt;/key&gt;&lt;/foreign-keys&gt;&lt;ref-type name="Journal Article"&gt;17&lt;/ref-type&gt;&lt;contributors&gt;&lt;authors&gt;&lt;author&gt;Mithen, Johanna&lt;/author&gt;&lt;author&gt;Aitken, Zoe&lt;/author&gt;&lt;author&gt;Ziersch, Anne&lt;/author&gt;&lt;author&gt;Kavanagh, Anne M.&lt;/author&gt;&lt;/authors&gt;&lt;/contributors&gt;&lt;titles&gt;&lt;title&gt;Inequalities in social capital and health between people with and without disabilities&lt;/title&gt;&lt;secondary-title&gt;Social Science &amp;amp; Medicine&lt;/secondary-title&gt;&lt;/titles&gt;&lt;periodical&gt;&lt;full-title&gt;Social science &amp;amp; medicine&lt;/full-title&gt;&lt;/periodical&gt;&lt;pages&gt;26-35&lt;/pages&gt;&lt;volume&gt;126&lt;/volume&gt;&lt;number&gt;ABS. (2006). Statistical Geography. Australian Standard Geographical Classification (1216.0), vol. 1. ABS.ABS. (2009). Frequently Asked Questions - Tips for Using CURFs - How Do I Use Replicate Weights in STATA? Australian Bureau of Statistics.ABS. (2010)&lt;/number&gt;&lt;dates&gt;&lt;year&gt;2015&lt;/year&gt;&lt;/dates&gt;&lt;pub-location&gt;Netherlands&lt;/pub-location&gt;&lt;publisher&gt;Elsevier ScienceNetherlands&lt;/publisher&gt;&lt;urls&gt;&lt;/urls&gt;&lt;electronic-resource-num&gt;https://dx.doi.org/10.1016/j.socscimed.2014.12.009&lt;/electronic-resource-num&gt;&lt;/record&gt;&lt;/Cite&gt;&lt;/EndNote&gt;</w:instrText>
            </w:r>
            <w:r>
              <w:rPr>
                <w:rFonts w:ascii="Aptos Narrow" w:eastAsia="Times New Roman" w:hAnsi="Aptos Narrow" w:cs="Times New Roman"/>
                <w:color w:val="000000"/>
                <w:lang w:eastAsia="en-AU"/>
                <w14:ligatures w14:val="none"/>
              </w:rPr>
              <w:fldChar w:fldCharType="separate"/>
            </w:r>
            <w:r>
              <w:rPr>
                <w:rFonts w:ascii="Aptos Narrow" w:eastAsia="Times New Roman" w:hAnsi="Aptos Narrow" w:cs="Times New Roman"/>
                <w:noProof/>
                <w:color w:val="000000"/>
                <w:lang w:eastAsia="en-AU"/>
                <w14:ligatures w14:val="none"/>
              </w:rPr>
              <w:t>(Mithen et al., 2015)</w:t>
            </w:r>
            <w:r>
              <w:rPr>
                <w:rFonts w:ascii="Aptos Narrow" w:eastAsia="Times New Roman" w:hAnsi="Aptos Narrow" w:cs="Times New Roman"/>
                <w:color w:val="000000"/>
                <w:lang w:eastAsia="en-AU"/>
                <w14:ligatures w14:val="none"/>
              </w:rPr>
              <w:fldChar w:fldCharType="end"/>
            </w:r>
          </w:p>
        </w:tc>
        <w:tc>
          <w:tcPr>
            <w:tcW w:w="1431" w:type="dxa"/>
            <w:shd w:val="clear" w:color="auto" w:fill="auto"/>
            <w:noWrap/>
            <w:vAlign w:val="bottom"/>
            <w:hideMark/>
          </w:tcPr>
          <w:p w14:paraId="3CE514CB" w14:textId="26E338C2"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Australia </w:t>
            </w:r>
          </w:p>
        </w:tc>
        <w:tc>
          <w:tcPr>
            <w:tcW w:w="1349" w:type="dxa"/>
            <w:shd w:val="clear" w:color="auto" w:fill="auto"/>
            <w:noWrap/>
            <w:vAlign w:val="bottom"/>
            <w:hideMark/>
          </w:tcPr>
          <w:p w14:paraId="3B5B738F"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Quantitative</w:t>
            </w:r>
          </w:p>
        </w:tc>
        <w:tc>
          <w:tcPr>
            <w:tcW w:w="1553" w:type="dxa"/>
            <w:shd w:val="clear" w:color="auto" w:fill="auto"/>
            <w:noWrap/>
            <w:vAlign w:val="bottom"/>
            <w:hideMark/>
          </w:tcPr>
          <w:p w14:paraId="3E6CF730" w14:textId="19BB12B2"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Mixed </w:t>
            </w:r>
            <w:r>
              <w:rPr>
                <w:rFonts w:ascii="Aptos Narrow" w:eastAsia="Times New Roman" w:hAnsi="Aptos Narrow" w:cs="Times New Roman"/>
                <w:color w:val="000000"/>
                <w:lang w:eastAsia="en-AU"/>
                <w14:ligatures w14:val="none"/>
              </w:rPr>
              <w:t xml:space="preserve"> </w:t>
            </w:r>
          </w:p>
        </w:tc>
        <w:tc>
          <w:tcPr>
            <w:tcW w:w="1479" w:type="dxa"/>
            <w:shd w:val="clear" w:color="auto" w:fill="auto"/>
            <w:noWrap/>
            <w:vAlign w:val="bottom"/>
            <w:hideMark/>
          </w:tcPr>
          <w:p w14:paraId="2771FFEB"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proofErr w:type="spellStart"/>
            <w:r w:rsidRPr="00D21EBF">
              <w:rPr>
                <w:rFonts w:ascii="Aptos Narrow" w:eastAsia="Times New Roman" w:hAnsi="Aptos Narrow" w:cs="Times New Roman"/>
                <w:color w:val="000000"/>
                <w:lang w:eastAsia="en-AU"/>
                <w14:ligatures w14:val="none"/>
              </w:rPr>
              <w:t>PwD</w:t>
            </w:r>
            <w:proofErr w:type="spellEnd"/>
          </w:p>
        </w:tc>
        <w:tc>
          <w:tcPr>
            <w:tcW w:w="1634" w:type="dxa"/>
            <w:shd w:val="clear" w:color="auto" w:fill="auto"/>
            <w:vAlign w:val="bottom"/>
            <w:hideMark/>
          </w:tcPr>
          <w:p w14:paraId="7EAD661E" w14:textId="77777777" w:rsidR="00E82A9A" w:rsidRPr="00D21EBF" w:rsidRDefault="00E82A9A" w:rsidP="00E82A9A">
            <w:pPr>
              <w:spacing w:after="0" w:line="240" w:lineRule="auto"/>
              <w:rPr>
                <w:rFonts w:ascii="Aptos Narrow" w:eastAsia="Times New Roman" w:hAnsi="Aptos Narrow" w:cs="Times New Roman"/>
                <w:color w:val="000000" w:themeColor="text1"/>
                <w:lang w:eastAsia="en-AU"/>
                <w14:ligatures w14:val="none"/>
              </w:rPr>
            </w:pPr>
            <w:r w:rsidRPr="00D21EBF">
              <w:rPr>
                <w:rFonts w:ascii="Aptos Narrow" w:eastAsia="Times New Roman" w:hAnsi="Aptos Narrow" w:cs="Times New Roman"/>
                <w:color w:val="000000" w:themeColor="text1"/>
                <w:lang w:eastAsia="en-AU"/>
                <w14:ligatures w14:val="none"/>
              </w:rPr>
              <w:t> </w:t>
            </w:r>
          </w:p>
        </w:tc>
        <w:tc>
          <w:tcPr>
            <w:tcW w:w="1439" w:type="dxa"/>
            <w:shd w:val="clear" w:color="auto" w:fill="auto"/>
            <w:vAlign w:val="bottom"/>
            <w:hideMark/>
          </w:tcPr>
          <w:p w14:paraId="5D337E43"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1670" w:type="dxa"/>
            <w:shd w:val="clear" w:color="auto" w:fill="auto"/>
            <w:vAlign w:val="bottom"/>
            <w:hideMark/>
          </w:tcPr>
          <w:p w14:paraId="1B7FC9CD"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Social capital </w:t>
            </w:r>
          </w:p>
        </w:tc>
        <w:tc>
          <w:tcPr>
            <w:tcW w:w="447" w:type="dxa"/>
            <w:shd w:val="clear" w:color="auto" w:fill="auto"/>
            <w:noWrap/>
            <w:vAlign w:val="bottom"/>
            <w:hideMark/>
          </w:tcPr>
          <w:p w14:paraId="106D81CF"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390" w:type="dxa"/>
            <w:shd w:val="clear" w:color="auto" w:fill="auto"/>
            <w:noWrap/>
            <w:vAlign w:val="bottom"/>
            <w:hideMark/>
          </w:tcPr>
          <w:p w14:paraId="5419AEDA"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442" w:type="dxa"/>
            <w:shd w:val="clear" w:color="auto" w:fill="auto"/>
            <w:noWrap/>
            <w:vAlign w:val="bottom"/>
            <w:hideMark/>
          </w:tcPr>
          <w:p w14:paraId="7855B410"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692" w:type="dxa"/>
            <w:shd w:val="clear" w:color="auto" w:fill="auto"/>
            <w:noWrap/>
            <w:vAlign w:val="bottom"/>
            <w:hideMark/>
          </w:tcPr>
          <w:p w14:paraId="0AE9C5F9"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77" w:type="dxa"/>
            <w:shd w:val="clear" w:color="auto" w:fill="auto"/>
            <w:noWrap/>
            <w:vAlign w:val="bottom"/>
            <w:hideMark/>
          </w:tcPr>
          <w:p w14:paraId="455C942F"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05" w:type="dxa"/>
            <w:shd w:val="clear" w:color="auto" w:fill="auto"/>
            <w:noWrap/>
            <w:vAlign w:val="bottom"/>
            <w:hideMark/>
          </w:tcPr>
          <w:p w14:paraId="0BADA7CB"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r>
      <w:tr w:rsidR="00E82A9A" w:rsidRPr="00D21EBF" w14:paraId="29ADCDAA" w14:textId="77777777" w:rsidTr="005B32AC">
        <w:trPr>
          <w:trHeight w:val="310"/>
        </w:trPr>
        <w:tc>
          <w:tcPr>
            <w:tcW w:w="1356" w:type="dxa"/>
          </w:tcPr>
          <w:p w14:paraId="1C804B8F" w14:textId="0EE03236"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fldChar w:fldCharType="begin"/>
            </w:r>
            <w:r>
              <w:rPr>
                <w:rFonts w:ascii="Aptos Narrow" w:eastAsia="Times New Roman" w:hAnsi="Aptos Narrow" w:cs="Times New Roman"/>
                <w:color w:val="000000"/>
                <w:lang w:eastAsia="en-AU"/>
                <w14:ligatures w14:val="none"/>
              </w:rPr>
              <w:instrText xml:space="preserve"> ADDIN EN.CITE &lt;EndNote&gt;&lt;Cite&gt;&lt;Author&gt;Lawn&lt;/Author&gt;&lt;Year&gt;2015&lt;/Year&gt;&lt;RecNum&gt;50184&lt;/RecNum&gt;&lt;DisplayText&gt;(Lawn &amp;amp; McMahon, 2015a)&lt;/DisplayText&gt;&lt;record&gt;&lt;rec-number&gt;50184&lt;/rec-number&gt;&lt;foreign-keys&gt;&lt;key app="EN" db-id="feav29prs929zneaprxvex2z55wwe0dtx9rf" timestamp="1742949803" guid="ac4d6c3b-cbb3-4ca4-95dc-33dba67c571f"&gt;50184&lt;/key&gt;&lt;/foreign-keys&gt;&lt;ref-type name="Journal Article"&gt;17&lt;/ref-type&gt;&lt;contributors&gt;&lt;authors&gt;&lt;author&gt;Lawn, S.&lt;/author&gt;&lt;author&gt;McMahon, J.&lt;/author&gt;&lt;/authors&gt;&lt;/contributors&gt;&lt;titles&gt;&lt;title&gt;Experiences of care by Australians with a diagnosis of borderline personality disorder&lt;/title&gt;&lt;secondary-title&gt;Journal of Psychiatric and Mental Health Nursing&lt;/secondary-title&gt;&lt;/titles&gt;&lt;periodical&gt;&lt;full-title&gt;Journal of psychiatric and mental health nursing&lt;/full-title&gt;&lt;/periodical&gt;&lt;pages&gt;510-521&lt;/pages&gt;&lt;volume&gt;22&lt;/volume&gt;&lt;number&gt;7&lt;/number&gt;&lt;dates&gt;&lt;year&gt;2015&lt;/year&gt;&lt;/dates&gt;&lt;pub-location&gt;United Kingdom&lt;/pub-location&gt;&lt;publisher&gt;Wiley-Blackwell Publishing Ltd.United Kingdom&lt;/publisher&gt;&lt;urls&gt;&lt;/urls&gt;&lt;electronic-resource-num&gt;https://dx.doi.org/10.1111/jpm.12226&lt;/electronic-resource-num&gt;&lt;/record&gt;&lt;/Cite&gt;&lt;/EndNote&gt;</w:instrText>
            </w:r>
            <w:r>
              <w:rPr>
                <w:rFonts w:ascii="Aptos Narrow" w:eastAsia="Times New Roman" w:hAnsi="Aptos Narrow" w:cs="Times New Roman"/>
                <w:color w:val="000000"/>
                <w:lang w:eastAsia="en-AU"/>
                <w14:ligatures w14:val="none"/>
              </w:rPr>
              <w:fldChar w:fldCharType="separate"/>
            </w:r>
            <w:r>
              <w:rPr>
                <w:rFonts w:ascii="Aptos Narrow" w:eastAsia="Times New Roman" w:hAnsi="Aptos Narrow" w:cs="Times New Roman"/>
                <w:noProof/>
                <w:color w:val="000000"/>
                <w:lang w:eastAsia="en-AU"/>
                <w14:ligatures w14:val="none"/>
              </w:rPr>
              <w:t>(Lawn &amp; McMahon, 2015a)</w:t>
            </w:r>
            <w:r>
              <w:rPr>
                <w:rFonts w:ascii="Aptos Narrow" w:eastAsia="Times New Roman" w:hAnsi="Aptos Narrow" w:cs="Times New Roman"/>
                <w:color w:val="000000"/>
                <w:lang w:eastAsia="en-AU"/>
                <w14:ligatures w14:val="none"/>
              </w:rPr>
              <w:fldChar w:fldCharType="end"/>
            </w:r>
          </w:p>
        </w:tc>
        <w:tc>
          <w:tcPr>
            <w:tcW w:w="1431" w:type="dxa"/>
            <w:shd w:val="clear" w:color="auto" w:fill="auto"/>
            <w:noWrap/>
            <w:vAlign w:val="bottom"/>
            <w:hideMark/>
          </w:tcPr>
          <w:p w14:paraId="3BEDA521" w14:textId="410CA0C4"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Australia </w:t>
            </w:r>
          </w:p>
        </w:tc>
        <w:tc>
          <w:tcPr>
            <w:tcW w:w="1349" w:type="dxa"/>
            <w:shd w:val="clear" w:color="auto" w:fill="auto"/>
            <w:noWrap/>
            <w:vAlign w:val="bottom"/>
            <w:hideMark/>
          </w:tcPr>
          <w:p w14:paraId="26E4BD34"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Qualitative</w:t>
            </w:r>
          </w:p>
        </w:tc>
        <w:tc>
          <w:tcPr>
            <w:tcW w:w="1553" w:type="dxa"/>
            <w:shd w:val="clear" w:color="auto" w:fill="auto"/>
            <w:noWrap/>
            <w:vAlign w:val="bottom"/>
            <w:hideMark/>
          </w:tcPr>
          <w:p w14:paraId="303B420B"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Psychosocial </w:t>
            </w:r>
          </w:p>
        </w:tc>
        <w:tc>
          <w:tcPr>
            <w:tcW w:w="1479" w:type="dxa"/>
            <w:shd w:val="clear" w:color="auto" w:fill="auto"/>
            <w:noWrap/>
            <w:vAlign w:val="bottom"/>
            <w:hideMark/>
          </w:tcPr>
          <w:p w14:paraId="6F641CC1"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Caregiver</w:t>
            </w:r>
          </w:p>
        </w:tc>
        <w:tc>
          <w:tcPr>
            <w:tcW w:w="1634" w:type="dxa"/>
            <w:shd w:val="clear" w:color="auto" w:fill="auto"/>
            <w:vAlign w:val="bottom"/>
            <w:hideMark/>
          </w:tcPr>
          <w:p w14:paraId="6FE4A3BF" w14:textId="77777777" w:rsidR="00E82A9A" w:rsidRPr="00D21EBF" w:rsidRDefault="00E82A9A" w:rsidP="00E82A9A">
            <w:pPr>
              <w:spacing w:after="0" w:line="240" w:lineRule="auto"/>
              <w:rPr>
                <w:rFonts w:ascii="Aptos Narrow" w:eastAsia="Times New Roman" w:hAnsi="Aptos Narrow" w:cs="Times New Roman"/>
                <w:color w:val="000000" w:themeColor="text1"/>
                <w:lang w:eastAsia="en-AU"/>
                <w14:ligatures w14:val="none"/>
              </w:rPr>
            </w:pPr>
            <w:r w:rsidRPr="00D21EBF">
              <w:rPr>
                <w:rFonts w:ascii="Aptos Narrow" w:eastAsia="Times New Roman" w:hAnsi="Aptos Narrow" w:cs="Times New Roman"/>
                <w:color w:val="000000" w:themeColor="text1"/>
                <w:lang w:eastAsia="en-AU"/>
                <w14:ligatures w14:val="none"/>
              </w:rPr>
              <w:t> </w:t>
            </w:r>
          </w:p>
        </w:tc>
        <w:tc>
          <w:tcPr>
            <w:tcW w:w="1439" w:type="dxa"/>
            <w:shd w:val="clear" w:color="auto" w:fill="auto"/>
            <w:vAlign w:val="bottom"/>
            <w:hideMark/>
          </w:tcPr>
          <w:p w14:paraId="316AC38F"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GP and mental health services </w:t>
            </w:r>
          </w:p>
        </w:tc>
        <w:tc>
          <w:tcPr>
            <w:tcW w:w="1670" w:type="dxa"/>
            <w:shd w:val="clear" w:color="auto" w:fill="auto"/>
            <w:vAlign w:val="bottom"/>
            <w:hideMark/>
          </w:tcPr>
          <w:p w14:paraId="67DD1173"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447" w:type="dxa"/>
            <w:shd w:val="clear" w:color="auto" w:fill="auto"/>
            <w:noWrap/>
            <w:vAlign w:val="bottom"/>
            <w:hideMark/>
          </w:tcPr>
          <w:p w14:paraId="26F35414"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390" w:type="dxa"/>
            <w:shd w:val="clear" w:color="auto" w:fill="auto"/>
            <w:noWrap/>
            <w:vAlign w:val="bottom"/>
            <w:hideMark/>
          </w:tcPr>
          <w:p w14:paraId="5FED3AF0"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442" w:type="dxa"/>
            <w:shd w:val="clear" w:color="auto" w:fill="auto"/>
            <w:noWrap/>
            <w:vAlign w:val="bottom"/>
            <w:hideMark/>
          </w:tcPr>
          <w:p w14:paraId="2AFAE174"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692" w:type="dxa"/>
            <w:shd w:val="clear" w:color="auto" w:fill="auto"/>
            <w:noWrap/>
            <w:vAlign w:val="bottom"/>
            <w:hideMark/>
          </w:tcPr>
          <w:p w14:paraId="75A7F7ED"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77" w:type="dxa"/>
            <w:shd w:val="clear" w:color="auto" w:fill="auto"/>
            <w:noWrap/>
            <w:vAlign w:val="bottom"/>
            <w:hideMark/>
          </w:tcPr>
          <w:p w14:paraId="47DF48AA"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05" w:type="dxa"/>
            <w:shd w:val="clear" w:color="auto" w:fill="auto"/>
            <w:noWrap/>
            <w:vAlign w:val="bottom"/>
            <w:hideMark/>
          </w:tcPr>
          <w:p w14:paraId="5BF38E7A"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r>
      <w:tr w:rsidR="00E82A9A" w:rsidRPr="00D21EBF" w14:paraId="2C515FCE" w14:textId="77777777" w:rsidTr="005B32AC">
        <w:trPr>
          <w:trHeight w:val="310"/>
        </w:trPr>
        <w:tc>
          <w:tcPr>
            <w:tcW w:w="1356" w:type="dxa"/>
          </w:tcPr>
          <w:p w14:paraId="150A2132" w14:textId="57045965"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fldChar w:fldCharType="begin"/>
            </w:r>
            <w:r>
              <w:rPr>
                <w:rFonts w:ascii="Aptos Narrow" w:eastAsia="Times New Roman" w:hAnsi="Aptos Narrow" w:cs="Times New Roman"/>
                <w:color w:val="000000"/>
                <w:lang w:eastAsia="en-AU"/>
                <w14:ligatures w14:val="none"/>
              </w:rPr>
              <w:instrText xml:space="preserve"> ADDIN EN.CITE &lt;EndNote&gt;&lt;Cite&gt;&lt;Author&gt;Lawn&lt;/Author&gt;&lt;Year&gt;2015&lt;/Year&gt;&lt;RecNum&gt;50185&lt;/RecNum&gt;&lt;DisplayText&gt;(Lawn &amp;amp; McMahon, 2015b)&lt;/DisplayText&gt;&lt;record&gt;&lt;rec-number&gt;50185&lt;/rec-number&gt;&lt;foreign-keys&gt;&lt;key app="EN" db-id="feav29prs929zneaprxvex2z55wwe0dtx9rf" timestamp="1742949803" guid="5a35cdb0-d60d-46f3-a903-406490156f8f"&gt;50185&lt;/key&gt;&lt;/foreign-keys&gt;&lt;ref-type name="Journal Article"&gt;17&lt;/ref-type&gt;&lt;contributors&gt;&lt;authors&gt;&lt;author&gt;Lawn, S.&lt;/author&gt;&lt;author&gt;McMahon, J.&lt;/author&gt;&lt;/authors&gt;&lt;/contributors&gt;&lt;titles&gt;&lt;title&gt;Experiences of family carers of people diagnosed with borderline personality disorder&lt;/title&gt;&lt;secondary-title&gt;Journal of Psychiatric and Mental Health Nursing&lt;/secondary-title&gt;&lt;/titles&gt;&lt;periodical&gt;&lt;full-title&gt;Journal of psychiatric and mental health nursing&lt;/full-title&gt;&lt;/periodical&gt;&lt;pages&gt;234-243&lt;/pages&gt;&lt;volume&gt;22&lt;/volume&gt;&lt;number&gt;4&lt;/number&gt;&lt;dates&gt;&lt;year&gt;2015&lt;/year&gt;&lt;/dates&gt;&lt;pub-location&gt;United Kingdom&lt;/pub-location&gt;&lt;publisher&gt;Wiley-Blackwell Publishing Ltd.United Kingdom&lt;/publisher&gt;&lt;urls&gt;&lt;/urls&gt;&lt;electronic-resource-num&gt;https://dx.doi.org/10.1111/jpm.12193&lt;/electronic-resource-num&gt;&lt;/record&gt;&lt;/Cite&gt;&lt;/EndNote&gt;</w:instrText>
            </w:r>
            <w:r>
              <w:rPr>
                <w:rFonts w:ascii="Aptos Narrow" w:eastAsia="Times New Roman" w:hAnsi="Aptos Narrow" w:cs="Times New Roman"/>
                <w:color w:val="000000"/>
                <w:lang w:eastAsia="en-AU"/>
                <w14:ligatures w14:val="none"/>
              </w:rPr>
              <w:fldChar w:fldCharType="separate"/>
            </w:r>
            <w:r>
              <w:rPr>
                <w:rFonts w:ascii="Aptos Narrow" w:eastAsia="Times New Roman" w:hAnsi="Aptos Narrow" w:cs="Times New Roman"/>
                <w:noProof/>
                <w:color w:val="000000"/>
                <w:lang w:eastAsia="en-AU"/>
                <w14:ligatures w14:val="none"/>
              </w:rPr>
              <w:t>(Lawn &amp; McMahon, 2015b)</w:t>
            </w:r>
            <w:r>
              <w:rPr>
                <w:rFonts w:ascii="Aptos Narrow" w:eastAsia="Times New Roman" w:hAnsi="Aptos Narrow" w:cs="Times New Roman"/>
                <w:color w:val="000000"/>
                <w:lang w:eastAsia="en-AU"/>
                <w14:ligatures w14:val="none"/>
              </w:rPr>
              <w:fldChar w:fldCharType="end"/>
            </w:r>
          </w:p>
        </w:tc>
        <w:tc>
          <w:tcPr>
            <w:tcW w:w="1431" w:type="dxa"/>
            <w:shd w:val="clear" w:color="auto" w:fill="auto"/>
            <w:noWrap/>
            <w:vAlign w:val="bottom"/>
            <w:hideMark/>
          </w:tcPr>
          <w:p w14:paraId="24B820B0" w14:textId="00DF63F3"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Australia </w:t>
            </w:r>
          </w:p>
        </w:tc>
        <w:tc>
          <w:tcPr>
            <w:tcW w:w="1349" w:type="dxa"/>
            <w:shd w:val="clear" w:color="auto" w:fill="auto"/>
            <w:noWrap/>
            <w:vAlign w:val="bottom"/>
            <w:hideMark/>
          </w:tcPr>
          <w:p w14:paraId="46CAC698"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Quantitative</w:t>
            </w:r>
          </w:p>
        </w:tc>
        <w:tc>
          <w:tcPr>
            <w:tcW w:w="1553" w:type="dxa"/>
            <w:shd w:val="clear" w:color="auto" w:fill="auto"/>
            <w:noWrap/>
            <w:vAlign w:val="bottom"/>
            <w:hideMark/>
          </w:tcPr>
          <w:p w14:paraId="6C319A12"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Psychosocial </w:t>
            </w:r>
          </w:p>
        </w:tc>
        <w:tc>
          <w:tcPr>
            <w:tcW w:w="1479" w:type="dxa"/>
            <w:shd w:val="clear" w:color="auto" w:fill="auto"/>
            <w:noWrap/>
            <w:vAlign w:val="bottom"/>
            <w:hideMark/>
          </w:tcPr>
          <w:p w14:paraId="38FBC0A8"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proofErr w:type="spellStart"/>
            <w:r w:rsidRPr="00D21EBF">
              <w:rPr>
                <w:rFonts w:ascii="Aptos Narrow" w:eastAsia="Times New Roman" w:hAnsi="Aptos Narrow" w:cs="Times New Roman"/>
                <w:color w:val="000000"/>
                <w:lang w:eastAsia="en-AU"/>
                <w14:ligatures w14:val="none"/>
              </w:rPr>
              <w:t>PwD</w:t>
            </w:r>
            <w:proofErr w:type="spellEnd"/>
          </w:p>
        </w:tc>
        <w:tc>
          <w:tcPr>
            <w:tcW w:w="1634" w:type="dxa"/>
            <w:shd w:val="clear" w:color="auto" w:fill="auto"/>
            <w:vAlign w:val="bottom"/>
            <w:hideMark/>
          </w:tcPr>
          <w:p w14:paraId="735B3813" w14:textId="77777777" w:rsidR="00E82A9A" w:rsidRPr="00D21EBF" w:rsidRDefault="00E82A9A" w:rsidP="00E82A9A">
            <w:pPr>
              <w:spacing w:after="0" w:line="240" w:lineRule="auto"/>
              <w:rPr>
                <w:rFonts w:ascii="Aptos Narrow" w:eastAsia="Times New Roman" w:hAnsi="Aptos Narrow" w:cs="Times New Roman"/>
                <w:color w:val="000000" w:themeColor="text1"/>
                <w:lang w:eastAsia="en-AU"/>
                <w14:ligatures w14:val="none"/>
              </w:rPr>
            </w:pPr>
            <w:r w:rsidRPr="00D21EBF">
              <w:rPr>
                <w:rFonts w:ascii="Aptos Narrow" w:eastAsia="Times New Roman" w:hAnsi="Aptos Narrow" w:cs="Times New Roman"/>
                <w:color w:val="000000" w:themeColor="text1"/>
                <w:lang w:eastAsia="en-AU"/>
                <w14:ligatures w14:val="none"/>
              </w:rPr>
              <w:t> </w:t>
            </w:r>
          </w:p>
        </w:tc>
        <w:tc>
          <w:tcPr>
            <w:tcW w:w="1439" w:type="dxa"/>
            <w:shd w:val="clear" w:color="auto" w:fill="auto"/>
            <w:vAlign w:val="bottom"/>
            <w:hideMark/>
          </w:tcPr>
          <w:p w14:paraId="0D832558"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Hospital specialist services  </w:t>
            </w:r>
          </w:p>
        </w:tc>
        <w:tc>
          <w:tcPr>
            <w:tcW w:w="1670" w:type="dxa"/>
            <w:shd w:val="clear" w:color="auto" w:fill="auto"/>
            <w:vAlign w:val="bottom"/>
            <w:hideMark/>
          </w:tcPr>
          <w:p w14:paraId="7B3C5EEE"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Support services </w:t>
            </w:r>
          </w:p>
        </w:tc>
        <w:tc>
          <w:tcPr>
            <w:tcW w:w="447" w:type="dxa"/>
            <w:shd w:val="clear" w:color="auto" w:fill="auto"/>
            <w:noWrap/>
            <w:vAlign w:val="bottom"/>
            <w:hideMark/>
          </w:tcPr>
          <w:p w14:paraId="5612D8FB"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390" w:type="dxa"/>
            <w:shd w:val="clear" w:color="auto" w:fill="auto"/>
            <w:noWrap/>
            <w:vAlign w:val="bottom"/>
            <w:hideMark/>
          </w:tcPr>
          <w:p w14:paraId="2C1AED3A"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442" w:type="dxa"/>
            <w:shd w:val="clear" w:color="auto" w:fill="auto"/>
            <w:noWrap/>
            <w:vAlign w:val="bottom"/>
            <w:hideMark/>
          </w:tcPr>
          <w:p w14:paraId="200B8DF5"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692" w:type="dxa"/>
            <w:shd w:val="clear" w:color="auto" w:fill="auto"/>
            <w:noWrap/>
            <w:vAlign w:val="bottom"/>
            <w:hideMark/>
          </w:tcPr>
          <w:p w14:paraId="7651B935"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77" w:type="dxa"/>
            <w:shd w:val="clear" w:color="auto" w:fill="auto"/>
            <w:noWrap/>
            <w:vAlign w:val="bottom"/>
            <w:hideMark/>
          </w:tcPr>
          <w:p w14:paraId="383B11DA"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05" w:type="dxa"/>
            <w:shd w:val="clear" w:color="auto" w:fill="auto"/>
            <w:noWrap/>
            <w:vAlign w:val="bottom"/>
            <w:hideMark/>
          </w:tcPr>
          <w:p w14:paraId="4D28ABBD"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r>
      <w:tr w:rsidR="00E82A9A" w:rsidRPr="00D21EBF" w14:paraId="6F4DC6A3" w14:textId="77777777" w:rsidTr="005B32AC">
        <w:trPr>
          <w:trHeight w:val="310"/>
        </w:trPr>
        <w:tc>
          <w:tcPr>
            <w:tcW w:w="1356" w:type="dxa"/>
          </w:tcPr>
          <w:p w14:paraId="0EB90AC4" w14:textId="42DDF95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fldChar w:fldCharType="begin"/>
            </w:r>
            <w:r>
              <w:rPr>
                <w:rFonts w:ascii="Aptos Narrow" w:eastAsia="Times New Roman" w:hAnsi="Aptos Narrow" w:cs="Times New Roman"/>
                <w:color w:val="000000"/>
                <w:lang w:eastAsia="en-AU"/>
                <w14:ligatures w14:val="none"/>
              </w:rPr>
              <w:instrText xml:space="preserve"> ADDIN EN.CITE &lt;EndNote&gt;&lt;Cite&gt;&lt;Author&gt;Harvey&lt;/Author&gt;&lt;Year&gt;2016&lt;/Year&gt;&lt;RecNum&gt;50183&lt;/RecNum&gt;&lt;DisplayText&gt;(Harvey et al., 2016)&lt;/DisplayText&gt;&lt;record&gt;&lt;rec-number&gt;50183&lt;/rec-number&gt;&lt;foreign-keys&gt;&lt;key app="EN" db-id="feav29prs929zneaprxvex2z55wwe0dtx9rf" timestamp="1742949803" guid="cde1d894-d7ac-4c90-8a88-425356c7827e"&gt;50183&lt;/key&gt;&lt;/foreign-keys&gt;&lt;ref-type name="Journal Article"&gt;17&lt;/ref-type&gt;&lt;contributors&gt;&lt;authors&gt;&lt;author&gt;Harvey, Carol&lt;/author&gt;&lt;author&gt;Brophy, Lisa&lt;/author&gt;&lt;author&gt;Parsons, Samuel&lt;/author&gt;&lt;author&gt;Moeller-Saxone, Kristen&lt;/author&gt;&lt;author&gt;Grigg, Margaret&lt;/author&gt;&lt;author&gt;Siskind, Dan&lt;/author&gt;&lt;/authors&gt;&lt;/contributors&gt;&lt;titles&gt;&lt;title&gt;People living with psychosocial disability: Rehabilitation and recovery-informed service provision within the second Australian national survey of psychosis&lt;/title&gt;&lt;secondary-title&gt;Australian and New Zealand Journal of Psychiatry&lt;/secondary-title&gt;&lt;/titles&gt;&lt;periodical&gt;&lt;full-title&gt;Australian and New Zealand Journal of Psychiatry&lt;/full-title&gt;&lt;abbr-1&gt;Aust. New Zealand J. Psychiatry&lt;/abbr-1&gt;&lt;/periodical&gt;&lt;pages&gt;534-547&lt;/pages&gt;&lt;volume&gt;50&lt;/volume&gt;&lt;number&gt;6&lt;/number&gt;&lt;dates&gt;&lt;year&gt;2016&lt;/year&gt;&lt;/dates&gt;&lt;pub-location&gt;US&lt;/pub-location&gt;&lt;publisher&gt;Sage PublicationsUS&lt;/publisher&gt;&lt;urls&gt;&lt;/urls&gt;&lt;electronic-resource-num&gt;https://dx.doi.org/10.1177/0004867415610437&lt;/electronic-resource-num&gt;&lt;/record&gt;&lt;/Cite&gt;&lt;/EndNote&gt;</w:instrText>
            </w:r>
            <w:r>
              <w:rPr>
                <w:rFonts w:ascii="Aptos Narrow" w:eastAsia="Times New Roman" w:hAnsi="Aptos Narrow" w:cs="Times New Roman"/>
                <w:color w:val="000000"/>
                <w:lang w:eastAsia="en-AU"/>
                <w14:ligatures w14:val="none"/>
              </w:rPr>
              <w:fldChar w:fldCharType="separate"/>
            </w:r>
            <w:r>
              <w:rPr>
                <w:rFonts w:ascii="Aptos Narrow" w:eastAsia="Times New Roman" w:hAnsi="Aptos Narrow" w:cs="Times New Roman"/>
                <w:noProof/>
                <w:color w:val="000000"/>
                <w:lang w:eastAsia="en-AU"/>
                <w14:ligatures w14:val="none"/>
              </w:rPr>
              <w:t>(Harvey et al., 2016)</w:t>
            </w:r>
            <w:r>
              <w:rPr>
                <w:rFonts w:ascii="Aptos Narrow" w:eastAsia="Times New Roman" w:hAnsi="Aptos Narrow" w:cs="Times New Roman"/>
                <w:color w:val="000000"/>
                <w:lang w:eastAsia="en-AU"/>
                <w14:ligatures w14:val="none"/>
              </w:rPr>
              <w:fldChar w:fldCharType="end"/>
            </w:r>
          </w:p>
        </w:tc>
        <w:tc>
          <w:tcPr>
            <w:tcW w:w="1431" w:type="dxa"/>
            <w:shd w:val="clear" w:color="auto" w:fill="auto"/>
            <w:noWrap/>
            <w:vAlign w:val="bottom"/>
            <w:hideMark/>
          </w:tcPr>
          <w:p w14:paraId="37706CBF" w14:textId="40A82C52"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Australia </w:t>
            </w:r>
          </w:p>
        </w:tc>
        <w:tc>
          <w:tcPr>
            <w:tcW w:w="1349" w:type="dxa"/>
            <w:shd w:val="clear" w:color="auto" w:fill="auto"/>
            <w:noWrap/>
            <w:vAlign w:val="bottom"/>
            <w:hideMark/>
          </w:tcPr>
          <w:p w14:paraId="6F089C0C"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Quantitative</w:t>
            </w:r>
          </w:p>
        </w:tc>
        <w:tc>
          <w:tcPr>
            <w:tcW w:w="1553" w:type="dxa"/>
            <w:shd w:val="clear" w:color="auto" w:fill="auto"/>
            <w:noWrap/>
            <w:vAlign w:val="bottom"/>
            <w:hideMark/>
          </w:tcPr>
          <w:p w14:paraId="38576F32"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Psychosocial </w:t>
            </w:r>
          </w:p>
        </w:tc>
        <w:tc>
          <w:tcPr>
            <w:tcW w:w="1479" w:type="dxa"/>
            <w:shd w:val="clear" w:color="auto" w:fill="auto"/>
            <w:noWrap/>
            <w:vAlign w:val="bottom"/>
            <w:hideMark/>
          </w:tcPr>
          <w:p w14:paraId="11989159"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proofErr w:type="spellStart"/>
            <w:r w:rsidRPr="00D21EBF">
              <w:rPr>
                <w:rFonts w:ascii="Aptos Narrow" w:eastAsia="Times New Roman" w:hAnsi="Aptos Narrow" w:cs="Times New Roman"/>
                <w:color w:val="000000"/>
                <w:lang w:eastAsia="en-AU"/>
                <w14:ligatures w14:val="none"/>
              </w:rPr>
              <w:t>PwD</w:t>
            </w:r>
            <w:proofErr w:type="spellEnd"/>
          </w:p>
        </w:tc>
        <w:tc>
          <w:tcPr>
            <w:tcW w:w="1634" w:type="dxa"/>
            <w:shd w:val="clear" w:color="auto" w:fill="auto"/>
            <w:vAlign w:val="bottom"/>
            <w:hideMark/>
          </w:tcPr>
          <w:p w14:paraId="754F238A" w14:textId="77777777" w:rsidR="00E82A9A" w:rsidRPr="00D21EBF" w:rsidRDefault="00E82A9A" w:rsidP="00E82A9A">
            <w:pPr>
              <w:spacing w:after="0" w:line="240" w:lineRule="auto"/>
              <w:rPr>
                <w:rFonts w:ascii="Aptos Narrow" w:eastAsia="Times New Roman" w:hAnsi="Aptos Narrow" w:cs="Times New Roman"/>
                <w:color w:val="000000" w:themeColor="text1"/>
                <w:lang w:eastAsia="en-AU"/>
                <w14:ligatures w14:val="none"/>
              </w:rPr>
            </w:pPr>
            <w:r w:rsidRPr="00D21EBF">
              <w:rPr>
                <w:rFonts w:ascii="Aptos Narrow" w:eastAsia="Times New Roman" w:hAnsi="Aptos Narrow" w:cs="Times New Roman"/>
                <w:color w:val="000000" w:themeColor="text1"/>
                <w:lang w:eastAsia="en-AU"/>
                <w14:ligatures w14:val="none"/>
              </w:rPr>
              <w:t> </w:t>
            </w:r>
          </w:p>
        </w:tc>
        <w:tc>
          <w:tcPr>
            <w:tcW w:w="1439" w:type="dxa"/>
            <w:shd w:val="clear" w:color="auto" w:fill="auto"/>
            <w:vAlign w:val="bottom"/>
            <w:hideMark/>
          </w:tcPr>
          <w:p w14:paraId="781355BF"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Mental health service </w:t>
            </w:r>
          </w:p>
        </w:tc>
        <w:tc>
          <w:tcPr>
            <w:tcW w:w="1670" w:type="dxa"/>
            <w:shd w:val="clear" w:color="auto" w:fill="auto"/>
            <w:vAlign w:val="bottom"/>
            <w:hideMark/>
          </w:tcPr>
          <w:p w14:paraId="18CD80E4"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447" w:type="dxa"/>
            <w:shd w:val="clear" w:color="auto" w:fill="auto"/>
            <w:noWrap/>
            <w:vAlign w:val="bottom"/>
            <w:hideMark/>
          </w:tcPr>
          <w:p w14:paraId="1ED67216"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390" w:type="dxa"/>
            <w:shd w:val="clear" w:color="auto" w:fill="auto"/>
            <w:noWrap/>
            <w:vAlign w:val="bottom"/>
            <w:hideMark/>
          </w:tcPr>
          <w:p w14:paraId="23E385DE"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442" w:type="dxa"/>
            <w:shd w:val="clear" w:color="auto" w:fill="auto"/>
            <w:noWrap/>
            <w:vAlign w:val="bottom"/>
            <w:hideMark/>
          </w:tcPr>
          <w:p w14:paraId="6A936140"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692" w:type="dxa"/>
            <w:shd w:val="clear" w:color="auto" w:fill="auto"/>
            <w:noWrap/>
            <w:vAlign w:val="bottom"/>
            <w:hideMark/>
          </w:tcPr>
          <w:p w14:paraId="3306B8A8"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77" w:type="dxa"/>
            <w:shd w:val="clear" w:color="auto" w:fill="auto"/>
            <w:noWrap/>
            <w:vAlign w:val="bottom"/>
            <w:hideMark/>
          </w:tcPr>
          <w:p w14:paraId="23E6C7CB"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05" w:type="dxa"/>
            <w:shd w:val="clear" w:color="auto" w:fill="auto"/>
            <w:noWrap/>
            <w:vAlign w:val="bottom"/>
            <w:hideMark/>
          </w:tcPr>
          <w:p w14:paraId="678B8A84"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r>
      <w:tr w:rsidR="00E82A9A" w:rsidRPr="00D21EBF" w14:paraId="09A85123" w14:textId="77777777" w:rsidTr="005B32AC">
        <w:trPr>
          <w:trHeight w:val="310"/>
        </w:trPr>
        <w:tc>
          <w:tcPr>
            <w:tcW w:w="1356" w:type="dxa"/>
          </w:tcPr>
          <w:p w14:paraId="580E7CAB" w14:textId="791CB8FC"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fldChar w:fldCharType="begin"/>
            </w:r>
            <w:r>
              <w:rPr>
                <w:rFonts w:ascii="Aptos Narrow" w:eastAsia="Times New Roman" w:hAnsi="Aptos Narrow" w:cs="Times New Roman"/>
                <w:color w:val="000000"/>
                <w:lang w:eastAsia="en-AU"/>
                <w14:ligatures w14:val="none"/>
              </w:rPr>
              <w:instrText xml:space="preserve"> ADDIN EN.CITE &lt;EndNote&gt;&lt;Cite&gt;&lt;Author&gt;Devine&lt;/Author&gt;&lt;Year&gt;2020&lt;/Year&gt;&lt;RecNum&gt;50182&lt;/RecNum&gt;&lt;DisplayText&gt;(Devine et al., 2020)&lt;/DisplayText&gt;&lt;record&gt;&lt;rec-number&gt;50182&lt;/rec-number&gt;&lt;foreign-keys&gt;&lt;key app="EN" db-id="feav29prs929zneaprxvex2z55wwe0dtx9rf" timestamp="1742949803" guid="1708c39f-b59d-446f-94bb-d5d25c2a95ed"&gt;50182&lt;/key&gt;&lt;/foreign-keys&gt;&lt;ref-type name="Journal Article"&gt;17&lt;/ref-type&gt;&lt;contributors&gt;&lt;authors&gt;&lt;author&gt;Devine, Alexandra&lt;/author&gt;&lt;author&gt;Vaughan, Cathy&lt;/author&gt;&lt;author&gt;Kavanagh, Anne&lt;/author&gt;&lt;/authors&gt;&lt;/contributors&gt;&lt;titles&gt;&lt;title&gt;If I had stable housing I would be a bit more receptive to having a job. Factors influencing the effectiveness of Disability Employment Services reform&lt;/title&gt;&lt;secondary-title&gt;Work: Journal of Prevention, Assessment &amp;amp; Rehabilitation&lt;/secondary-title&gt;&lt;/titles&gt;&lt;periodical&gt;&lt;full-title&gt;Work: Journal of Prevention, Assessment &amp;amp; Rehabilitation&lt;/full-title&gt;&lt;/periodical&gt;&lt;pages&gt;775-787&lt;/pages&gt;&lt;volume&gt;65&lt;/volume&gt;&lt;number&gt;4&lt;/number&gt;&lt;dates&gt;&lt;year&gt;2020&lt;/year&gt;&lt;/dates&gt;&lt;pub-location&gt;Netherlands&lt;/pub-location&gt;&lt;publisher&gt;IOS PressNetherlands&lt;/publisher&gt;&lt;urls&gt;&lt;/urls&gt;&lt;electronic-resource-num&gt;https://dx.doi.org/10.3233/WOR-203130&lt;/electronic-resource-num&gt;&lt;/record&gt;&lt;/Cite&gt;&lt;/EndNote&gt;</w:instrText>
            </w:r>
            <w:r>
              <w:rPr>
                <w:rFonts w:ascii="Aptos Narrow" w:eastAsia="Times New Roman" w:hAnsi="Aptos Narrow" w:cs="Times New Roman"/>
                <w:color w:val="000000"/>
                <w:lang w:eastAsia="en-AU"/>
                <w14:ligatures w14:val="none"/>
              </w:rPr>
              <w:fldChar w:fldCharType="separate"/>
            </w:r>
            <w:r>
              <w:rPr>
                <w:rFonts w:ascii="Aptos Narrow" w:eastAsia="Times New Roman" w:hAnsi="Aptos Narrow" w:cs="Times New Roman"/>
                <w:noProof/>
                <w:color w:val="000000"/>
                <w:lang w:eastAsia="en-AU"/>
                <w14:ligatures w14:val="none"/>
              </w:rPr>
              <w:t>(Devine et al., 2020)</w:t>
            </w:r>
            <w:r>
              <w:rPr>
                <w:rFonts w:ascii="Aptos Narrow" w:eastAsia="Times New Roman" w:hAnsi="Aptos Narrow" w:cs="Times New Roman"/>
                <w:color w:val="000000"/>
                <w:lang w:eastAsia="en-AU"/>
                <w14:ligatures w14:val="none"/>
              </w:rPr>
              <w:fldChar w:fldCharType="end"/>
            </w:r>
          </w:p>
        </w:tc>
        <w:tc>
          <w:tcPr>
            <w:tcW w:w="1431" w:type="dxa"/>
            <w:shd w:val="clear" w:color="auto" w:fill="auto"/>
            <w:noWrap/>
            <w:vAlign w:val="bottom"/>
            <w:hideMark/>
          </w:tcPr>
          <w:p w14:paraId="0D58DE1C" w14:textId="6BDEA936"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Australia </w:t>
            </w:r>
          </w:p>
        </w:tc>
        <w:tc>
          <w:tcPr>
            <w:tcW w:w="1349" w:type="dxa"/>
            <w:shd w:val="clear" w:color="auto" w:fill="auto"/>
            <w:noWrap/>
            <w:vAlign w:val="bottom"/>
            <w:hideMark/>
          </w:tcPr>
          <w:p w14:paraId="254D8E46"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Qualitative</w:t>
            </w:r>
          </w:p>
        </w:tc>
        <w:tc>
          <w:tcPr>
            <w:tcW w:w="1553" w:type="dxa"/>
            <w:shd w:val="clear" w:color="auto" w:fill="auto"/>
            <w:noWrap/>
            <w:vAlign w:val="bottom"/>
            <w:hideMark/>
          </w:tcPr>
          <w:p w14:paraId="2B57CC74"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Psychosocial </w:t>
            </w:r>
          </w:p>
        </w:tc>
        <w:tc>
          <w:tcPr>
            <w:tcW w:w="1479" w:type="dxa"/>
            <w:shd w:val="clear" w:color="auto" w:fill="auto"/>
            <w:noWrap/>
            <w:vAlign w:val="bottom"/>
            <w:hideMark/>
          </w:tcPr>
          <w:p w14:paraId="7B0B9CF0"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proofErr w:type="spellStart"/>
            <w:r w:rsidRPr="00D21EBF">
              <w:rPr>
                <w:rFonts w:ascii="Aptos Narrow" w:eastAsia="Times New Roman" w:hAnsi="Aptos Narrow" w:cs="Times New Roman"/>
                <w:color w:val="000000"/>
                <w:lang w:eastAsia="en-AU"/>
                <w14:ligatures w14:val="none"/>
              </w:rPr>
              <w:t>PwD</w:t>
            </w:r>
            <w:proofErr w:type="spellEnd"/>
          </w:p>
        </w:tc>
        <w:tc>
          <w:tcPr>
            <w:tcW w:w="1634" w:type="dxa"/>
            <w:shd w:val="clear" w:color="auto" w:fill="auto"/>
            <w:vAlign w:val="bottom"/>
            <w:hideMark/>
          </w:tcPr>
          <w:p w14:paraId="4F834B8F" w14:textId="77777777" w:rsidR="00E82A9A" w:rsidRPr="00D21EBF" w:rsidRDefault="00E82A9A" w:rsidP="00E82A9A">
            <w:pPr>
              <w:spacing w:after="0" w:line="240" w:lineRule="auto"/>
              <w:rPr>
                <w:rFonts w:ascii="Aptos Narrow" w:eastAsia="Times New Roman" w:hAnsi="Aptos Narrow" w:cs="Times New Roman"/>
                <w:color w:val="000000" w:themeColor="text1"/>
                <w:lang w:eastAsia="en-AU"/>
                <w14:ligatures w14:val="none"/>
              </w:rPr>
            </w:pPr>
            <w:r w:rsidRPr="00D21EBF">
              <w:rPr>
                <w:rFonts w:ascii="Aptos Narrow" w:eastAsia="Times New Roman" w:hAnsi="Aptos Narrow" w:cs="Times New Roman"/>
                <w:color w:val="000000" w:themeColor="text1"/>
                <w:lang w:eastAsia="en-AU"/>
                <w14:ligatures w14:val="none"/>
              </w:rPr>
              <w:t> </w:t>
            </w:r>
          </w:p>
        </w:tc>
        <w:tc>
          <w:tcPr>
            <w:tcW w:w="1439" w:type="dxa"/>
            <w:shd w:val="clear" w:color="auto" w:fill="auto"/>
            <w:vAlign w:val="bottom"/>
            <w:hideMark/>
          </w:tcPr>
          <w:p w14:paraId="7AF6909A"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1670" w:type="dxa"/>
            <w:shd w:val="clear" w:color="auto" w:fill="auto"/>
            <w:vAlign w:val="bottom"/>
            <w:hideMark/>
          </w:tcPr>
          <w:p w14:paraId="6016541D"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Disability employment services</w:t>
            </w:r>
          </w:p>
        </w:tc>
        <w:tc>
          <w:tcPr>
            <w:tcW w:w="447" w:type="dxa"/>
            <w:shd w:val="clear" w:color="auto" w:fill="auto"/>
            <w:noWrap/>
            <w:vAlign w:val="bottom"/>
            <w:hideMark/>
          </w:tcPr>
          <w:p w14:paraId="53A5B33A"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390" w:type="dxa"/>
            <w:shd w:val="clear" w:color="auto" w:fill="auto"/>
            <w:noWrap/>
            <w:vAlign w:val="bottom"/>
            <w:hideMark/>
          </w:tcPr>
          <w:p w14:paraId="16D997FB"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442" w:type="dxa"/>
            <w:shd w:val="clear" w:color="auto" w:fill="auto"/>
            <w:noWrap/>
            <w:vAlign w:val="bottom"/>
            <w:hideMark/>
          </w:tcPr>
          <w:p w14:paraId="34A83ED8"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692" w:type="dxa"/>
            <w:shd w:val="clear" w:color="auto" w:fill="auto"/>
            <w:noWrap/>
            <w:vAlign w:val="bottom"/>
            <w:hideMark/>
          </w:tcPr>
          <w:p w14:paraId="357FA2F6"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577" w:type="dxa"/>
            <w:shd w:val="clear" w:color="auto" w:fill="auto"/>
            <w:noWrap/>
            <w:vAlign w:val="bottom"/>
            <w:hideMark/>
          </w:tcPr>
          <w:p w14:paraId="7C9B7D92"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05" w:type="dxa"/>
            <w:shd w:val="clear" w:color="auto" w:fill="auto"/>
            <w:noWrap/>
            <w:vAlign w:val="bottom"/>
            <w:hideMark/>
          </w:tcPr>
          <w:p w14:paraId="742D51CE"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r>
      <w:tr w:rsidR="00E82A9A" w:rsidRPr="00D21EBF" w14:paraId="199269DF" w14:textId="77777777" w:rsidTr="005B32AC">
        <w:trPr>
          <w:trHeight w:val="310"/>
        </w:trPr>
        <w:tc>
          <w:tcPr>
            <w:tcW w:w="1356" w:type="dxa"/>
          </w:tcPr>
          <w:p w14:paraId="097FA3DA" w14:textId="705D1258"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fldChar w:fldCharType="begin"/>
            </w:r>
            <w:r>
              <w:rPr>
                <w:rFonts w:ascii="Aptos Narrow" w:eastAsia="Times New Roman" w:hAnsi="Aptos Narrow" w:cs="Times New Roman"/>
                <w:color w:val="000000"/>
                <w:lang w:eastAsia="en-AU"/>
                <w14:ligatures w14:val="none"/>
              </w:rPr>
              <w:instrText xml:space="preserve"> ADDIN EN.CITE &lt;EndNote&gt;&lt;Cite&gt;&lt;Author&gt;Lambeth&lt;/Author&gt;&lt;Year&gt;2024&lt;/Year&gt;&lt;RecNum&gt;50181&lt;/RecNum&gt;&lt;DisplayText&gt;(Lambeth et al., 2024)&lt;/DisplayText&gt;&lt;record&gt;&lt;rec-number&gt;50181&lt;/rec-number&gt;&lt;foreign-keys&gt;&lt;key app="EN" db-id="feav29prs929zneaprxvex2z55wwe0dtx9rf" timestamp="1742949803" guid="0b96b945-24ba-496a-aadc-b77b5dd6d3a2"&gt;50181&lt;/key&gt;&lt;/foreign-keys&gt;&lt;ref-type name="Journal Article"&gt;17&lt;/ref-type&gt;&lt;contributors&gt;&lt;authors&gt;&lt;author&gt;Lambeth, Chris&lt;/author&gt;&lt;author&gt;Burgess, Philip&lt;/author&gt;&lt;author&gt;Curtis, Jackie&lt;/author&gt;&lt;author&gt;Currow, David&lt;/author&gt;&lt;author&gt;Sara, Grant&lt;/author&gt;&lt;/authors&gt;&lt;/contributors&gt;&lt;titles&gt;&lt;title&gt;Breast cancer screening participation in women using mental health services in NSW, Australia: A population study&lt;/title&gt;&lt;secondary-title&gt;Social Psychiatry and Psychiatric Epidemiology: The International Journal for Research in Social and Genetic Epidemiology and Mental Health Services&lt;/secondary-title&gt;&lt;/titles&gt;&lt;periodical&gt;&lt;full-title&gt;Social Psychiatry and Psychiatric Epidemiology: The International Journal for Research in Social and Genetic Epidemiology and Mental Health Services&lt;/full-title&gt;&lt;/periodical&gt;&lt;pages&gt;839-846&lt;/pages&gt;&lt;volume&gt;59&lt;/volume&gt;&lt;number&gt;5&lt;/number&gt;&lt;dates&gt;&lt;year&gt;2024&lt;/year&gt;&lt;/dates&gt;&lt;pub-location&gt;Germany&lt;/pub-location&gt;&lt;publisher&gt;SpringerGermany&lt;/publisher&gt;&lt;urls&gt;&lt;/urls&gt;&lt;electronic-resource-num&gt;https://dx.doi.org/10.1007/s00127-023-02509-w&lt;/electronic-resource-num&gt;&lt;/record&gt;&lt;/Cite&gt;&lt;/EndNote&gt;</w:instrText>
            </w:r>
            <w:r>
              <w:rPr>
                <w:rFonts w:ascii="Aptos Narrow" w:eastAsia="Times New Roman" w:hAnsi="Aptos Narrow" w:cs="Times New Roman"/>
                <w:color w:val="000000"/>
                <w:lang w:eastAsia="en-AU"/>
                <w14:ligatures w14:val="none"/>
              </w:rPr>
              <w:fldChar w:fldCharType="separate"/>
            </w:r>
            <w:r>
              <w:rPr>
                <w:rFonts w:ascii="Aptos Narrow" w:eastAsia="Times New Roman" w:hAnsi="Aptos Narrow" w:cs="Times New Roman"/>
                <w:noProof/>
                <w:color w:val="000000"/>
                <w:lang w:eastAsia="en-AU"/>
                <w14:ligatures w14:val="none"/>
              </w:rPr>
              <w:t>(Lambeth et al., 2024)</w:t>
            </w:r>
            <w:r>
              <w:rPr>
                <w:rFonts w:ascii="Aptos Narrow" w:eastAsia="Times New Roman" w:hAnsi="Aptos Narrow" w:cs="Times New Roman"/>
                <w:color w:val="000000"/>
                <w:lang w:eastAsia="en-AU"/>
                <w14:ligatures w14:val="none"/>
              </w:rPr>
              <w:fldChar w:fldCharType="end"/>
            </w:r>
          </w:p>
        </w:tc>
        <w:tc>
          <w:tcPr>
            <w:tcW w:w="1431" w:type="dxa"/>
            <w:shd w:val="clear" w:color="auto" w:fill="auto"/>
            <w:noWrap/>
            <w:vAlign w:val="bottom"/>
            <w:hideMark/>
          </w:tcPr>
          <w:p w14:paraId="6348A329" w14:textId="3ED1964B"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NSW</w:t>
            </w:r>
          </w:p>
        </w:tc>
        <w:tc>
          <w:tcPr>
            <w:tcW w:w="1349" w:type="dxa"/>
            <w:shd w:val="clear" w:color="auto" w:fill="auto"/>
            <w:noWrap/>
            <w:vAlign w:val="bottom"/>
            <w:hideMark/>
          </w:tcPr>
          <w:p w14:paraId="74A83F79"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Quantitative</w:t>
            </w:r>
          </w:p>
        </w:tc>
        <w:tc>
          <w:tcPr>
            <w:tcW w:w="1553" w:type="dxa"/>
            <w:shd w:val="clear" w:color="auto" w:fill="auto"/>
            <w:noWrap/>
            <w:vAlign w:val="bottom"/>
            <w:hideMark/>
          </w:tcPr>
          <w:p w14:paraId="7597EE27"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Psychosocial </w:t>
            </w:r>
          </w:p>
        </w:tc>
        <w:tc>
          <w:tcPr>
            <w:tcW w:w="1479" w:type="dxa"/>
            <w:shd w:val="clear" w:color="auto" w:fill="auto"/>
            <w:noWrap/>
            <w:vAlign w:val="bottom"/>
            <w:hideMark/>
          </w:tcPr>
          <w:p w14:paraId="4E25E2B5"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proofErr w:type="spellStart"/>
            <w:r w:rsidRPr="00D21EBF">
              <w:rPr>
                <w:rFonts w:ascii="Aptos Narrow" w:eastAsia="Times New Roman" w:hAnsi="Aptos Narrow" w:cs="Times New Roman"/>
                <w:color w:val="000000"/>
                <w:lang w:eastAsia="en-AU"/>
                <w14:ligatures w14:val="none"/>
              </w:rPr>
              <w:t>PwD</w:t>
            </w:r>
            <w:proofErr w:type="spellEnd"/>
          </w:p>
        </w:tc>
        <w:tc>
          <w:tcPr>
            <w:tcW w:w="1634" w:type="dxa"/>
            <w:shd w:val="clear" w:color="auto" w:fill="auto"/>
            <w:vAlign w:val="bottom"/>
            <w:hideMark/>
          </w:tcPr>
          <w:p w14:paraId="588827C7" w14:textId="77777777" w:rsidR="00E82A9A" w:rsidRPr="00D21EBF" w:rsidRDefault="00E82A9A" w:rsidP="00E82A9A">
            <w:pPr>
              <w:spacing w:after="0" w:line="240" w:lineRule="auto"/>
              <w:rPr>
                <w:rFonts w:ascii="Aptos Narrow" w:eastAsia="Times New Roman" w:hAnsi="Aptos Narrow" w:cs="Times New Roman"/>
                <w:color w:val="000000" w:themeColor="text1"/>
                <w:lang w:eastAsia="en-AU"/>
                <w14:ligatures w14:val="none"/>
              </w:rPr>
            </w:pPr>
            <w:r w:rsidRPr="00D21EBF">
              <w:rPr>
                <w:rFonts w:ascii="Aptos Narrow" w:eastAsia="Times New Roman" w:hAnsi="Aptos Narrow" w:cs="Times New Roman"/>
                <w:color w:val="000000" w:themeColor="text1"/>
                <w:lang w:eastAsia="en-AU"/>
                <w14:ligatures w14:val="none"/>
              </w:rPr>
              <w:t xml:space="preserve">Women </w:t>
            </w:r>
          </w:p>
        </w:tc>
        <w:tc>
          <w:tcPr>
            <w:tcW w:w="1439" w:type="dxa"/>
            <w:shd w:val="clear" w:color="auto" w:fill="auto"/>
            <w:vAlign w:val="bottom"/>
            <w:hideMark/>
          </w:tcPr>
          <w:p w14:paraId="7A6AEBE2"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Breast cancer screening </w:t>
            </w:r>
          </w:p>
        </w:tc>
        <w:tc>
          <w:tcPr>
            <w:tcW w:w="1670" w:type="dxa"/>
            <w:shd w:val="clear" w:color="auto" w:fill="auto"/>
            <w:vAlign w:val="bottom"/>
            <w:hideMark/>
          </w:tcPr>
          <w:p w14:paraId="72E84133"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447" w:type="dxa"/>
            <w:shd w:val="clear" w:color="auto" w:fill="auto"/>
            <w:noWrap/>
            <w:vAlign w:val="bottom"/>
            <w:hideMark/>
          </w:tcPr>
          <w:p w14:paraId="531A245B"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390" w:type="dxa"/>
            <w:shd w:val="clear" w:color="auto" w:fill="auto"/>
            <w:noWrap/>
            <w:vAlign w:val="bottom"/>
            <w:hideMark/>
          </w:tcPr>
          <w:p w14:paraId="2CF1A761"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442" w:type="dxa"/>
            <w:shd w:val="clear" w:color="auto" w:fill="auto"/>
            <w:noWrap/>
            <w:vAlign w:val="bottom"/>
            <w:hideMark/>
          </w:tcPr>
          <w:p w14:paraId="4DAEF26E"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692" w:type="dxa"/>
            <w:shd w:val="clear" w:color="auto" w:fill="auto"/>
            <w:noWrap/>
            <w:vAlign w:val="bottom"/>
            <w:hideMark/>
          </w:tcPr>
          <w:p w14:paraId="4B9736A9"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77" w:type="dxa"/>
            <w:shd w:val="clear" w:color="auto" w:fill="auto"/>
            <w:noWrap/>
            <w:vAlign w:val="bottom"/>
            <w:hideMark/>
          </w:tcPr>
          <w:p w14:paraId="0318BCED"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05" w:type="dxa"/>
            <w:shd w:val="clear" w:color="auto" w:fill="auto"/>
            <w:noWrap/>
            <w:vAlign w:val="bottom"/>
            <w:hideMark/>
          </w:tcPr>
          <w:p w14:paraId="6714872B"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r>
      <w:tr w:rsidR="00E82A9A" w:rsidRPr="00D21EBF" w14:paraId="57FF18BF" w14:textId="77777777" w:rsidTr="005B32AC">
        <w:trPr>
          <w:trHeight w:val="310"/>
        </w:trPr>
        <w:tc>
          <w:tcPr>
            <w:tcW w:w="1356" w:type="dxa"/>
          </w:tcPr>
          <w:p w14:paraId="01AB559D" w14:textId="6A86E2CE"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lastRenderedPageBreak/>
              <w:fldChar w:fldCharType="begin"/>
            </w:r>
            <w:r>
              <w:rPr>
                <w:rFonts w:ascii="Aptos Narrow" w:eastAsia="Times New Roman" w:hAnsi="Aptos Narrow" w:cs="Times New Roman"/>
                <w:color w:val="000000"/>
                <w:lang w:eastAsia="en-AU"/>
                <w14:ligatures w14:val="none"/>
              </w:rPr>
              <w:instrText xml:space="preserve"> ADDIN EN.CITE &lt;EndNote&gt;&lt;Cite&gt;&lt;Author&gt;James&lt;/Author&gt;&lt;Year&gt;2024&lt;/Year&gt;&lt;RecNum&gt;50180&lt;/RecNum&gt;&lt;DisplayText&gt;(James et al., 2024)&lt;/DisplayText&gt;&lt;record&gt;&lt;rec-number&gt;50180&lt;/rec-number&gt;&lt;foreign-keys&gt;&lt;key app="EN" db-id="feav29prs929zneaprxvex2z55wwe0dtx9rf" timestamp="1742949803" guid="249ab006-da3a-4c9f-b643-35c71a4ddcdd"&gt;50180&lt;/key&gt;&lt;/foreign-keys&gt;&lt;ref-type name="Journal Article"&gt;17&lt;/ref-type&gt;&lt;contributors&gt;&lt;authors&gt;&lt;author&gt;James, Michelle H.&lt;/author&gt;&lt;author&gt;Prokopiv, Valerie&lt;/author&gt;&lt;author&gt;Barbagallo, Michael S.&lt;/author&gt;&lt;author&gt;Porter, Joanne E.&lt;/author&gt;&lt;author&gt;Johnson, Nicholas&lt;/author&gt;&lt;author&gt;Jones, Jan&lt;/author&gt;&lt;author&gt;Smitherson, Tanisha&lt;/author&gt;&lt;/authors&gt;&lt;/contributors&gt;&lt;titles&gt;&lt;title&gt;Indigenous experiences and underutilisation of disability support services in Australia: A qualitative meta-synthesis&lt;/title&gt;&lt;secondary-title&gt;Disability and Rehabilitation: An International, Multidisciplinary Journal&lt;/secondary-title&gt;&lt;/titles&gt;&lt;periodical&gt;&lt;full-title&gt;Disability and Rehabilitation: An International, Multidisciplinary Journal&lt;/full-title&gt;&lt;/periodical&gt;&lt;pages&gt;1438-1449&lt;/pages&gt;&lt;volume&gt;46&lt;/volume&gt;&lt;number&gt;8&lt;/number&gt;&lt;dates&gt;&lt;year&gt;2024&lt;/year&gt;&lt;/dates&gt;&lt;pub-location&gt;United Kingdom&lt;/pub-location&gt;&lt;publisher&gt;Taylor &amp;amp; FrancisUnited Kingdom&lt;/publisher&gt;&lt;urls&gt;&lt;/urls&gt;&lt;electronic-resource-num&gt;https://dx.doi.org/10.1080/09638288.2023.2194681&lt;/electronic-resource-num&gt;&lt;/record&gt;&lt;/Cite&gt;&lt;/EndNote&gt;</w:instrText>
            </w:r>
            <w:r>
              <w:rPr>
                <w:rFonts w:ascii="Aptos Narrow" w:eastAsia="Times New Roman" w:hAnsi="Aptos Narrow" w:cs="Times New Roman"/>
                <w:color w:val="000000"/>
                <w:lang w:eastAsia="en-AU"/>
                <w14:ligatures w14:val="none"/>
              </w:rPr>
              <w:fldChar w:fldCharType="separate"/>
            </w:r>
            <w:r>
              <w:rPr>
                <w:rFonts w:ascii="Aptos Narrow" w:eastAsia="Times New Roman" w:hAnsi="Aptos Narrow" w:cs="Times New Roman"/>
                <w:noProof/>
                <w:color w:val="000000"/>
                <w:lang w:eastAsia="en-AU"/>
                <w14:ligatures w14:val="none"/>
              </w:rPr>
              <w:t>(James et al., 2024)</w:t>
            </w:r>
            <w:r>
              <w:rPr>
                <w:rFonts w:ascii="Aptos Narrow" w:eastAsia="Times New Roman" w:hAnsi="Aptos Narrow" w:cs="Times New Roman"/>
                <w:color w:val="000000"/>
                <w:lang w:eastAsia="en-AU"/>
                <w14:ligatures w14:val="none"/>
              </w:rPr>
              <w:fldChar w:fldCharType="end"/>
            </w:r>
          </w:p>
        </w:tc>
        <w:tc>
          <w:tcPr>
            <w:tcW w:w="1431" w:type="dxa"/>
            <w:shd w:val="clear" w:color="auto" w:fill="auto"/>
            <w:noWrap/>
            <w:vAlign w:val="bottom"/>
            <w:hideMark/>
          </w:tcPr>
          <w:p w14:paraId="58492780" w14:textId="00BD8531"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Australia </w:t>
            </w:r>
          </w:p>
        </w:tc>
        <w:tc>
          <w:tcPr>
            <w:tcW w:w="1349" w:type="dxa"/>
            <w:shd w:val="clear" w:color="auto" w:fill="auto"/>
            <w:noWrap/>
            <w:vAlign w:val="bottom"/>
            <w:hideMark/>
          </w:tcPr>
          <w:p w14:paraId="097D3CDC"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Review</w:t>
            </w:r>
          </w:p>
        </w:tc>
        <w:tc>
          <w:tcPr>
            <w:tcW w:w="1553" w:type="dxa"/>
            <w:shd w:val="clear" w:color="auto" w:fill="auto"/>
            <w:noWrap/>
            <w:vAlign w:val="bottom"/>
            <w:hideMark/>
          </w:tcPr>
          <w:p w14:paraId="249471DB" w14:textId="38C8EB7D"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Mixed </w:t>
            </w:r>
          </w:p>
        </w:tc>
        <w:tc>
          <w:tcPr>
            <w:tcW w:w="1479" w:type="dxa"/>
            <w:shd w:val="clear" w:color="auto" w:fill="auto"/>
            <w:noWrap/>
            <w:vAlign w:val="bottom"/>
            <w:hideMark/>
          </w:tcPr>
          <w:p w14:paraId="5D4BFE0D"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proofErr w:type="spellStart"/>
            <w:r w:rsidRPr="00D21EBF">
              <w:rPr>
                <w:rFonts w:ascii="Aptos Narrow" w:eastAsia="Times New Roman" w:hAnsi="Aptos Narrow" w:cs="Times New Roman"/>
                <w:color w:val="000000"/>
                <w:lang w:eastAsia="en-AU"/>
                <w14:ligatures w14:val="none"/>
              </w:rPr>
              <w:t>PwD</w:t>
            </w:r>
            <w:proofErr w:type="spellEnd"/>
            <w:r w:rsidRPr="00D21EBF">
              <w:rPr>
                <w:rFonts w:ascii="Aptos Narrow" w:eastAsia="Times New Roman" w:hAnsi="Aptos Narrow" w:cs="Times New Roman"/>
                <w:color w:val="000000"/>
                <w:lang w:eastAsia="en-AU"/>
                <w14:ligatures w14:val="none"/>
              </w:rPr>
              <w:t>; Caregiver; Provider</w:t>
            </w:r>
          </w:p>
        </w:tc>
        <w:tc>
          <w:tcPr>
            <w:tcW w:w="1634" w:type="dxa"/>
            <w:shd w:val="clear" w:color="auto" w:fill="auto"/>
            <w:vAlign w:val="bottom"/>
            <w:hideMark/>
          </w:tcPr>
          <w:p w14:paraId="7ED87188" w14:textId="77777777" w:rsidR="00E82A9A" w:rsidRPr="00D21EBF" w:rsidRDefault="00E82A9A" w:rsidP="00E82A9A">
            <w:pPr>
              <w:spacing w:after="0" w:line="240" w:lineRule="auto"/>
              <w:rPr>
                <w:rFonts w:ascii="Aptos Narrow" w:eastAsia="Times New Roman" w:hAnsi="Aptos Narrow" w:cs="Times New Roman"/>
                <w:color w:val="000000" w:themeColor="text1"/>
                <w:lang w:eastAsia="en-AU"/>
                <w14:ligatures w14:val="none"/>
              </w:rPr>
            </w:pPr>
            <w:r w:rsidRPr="00D21EBF">
              <w:rPr>
                <w:rFonts w:ascii="Aptos Narrow" w:eastAsia="Times New Roman" w:hAnsi="Aptos Narrow" w:cs="Times New Roman"/>
                <w:color w:val="000000" w:themeColor="text1"/>
                <w:lang w:eastAsia="en-AU"/>
                <w14:ligatures w14:val="none"/>
              </w:rPr>
              <w:t>First nation</w:t>
            </w:r>
          </w:p>
        </w:tc>
        <w:tc>
          <w:tcPr>
            <w:tcW w:w="1439" w:type="dxa"/>
            <w:shd w:val="clear" w:color="auto" w:fill="auto"/>
            <w:vAlign w:val="bottom"/>
            <w:hideMark/>
          </w:tcPr>
          <w:p w14:paraId="5088793F"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1670" w:type="dxa"/>
            <w:shd w:val="clear" w:color="auto" w:fill="auto"/>
            <w:vAlign w:val="bottom"/>
            <w:hideMark/>
          </w:tcPr>
          <w:p w14:paraId="1EA0560F"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NDIS and other support services </w:t>
            </w:r>
          </w:p>
        </w:tc>
        <w:tc>
          <w:tcPr>
            <w:tcW w:w="447" w:type="dxa"/>
            <w:shd w:val="clear" w:color="auto" w:fill="auto"/>
            <w:noWrap/>
            <w:vAlign w:val="bottom"/>
            <w:hideMark/>
          </w:tcPr>
          <w:p w14:paraId="08122DB5"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390" w:type="dxa"/>
            <w:shd w:val="clear" w:color="auto" w:fill="auto"/>
            <w:noWrap/>
            <w:vAlign w:val="bottom"/>
            <w:hideMark/>
          </w:tcPr>
          <w:p w14:paraId="3C702B55"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442" w:type="dxa"/>
            <w:shd w:val="clear" w:color="auto" w:fill="auto"/>
            <w:noWrap/>
            <w:vAlign w:val="bottom"/>
            <w:hideMark/>
          </w:tcPr>
          <w:p w14:paraId="363B26A9"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692" w:type="dxa"/>
            <w:shd w:val="clear" w:color="auto" w:fill="auto"/>
            <w:noWrap/>
            <w:vAlign w:val="bottom"/>
            <w:hideMark/>
          </w:tcPr>
          <w:p w14:paraId="1646DF83"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77" w:type="dxa"/>
            <w:shd w:val="clear" w:color="auto" w:fill="auto"/>
            <w:noWrap/>
            <w:vAlign w:val="bottom"/>
            <w:hideMark/>
          </w:tcPr>
          <w:p w14:paraId="37F96E52"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05" w:type="dxa"/>
            <w:shd w:val="clear" w:color="auto" w:fill="auto"/>
            <w:noWrap/>
            <w:vAlign w:val="bottom"/>
            <w:hideMark/>
          </w:tcPr>
          <w:p w14:paraId="770A0F6F"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r>
      <w:tr w:rsidR="00E82A9A" w:rsidRPr="00D21EBF" w14:paraId="3D7F67E6" w14:textId="77777777" w:rsidTr="005B32AC">
        <w:trPr>
          <w:trHeight w:val="310"/>
        </w:trPr>
        <w:tc>
          <w:tcPr>
            <w:tcW w:w="1356" w:type="dxa"/>
          </w:tcPr>
          <w:p w14:paraId="0DFEA6DA" w14:textId="4178D36B"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fldChar w:fldCharType="begin"/>
            </w:r>
            <w:r>
              <w:rPr>
                <w:rFonts w:ascii="Aptos Narrow" w:eastAsia="Times New Roman" w:hAnsi="Aptos Narrow" w:cs="Times New Roman"/>
                <w:color w:val="000000"/>
                <w:lang w:eastAsia="en-AU"/>
                <w14:ligatures w14:val="none"/>
              </w:rPr>
              <w:instrText xml:space="preserve"> ADDIN EN.CITE &lt;EndNote&gt;&lt;Cite&gt;&lt;Author&gt;Dew&lt;/Author&gt;&lt;Year&gt;2013&lt;/Year&gt;&lt;RecNum&gt;50179&lt;/RecNum&gt;&lt;DisplayText&gt;(Dew et al., 2013)&lt;/DisplayText&gt;&lt;record&gt;&lt;rec-number&gt;50179&lt;/rec-number&gt;&lt;foreign-keys&gt;&lt;key app="EN" db-id="feav29prs929zneaprxvex2z55wwe0dtx9rf" timestamp="1742949803" guid="5ed0e1a5-71fe-4ac9-95ca-6b3a1edde71f"&gt;50179&lt;/key&gt;&lt;/foreign-keys&gt;&lt;ref-type name="Journal Article"&gt;17&lt;/ref-type&gt;&lt;contributors&gt;&lt;authors&gt;&lt;author&gt;Dew, Angela&lt;/author&gt;&lt;author&gt;Bulkeley, Kim&lt;/author&gt;&lt;author&gt;Veitch, Craig&lt;/author&gt;&lt;author&gt;Bundy, Anita&lt;/author&gt;&lt;author&gt;Gallego, Gisselle&lt;/author&gt;&lt;author&gt;Lincoln, Michelle&lt;/author&gt;&lt;author&gt;Brentnall, Jennie&lt;/author&gt;&lt;author&gt;Griffiths, Scott&lt;/author&gt;&lt;/authors&gt;&lt;/contributors&gt;&lt;titles&gt;&lt;title&gt;Addressing the barriers to accessing therapy services in rural and remote areas&lt;/title&gt;&lt;secondary-title&gt;Disability and rehabilitation&lt;/secondary-title&gt;&lt;/titles&gt;&lt;periodical&gt;&lt;full-title&gt;Disabil Rehabil&lt;/full-title&gt;&lt;abbr-1&gt;Disability and rehabilitation&lt;/abbr-1&gt;&lt;/periodical&gt;&lt;pages&gt;1564-70&lt;/pages&gt;&lt;volume&gt;35&lt;/volume&gt;&lt;number&gt;18&lt;/number&gt;&lt;dates&gt;&lt;year&gt;2013&lt;/year&gt;&lt;/dates&gt;&lt;pub-location&gt;England&lt;/pub-location&gt;&lt;urls&gt;&lt;/urls&gt;&lt;electronic-resource-num&gt;https://dx.doi.org/10.3109/09638288.2012.720346&lt;/electronic-resource-num&gt;&lt;/record&gt;&lt;/Cite&gt;&lt;/EndNote&gt;</w:instrText>
            </w:r>
            <w:r>
              <w:rPr>
                <w:rFonts w:ascii="Aptos Narrow" w:eastAsia="Times New Roman" w:hAnsi="Aptos Narrow" w:cs="Times New Roman"/>
                <w:color w:val="000000"/>
                <w:lang w:eastAsia="en-AU"/>
                <w14:ligatures w14:val="none"/>
              </w:rPr>
              <w:fldChar w:fldCharType="separate"/>
            </w:r>
            <w:r>
              <w:rPr>
                <w:rFonts w:ascii="Aptos Narrow" w:eastAsia="Times New Roman" w:hAnsi="Aptos Narrow" w:cs="Times New Roman"/>
                <w:noProof/>
                <w:color w:val="000000"/>
                <w:lang w:eastAsia="en-AU"/>
                <w14:ligatures w14:val="none"/>
              </w:rPr>
              <w:t>(Dew et al., 2013)</w:t>
            </w:r>
            <w:r>
              <w:rPr>
                <w:rFonts w:ascii="Aptos Narrow" w:eastAsia="Times New Roman" w:hAnsi="Aptos Narrow" w:cs="Times New Roman"/>
                <w:color w:val="000000"/>
                <w:lang w:eastAsia="en-AU"/>
                <w14:ligatures w14:val="none"/>
              </w:rPr>
              <w:fldChar w:fldCharType="end"/>
            </w:r>
          </w:p>
        </w:tc>
        <w:tc>
          <w:tcPr>
            <w:tcW w:w="1431" w:type="dxa"/>
            <w:shd w:val="clear" w:color="auto" w:fill="auto"/>
            <w:noWrap/>
            <w:vAlign w:val="bottom"/>
            <w:hideMark/>
          </w:tcPr>
          <w:p w14:paraId="7893A7E8" w14:textId="25000CFA"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NSW</w:t>
            </w:r>
          </w:p>
        </w:tc>
        <w:tc>
          <w:tcPr>
            <w:tcW w:w="1349" w:type="dxa"/>
            <w:shd w:val="clear" w:color="auto" w:fill="auto"/>
            <w:noWrap/>
            <w:vAlign w:val="bottom"/>
            <w:hideMark/>
          </w:tcPr>
          <w:p w14:paraId="539D6BE3"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Qualitative</w:t>
            </w:r>
          </w:p>
        </w:tc>
        <w:tc>
          <w:tcPr>
            <w:tcW w:w="1553" w:type="dxa"/>
            <w:shd w:val="clear" w:color="auto" w:fill="auto"/>
            <w:noWrap/>
            <w:vAlign w:val="bottom"/>
            <w:hideMark/>
          </w:tcPr>
          <w:p w14:paraId="5940C000" w14:textId="0EFEF66D"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Mixed </w:t>
            </w:r>
          </w:p>
        </w:tc>
        <w:tc>
          <w:tcPr>
            <w:tcW w:w="1479" w:type="dxa"/>
            <w:shd w:val="clear" w:color="auto" w:fill="auto"/>
            <w:noWrap/>
            <w:vAlign w:val="bottom"/>
            <w:hideMark/>
          </w:tcPr>
          <w:p w14:paraId="7A84A92D"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proofErr w:type="spellStart"/>
            <w:r w:rsidRPr="00D21EBF">
              <w:rPr>
                <w:rFonts w:ascii="Aptos Narrow" w:eastAsia="Times New Roman" w:hAnsi="Aptos Narrow" w:cs="Times New Roman"/>
                <w:color w:val="000000"/>
                <w:lang w:eastAsia="en-AU"/>
                <w14:ligatures w14:val="none"/>
              </w:rPr>
              <w:t>PwD</w:t>
            </w:r>
            <w:proofErr w:type="spellEnd"/>
            <w:r w:rsidRPr="00D21EBF">
              <w:rPr>
                <w:rFonts w:ascii="Aptos Narrow" w:eastAsia="Times New Roman" w:hAnsi="Aptos Narrow" w:cs="Times New Roman"/>
                <w:color w:val="000000"/>
                <w:lang w:eastAsia="en-AU"/>
                <w14:ligatures w14:val="none"/>
              </w:rPr>
              <w:t>; Caregiver</w:t>
            </w:r>
          </w:p>
        </w:tc>
        <w:tc>
          <w:tcPr>
            <w:tcW w:w="1634" w:type="dxa"/>
            <w:shd w:val="clear" w:color="auto" w:fill="auto"/>
            <w:vAlign w:val="bottom"/>
            <w:hideMark/>
          </w:tcPr>
          <w:p w14:paraId="19B786AA" w14:textId="77777777" w:rsidR="00E82A9A" w:rsidRPr="00D21EBF" w:rsidRDefault="00E82A9A" w:rsidP="00E82A9A">
            <w:pPr>
              <w:spacing w:after="0" w:line="240" w:lineRule="auto"/>
              <w:rPr>
                <w:rFonts w:ascii="Aptos Narrow" w:eastAsia="Times New Roman" w:hAnsi="Aptos Narrow" w:cs="Times New Roman"/>
                <w:color w:val="000000" w:themeColor="text1"/>
                <w:lang w:eastAsia="en-AU"/>
                <w14:ligatures w14:val="none"/>
              </w:rPr>
            </w:pPr>
            <w:r w:rsidRPr="00D21EBF">
              <w:rPr>
                <w:rFonts w:ascii="Aptos Narrow" w:eastAsia="Times New Roman" w:hAnsi="Aptos Narrow" w:cs="Times New Roman"/>
                <w:color w:val="000000" w:themeColor="text1"/>
                <w:lang w:eastAsia="en-AU"/>
                <w14:ligatures w14:val="none"/>
              </w:rPr>
              <w:t>Rural (remote)</w:t>
            </w:r>
          </w:p>
        </w:tc>
        <w:tc>
          <w:tcPr>
            <w:tcW w:w="1439" w:type="dxa"/>
            <w:shd w:val="clear" w:color="auto" w:fill="auto"/>
            <w:vAlign w:val="bottom"/>
            <w:hideMark/>
          </w:tcPr>
          <w:p w14:paraId="30B5E6D9"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Therapy services</w:t>
            </w:r>
          </w:p>
        </w:tc>
        <w:tc>
          <w:tcPr>
            <w:tcW w:w="1670" w:type="dxa"/>
            <w:shd w:val="clear" w:color="auto" w:fill="auto"/>
            <w:vAlign w:val="bottom"/>
            <w:hideMark/>
          </w:tcPr>
          <w:p w14:paraId="4D65EA6C"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447" w:type="dxa"/>
            <w:shd w:val="clear" w:color="auto" w:fill="auto"/>
            <w:noWrap/>
            <w:vAlign w:val="bottom"/>
            <w:hideMark/>
          </w:tcPr>
          <w:p w14:paraId="59DF1809"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390" w:type="dxa"/>
            <w:shd w:val="clear" w:color="auto" w:fill="auto"/>
            <w:noWrap/>
            <w:vAlign w:val="bottom"/>
            <w:hideMark/>
          </w:tcPr>
          <w:p w14:paraId="5EA9F333"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442" w:type="dxa"/>
            <w:shd w:val="clear" w:color="auto" w:fill="auto"/>
            <w:noWrap/>
            <w:vAlign w:val="bottom"/>
            <w:hideMark/>
          </w:tcPr>
          <w:p w14:paraId="38E3D4E1"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692" w:type="dxa"/>
            <w:shd w:val="clear" w:color="auto" w:fill="auto"/>
            <w:noWrap/>
            <w:vAlign w:val="bottom"/>
            <w:hideMark/>
          </w:tcPr>
          <w:p w14:paraId="176A7E0D"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77" w:type="dxa"/>
            <w:shd w:val="clear" w:color="auto" w:fill="auto"/>
            <w:noWrap/>
            <w:vAlign w:val="bottom"/>
            <w:hideMark/>
          </w:tcPr>
          <w:p w14:paraId="6B72890B"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05" w:type="dxa"/>
            <w:shd w:val="clear" w:color="auto" w:fill="auto"/>
            <w:noWrap/>
            <w:vAlign w:val="bottom"/>
            <w:hideMark/>
          </w:tcPr>
          <w:p w14:paraId="24006069"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r>
      <w:tr w:rsidR="00E82A9A" w:rsidRPr="00D21EBF" w14:paraId="0DAD2868" w14:textId="77777777" w:rsidTr="005B32AC">
        <w:trPr>
          <w:trHeight w:val="310"/>
        </w:trPr>
        <w:tc>
          <w:tcPr>
            <w:tcW w:w="1356" w:type="dxa"/>
          </w:tcPr>
          <w:p w14:paraId="11965BBF" w14:textId="7E512711"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fldChar w:fldCharType="begin"/>
            </w:r>
            <w:r>
              <w:rPr>
                <w:rFonts w:ascii="Aptos Narrow" w:eastAsia="Times New Roman" w:hAnsi="Aptos Narrow" w:cs="Times New Roman"/>
                <w:color w:val="000000"/>
                <w:lang w:eastAsia="en-AU"/>
                <w14:ligatures w14:val="none"/>
              </w:rPr>
              <w:instrText xml:space="preserve"> ADDIN EN.CITE &lt;EndNote&gt;&lt;Cite&gt;&lt;Author&gt;Lai&lt;/Author&gt;&lt;Year&gt;2014&lt;/Year&gt;&lt;RecNum&gt;50178&lt;/RecNum&gt;&lt;DisplayText&gt;(Lai et al., 2014)&lt;/DisplayText&gt;&lt;record&gt;&lt;rec-number&gt;50178&lt;/rec-number&gt;&lt;foreign-keys&gt;&lt;key app="EN" db-id="feav29prs929zneaprxvex2z55wwe0dtx9rf" timestamp="1742949803" guid="2ce8c7fd-7e9a-4bb3-a002-74dd767c1ce4"&gt;50178&lt;/key&gt;&lt;/foreign-keys&gt;&lt;ref-type name="Journal Article"&gt;17&lt;/ref-type&gt;&lt;contributors&gt;&lt;authors&gt;&lt;author&gt;Lai, Francis Yx&lt;/author&gt;&lt;author&gt;Serraglio, Claire&lt;/author&gt;&lt;author&gt;Martin, Jenepher A.&lt;/author&gt;&lt;/authors&gt;&lt;/contributors&gt;&lt;titles&gt;&lt;title&gt;Examining potential barriers to early intervention access in Australian hearing impaired children&lt;/title&gt;&lt;secondary-title&gt;International journal of pediatric otorhinolaryngology&lt;/secondary-title&gt;&lt;/titles&gt;&lt;periodical&gt;&lt;full-title&gt;Int J Pediatr Otorhinolaryngol&lt;/full-title&gt;&lt;abbr-1&gt;International journal of pediatric otorhinolaryngology&lt;/abbr-1&gt;&lt;/periodical&gt;&lt;pages&gt;507-12&lt;/pages&gt;&lt;volume&gt;78&lt;/volume&gt;&lt;number&gt;3&lt;/number&gt;&lt;dates&gt;&lt;year&gt;2014&lt;/year&gt;&lt;/dates&gt;&lt;pub-location&gt;Ireland&lt;/pub-location&gt;&lt;urls&gt;&lt;/urls&gt;&lt;electronic-resource-num&gt;https://dx.doi.org/10.1016/j.ijporl.2013.12.032&lt;/electronic-resource-num&gt;&lt;/record&gt;&lt;/Cite&gt;&lt;/EndNote&gt;</w:instrText>
            </w:r>
            <w:r>
              <w:rPr>
                <w:rFonts w:ascii="Aptos Narrow" w:eastAsia="Times New Roman" w:hAnsi="Aptos Narrow" w:cs="Times New Roman"/>
                <w:color w:val="000000"/>
                <w:lang w:eastAsia="en-AU"/>
                <w14:ligatures w14:val="none"/>
              </w:rPr>
              <w:fldChar w:fldCharType="separate"/>
            </w:r>
            <w:r>
              <w:rPr>
                <w:rFonts w:ascii="Aptos Narrow" w:eastAsia="Times New Roman" w:hAnsi="Aptos Narrow" w:cs="Times New Roman"/>
                <w:noProof/>
                <w:color w:val="000000"/>
                <w:lang w:eastAsia="en-AU"/>
                <w14:ligatures w14:val="none"/>
              </w:rPr>
              <w:t>(Lai et al., 2014)</w:t>
            </w:r>
            <w:r>
              <w:rPr>
                <w:rFonts w:ascii="Aptos Narrow" w:eastAsia="Times New Roman" w:hAnsi="Aptos Narrow" w:cs="Times New Roman"/>
                <w:color w:val="000000"/>
                <w:lang w:eastAsia="en-AU"/>
                <w14:ligatures w14:val="none"/>
              </w:rPr>
              <w:fldChar w:fldCharType="end"/>
            </w:r>
          </w:p>
        </w:tc>
        <w:tc>
          <w:tcPr>
            <w:tcW w:w="1431" w:type="dxa"/>
            <w:shd w:val="clear" w:color="auto" w:fill="auto"/>
            <w:noWrap/>
            <w:vAlign w:val="bottom"/>
            <w:hideMark/>
          </w:tcPr>
          <w:p w14:paraId="3051784A" w14:textId="7D53C415"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Australia </w:t>
            </w:r>
          </w:p>
        </w:tc>
        <w:tc>
          <w:tcPr>
            <w:tcW w:w="1349" w:type="dxa"/>
            <w:shd w:val="clear" w:color="auto" w:fill="auto"/>
            <w:noWrap/>
            <w:vAlign w:val="bottom"/>
            <w:hideMark/>
          </w:tcPr>
          <w:p w14:paraId="40808367"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Quantitative</w:t>
            </w:r>
          </w:p>
        </w:tc>
        <w:tc>
          <w:tcPr>
            <w:tcW w:w="1553" w:type="dxa"/>
            <w:shd w:val="clear" w:color="auto" w:fill="auto"/>
            <w:noWrap/>
            <w:vAlign w:val="bottom"/>
            <w:hideMark/>
          </w:tcPr>
          <w:p w14:paraId="1D3DDC10"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Sensory</w:t>
            </w:r>
          </w:p>
        </w:tc>
        <w:tc>
          <w:tcPr>
            <w:tcW w:w="1479" w:type="dxa"/>
            <w:shd w:val="clear" w:color="auto" w:fill="auto"/>
            <w:noWrap/>
            <w:vAlign w:val="bottom"/>
            <w:hideMark/>
          </w:tcPr>
          <w:p w14:paraId="75D130D0"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proofErr w:type="spellStart"/>
            <w:r w:rsidRPr="00D21EBF">
              <w:rPr>
                <w:rFonts w:ascii="Aptos Narrow" w:eastAsia="Times New Roman" w:hAnsi="Aptos Narrow" w:cs="Times New Roman"/>
                <w:color w:val="000000"/>
                <w:lang w:eastAsia="en-AU"/>
                <w14:ligatures w14:val="none"/>
              </w:rPr>
              <w:t>PwD</w:t>
            </w:r>
            <w:proofErr w:type="spellEnd"/>
          </w:p>
        </w:tc>
        <w:tc>
          <w:tcPr>
            <w:tcW w:w="1634" w:type="dxa"/>
            <w:shd w:val="clear" w:color="auto" w:fill="auto"/>
            <w:vAlign w:val="bottom"/>
            <w:hideMark/>
          </w:tcPr>
          <w:p w14:paraId="4B23D5EB" w14:textId="77777777" w:rsidR="00E82A9A" w:rsidRPr="00D21EBF" w:rsidRDefault="00E82A9A" w:rsidP="00E82A9A">
            <w:pPr>
              <w:spacing w:after="0" w:line="240" w:lineRule="auto"/>
              <w:rPr>
                <w:rFonts w:ascii="Aptos Narrow" w:eastAsia="Times New Roman" w:hAnsi="Aptos Narrow" w:cs="Times New Roman"/>
                <w:color w:val="000000" w:themeColor="text1"/>
                <w:lang w:eastAsia="en-AU"/>
                <w14:ligatures w14:val="none"/>
              </w:rPr>
            </w:pPr>
            <w:r w:rsidRPr="00D21EBF">
              <w:rPr>
                <w:rFonts w:ascii="Aptos Narrow" w:eastAsia="Times New Roman" w:hAnsi="Aptos Narrow" w:cs="Times New Roman"/>
                <w:color w:val="000000" w:themeColor="text1"/>
                <w:lang w:eastAsia="en-AU"/>
                <w14:ligatures w14:val="none"/>
              </w:rPr>
              <w:t xml:space="preserve">Children </w:t>
            </w:r>
          </w:p>
        </w:tc>
        <w:tc>
          <w:tcPr>
            <w:tcW w:w="1439" w:type="dxa"/>
            <w:shd w:val="clear" w:color="auto" w:fill="auto"/>
            <w:vAlign w:val="bottom"/>
            <w:hideMark/>
          </w:tcPr>
          <w:p w14:paraId="38D2676C"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Early intervention for hearing loss</w:t>
            </w:r>
          </w:p>
        </w:tc>
        <w:tc>
          <w:tcPr>
            <w:tcW w:w="1670" w:type="dxa"/>
            <w:shd w:val="clear" w:color="auto" w:fill="auto"/>
            <w:vAlign w:val="bottom"/>
            <w:hideMark/>
          </w:tcPr>
          <w:p w14:paraId="7AD665E9"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447" w:type="dxa"/>
            <w:shd w:val="clear" w:color="auto" w:fill="auto"/>
            <w:noWrap/>
            <w:vAlign w:val="bottom"/>
            <w:hideMark/>
          </w:tcPr>
          <w:p w14:paraId="0E108705"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390" w:type="dxa"/>
            <w:shd w:val="clear" w:color="auto" w:fill="auto"/>
            <w:noWrap/>
            <w:vAlign w:val="bottom"/>
            <w:hideMark/>
          </w:tcPr>
          <w:p w14:paraId="2B188988"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442" w:type="dxa"/>
            <w:shd w:val="clear" w:color="auto" w:fill="auto"/>
            <w:noWrap/>
            <w:vAlign w:val="bottom"/>
            <w:hideMark/>
          </w:tcPr>
          <w:p w14:paraId="67610184"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692" w:type="dxa"/>
            <w:shd w:val="clear" w:color="auto" w:fill="auto"/>
            <w:noWrap/>
            <w:vAlign w:val="bottom"/>
            <w:hideMark/>
          </w:tcPr>
          <w:p w14:paraId="0F84205D"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77" w:type="dxa"/>
            <w:shd w:val="clear" w:color="auto" w:fill="auto"/>
            <w:noWrap/>
            <w:vAlign w:val="bottom"/>
            <w:hideMark/>
          </w:tcPr>
          <w:p w14:paraId="5ADA497B"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05" w:type="dxa"/>
            <w:shd w:val="clear" w:color="auto" w:fill="auto"/>
            <w:noWrap/>
            <w:vAlign w:val="bottom"/>
            <w:hideMark/>
          </w:tcPr>
          <w:p w14:paraId="0341C848"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r>
      <w:tr w:rsidR="00E82A9A" w:rsidRPr="00D21EBF" w14:paraId="1F88071C" w14:textId="77777777" w:rsidTr="005B32AC">
        <w:trPr>
          <w:trHeight w:val="310"/>
        </w:trPr>
        <w:tc>
          <w:tcPr>
            <w:tcW w:w="1356" w:type="dxa"/>
          </w:tcPr>
          <w:p w14:paraId="50263221" w14:textId="1664EC15"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fldChar w:fldCharType="begin"/>
            </w:r>
            <w:r>
              <w:rPr>
                <w:rFonts w:ascii="Aptos Narrow" w:eastAsia="Times New Roman" w:hAnsi="Aptos Narrow" w:cs="Times New Roman"/>
                <w:color w:val="000000"/>
                <w:lang w:eastAsia="en-AU"/>
                <w14:ligatures w14:val="none"/>
              </w:rPr>
              <w:instrText xml:space="preserve"> ADDIN EN.CITE &lt;EndNote&gt;&lt;Cite&gt;&lt;Author&gt;Edirippulige&lt;/Author&gt;&lt;Year&gt;2016&lt;/Year&gt;&lt;RecNum&gt;50177&lt;/RecNum&gt;&lt;DisplayText&gt;(Edirippulige et al., 2016)&lt;/DisplayText&gt;&lt;record&gt;&lt;rec-number&gt;50177&lt;/rec-number&gt;&lt;foreign-keys&gt;&lt;key app="EN" db-id="feav29prs929zneaprxvex2z55wwe0dtx9rf" timestamp="1742949803" guid="2c360052-59ab-4f7f-95c9-c971801210e6"&gt;50177&lt;/key&gt;&lt;/foreign-keys&gt;&lt;ref-type name="Journal Article"&gt;17&lt;/ref-type&gt;&lt;contributors&gt;&lt;authors&gt;&lt;author&gt;Edirippulige, Sisira&lt;/author&gt;&lt;author&gt;Reyno, John&lt;/author&gt;&lt;author&gt;Armfield, Nigel R.&lt;/author&gt;&lt;author&gt;Bambling, Matthew&lt;/author&gt;&lt;author&gt;Lloyd, Owen&lt;/author&gt;&lt;author&gt;McNevin, Elizabeth&lt;/author&gt;&lt;/authors&gt;&lt;/contributors&gt;&lt;titles&gt;&lt;title&gt;Availability, spatial accessibility, utilisation and the role of telehealth for multi-disciplinary paediatric cerebral palsy services in Queensland&lt;/title&gt;&lt;secondary-title&gt;Journal of telemedicine and telecare&lt;/secondary-title&gt;&lt;/titles&gt;&lt;periodical&gt;&lt;full-title&gt;J Telemed Telecare&lt;/full-title&gt;&lt;abbr-1&gt;Journal of telemedicine and telecare&lt;/abbr-1&gt;&lt;/periodical&gt;&lt;pages&gt;391-6&lt;/pages&gt;&lt;volume&gt;22&lt;/volume&gt;&lt;number&gt;7&lt;/number&gt;&lt;dates&gt;&lt;year&gt;2016&lt;/year&gt;&lt;/dates&gt;&lt;pub-location&gt;England&lt;/pub-location&gt;&lt;urls&gt;&lt;/urls&gt;&lt;electronic-resource-num&gt;https://dx.doi.org/10.1177/1357633X15610720&lt;/electronic-resource-num&gt;&lt;/record&gt;&lt;/Cite&gt;&lt;/EndNote&gt;</w:instrText>
            </w:r>
            <w:r>
              <w:rPr>
                <w:rFonts w:ascii="Aptos Narrow" w:eastAsia="Times New Roman" w:hAnsi="Aptos Narrow" w:cs="Times New Roman"/>
                <w:color w:val="000000"/>
                <w:lang w:eastAsia="en-AU"/>
                <w14:ligatures w14:val="none"/>
              </w:rPr>
              <w:fldChar w:fldCharType="separate"/>
            </w:r>
            <w:r>
              <w:rPr>
                <w:rFonts w:ascii="Aptos Narrow" w:eastAsia="Times New Roman" w:hAnsi="Aptos Narrow" w:cs="Times New Roman"/>
                <w:noProof/>
                <w:color w:val="000000"/>
                <w:lang w:eastAsia="en-AU"/>
                <w14:ligatures w14:val="none"/>
              </w:rPr>
              <w:t>(Edirippulige et al., 2016)</w:t>
            </w:r>
            <w:r>
              <w:rPr>
                <w:rFonts w:ascii="Aptos Narrow" w:eastAsia="Times New Roman" w:hAnsi="Aptos Narrow" w:cs="Times New Roman"/>
                <w:color w:val="000000"/>
                <w:lang w:eastAsia="en-AU"/>
                <w14:ligatures w14:val="none"/>
              </w:rPr>
              <w:fldChar w:fldCharType="end"/>
            </w:r>
          </w:p>
        </w:tc>
        <w:tc>
          <w:tcPr>
            <w:tcW w:w="1431" w:type="dxa"/>
            <w:shd w:val="clear" w:color="auto" w:fill="auto"/>
            <w:noWrap/>
            <w:vAlign w:val="bottom"/>
            <w:hideMark/>
          </w:tcPr>
          <w:p w14:paraId="159B1808" w14:textId="504A5EDD"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QLD</w:t>
            </w:r>
          </w:p>
        </w:tc>
        <w:tc>
          <w:tcPr>
            <w:tcW w:w="1349" w:type="dxa"/>
            <w:shd w:val="clear" w:color="auto" w:fill="auto"/>
            <w:noWrap/>
            <w:vAlign w:val="bottom"/>
            <w:hideMark/>
          </w:tcPr>
          <w:p w14:paraId="79F5978F"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Mixed</w:t>
            </w:r>
          </w:p>
        </w:tc>
        <w:tc>
          <w:tcPr>
            <w:tcW w:w="1553" w:type="dxa"/>
            <w:shd w:val="clear" w:color="auto" w:fill="auto"/>
            <w:noWrap/>
            <w:vAlign w:val="bottom"/>
            <w:hideMark/>
          </w:tcPr>
          <w:p w14:paraId="5DC4530A"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Physical </w:t>
            </w:r>
          </w:p>
        </w:tc>
        <w:tc>
          <w:tcPr>
            <w:tcW w:w="1479" w:type="dxa"/>
            <w:shd w:val="clear" w:color="auto" w:fill="auto"/>
            <w:noWrap/>
            <w:vAlign w:val="bottom"/>
            <w:hideMark/>
          </w:tcPr>
          <w:p w14:paraId="125E40F0"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Provider</w:t>
            </w:r>
          </w:p>
        </w:tc>
        <w:tc>
          <w:tcPr>
            <w:tcW w:w="1634" w:type="dxa"/>
            <w:shd w:val="clear" w:color="auto" w:fill="auto"/>
            <w:vAlign w:val="bottom"/>
            <w:hideMark/>
          </w:tcPr>
          <w:p w14:paraId="759E1572" w14:textId="77777777" w:rsidR="00E82A9A" w:rsidRPr="00D21EBF" w:rsidRDefault="00E82A9A" w:rsidP="00E82A9A">
            <w:pPr>
              <w:spacing w:after="0" w:line="240" w:lineRule="auto"/>
              <w:rPr>
                <w:rFonts w:ascii="Aptos Narrow" w:eastAsia="Times New Roman" w:hAnsi="Aptos Narrow" w:cs="Times New Roman"/>
                <w:color w:val="000000" w:themeColor="text1"/>
                <w:lang w:eastAsia="en-AU"/>
                <w14:ligatures w14:val="none"/>
              </w:rPr>
            </w:pPr>
            <w:r w:rsidRPr="00D21EBF">
              <w:rPr>
                <w:rFonts w:ascii="Aptos Narrow" w:eastAsia="Times New Roman" w:hAnsi="Aptos Narrow" w:cs="Times New Roman"/>
                <w:color w:val="000000" w:themeColor="text1"/>
                <w:lang w:eastAsia="en-AU"/>
                <w14:ligatures w14:val="none"/>
              </w:rPr>
              <w:t xml:space="preserve">Children </w:t>
            </w:r>
          </w:p>
        </w:tc>
        <w:tc>
          <w:tcPr>
            <w:tcW w:w="1439" w:type="dxa"/>
            <w:shd w:val="clear" w:color="auto" w:fill="auto"/>
            <w:vAlign w:val="bottom"/>
            <w:hideMark/>
          </w:tcPr>
          <w:p w14:paraId="4CA9A921"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Telehealth  </w:t>
            </w:r>
          </w:p>
        </w:tc>
        <w:tc>
          <w:tcPr>
            <w:tcW w:w="1670" w:type="dxa"/>
            <w:shd w:val="clear" w:color="auto" w:fill="auto"/>
            <w:vAlign w:val="bottom"/>
            <w:hideMark/>
          </w:tcPr>
          <w:p w14:paraId="23CA346D"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447" w:type="dxa"/>
            <w:shd w:val="clear" w:color="auto" w:fill="auto"/>
            <w:noWrap/>
            <w:vAlign w:val="bottom"/>
            <w:hideMark/>
          </w:tcPr>
          <w:p w14:paraId="1F4A007B"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390" w:type="dxa"/>
            <w:shd w:val="clear" w:color="auto" w:fill="auto"/>
            <w:noWrap/>
            <w:vAlign w:val="bottom"/>
            <w:hideMark/>
          </w:tcPr>
          <w:p w14:paraId="75014213"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442" w:type="dxa"/>
            <w:shd w:val="clear" w:color="auto" w:fill="auto"/>
            <w:noWrap/>
            <w:vAlign w:val="bottom"/>
            <w:hideMark/>
          </w:tcPr>
          <w:p w14:paraId="4C50D979"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692" w:type="dxa"/>
            <w:shd w:val="clear" w:color="auto" w:fill="auto"/>
            <w:noWrap/>
            <w:vAlign w:val="bottom"/>
            <w:hideMark/>
          </w:tcPr>
          <w:p w14:paraId="54B3D97D"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77" w:type="dxa"/>
            <w:shd w:val="clear" w:color="auto" w:fill="auto"/>
            <w:noWrap/>
            <w:vAlign w:val="bottom"/>
            <w:hideMark/>
          </w:tcPr>
          <w:p w14:paraId="12AB64C8"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05" w:type="dxa"/>
            <w:shd w:val="clear" w:color="auto" w:fill="auto"/>
            <w:noWrap/>
            <w:vAlign w:val="bottom"/>
            <w:hideMark/>
          </w:tcPr>
          <w:p w14:paraId="5446145D"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r>
      <w:tr w:rsidR="00E82A9A" w:rsidRPr="00D21EBF" w14:paraId="5124B69D" w14:textId="77777777" w:rsidTr="005B32AC">
        <w:trPr>
          <w:trHeight w:val="310"/>
        </w:trPr>
        <w:tc>
          <w:tcPr>
            <w:tcW w:w="1356" w:type="dxa"/>
          </w:tcPr>
          <w:p w14:paraId="055044CF" w14:textId="4D4F08B1"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fldChar w:fldCharType="begin"/>
            </w:r>
            <w:r>
              <w:rPr>
                <w:rFonts w:ascii="Aptos Narrow" w:eastAsia="Times New Roman" w:hAnsi="Aptos Narrow" w:cs="Times New Roman"/>
                <w:color w:val="000000"/>
                <w:lang w:eastAsia="en-AU"/>
                <w14:ligatures w14:val="none"/>
              </w:rPr>
              <w:instrText xml:space="preserve"> ADDIN EN.CITE &lt;EndNote&gt;&lt;Cite&gt;&lt;Author&gt;DiGiacomo&lt;/Author&gt;&lt;Year&gt;2017&lt;/Year&gt;&lt;RecNum&gt;50175&lt;/RecNum&gt;&lt;DisplayText&gt;(DiGiacomo et al., 2017)&lt;/DisplayText&gt;&lt;record&gt;&lt;rec-number&gt;50175&lt;/rec-number&gt;&lt;foreign-keys&gt;&lt;key app="EN" db-id="feav29prs929zneaprxvex2z55wwe0dtx9rf" timestamp="1742949803" guid="7af8d22a-1ac0-46bd-a0e6-73145d8f0ad7"&gt;50175&lt;/key&gt;&lt;/foreign-keys&gt;&lt;ref-type name="Journal Article"&gt;17&lt;/ref-type&gt;&lt;contributors&gt;&lt;authors&gt;&lt;author&gt;DiGiacomo, Michelle&lt;/author&gt;&lt;author&gt;Green, Anna&lt;/author&gt;&lt;author&gt;Delaney, Patricia&lt;/author&gt;&lt;author&gt;Delaney, John&lt;/author&gt;&lt;author&gt;Patradoon-Ho, Patrick&lt;/author&gt;&lt;author&gt;Davidson, Patricia Mary&lt;/author&gt;&lt;author&gt;Abbott, Penelope&lt;/author&gt;&lt;/authors&gt;&lt;/contributors&gt;&lt;titles&gt;&lt;title&gt;Experiences and needs of carers of Aboriginal children with a disability: a qualitative study&lt;/title&gt;&lt;secondary-title&gt;BMC family practice&lt;/secondary-title&gt;&lt;/titles&gt;&lt;periodical&gt;&lt;full-title&gt;BMC Fam Pract&lt;/full-title&gt;&lt;abbr-1&gt;BMC family practice&lt;/abbr-1&gt;&lt;/periodical&gt;&lt;pages&gt;96&lt;/pages&gt;&lt;volume&gt;18&lt;/volume&gt;&lt;number&gt;1&lt;/number&gt;&lt;dates&gt;&lt;year&gt;2017&lt;/year&gt;&lt;/dates&gt;&lt;pub-location&gt;England&lt;/pub-location&gt;&lt;urls&gt;&lt;/urls&gt;&lt;electronic-resource-num&gt;https://dx.doi.org/10.1186/s12875-017-0668-3&lt;/electronic-resource-num&gt;&lt;/record&gt;&lt;/Cite&gt;&lt;/EndNote&gt;</w:instrText>
            </w:r>
            <w:r>
              <w:rPr>
                <w:rFonts w:ascii="Aptos Narrow" w:eastAsia="Times New Roman" w:hAnsi="Aptos Narrow" w:cs="Times New Roman"/>
                <w:color w:val="000000"/>
                <w:lang w:eastAsia="en-AU"/>
                <w14:ligatures w14:val="none"/>
              </w:rPr>
              <w:fldChar w:fldCharType="separate"/>
            </w:r>
            <w:r>
              <w:rPr>
                <w:rFonts w:ascii="Aptos Narrow" w:eastAsia="Times New Roman" w:hAnsi="Aptos Narrow" w:cs="Times New Roman"/>
                <w:noProof/>
                <w:color w:val="000000"/>
                <w:lang w:eastAsia="en-AU"/>
                <w14:ligatures w14:val="none"/>
              </w:rPr>
              <w:t>(DiGiacomo et al., 2017)</w:t>
            </w:r>
            <w:r>
              <w:rPr>
                <w:rFonts w:ascii="Aptos Narrow" w:eastAsia="Times New Roman" w:hAnsi="Aptos Narrow" w:cs="Times New Roman"/>
                <w:color w:val="000000"/>
                <w:lang w:eastAsia="en-AU"/>
                <w14:ligatures w14:val="none"/>
              </w:rPr>
              <w:fldChar w:fldCharType="end"/>
            </w:r>
          </w:p>
        </w:tc>
        <w:tc>
          <w:tcPr>
            <w:tcW w:w="1431" w:type="dxa"/>
            <w:shd w:val="clear" w:color="auto" w:fill="auto"/>
            <w:noWrap/>
            <w:vAlign w:val="bottom"/>
            <w:hideMark/>
          </w:tcPr>
          <w:p w14:paraId="5A286303" w14:textId="645E00C4"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Australia </w:t>
            </w:r>
          </w:p>
        </w:tc>
        <w:tc>
          <w:tcPr>
            <w:tcW w:w="1349" w:type="dxa"/>
            <w:shd w:val="clear" w:color="auto" w:fill="auto"/>
            <w:noWrap/>
            <w:vAlign w:val="bottom"/>
            <w:hideMark/>
          </w:tcPr>
          <w:p w14:paraId="5A6B3E15"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Qualitative</w:t>
            </w:r>
          </w:p>
        </w:tc>
        <w:tc>
          <w:tcPr>
            <w:tcW w:w="1553" w:type="dxa"/>
            <w:shd w:val="clear" w:color="auto" w:fill="auto"/>
            <w:noWrap/>
            <w:vAlign w:val="bottom"/>
            <w:hideMark/>
          </w:tcPr>
          <w:p w14:paraId="5F399D38" w14:textId="6640692B"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Mixed </w:t>
            </w:r>
          </w:p>
        </w:tc>
        <w:tc>
          <w:tcPr>
            <w:tcW w:w="1479" w:type="dxa"/>
            <w:shd w:val="clear" w:color="auto" w:fill="auto"/>
            <w:noWrap/>
            <w:vAlign w:val="bottom"/>
            <w:hideMark/>
          </w:tcPr>
          <w:p w14:paraId="0B410F70"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Caregiver</w:t>
            </w:r>
          </w:p>
        </w:tc>
        <w:tc>
          <w:tcPr>
            <w:tcW w:w="1634" w:type="dxa"/>
            <w:shd w:val="clear" w:color="auto" w:fill="auto"/>
            <w:vAlign w:val="bottom"/>
            <w:hideMark/>
          </w:tcPr>
          <w:p w14:paraId="63283DA3" w14:textId="77777777" w:rsidR="00E82A9A" w:rsidRPr="00D21EBF" w:rsidRDefault="00E82A9A" w:rsidP="00E82A9A">
            <w:pPr>
              <w:spacing w:after="0" w:line="240" w:lineRule="auto"/>
              <w:rPr>
                <w:rFonts w:ascii="Aptos Narrow" w:eastAsia="Times New Roman" w:hAnsi="Aptos Narrow" w:cs="Times New Roman"/>
                <w:color w:val="000000" w:themeColor="text1"/>
                <w:lang w:eastAsia="en-AU"/>
                <w14:ligatures w14:val="none"/>
              </w:rPr>
            </w:pPr>
            <w:r w:rsidRPr="00D21EBF">
              <w:rPr>
                <w:rFonts w:ascii="Aptos Narrow" w:eastAsia="Times New Roman" w:hAnsi="Aptos Narrow" w:cs="Times New Roman"/>
                <w:color w:val="000000" w:themeColor="text1"/>
                <w:lang w:eastAsia="en-AU"/>
                <w14:ligatures w14:val="none"/>
              </w:rPr>
              <w:t>Children ; First nation</w:t>
            </w:r>
          </w:p>
        </w:tc>
        <w:tc>
          <w:tcPr>
            <w:tcW w:w="1439" w:type="dxa"/>
            <w:shd w:val="clear" w:color="auto" w:fill="auto"/>
            <w:vAlign w:val="bottom"/>
            <w:hideMark/>
          </w:tcPr>
          <w:p w14:paraId="19D17E71"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1670" w:type="dxa"/>
            <w:shd w:val="clear" w:color="auto" w:fill="auto"/>
            <w:vAlign w:val="bottom"/>
            <w:hideMark/>
          </w:tcPr>
          <w:p w14:paraId="14EC81EE"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Childhood services</w:t>
            </w:r>
          </w:p>
        </w:tc>
        <w:tc>
          <w:tcPr>
            <w:tcW w:w="447" w:type="dxa"/>
            <w:shd w:val="clear" w:color="auto" w:fill="auto"/>
            <w:noWrap/>
            <w:vAlign w:val="bottom"/>
            <w:hideMark/>
          </w:tcPr>
          <w:p w14:paraId="504148DF"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390" w:type="dxa"/>
            <w:shd w:val="clear" w:color="auto" w:fill="auto"/>
            <w:noWrap/>
            <w:vAlign w:val="bottom"/>
            <w:hideMark/>
          </w:tcPr>
          <w:p w14:paraId="739582CD"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442" w:type="dxa"/>
            <w:shd w:val="clear" w:color="auto" w:fill="auto"/>
            <w:noWrap/>
            <w:vAlign w:val="bottom"/>
            <w:hideMark/>
          </w:tcPr>
          <w:p w14:paraId="49C7F2F9"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692" w:type="dxa"/>
            <w:shd w:val="clear" w:color="auto" w:fill="auto"/>
            <w:noWrap/>
            <w:vAlign w:val="bottom"/>
            <w:hideMark/>
          </w:tcPr>
          <w:p w14:paraId="16C12814"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77" w:type="dxa"/>
            <w:shd w:val="clear" w:color="auto" w:fill="auto"/>
            <w:noWrap/>
            <w:vAlign w:val="bottom"/>
            <w:hideMark/>
          </w:tcPr>
          <w:p w14:paraId="0B2B5725"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505" w:type="dxa"/>
            <w:shd w:val="clear" w:color="auto" w:fill="auto"/>
            <w:noWrap/>
            <w:vAlign w:val="bottom"/>
            <w:hideMark/>
          </w:tcPr>
          <w:p w14:paraId="18BACBAF"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r>
      <w:tr w:rsidR="00E82A9A" w:rsidRPr="00D21EBF" w14:paraId="5783A05C" w14:textId="77777777" w:rsidTr="005B32AC">
        <w:trPr>
          <w:trHeight w:val="310"/>
        </w:trPr>
        <w:tc>
          <w:tcPr>
            <w:tcW w:w="1356" w:type="dxa"/>
          </w:tcPr>
          <w:p w14:paraId="23526659" w14:textId="03984948"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fldChar w:fldCharType="begin"/>
            </w:r>
            <w:r>
              <w:rPr>
                <w:rFonts w:ascii="Aptos Narrow" w:eastAsia="Times New Roman" w:hAnsi="Aptos Narrow" w:cs="Times New Roman"/>
                <w:color w:val="000000"/>
                <w:lang w:eastAsia="en-AU"/>
                <w14:ligatures w14:val="none"/>
              </w:rPr>
              <w:instrText xml:space="preserve"> ADDIN EN.CITE &lt;EndNote&gt;&lt;Cite&gt;&lt;Author&gt;Green&lt;/Author&gt;&lt;Year&gt;2018&lt;/Year&gt;&lt;RecNum&gt;50174&lt;/RecNum&gt;&lt;DisplayText&gt;(Green et al., 2018)&lt;/DisplayText&gt;&lt;record&gt;&lt;rec-number&gt;50174&lt;/rec-number&gt;&lt;foreign-keys&gt;&lt;key app="EN" db-id="feav29prs929zneaprxvex2z55wwe0dtx9rf" timestamp="1742949803" guid="f565eca9-cf2a-4263-be58-36734abdffdf"&gt;50174&lt;/key&gt;&lt;/foreign-keys&gt;&lt;ref-type name="Journal Article"&gt;17&lt;/ref-type&gt;&lt;contributors&gt;&lt;authors&gt;&lt;author&gt;Green, Anna&lt;/author&gt;&lt;author&gt;Abbott, Penelope&lt;/author&gt;&lt;author&gt;Davidson, Patricia Mary&lt;/author&gt;&lt;author&gt;Delaney, Patricia&lt;/author&gt;&lt;author&gt;Delaney, John&lt;/author&gt;&lt;author&gt;Patradoon-Ho, Patrick&lt;/author&gt;&lt;author&gt;DiGiacomo, Michelle&lt;/author&gt;&lt;/authors&gt;&lt;/contributors&gt;&lt;titles&gt;&lt;title&gt;Interacting With Providers: An Intersectional Exploration of the Experiences of Carers of Aboriginal Children With a Disability&lt;/title&gt;&lt;secondary-title&gt;Qualitative health research&lt;/secondary-title&gt;&lt;/titles&gt;&lt;periodical&gt;&lt;full-title&gt;Qualitative Health Research&lt;/full-title&gt;&lt;/periodical&gt;&lt;pages&gt;1923-1932&lt;/pages&gt;&lt;volume&gt;28&lt;/volume&gt;&lt;number&gt;12&lt;/number&gt;&lt;dates&gt;&lt;year&gt;2018&lt;/year&gt;&lt;/dates&gt;&lt;pub-location&gt;United States&lt;/pub-location&gt;&lt;urls&gt;&lt;/urls&gt;&lt;electronic-resource-num&gt;https://dx.doi.org/10.1177/1049732318793416&lt;/electronic-resource-num&gt;&lt;/record&gt;&lt;/Cite&gt;&lt;/EndNote&gt;</w:instrText>
            </w:r>
            <w:r>
              <w:rPr>
                <w:rFonts w:ascii="Aptos Narrow" w:eastAsia="Times New Roman" w:hAnsi="Aptos Narrow" w:cs="Times New Roman"/>
                <w:color w:val="000000"/>
                <w:lang w:eastAsia="en-AU"/>
                <w14:ligatures w14:val="none"/>
              </w:rPr>
              <w:fldChar w:fldCharType="separate"/>
            </w:r>
            <w:r>
              <w:rPr>
                <w:rFonts w:ascii="Aptos Narrow" w:eastAsia="Times New Roman" w:hAnsi="Aptos Narrow" w:cs="Times New Roman"/>
                <w:noProof/>
                <w:color w:val="000000"/>
                <w:lang w:eastAsia="en-AU"/>
                <w14:ligatures w14:val="none"/>
              </w:rPr>
              <w:t>(Green et al., 2018)</w:t>
            </w:r>
            <w:r>
              <w:rPr>
                <w:rFonts w:ascii="Aptos Narrow" w:eastAsia="Times New Roman" w:hAnsi="Aptos Narrow" w:cs="Times New Roman"/>
                <w:color w:val="000000"/>
                <w:lang w:eastAsia="en-AU"/>
                <w14:ligatures w14:val="none"/>
              </w:rPr>
              <w:fldChar w:fldCharType="end"/>
            </w:r>
          </w:p>
        </w:tc>
        <w:tc>
          <w:tcPr>
            <w:tcW w:w="1431" w:type="dxa"/>
            <w:shd w:val="clear" w:color="auto" w:fill="auto"/>
            <w:noWrap/>
            <w:vAlign w:val="bottom"/>
            <w:hideMark/>
          </w:tcPr>
          <w:p w14:paraId="7A208EA9" w14:textId="736C785C"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Australia </w:t>
            </w:r>
          </w:p>
        </w:tc>
        <w:tc>
          <w:tcPr>
            <w:tcW w:w="1349" w:type="dxa"/>
            <w:shd w:val="clear" w:color="auto" w:fill="auto"/>
            <w:noWrap/>
            <w:vAlign w:val="bottom"/>
            <w:hideMark/>
          </w:tcPr>
          <w:p w14:paraId="4E0DEC72"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Qualitative</w:t>
            </w:r>
          </w:p>
        </w:tc>
        <w:tc>
          <w:tcPr>
            <w:tcW w:w="1553" w:type="dxa"/>
            <w:shd w:val="clear" w:color="auto" w:fill="auto"/>
            <w:noWrap/>
            <w:vAlign w:val="bottom"/>
            <w:hideMark/>
          </w:tcPr>
          <w:p w14:paraId="07349F6B" w14:textId="500F91F4"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Mixed </w:t>
            </w:r>
          </w:p>
        </w:tc>
        <w:tc>
          <w:tcPr>
            <w:tcW w:w="1479" w:type="dxa"/>
            <w:shd w:val="clear" w:color="auto" w:fill="auto"/>
            <w:noWrap/>
            <w:vAlign w:val="bottom"/>
            <w:hideMark/>
          </w:tcPr>
          <w:p w14:paraId="5BA7A52F"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Caregiver</w:t>
            </w:r>
          </w:p>
        </w:tc>
        <w:tc>
          <w:tcPr>
            <w:tcW w:w="1634" w:type="dxa"/>
            <w:shd w:val="clear" w:color="auto" w:fill="auto"/>
            <w:vAlign w:val="bottom"/>
            <w:hideMark/>
          </w:tcPr>
          <w:p w14:paraId="3C965977" w14:textId="77777777" w:rsidR="00E82A9A" w:rsidRPr="00D21EBF" w:rsidRDefault="00E82A9A" w:rsidP="00E82A9A">
            <w:pPr>
              <w:spacing w:after="0" w:line="240" w:lineRule="auto"/>
              <w:rPr>
                <w:rFonts w:ascii="Aptos Narrow" w:eastAsia="Times New Roman" w:hAnsi="Aptos Narrow" w:cs="Times New Roman"/>
                <w:color w:val="000000" w:themeColor="text1"/>
                <w:lang w:eastAsia="en-AU"/>
                <w14:ligatures w14:val="none"/>
              </w:rPr>
            </w:pPr>
            <w:r w:rsidRPr="00D21EBF">
              <w:rPr>
                <w:rFonts w:ascii="Aptos Narrow" w:eastAsia="Times New Roman" w:hAnsi="Aptos Narrow" w:cs="Times New Roman"/>
                <w:color w:val="000000" w:themeColor="text1"/>
                <w:lang w:eastAsia="en-AU"/>
                <w14:ligatures w14:val="none"/>
              </w:rPr>
              <w:t>Children ; First nation</w:t>
            </w:r>
          </w:p>
        </w:tc>
        <w:tc>
          <w:tcPr>
            <w:tcW w:w="1439" w:type="dxa"/>
            <w:shd w:val="clear" w:color="auto" w:fill="auto"/>
            <w:vAlign w:val="bottom"/>
            <w:hideMark/>
          </w:tcPr>
          <w:p w14:paraId="6EF2F0F6"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proofErr w:type="spellStart"/>
            <w:r w:rsidRPr="00D21EBF">
              <w:rPr>
                <w:rFonts w:ascii="Aptos Narrow" w:eastAsia="Times New Roman" w:hAnsi="Aptos Narrow" w:cs="Times New Roman"/>
                <w:color w:val="000000"/>
                <w:lang w:eastAsia="en-AU"/>
                <w14:ligatures w14:val="none"/>
              </w:rPr>
              <w:t>Pediatric</w:t>
            </w:r>
            <w:proofErr w:type="spellEnd"/>
            <w:r w:rsidRPr="00D21EBF">
              <w:rPr>
                <w:rFonts w:ascii="Aptos Narrow" w:eastAsia="Times New Roman" w:hAnsi="Aptos Narrow" w:cs="Times New Roman"/>
                <w:color w:val="000000"/>
                <w:lang w:eastAsia="en-AU"/>
                <w14:ligatures w14:val="none"/>
              </w:rPr>
              <w:t xml:space="preserve"> care</w:t>
            </w:r>
          </w:p>
        </w:tc>
        <w:tc>
          <w:tcPr>
            <w:tcW w:w="1670" w:type="dxa"/>
            <w:shd w:val="clear" w:color="auto" w:fill="auto"/>
            <w:vAlign w:val="bottom"/>
            <w:hideMark/>
          </w:tcPr>
          <w:p w14:paraId="7912F930"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disability support, education services.</w:t>
            </w:r>
          </w:p>
        </w:tc>
        <w:tc>
          <w:tcPr>
            <w:tcW w:w="447" w:type="dxa"/>
            <w:shd w:val="clear" w:color="auto" w:fill="auto"/>
            <w:noWrap/>
            <w:vAlign w:val="bottom"/>
            <w:hideMark/>
          </w:tcPr>
          <w:p w14:paraId="67EE8EF6"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390" w:type="dxa"/>
            <w:shd w:val="clear" w:color="auto" w:fill="auto"/>
            <w:noWrap/>
            <w:vAlign w:val="bottom"/>
            <w:hideMark/>
          </w:tcPr>
          <w:p w14:paraId="45EF5C31"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442" w:type="dxa"/>
            <w:shd w:val="clear" w:color="auto" w:fill="auto"/>
            <w:noWrap/>
            <w:vAlign w:val="bottom"/>
            <w:hideMark/>
          </w:tcPr>
          <w:p w14:paraId="0AB0A210"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692" w:type="dxa"/>
            <w:shd w:val="clear" w:color="auto" w:fill="auto"/>
            <w:noWrap/>
            <w:vAlign w:val="bottom"/>
            <w:hideMark/>
          </w:tcPr>
          <w:p w14:paraId="3546069F"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77" w:type="dxa"/>
            <w:shd w:val="clear" w:color="auto" w:fill="auto"/>
            <w:noWrap/>
            <w:vAlign w:val="bottom"/>
            <w:hideMark/>
          </w:tcPr>
          <w:p w14:paraId="5A78CE30"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505" w:type="dxa"/>
            <w:shd w:val="clear" w:color="auto" w:fill="auto"/>
            <w:noWrap/>
            <w:vAlign w:val="bottom"/>
            <w:hideMark/>
          </w:tcPr>
          <w:p w14:paraId="678AEBC4"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r>
      <w:tr w:rsidR="00E82A9A" w:rsidRPr="00D21EBF" w14:paraId="3A054411" w14:textId="77777777" w:rsidTr="005B32AC">
        <w:trPr>
          <w:trHeight w:val="310"/>
        </w:trPr>
        <w:tc>
          <w:tcPr>
            <w:tcW w:w="1356" w:type="dxa"/>
          </w:tcPr>
          <w:p w14:paraId="7D502259" w14:textId="7C78CB4F"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fldChar w:fldCharType="begin"/>
            </w:r>
            <w:r>
              <w:rPr>
                <w:rFonts w:ascii="Aptos Narrow" w:eastAsia="Times New Roman" w:hAnsi="Aptos Narrow" w:cs="Times New Roman"/>
                <w:color w:val="000000"/>
                <w:lang w:eastAsia="en-AU"/>
                <w14:ligatures w14:val="none"/>
              </w:rPr>
              <w:instrText xml:space="preserve"> ADDIN EN.CITE &lt;EndNote&gt;&lt;Cite&gt;&lt;Author&gt;McNamara&lt;/Author&gt;&lt;Year&gt;2018&lt;/Year&gt;&lt;RecNum&gt;50173&lt;/RecNum&gt;&lt;DisplayText&gt;(McNamara et al., 2018)&lt;/DisplayText&gt;&lt;record&gt;&lt;rec-number&gt;50173&lt;/rec-number&gt;&lt;foreign-keys&gt;&lt;key app="EN" db-id="feav29prs929zneaprxvex2z55wwe0dtx9rf" timestamp="1742949803" guid="3aa41246-8f02-42ff-8e8c-eca645db91b7"&gt;50173&lt;/key&gt;&lt;/foreign-keys&gt;&lt;ref-type name="Journal Article"&gt;17&lt;/ref-type&gt;&lt;contributors&gt;&lt;authors&gt;&lt;author&gt;McNamara, Beverley&lt;/author&gt;&lt;author&gt;Same, Anne&lt;/author&gt;&lt;author&gt;Rosenwax, Lorna&lt;/author&gt;&lt;author&gt;Kelly, Brian&lt;/author&gt;&lt;/authors&gt;&lt;/contributors&gt;&lt;titles&gt;&lt;title&gt;Palliative care for people with schizophrenia: a qualitative study of an under-serviced group in need&lt;/title&gt;&lt;secondary-title&gt;BMC palliative care&lt;/secondary-title&gt;&lt;/titles&gt;&lt;periodical&gt;&lt;full-title&gt;BMC palliative care&lt;/full-title&gt;&lt;/periodical&gt;&lt;pages&gt;53&lt;/pages&gt;&lt;volume&gt;17&lt;/volume&gt;&lt;number&gt;1&lt;/number&gt;&lt;dates&gt;&lt;year&gt;2018&lt;/year&gt;&lt;/dates&gt;&lt;pub-location&gt;England&lt;/pub-location&gt;&lt;urls&gt;&lt;/urls&gt;&lt;electronic-resource-num&gt;https://dx.doi.org/10.1186/s12904-018-0309-1&lt;/electronic-resource-num&gt;&lt;/record&gt;&lt;/Cite&gt;&lt;/EndNote&gt;</w:instrText>
            </w:r>
            <w:r>
              <w:rPr>
                <w:rFonts w:ascii="Aptos Narrow" w:eastAsia="Times New Roman" w:hAnsi="Aptos Narrow" w:cs="Times New Roman"/>
                <w:color w:val="000000"/>
                <w:lang w:eastAsia="en-AU"/>
                <w14:ligatures w14:val="none"/>
              </w:rPr>
              <w:fldChar w:fldCharType="separate"/>
            </w:r>
            <w:r>
              <w:rPr>
                <w:rFonts w:ascii="Aptos Narrow" w:eastAsia="Times New Roman" w:hAnsi="Aptos Narrow" w:cs="Times New Roman"/>
                <w:noProof/>
                <w:color w:val="000000"/>
                <w:lang w:eastAsia="en-AU"/>
                <w14:ligatures w14:val="none"/>
              </w:rPr>
              <w:t>(McNamara et al., 2018)</w:t>
            </w:r>
            <w:r>
              <w:rPr>
                <w:rFonts w:ascii="Aptos Narrow" w:eastAsia="Times New Roman" w:hAnsi="Aptos Narrow" w:cs="Times New Roman"/>
                <w:color w:val="000000"/>
                <w:lang w:eastAsia="en-AU"/>
                <w14:ligatures w14:val="none"/>
              </w:rPr>
              <w:fldChar w:fldCharType="end"/>
            </w:r>
          </w:p>
        </w:tc>
        <w:tc>
          <w:tcPr>
            <w:tcW w:w="1431" w:type="dxa"/>
            <w:shd w:val="clear" w:color="auto" w:fill="auto"/>
            <w:noWrap/>
            <w:vAlign w:val="bottom"/>
            <w:hideMark/>
          </w:tcPr>
          <w:p w14:paraId="2B23F660" w14:textId="2B2D20CD"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WA</w:t>
            </w:r>
          </w:p>
        </w:tc>
        <w:tc>
          <w:tcPr>
            <w:tcW w:w="1349" w:type="dxa"/>
            <w:shd w:val="clear" w:color="auto" w:fill="auto"/>
            <w:noWrap/>
            <w:vAlign w:val="bottom"/>
            <w:hideMark/>
          </w:tcPr>
          <w:p w14:paraId="1DAF9253"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Qualitative</w:t>
            </w:r>
          </w:p>
        </w:tc>
        <w:tc>
          <w:tcPr>
            <w:tcW w:w="1553" w:type="dxa"/>
            <w:shd w:val="clear" w:color="auto" w:fill="auto"/>
            <w:noWrap/>
            <w:vAlign w:val="bottom"/>
            <w:hideMark/>
          </w:tcPr>
          <w:p w14:paraId="738D3EA2"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Psychosocial </w:t>
            </w:r>
          </w:p>
        </w:tc>
        <w:tc>
          <w:tcPr>
            <w:tcW w:w="1479" w:type="dxa"/>
            <w:shd w:val="clear" w:color="auto" w:fill="auto"/>
            <w:noWrap/>
            <w:vAlign w:val="bottom"/>
            <w:hideMark/>
          </w:tcPr>
          <w:p w14:paraId="42EC228A"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Provider</w:t>
            </w:r>
          </w:p>
        </w:tc>
        <w:tc>
          <w:tcPr>
            <w:tcW w:w="1634" w:type="dxa"/>
            <w:shd w:val="clear" w:color="auto" w:fill="auto"/>
            <w:vAlign w:val="bottom"/>
            <w:hideMark/>
          </w:tcPr>
          <w:p w14:paraId="2F77B8CB" w14:textId="77777777" w:rsidR="00E82A9A" w:rsidRPr="00D21EBF" w:rsidRDefault="00E82A9A" w:rsidP="00E82A9A">
            <w:pPr>
              <w:spacing w:after="0" w:line="240" w:lineRule="auto"/>
              <w:rPr>
                <w:rFonts w:ascii="Aptos Narrow" w:eastAsia="Times New Roman" w:hAnsi="Aptos Narrow" w:cs="Times New Roman"/>
                <w:color w:val="000000" w:themeColor="text1"/>
                <w:lang w:eastAsia="en-AU"/>
                <w14:ligatures w14:val="none"/>
              </w:rPr>
            </w:pPr>
            <w:r w:rsidRPr="00D21EBF">
              <w:rPr>
                <w:rFonts w:ascii="Aptos Narrow" w:eastAsia="Times New Roman" w:hAnsi="Aptos Narrow" w:cs="Times New Roman"/>
                <w:color w:val="000000" w:themeColor="text1"/>
                <w:lang w:eastAsia="en-AU"/>
                <w14:ligatures w14:val="none"/>
              </w:rPr>
              <w:t> </w:t>
            </w:r>
          </w:p>
        </w:tc>
        <w:tc>
          <w:tcPr>
            <w:tcW w:w="1439" w:type="dxa"/>
            <w:shd w:val="clear" w:color="auto" w:fill="auto"/>
            <w:vAlign w:val="bottom"/>
            <w:hideMark/>
          </w:tcPr>
          <w:p w14:paraId="1EF91319"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Palliative care services</w:t>
            </w:r>
          </w:p>
        </w:tc>
        <w:tc>
          <w:tcPr>
            <w:tcW w:w="1670" w:type="dxa"/>
            <w:shd w:val="clear" w:color="auto" w:fill="auto"/>
            <w:vAlign w:val="bottom"/>
            <w:hideMark/>
          </w:tcPr>
          <w:p w14:paraId="545E6745"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447" w:type="dxa"/>
            <w:shd w:val="clear" w:color="auto" w:fill="auto"/>
            <w:noWrap/>
            <w:vAlign w:val="bottom"/>
            <w:hideMark/>
          </w:tcPr>
          <w:p w14:paraId="44AC9CF4"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390" w:type="dxa"/>
            <w:shd w:val="clear" w:color="auto" w:fill="auto"/>
            <w:noWrap/>
            <w:vAlign w:val="bottom"/>
            <w:hideMark/>
          </w:tcPr>
          <w:p w14:paraId="2D0E2325"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442" w:type="dxa"/>
            <w:shd w:val="clear" w:color="auto" w:fill="auto"/>
            <w:noWrap/>
            <w:vAlign w:val="bottom"/>
            <w:hideMark/>
          </w:tcPr>
          <w:p w14:paraId="12670881"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692" w:type="dxa"/>
            <w:shd w:val="clear" w:color="auto" w:fill="auto"/>
            <w:noWrap/>
            <w:vAlign w:val="bottom"/>
            <w:hideMark/>
          </w:tcPr>
          <w:p w14:paraId="15BDE9F9"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77" w:type="dxa"/>
            <w:shd w:val="clear" w:color="auto" w:fill="auto"/>
            <w:noWrap/>
            <w:vAlign w:val="bottom"/>
            <w:hideMark/>
          </w:tcPr>
          <w:p w14:paraId="31C5B645"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05" w:type="dxa"/>
            <w:shd w:val="clear" w:color="auto" w:fill="auto"/>
            <w:noWrap/>
            <w:vAlign w:val="bottom"/>
            <w:hideMark/>
          </w:tcPr>
          <w:p w14:paraId="08EE537B"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r>
      <w:tr w:rsidR="00E82A9A" w:rsidRPr="00D21EBF" w14:paraId="7E01BC31" w14:textId="77777777" w:rsidTr="005B32AC">
        <w:trPr>
          <w:trHeight w:val="310"/>
        </w:trPr>
        <w:tc>
          <w:tcPr>
            <w:tcW w:w="1356" w:type="dxa"/>
          </w:tcPr>
          <w:p w14:paraId="480B030D" w14:textId="71E001BA"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fldChar w:fldCharType="begin"/>
            </w:r>
            <w:r>
              <w:rPr>
                <w:rFonts w:ascii="Aptos Narrow" w:eastAsia="Times New Roman" w:hAnsi="Aptos Narrow" w:cs="Times New Roman"/>
                <w:color w:val="000000"/>
                <w:lang w:eastAsia="en-AU"/>
                <w14:ligatures w14:val="none"/>
              </w:rPr>
              <w:instrText xml:space="preserve"> ADDIN EN.CITE &lt;EndNote&gt;&lt;Cite&gt;&lt;Author&gt;Barr&lt;/Author&gt;&lt;Year&gt;2020&lt;/Year&gt;&lt;RecNum&gt;50171&lt;/RecNum&gt;&lt;DisplayText&gt;(Barr et al., 2020)&lt;/DisplayText&gt;&lt;record&gt;&lt;rec-number&gt;50171&lt;/rec-number&gt;&lt;foreign-keys&gt;&lt;key app="EN" db-id="feav29prs929zneaprxvex2z55wwe0dtx9rf" timestamp="1742949803" guid="596915c1-04ef-48ea-8f1b-56533292a794"&gt;50171&lt;/key&gt;&lt;/foreign-keys&gt;&lt;ref-type name="Journal Article"&gt;17&lt;/ref-type&gt;&lt;contributors&gt;&lt;authors&gt;&lt;author&gt;Barr, Megan&lt;/author&gt;&lt;author&gt;Dally, Kerry&lt;/author&gt;&lt;author&gt;Duncan, Jill&lt;/author&gt;&lt;/authors&gt;&lt;/contributors&gt;&lt;titles&gt;&lt;title&gt;Services for children with hearing loss in urban and rural Australia&lt;/title&gt;&lt;secondary-title&gt;The Australian journal of rural health&lt;/secondary-title&gt;&lt;/titles&gt;&lt;periodical&gt;&lt;full-title&gt;Aust J Rural Health&lt;/full-title&gt;&lt;abbr-1&gt;The Australian journal of rural health&lt;/abbr-1&gt;&lt;/periodical&gt;&lt;pages&gt;281-291&lt;/pages&gt;&lt;volume&gt;28&lt;/volume&gt;&lt;number&gt;3&lt;/number&gt;&lt;dates&gt;&lt;year&gt;2020&lt;/year&gt;&lt;/dates&gt;&lt;pub-location&gt;Australia&lt;/pub-location&gt;&lt;urls&gt;&lt;/urls&gt;&lt;electronic-resource-num&gt;https://dx.doi.org/10.1111/ajr.12613&lt;/electronic-resource-num&gt;&lt;/record&gt;&lt;/Cite&gt;&lt;/EndNote&gt;</w:instrText>
            </w:r>
            <w:r>
              <w:rPr>
                <w:rFonts w:ascii="Aptos Narrow" w:eastAsia="Times New Roman" w:hAnsi="Aptos Narrow" w:cs="Times New Roman"/>
                <w:color w:val="000000"/>
                <w:lang w:eastAsia="en-AU"/>
                <w14:ligatures w14:val="none"/>
              </w:rPr>
              <w:fldChar w:fldCharType="separate"/>
            </w:r>
            <w:r>
              <w:rPr>
                <w:rFonts w:ascii="Aptos Narrow" w:eastAsia="Times New Roman" w:hAnsi="Aptos Narrow" w:cs="Times New Roman"/>
                <w:noProof/>
                <w:color w:val="000000"/>
                <w:lang w:eastAsia="en-AU"/>
                <w14:ligatures w14:val="none"/>
              </w:rPr>
              <w:t>(Barr et al., 2020)</w:t>
            </w:r>
            <w:r>
              <w:rPr>
                <w:rFonts w:ascii="Aptos Narrow" w:eastAsia="Times New Roman" w:hAnsi="Aptos Narrow" w:cs="Times New Roman"/>
                <w:color w:val="000000"/>
                <w:lang w:eastAsia="en-AU"/>
                <w14:ligatures w14:val="none"/>
              </w:rPr>
              <w:fldChar w:fldCharType="end"/>
            </w:r>
          </w:p>
        </w:tc>
        <w:tc>
          <w:tcPr>
            <w:tcW w:w="1431" w:type="dxa"/>
            <w:shd w:val="clear" w:color="auto" w:fill="auto"/>
            <w:noWrap/>
            <w:vAlign w:val="bottom"/>
            <w:hideMark/>
          </w:tcPr>
          <w:p w14:paraId="62E12280" w14:textId="0642B449"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Australia </w:t>
            </w:r>
          </w:p>
        </w:tc>
        <w:tc>
          <w:tcPr>
            <w:tcW w:w="1349" w:type="dxa"/>
            <w:shd w:val="clear" w:color="auto" w:fill="auto"/>
            <w:noWrap/>
            <w:vAlign w:val="bottom"/>
            <w:hideMark/>
          </w:tcPr>
          <w:p w14:paraId="71F563AF"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Mixed</w:t>
            </w:r>
          </w:p>
        </w:tc>
        <w:tc>
          <w:tcPr>
            <w:tcW w:w="1553" w:type="dxa"/>
            <w:shd w:val="clear" w:color="auto" w:fill="auto"/>
            <w:noWrap/>
            <w:vAlign w:val="bottom"/>
            <w:hideMark/>
          </w:tcPr>
          <w:p w14:paraId="6DFE32F2"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Sensory</w:t>
            </w:r>
          </w:p>
        </w:tc>
        <w:tc>
          <w:tcPr>
            <w:tcW w:w="1479" w:type="dxa"/>
            <w:shd w:val="clear" w:color="auto" w:fill="auto"/>
            <w:noWrap/>
            <w:vAlign w:val="bottom"/>
            <w:hideMark/>
          </w:tcPr>
          <w:p w14:paraId="21DEC307"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Caregiver; Provider</w:t>
            </w:r>
          </w:p>
        </w:tc>
        <w:tc>
          <w:tcPr>
            <w:tcW w:w="1634" w:type="dxa"/>
            <w:shd w:val="clear" w:color="auto" w:fill="auto"/>
            <w:vAlign w:val="bottom"/>
            <w:hideMark/>
          </w:tcPr>
          <w:p w14:paraId="055901C2" w14:textId="77777777" w:rsidR="00E82A9A" w:rsidRPr="00D21EBF" w:rsidRDefault="00E82A9A" w:rsidP="00E82A9A">
            <w:pPr>
              <w:spacing w:after="0" w:line="240" w:lineRule="auto"/>
              <w:rPr>
                <w:rFonts w:ascii="Aptos Narrow" w:eastAsia="Times New Roman" w:hAnsi="Aptos Narrow" w:cs="Times New Roman"/>
                <w:color w:val="000000" w:themeColor="text1"/>
                <w:lang w:eastAsia="en-AU"/>
                <w14:ligatures w14:val="none"/>
              </w:rPr>
            </w:pPr>
            <w:r w:rsidRPr="00D21EBF">
              <w:rPr>
                <w:rFonts w:ascii="Aptos Narrow" w:eastAsia="Times New Roman" w:hAnsi="Aptos Narrow" w:cs="Times New Roman"/>
                <w:color w:val="000000" w:themeColor="text1"/>
                <w:lang w:eastAsia="en-AU"/>
                <w14:ligatures w14:val="none"/>
              </w:rPr>
              <w:t>Children ; Rural (remote)</w:t>
            </w:r>
          </w:p>
        </w:tc>
        <w:tc>
          <w:tcPr>
            <w:tcW w:w="1439" w:type="dxa"/>
            <w:shd w:val="clear" w:color="auto" w:fill="auto"/>
            <w:vAlign w:val="bottom"/>
            <w:hideMark/>
          </w:tcPr>
          <w:p w14:paraId="42A525CD"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Hearing health services </w:t>
            </w:r>
          </w:p>
        </w:tc>
        <w:tc>
          <w:tcPr>
            <w:tcW w:w="1670" w:type="dxa"/>
            <w:shd w:val="clear" w:color="auto" w:fill="auto"/>
            <w:vAlign w:val="bottom"/>
            <w:hideMark/>
          </w:tcPr>
          <w:p w14:paraId="54A7F766"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447" w:type="dxa"/>
            <w:shd w:val="clear" w:color="auto" w:fill="auto"/>
            <w:noWrap/>
            <w:vAlign w:val="bottom"/>
            <w:hideMark/>
          </w:tcPr>
          <w:p w14:paraId="4ACADA4C"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390" w:type="dxa"/>
            <w:shd w:val="clear" w:color="auto" w:fill="auto"/>
            <w:noWrap/>
            <w:vAlign w:val="bottom"/>
            <w:hideMark/>
          </w:tcPr>
          <w:p w14:paraId="63257212"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442" w:type="dxa"/>
            <w:shd w:val="clear" w:color="auto" w:fill="auto"/>
            <w:noWrap/>
            <w:vAlign w:val="bottom"/>
            <w:hideMark/>
          </w:tcPr>
          <w:p w14:paraId="2E95FBED"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692" w:type="dxa"/>
            <w:shd w:val="clear" w:color="auto" w:fill="auto"/>
            <w:noWrap/>
            <w:vAlign w:val="bottom"/>
            <w:hideMark/>
          </w:tcPr>
          <w:p w14:paraId="4AEE6F57"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77" w:type="dxa"/>
            <w:shd w:val="clear" w:color="auto" w:fill="auto"/>
            <w:noWrap/>
            <w:vAlign w:val="bottom"/>
            <w:hideMark/>
          </w:tcPr>
          <w:p w14:paraId="383237F2"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05" w:type="dxa"/>
            <w:shd w:val="clear" w:color="auto" w:fill="auto"/>
            <w:noWrap/>
            <w:vAlign w:val="bottom"/>
            <w:hideMark/>
          </w:tcPr>
          <w:p w14:paraId="7999027F"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r>
      <w:tr w:rsidR="00E82A9A" w:rsidRPr="00D21EBF" w14:paraId="1EF17177" w14:textId="77777777" w:rsidTr="005B32AC">
        <w:trPr>
          <w:trHeight w:val="310"/>
        </w:trPr>
        <w:tc>
          <w:tcPr>
            <w:tcW w:w="1356" w:type="dxa"/>
          </w:tcPr>
          <w:p w14:paraId="0F7ECA4F" w14:textId="53DCCFA6"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fldChar w:fldCharType="begin"/>
            </w:r>
            <w:r>
              <w:rPr>
                <w:rFonts w:ascii="Aptos Narrow" w:eastAsia="Times New Roman" w:hAnsi="Aptos Narrow" w:cs="Times New Roman"/>
                <w:color w:val="000000"/>
                <w:lang w:eastAsia="en-AU"/>
                <w14:ligatures w14:val="none"/>
              </w:rPr>
              <w:instrText xml:space="preserve"> ADDIN EN.CITE &lt;EndNote&gt;&lt;Cite&gt;&lt;Author&gt;Beer&lt;/Author&gt;&lt;Year&gt;2020&lt;/Year&gt;&lt;RecNum&gt;50170&lt;/RecNum&gt;&lt;DisplayText&gt;(Beer et al., 2020)&lt;/DisplayText&gt;&lt;record&gt;&lt;rec-number&gt;50170&lt;/rec-number&gt;&lt;foreign-keys&gt;&lt;key app="EN" db-id="feav29prs929zneaprxvex2z55wwe0dtx9rf" timestamp="1742949803" guid="ae7b03bc-0b5c-49f5-89cd-23afee22b76e"&gt;50170&lt;/key&gt;&lt;/foreign-keys&gt;&lt;ref-type name="Journal Article"&gt;17&lt;/ref-type&gt;&lt;contributors&gt;&lt;authors&gt;&lt;author&gt;Beer, Andrew&lt;/author&gt;&lt;author&gt;Daniel, Lyrian&lt;/author&gt;&lt;author&gt;Baker, Emma&lt;/author&gt;&lt;author&gt;Lester, Laurence&lt;/author&gt;&lt;/authors&gt;&lt;/contributors&gt;&lt;titles&gt;&lt;title&gt;The Shifting Risk of Homelessness among Persons with a Disability: Insights from a National Policy Intervention&lt;/title&gt;&lt;secondary-title&gt;International journal of environmental research and public health&lt;/secondary-title&gt;&lt;/titles&gt;&lt;periodical&gt;&lt;full-title&gt;International Journal of Environmental Research and Public Health&lt;/full-title&gt;&lt;/periodical&gt;&lt;volume&gt;17&lt;/volume&gt;&lt;number&gt;18&lt;/number&gt;&lt;dates&gt;&lt;year&gt;2020&lt;/year&gt;&lt;/dates&gt;&lt;pub-location&gt;Switzerland&lt;/pub-location&gt;&lt;urls&gt;&lt;/urls&gt;&lt;electronic-resource-num&gt;https://dx.doi.org/10.3390/ijerph17186512&lt;/electronic-resource-num&gt;&lt;/record&gt;&lt;/Cite&gt;&lt;/EndNote&gt;</w:instrText>
            </w:r>
            <w:r>
              <w:rPr>
                <w:rFonts w:ascii="Aptos Narrow" w:eastAsia="Times New Roman" w:hAnsi="Aptos Narrow" w:cs="Times New Roman"/>
                <w:color w:val="000000"/>
                <w:lang w:eastAsia="en-AU"/>
                <w14:ligatures w14:val="none"/>
              </w:rPr>
              <w:fldChar w:fldCharType="separate"/>
            </w:r>
            <w:r>
              <w:rPr>
                <w:rFonts w:ascii="Aptos Narrow" w:eastAsia="Times New Roman" w:hAnsi="Aptos Narrow" w:cs="Times New Roman"/>
                <w:noProof/>
                <w:color w:val="000000"/>
                <w:lang w:eastAsia="en-AU"/>
                <w14:ligatures w14:val="none"/>
              </w:rPr>
              <w:t>(Beer et al., 2020)</w:t>
            </w:r>
            <w:r>
              <w:rPr>
                <w:rFonts w:ascii="Aptos Narrow" w:eastAsia="Times New Roman" w:hAnsi="Aptos Narrow" w:cs="Times New Roman"/>
                <w:color w:val="000000"/>
                <w:lang w:eastAsia="en-AU"/>
                <w14:ligatures w14:val="none"/>
              </w:rPr>
              <w:fldChar w:fldCharType="end"/>
            </w:r>
          </w:p>
        </w:tc>
        <w:tc>
          <w:tcPr>
            <w:tcW w:w="1431" w:type="dxa"/>
            <w:shd w:val="clear" w:color="auto" w:fill="auto"/>
            <w:noWrap/>
            <w:vAlign w:val="bottom"/>
            <w:hideMark/>
          </w:tcPr>
          <w:p w14:paraId="710E5317" w14:textId="6980DBD8"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Australia </w:t>
            </w:r>
          </w:p>
        </w:tc>
        <w:tc>
          <w:tcPr>
            <w:tcW w:w="1349" w:type="dxa"/>
            <w:shd w:val="clear" w:color="auto" w:fill="auto"/>
            <w:noWrap/>
            <w:vAlign w:val="bottom"/>
            <w:hideMark/>
          </w:tcPr>
          <w:p w14:paraId="4D96986F"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Quantitative</w:t>
            </w:r>
          </w:p>
        </w:tc>
        <w:tc>
          <w:tcPr>
            <w:tcW w:w="1553" w:type="dxa"/>
            <w:shd w:val="clear" w:color="auto" w:fill="auto"/>
            <w:noWrap/>
            <w:vAlign w:val="bottom"/>
            <w:hideMark/>
          </w:tcPr>
          <w:p w14:paraId="2562B690" w14:textId="005F16BC"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Mixed </w:t>
            </w:r>
          </w:p>
        </w:tc>
        <w:tc>
          <w:tcPr>
            <w:tcW w:w="1479" w:type="dxa"/>
            <w:shd w:val="clear" w:color="auto" w:fill="auto"/>
            <w:noWrap/>
            <w:vAlign w:val="bottom"/>
            <w:hideMark/>
          </w:tcPr>
          <w:p w14:paraId="157A405B"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proofErr w:type="spellStart"/>
            <w:r w:rsidRPr="00D21EBF">
              <w:rPr>
                <w:rFonts w:ascii="Aptos Narrow" w:eastAsia="Times New Roman" w:hAnsi="Aptos Narrow" w:cs="Times New Roman"/>
                <w:color w:val="000000"/>
                <w:lang w:eastAsia="en-AU"/>
                <w14:ligatures w14:val="none"/>
              </w:rPr>
              <w:t>PwD</w:t>
            </w:r>
            <w:proofErr w:type="spellEnd"/>
          </w:p>
        </w:tc>
        <w:tc>
          <w:tcPr>
            <w:tcW w:w="1634" w:type="dxa"/>
            <w:shd w:val="clear" w:color="auto" w:fill="auto"/>
            <w:vAlign w:val="bottom"/>
            <w:hideMark/>
          </w:tcPr>
          <w:p w14:paraId="3AC136CC" w14:textId="77777777" w:rsidR="00E82A9A" w:rsidRPr="00D21EBF" w:rsidRDefault="00E82A9A" w:rsidP="00E82A9A">
            <w:pPr>
              <w:spacing w:after="0" w:line="240" w:lineRule="auto"/>
              <w:rPr>
                <w:rFonts w:ascii="Aptos Narrow" w:eastAsia="Times New Roman" w:hAnsi="Aptos Narrow" w:cs="Times New Roman"/>
                <w:color w:val="000000" w:themeColor="text1"/>
                <w:lang w:eastAsia="en-AU"/>
                <w14:ligatures w14:val="none"/>
              </w:rPr>
            </w:pPr>
            <w:r w:rsidRPr="00D21EBF">
              <w:rPr>
                <w:rFonts w:ascii="Aptos Narrow" w:eastAsia="Times New Roman" w:hAnsi="Aptos Narrow" w:cs="Times New Roman"/>
                <w:color w:val="000000" w:themeColor="text1"/>
                <w:lang w:eastAsia="en-AU"/>
                <w14:ligatures w14:val="none"/>
              </w:rPr>
              <w:t> </w:t>
            </w:r>
          </w:p>
        </w:tc>
        <w:tc>
          <w:tcPr>
            <w:tcW w:w="1439" w:type="dxa"/>
            <w:shd w:val="clear" w:color="auto" w:fill="auto"/>
            <w:vAlign w:val="bottom"/>
            <w:hideMark/>
          </w:tcPr>
          <w:p w14:paraId="215FF4E5"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1670" w:type="dxa"/>
            <w:shd w:val="clear" w:color="auto" w:fill="auto"/>
            <w:vAlign w:val="bottom"/>
            <w:hideMark/>
          </w:tcPr>
          <w:p w14:paraId="7942C549" w14:textId="275B0C8A" w:rsidR="00E82A9A" w:rsidRPr="00D21EBF" w:rsidRDefault="005B32AC"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Accommodation</w:t>
            </w:r>
            <w:r w:rsidR="00E82A9A" w:rsidRPr="00D21EBF">
              <w:rPr>
                <w:rFonts w:ascii="Aptos Narrow" w:eastAsia="Times New Roman" w:hAnsi="Aptos Narrow" w:cs="Times New Roman"/>
                <w:color w:val="000000"/>
                <w:lang w:eastAsia="en-AU"/>
                <w14:ligatures w14:val="none"/>
              </w:rPr>
              <w:t xml:space="preserve">, NDIS </w:t>
            </w:r>
          </w:p>
        </w:tc>
        <w:tc>
          <w:tcPr>
            <w:tcW w:w="447" w:type="dxa"/>
            <w:shd w:val="clear" w:color="auto" w:fill="auto"/>
            <w:noWrap/>
            <w:vAlign w:val="bottom"/>
            <w:hideMark/>
          </w:tcPr>
          <w:p w14:paraId="11978865"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390" w:type="dxa"/>
            <w:shd w:val="clear" w:color="auto" w:fill="auto"/>
            <w:noWrap/>
            <w:vAlign w:val="bottom"/>
            <w:hideMark/>
          </w:tcPr>
          <w:p w14:paraId="7D583C5E"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442" w:type="dxa"/>
            <w:shd w:val="clear" w:color="auto" w:fill="auto"/>
            <w:noWrap/>
            <w:vAlign w:val="bottom"/>
            <w:hideMark/>
          </w:tcPr>
          <w:p w14:paraId="3D10CC66"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692" w:type="dxa"/>
            <w:shd w:val="clear" w:color="auto" w:fill="auto"/>
            <w:noWrap/>
            <w:vAlign w:val="bottom"/>
            <w:hideMark/>
          </w:tcPr>
          <w:p w14:paraId="487E2E69"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77" w:type="dxa"/>
            <w:shd w:val="clear" w:color="auto" w:fill="auto"/>
            <w:noWrap/>
            <w:vAlign w:val="bottom"/>
            <w:hideMark/>
          </w:tcPr>
          <w:p w14:paraId="2BC74551"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05" w:type="dxa"/>
            <w:shd w:val="clear" w:color="auto" w:fill="auto"/>
            <w:noWrap/>
            <w:vAlign w:val="bottom"/>
            <w:hideMark/>
          </w:tcPr>
          <w:p w14:paraId="16BAFFBB"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r>
      <w:tr w:rsidR="00E82A9A" w:rsidRPr="00D21EBF" w14:paraId="2801F20D" w14:textId="77777777" w:rsidTr="005B32AC">
        <w:trPr>
          <w:trHeight w:val="310"/>
        </w:trPr>
        <w:tc>
          <w:tcPr>
            <w:tcW w:w="1356" w:type="dxa"/>
          </w:tcPr>
          <w:p w14:paraId="1375E888" w14:textId="4E393B8B"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fldChar w:fldCharType="begin"/>
            </w:r>
            <w:r>
              <w:rPr>
                <w:rFonts w:ascii="Aptos Narrow" w:eastAsia="Times New Roman" w:hAnsi="Aptos Narrow" w:cs="Times New Roman"/>
                <w:color w:val="000000"/>
                <w:lang w:eastAsia="en-AU"/>
                <w14:ligatures w14:val="none"/>
              </w:rPr>
              <w:instrText xml:space="preserve"> ADDIN EN.CITE &lt;EndNote&gt;&lt;Cite&gt;&lt;Author&gt;O&amp;apos;Shea&lt;/Author&gt;&lt;Year&gt;2020&lt;/Year&gt;&lt;RecNum&gt;50169&lt;/RecNum&gt;&lt;DisplayText&gt;(O&amp;apos;Shea et al., 2020)&lt;/DisplayText&gt;&lt;record&gt;&lt;rec-number&gt;50169&lt;/rec-number&gt;&lt;foreign-keys&gt;&lt;key app="EN" db-id="feav29prs929zneaprxvex2z55wwe0dtx9rf" timestamp="1742949803" guid="6b03f720-0d70-4e18-9957-45c806ee764c"&gt;50169&lt;/key&gt;&lt;/foreign-keys&gt;&lt;ref-type name="Journal Article"&gt;17&lt;/ref-type&gt;&lt;contributors&gt;&lt;authors&gt;&lt;author&gt;O&amp;apos;Shea, Amie&lt;/author&gt;&lt;author&gt;Latham, J. R.&lt;/author&gt;&lt;author&gt;McNair, Ruth&lt;/author&gt;&lt;author&gt;Despott, Nathan&lt;/author&gt;&lt;author&gt;Rose, Mellem&lt;/author&gt;&lt;author&gt;Mountford, Ruby&lt;/author&gt;&lt;author&gt;Frawley, Patsie&lt;/author&gt;&lt;/authors&gt;&lt;/contributors&gt;&lt;titles&gt;&lt;title&gt;Experiences of LGBTIQA+ People with Disability in Healthcare and Community Services: Towards Embracing Multiple Identities&lt;/title&gt;&lt;secondary-title&gt;International journal of environmental research and public health&lt;/secondary-title&gt;&lt;/titles&gt;&lt;periodical&gt;&lt;full-title&gt;International Journal of Environmental Research and Public Health&lt;/full-title&gt;&lt;/periodical&gt;&lt;volume&gt;17&lt;/volume&gt;&lt;number&gt;21&lt;/number&gt;&lt;dates&gt;&lt;year&gt;2020&lt;/year&gt;&lt;/dates&gt;&lt;pub-location&gt;Switzerland&lt;/pub-location&gt;&lt;urls&gt;&lt;/urls&gt;&lt;electronic-resource-num&gt;https://dx.doi.org/10.3390/ijerph17218080&lt;/electronic-resource-num&gt;&lt;/record&gt;&lt;/Cite&gt;&lt;/EndNote&gt;</w:instrText>
            </w:r>
            <w:r>
              <w:rPr>
                <w:rFonts w:ascii="Aptos Narrow" w:eastAsia="Times New Roman" w:hAnsi="Aptos Narrow" w:cs="Times New Roman"/>
                <w:color w:val="000000"/>
                <w:lang w:eastAsia="en-AU"/>
                <w14:ligatures w14:val="none"/>
              </w:rPr>
              <w:fldChar w:fldCharType="separate"/>
            </w:r>
            <w:r>
              <w:rPr>
                <w:rFonts w:ascii="Aptos Narrow" w:eastAsia="Times New Roman" w:hAnsi="Aptos Narrow" w:cs="Times New Roman"/>
                <w:noProof/>
                <w:color w:val="000000"/>
                <w:lang w:eastAsia="en-AU"/>
                <w14:ligatures w14:val="none"/>
              </w:rPr>
              <w:t>(O'Shea et al., 2020)</w:t>
            </w:r>
            <w:r>
              <w:rPr>
                <w:rFonts w:ascii="Aptos Narrow" w:eastAsia="Times New Roman" w:hAnsi="Aptos Narrow" w:cs="Times New Roman"/>
                <w:color w:val="000000"/>
                <w:lang w:eastAsia="en-AU"/>
                <w14:ligatures w14:val="none"/>
              </w:rPr>
              <w:fldChar w:fldCharType="end"/>
            </w:r>
          </w:p>
        </w:tc>
        <w:tc>
          <w:tcPr>
            <w:tcW w:w="1431" w:type="dxa"/>
            <w:shd w:val="clear" w:color="auto" w:fill="auto"/>
            <w:noWrap/>
            <w:vAlign w:val="bottom"/>
            <w:hideMark/>
          </w:tcPr>
          <w:p w14:paraId="5D30DB97" w14:textId="0E23EE34"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VIC</w:t>
            </w:r>
          </w:p>
        </w:tc>
        <w:tc>
          <w:tcPr>
            <w:tcW w:w="1349" w:type="dxa"/>
            <w:shd w:val="clear" w:color="auto" w:fill="auto"/>
            <w:noWrap/>
            <w:vAlign w:val="bottom"/>
            <w:hideMark/>
          </w:tcPr>
          <w:p w14:paraId="36651AA1"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Qualitative</w:t>
            </w:r>
          </w:p>
        </w:tc>
        <w:tc>
          <w:tcPr>
            <w:tcW w:w="1553" w:type="dxa"/>
            <w:shd w:val="clear" w:color="auto" w:fill="auto"/>
            <w:noWrap/>
            <w:vAlign w:val="bottom"/>
            <w:hideMark/>
          </w:tcPr>
          <w:p w14:paraId="5FBB661B" w14:textId="5AF7DCA6"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Mixed </w:t>
            </w:r>
          </w:p>
        </w:tc>
        <w:tc>
          <w:tcPr>
            <w:tcW w:w="1479" w:type="dxa"/>
            <w:shd w:val="clear" w:color="auto" w:fill="auto"/>
            <w:noWrap/>
            <w:vAlign w:val="bottom"/>
            <w:hideMark/>
          </w:tcPr>
          <w:p w14:paraId="14CE49E8"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proofErr w:type="spellStart"/>
            <w:r w:rsidRPr="00D21EBF">
              <w:rPr>
                <w:rFonts w:ascii="Aptos Narrow" w:eastAsia="Times New Roman" w:hAnsi="Aptos Narrow" w:cs="Times New Roman"/>
                <w:color w:val="000000"/>
                <w:lang w:eastAsia="en-AU"/>
                <w14:ligatures w14:val="none"/>
              </w:rPr>
              <w:t>PwD</w:t>
            </w:r>
            <w:proofErr w:type="spellEnd"/>
          </w:p>
        </w:tc>
        <w:tc>
          <w:tcPr>
            <w:tcW w:w="1634" w:type="dxa"/>
            <w:shd w:val="clear" w:color="auto" w:fill="auto"/>
            <w:vAlign w:val="bottom"/>
            <w:hideMark/>
          </w:tcPr>
          <w:p w14:paraId="1F47B7A7" w14:textId="77777777" w:rsidR="00E82A9A" w:rsidRPr="00D21EBF" w:rsidRDefault="00E82A9A" w:rsidP="00E82A9A">
            <w:pPr>
              <w:spacing w:after="0" w:line="240" w:lineRule="auto"/>
              <w:rPr>
                <w:rFonts w:ascii="Aptos Narrow" w:eastAsia="Times New Roman" w:hAnsi="Aptos Narrow" w:cs="Times New Roman"/>
                <w:color w:val="000000" w:themeColor="text1"/>
                <w:lang w:eastAsia="en-AU"/>
                <w14:ligatures w14:val="none"/>
              </w:rPr>
            </w:pPr>
            <w:r w:rsidRPr="00D21EBF">
              <w:rPr>
                <w:rFonts w:ascii="Aptos Narrow" w:eastAsia="Times New Roman" w:hAnsi="Aptos Narrow" w:cs="Times New Roman"/>
                <w:color w:val="000000" w:themeColor="text1"/>
                <w:lang w:eastAsia="en-AU"/>
                <w14:ligatures w14:val="none"/>
              </w:rPr>
              <w:t>LGBTQI+</w:t>
            </w:r>
          </w:p>
        </w:tc>
        <w:tc>
          <w:tcPr>
            <w:tcW w:w="1439" w:type="dxa"/>
            <w:shd w:val="clear" w:color="auto" w:fill="auto"/>
            <w:vAlign w:val="bottom"/>
            <w:hideMark/>
          </w:tcPr>
          <w:p w14:paraId="1D5D3D8A"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Health services</w:t>
            </w:r>
          </w:p>
        </w:tc>
        <w:tc>
          <w:tcPr>
            <w:tcW w:w="1670" w:type="dxa"/>
            <w:shd w:val="clear" w:color="auto" w:fill="auto"/>
            <w:vAlign w:val="bottom"/>
            <w:hideMark/>
          </w:tcPr>
          <w:p w14:paraId="1D0E8FA2"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disability support services </w:t>
            </w:r>
          </w:p>
        </w:tc>
        <w:tc>
          <w:tcPr>
            <w:tcW w:w="447" w:type="dxa"/>
            <w:shd w:val="clear" w:color="auto" w:fill="auto"/>
            <w:noWrap/>
            <w:vAlign w:val="bottom"/>
            <w:hideMark/>
          </w:tcPr>
          <w:p w14:paraId="52A8EBAE"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390" w:type="dxa"/>
            <w:shd w:val="clear" w:color="auto" w:fill="auto"/>
            <w:noWrap/>
            <w:vAlign w:val="bottom"/>
            <w:hideMark/>
          </w:tcPr>
          <w:p w14:paraId="35664409"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442" w:type="dxa"/>
            <w:shd w:val="clear" w:color="auto" w:fill="auto"/>
            <w:noWrap/>
            <w:vAlign w:val="bottom"/>
            <w:hideMark/>
          </w:tcPr>
          <w:p w14:paraId="2F4CCE3C"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692" w:type="dxa"/>
            <w:shd w:val="clear" w:color="auto" w:fill="auto"/>
            <w:noWrap/>
            <w:vAlign w:val="bottom"/>
            <w:hideMark/>
          </w:tcPr>
          <w:p w14:paraId="309099C8"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77" w:type="dxa"/>
            <w:shd w:val="clear" w:color="auto" w:fill="auto"/>
            <w:noWrap/>
            <w:vAlign w:val="bottom"/>
            <w:hideMark/>
          </w:tcPr>
          <w:p w14:paraId="36685A29"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505" w:type="dxa"/>
            <w:shd w:val="clear" w:color="auto" w:fill="auto"/>
            <w:noWrap/>
            <w:vAlign w:val="bottom"/>
            <w:hideMark/>
          </w:tcPr>
          <w:p w14:paraId="5C579BD4"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r>
      <w:tr w:rsidR="00E82A9A" w:rsidRPr="00D21EBF" w14:paraId="48C22827" w14:textId="77777777" w:rsidTr="005B32AC">
        <w:trPr>
          <w:trHeight w:val="310"/>
        </w:trPr>
        <w:tc>
          <w:tcPr>
            <w:tcW w:w="1356" w:type="dxa"/>
          </w:tcPr>
          <w:p w14:paraId="4B8775F4" w14:textId="68DE8BAA"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fldChar w:fldCharType="begin"/>
            </w:r>
            <w:r>
              <w:rPr>
                <w:rFonts w:ascii="Aptos Narrow" w:eastAsia="Times New Roman" w:hAnsi="Aptos Narrow" w:cs="Times New Roman"/>
                <w:color w:val="000000"/>
                <w:lang w:eastAsia="en-AU"/>
                <w14:ligatures w14:val="none"/>
              </w:rPr>
              <w:instrText xml:space="preserve"> ADDIN EN.CITE &lt;EndNote&gt;&lt;Cite&gt;&lt;Author&gt;Ali&lt;/Author&gt;&lt;Year&gt;2020&lt;/Year&gt;&lt;RecNum&gt;50164&lt;/RecNum&gt;&lt;DisplayText&gt;(Ali et al., 2020)&lt;/DisplayText&gt;&lt;record&gt;&lt;rec-number&gt;50164&lt;/rec-number&gt;&lt;foreign-keys&gt;&lt;key app="EN" db-id="feav29prs929zneaprxvex2z55wwe0dtx9rf" timestamp="1742949803" guid="4ecd64a0-0e70-4614-9e44-b89e7287641e"&gt;50164&lt;/key&gt;&lt;/foreign-keys&gt;&lt;ref-type name="Journal Article"&gt;17&lt;/ref-type&gt;&lt;contributors&gt;&lt;authors&gt;&lt;author&gt;Ali, Mohammad Afshar&lt;/author&gt;&lt;author&gt;Alam, Khorshed&lt;/author&gt;&lt;author&gt;Taylor, Brad&lt;/author&gt;&lt;/authors&gt;&lt;/contributors&gt;&lt;titles&gt;&lt;title&gt;Determinants of ICT usage for healthcare among people with disabilities: The moderating role of technological and behavioural constraints&lt;/title&gt;&lt;secondary-title&gt;Journal of Biomedical Informatics&lt;/secondary-title&gt;&lt;/titles&gt;&lt;periodical&gt;&lt;full-title&gt;Journal of Biomedical Informatics&lt;/full-title&gt;&lt;/periodical&gt;&lt;pages&gt;N.PAG-N.PAG&lt;/pages&gt;&lt;volume&gt;108&lt;/volume&gt;&lt;dates&gt;&lt;year&gt;2020&lt;/year&gt;&lt;/dates&gt;&lt;pub-location&gt;Burlington, Massachusetts&lt;/pub-location&gt;&lt;publisher&gt;Academic Press Inc.&lt;/publisher&gt;&lt;urls&gt;&lt;related-urls&gt;&lt;url&gt;https://search.ebscohost.com/login.aspx?direct=true&amp;amp;AuthType=shib&amp;amp;db=ccm&amp;amp;AN=145213112&amp;amp;site=ehost-live&amp;amp;custid=s3382554&lt;/url&gt;&lt;/related-urls&gt;&lt;/urls&gt;&lt;electronic-resource-num&gt;10.1016/j.jbi.2020.103480&lt;/electronic-resource-num&gt;&lt;/record&gt;&lt;/Cite&gt;&lt;/EndNote&gt;</w:instrText>
            </w:r>
            <w:r>
              <w:rPr>
                <w:rFonts w:ascii="Aptos Narrow" w:eastAsia="Times New Roman" w:hAnsi="Aptos Narrow" w:cs="Times New Roman"/>
                <w:color w:val="000000"/>
                <w:lang w:eastAsia="en-AU"/>
                <w14:ligatures w14:val="none"/>
              </w:rPr>
              <w:fldChar w:fldCharType="separate"/>
            </w:r>
            <w:r>
              <w:rPr>
                <w:rFonts w:ascii="Aptos Narrow" w:eastAsia="Times New Roman" w:hAnsi="Aptos Narrow" w:cs="Times New Roman"/>
                <w:noProof/>
                <w:color w:val="000000"/>
                <w:lang w:eastAsia="en-AU"/>
                <w14:ligatures w14:val="none"/>
              </w:rPr>
              <w:t>(Ali et al., 2020)</w:t>
            </w:r>
            <w:r>
              <w:rPr>
                <w:rFonts w:ascii="Aptos Narrow" w:eastAsia="Times New Roman" w:hAnsi="Aptos Narrow" w:cs="Times New Roman"/>
                <w:color w:val="000000"/>
                <w:lang w:eastAsia="en-AU"/>
                <w14:ligatures w14:val="none"/>
              </w:rPr>
              <w:fldChar w:fldCharType="end"/>
            </w:r>
          </w:p>
        </w:tc>
        <w:tc>
          <w:tcPr>
            <w:tcW w:w="1431" w:type="dxa"/>
            <w:shd w:val="clear" w:color="auto" w:fill="auto"/>
            <w:noWrap/>
            <w:vAlign w:val="bottom"/>
            <w:hideMark/>
          </w:tcPr>
          <w:p w14:paraId="08BF26B4" w14:textId="2D666041"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Australia </w:t>
            </w:r>
          </w:p>
        </w:tc>
        <w:tc>
          <w:tcPr>
            <w:tcW w:w="1349" w:type="dxa"/>
            <w:shd w:val="clear" w:color="auto" w:fill="auto"/>
            <w:noWrap/>
            <w:vAlign w:val="bottom"/>
            <w:hideMark/>
          </w:tcPr>
          <w:p w14:paraId="283C844F"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Quantitative</w:t>
            </w:r>
          </w:p>
        </w:tc>
        <w:tc>
          <w:tcPr>
            <w:tcW w:w="1553" w:type="dxa"/>
            <w:shd w:val="clear" w:color="auto" w:fill="auto"/>
            <w:noWrap/>
            <w:vAlign w:val="bottom"/>
            <w:hideMark/>
          </w:tcPr>
          <w:p w14:paraId="34AC9807" w14:textId="71D8A88A"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Mixed </w:t>
            </w:r>
          </w:p>
        </w:tc>
        <w:tc>
          <w:tcPr>
            <w:tcW w:w="1479" w:type="dxa"/>
            <w:shd w:val="clear" w:color="auto" w:fill="auto"/>
            <w:noWrap/>
            <w:vAlign w:val="bottom"/>
            <w:hideMark/>
          </w:tcPr>
          <w:p w14:paraId="2BE28B7C"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proofErr w:type="spellStart"/>
            <w:r w:rsidRPr="00D21EBF">
              <w:rPr>
                <w:rFonts w:ascii="Aptos Narrow" w:eastAsia="Times New Roman" w:hAnsi="Aptos Narrow" w:cs="Times New Roman"/>
                <w:color w:val="000000"/>
                <w:lang w:eastAsia="en-AU"/>
                <w14:ligatures w14:val="none"/>
              </w:rPr>
              <w:t>PwD</w:t>
            </w:r>
            <w:proofErr w:type="spellEnd"/>
          </w:p>
        </w:tc>
        <w:tc>
          <w:tcPr>
            <w:tcW w:w="1634" w:type="dxa"/>
            <w:shd w:val="clear" w:color="auto" w:fill="auto"/>
            <w:vAlign w:val="bottom"/>
            <w:hideMark/>
          </w:tcPr>
          <w:p w14:paraId="0ACDAABE" w14:textId="77777777" w:rsidR="00E82A9A" w:rsidRPr="00D21EBF" w:rsidRDefault="00E82A9A" w:rsidP="00E82A9A">
            <w:pPr>
              <w:spacing w:after="0" w:line="240" w:lineRule="auto"/>
              <w:rPr>
                <w:rFonts w:ascii="Aptos Narrow" w:eastAsia="Times New Roman" w:hAnsi="Aptos Narrow" w:cs="Times New Roman"/>
                <w:color w:val="000000" w:themeColor="text1"/>
                <w:lang w:eastAsia="en-AU"/>
                <w14:ligatures w14:val="none"/>
              </w:rPr>
            </w:pPr>
            <w:r w:rsidRPr="00D21EBF">
              <w:rPr>
                <w:rFonts w:ascii="Aptos Narrow" w:eastAsia="Times New Roman" w:hAnsi="Aptos Narrow" w:cs="Times New Roman"/>
                <w:color w:val="000000" w:themeColor="text1"/>
                <w:lang w:eastAsia="en-AU"/>
                <w14:ligatures w14:val="none"/>
              </w:rPr>
              <w:t>Elderly</w:t>
            </w:r>
          </w:p>
        </w:tc>
        <w:tc>
          <w:tcPr>
            <w:tcW w:w="1439" w:type="dxa"/>
            <w:shd w:val="clear" w:color="auto" w:fill="auto"/>
            <w:vAlign w:val="bottom"/>
            <w:hideMark/>
          </w:tcPr>
          <w:p w14:paraId="0F1BFB64"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eHealth</w:t>
            </w:r>
          </w:p>
        </w:tc>
        <w:tc>
          <w:tcPr>
            <w:tcW w:w="1670" w:type="dxa"/>
            <w:shd w:val="clear" w:color="auto" w:fill="auto"/>
            <w:vAlign w:val="bottom"/>
            <w:hideMark/>
          </w:tcPr>
          <w:p w14:paraId="3F87DFEE"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447" w:type="dxa"/>
            <w:shd w:val="clear" w:color="auto" w:fill="auto"/>
            <w:noWrap/>
            <w:vAlign w:val="bottom"/>
            <w:hideMark/>
          </w:tcPr>
          <w:p w14:paraId="5AA67491"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390" w:type="dxa"/>
            <w:shd w:val="clear" w:color="auto" w:fill="auto"/>
            <w:noWrap/>
            <w:vAlign w:val="bottom"/>
            <w:hideMark/>
          </w:tcPr>
          <w:p w14:paraId="3ED2C6FA"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442" w:type="dxa"/>
            <w:shd w:val="clear" w:color="auto" w:fill="auto"/>
            <w:noWrap/>
            <w:vAlign w:val="bottom"/>
            <w:hideMark/>
          </w:tcPr>
          <w:p w14:paraId="372838AA"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692" w:type="dxa"/>
            <w:shd w:val="clear" w:color="auto" w:fill="auto"/>
            <w:noWrap/>
            <w:vAlign w:val="bottom"/>
            <w:hideMark/>
          </w:tcPr>
          <w:p w14:paraId="1D12B56A"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77" w:type="dxa"/>
            <w:shd w:val="clear" w:color="auto" w:fill="auto"/>
            <w:noWrap/>
            <w:vAlign w:val="bottom"/>
            <w:hideMark/>
          </w:tcPr>
          <w:p w14:paraId="71C66D4F"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05" w:type="dxa"/>
            <w:shd w:val="clear" w:color="auto" w:fill="auto"/>
            <w:noWrap/>
            <w:vAlign w:val="bottom"/>
            <w:hideMark/>
          </w:tcPr>
          <w:p w14:paraId="645C6CAD"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r>
      <w:tr w:rsidR="00E82A9A" w:rsidRPr="00D21EBF" w14:paraId="7B997A9A" w14:textId="77777777" w:rsidTr="005B32AC">
        <w:trPr>
          <w:trHeight w:val="310"/>
        </w:trPr>
        <w:tc>
          <w:tcPr>
            <w:tcW w:w="1356" w:type="dxa"/>
          </w:tcPr>
          <w:p w14:paraId="6C6DB523" w14:textId="43DDDCD0"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fldChar w:fldCharType="begin"/>
            </w:r>
            <w:r>
              <w:rPr>
                <w:rFonts w:ascii="Aptos Narrow" w:eastAsia="Times New Roman" w:hAnsi="Aptos Narrow" w:cs="Times New Roman"/>
                <w:color w:val="000000"/>
                <w:lang w:eastAsia="en-AU"/>
                <w14:ligatures w14:val="none"/>
              </w:rPr>
              <w:instrText xml:space="preserve"> ADDIN EN.CITE &lt;EndNote&gt;&lt;Cite&gt;&lt;Author&gt;Yates&lt;/Author&gt;&lt;Year&gt;2021&lt;/Year&gt;&lt;RecNum&gt;50167&lt;/RecNum&gt;&lt;DisplayText&gt;(Yates et al., 2021)&lt;/DisplayText&gt;&lt;record&gt;&lt;rec-number&gt;50167&lt;/rec-number&gt;&lt;foreign-keys&gt;&lt;key app="EN" db-id="feav29prs929zneaprxvex2z55wwe0dtx9rf" timestamp="1742949803" guid="cf613691-be81-4d04-b764-c764dae81f6d"&gt;50167&lt;/key&gt;&lt;/foreign-keys&gt;&lt;ref-type name="Journal Article"&gt;17&lt;/ref-type&gt;&lt;contributors&gt;&lt;authors&gt;&lt;author&gt;Yates, Sophie&lt;/author&gt;&lt;author&gt;Carey, Gemma&lt;/author&gt;&lt;author&gt;Hargrave, Jen&lt;/author&gt;&lt;author&gt;Malbon, Eleanor&lt;/author&gt;&lt;author&gt;Green, Celia&lt;/author&gt;&lt;/authors&gt;&lt;/contributors&gt;&lt;titles&gt;&lt;title&gt;Women&amp;apos;s experiences of accessing individualized disability supports: gender inequality and Australia&amp;apos;s National Disability Insurance Scheme&lt;/title&gt;&lt;secondary-title&gt;International journal for equity in health&lt;/secondary-title&gt;&lt;/titles&gt;&lt;periodical&gt;&lt;full-title&gt;International Journal for Equity in Health&lt;/full-title&gt;&lt;/periodical&gt;&lt;pages&gt;243&lt;/pages&gt;&lt;volume&gt;20&lt;/volume&gt;&lt;number&gt;1&lt;/number&gt;&lt;dates&gt;&lt;year&gt;2021&lt;/year&gt;&lt;/dates&gt;&lt;pub-location&gt;England&lt;/pub-location&gt;&lt;urls&gt;&lt;/urls&gt;&lt;electronic-resource-num&gt;https://dx.doi.org/10.1186/s12939-021-01571-7&lt;/electronic-resource-num&gt;&lt;/record&gt;&lt;/Cite&gt;&lt;/EndNote&gt;</w:instrText>
            </w:r>
            <w:r>
              <w:rPr>
                <w:rFonts w:ascii="Aptos Narrow" w:eastAsia="Times New Roman" w:hAnsi="Aptos Narrow" w:cs="Times New Roman"/>
                <w:color w:val="000000"/>
                <w:lang w:eastAsia="en-AU"/>
                <w14:ligatures w14:val="none"/>
              </w:rPr>
              <w:fldChar w:fldCharType="separate"/>
            </w:r>
            <w:r>
              <w:rPr>
                <w:rFonts w:ascii="Aptos Narrow" w:eastAsia="Times New Roman" w:hAnsi="Aptos Narrow" w:cs="Times New Roman"/>
                <w:noProof/>
                <w:color w:val="000000"/>
                <w:lang w:eastAsia="en-AU"/>
                <w14:ligatures w14:val="none"/>
              </w:rPr>
              <w:t>(Yates et al., 2021)</w:t>
            </w:r>
            <w:r>
              <w:rPr>
                <w:rFonts w:ascii="Aptos Narrow" w:eastAsia="Times New Roman" w:hAnsi="Aptos Narrow" w:cs="Times New Roman"/>
                <w:color w:val="000000"/>
                <w:lang w:eastAsia="en-AU"/>
                <w14:ligatures w14:val="none"/>
              </w:rPr>
              <w:fldChar w:fldCharType="end"/>
            </w:r>
          </w:p>
        </w:tc>
        <w:tc>
          <w:tcPr>
            <w:tcW w:w="1431" w:type="dxa"/>
            <w:shd w:val="clear" w:color="auto" w:fill="auto"/>
            <w:noWrap/>
            <w:vAlign w:val="bottom"/>
            <w:hideMark/>
          </w:tcPr>
          <w:p w14:paraId="04FB6A66" w14:textId="26C4F16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ACT; VIC</w:t>
            </w:r>
          </w:p>
        </w:tc>
        <w:tc>
          <w:tcPr>
            <w:tcW w:w="1349" w:type="dxa"/>
            <w:shd w:val="clear" w:color="auto" w:fill="auto"/>
            <w:noWrap/>
            <w:vAlign w:val="bottom"/>
            <w:hideMark/>
          </w:tcPr>
          <w:p w14:paraId="3C2D6E6C"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Qualitative</w:t>
            </w:r>
          </w:p>
        </w:tc>
        <w:tc>
          <w:tcPr>
            <w:tcW w:w="1553" w:type="dxa"/>
            <w:shd w:val="clear" w:color="auto" w:fill="auto"/>
            <w:noWrap/>
            <w:vAlign w:val="bottom"/>
            <w:hideMark/>
          </w:tcPr>
          <w:p w14:paraId="35F1F4E2" w14:textId="1FC6B55D"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Mixed </w:t>
            </w:r>
          </w:p>
        </w:tc>
        <w:tc>
          <w:tcPr>
            <w:tcW w:w="1479" w:type="dxa"/>
            <w:shd w:val="clear" w:color="auto" w:fill="auto"/>
            <w:noWrap/>
            <w:vAlign w:val="bottom"/>
            <w:hideMark/>
          </w:tcPr>
          <w:p w14:paraId="72EB98A9"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proofErr w:type="spellStart"/>
            <w:r w:rsidRPr="00D21EBF">
              <w:rPr>
                <w:rFonts w:ascii="Aptos Narrow" w:eastAsia="Times New Roman" w:hAnsi="Aptos Narrow" w:cs="Times New Roman"/>
                <w:color w:val="000000"/>
                <w:lang w:eastAsia="en-AU"/>
                <w14:ligatures w14:val="none"/>
              </w:rPr>
              <w:t>PwD</w:t>
            </w:r>
            <w:proofErr w:type="spellEnd"/>
          </w:p>
        </w:tc>
        <w:tc>
          <w:tcPr>
            <w:tcW w:w="1634" w:type="dxa"/>
            <w:shd w:val="clear" w:color="auto" w:fill="auto"/>
            <w:vAlign w:val="bottom"/>
            <w:hideMark/>
          </w:tcPr>
          <w:p w14:paraId="36F3C807" w14:textId="77777777" w:rsidR="00E82A9A" w:rsidRPr="00D21EBF" w:rsidRDefault="00E82A9A" w:rsidP="00E82A9A">
            <w:pPr>
              <w:spacing w:after="0" w:line="240" w:lineRule="auto"/>
              <w:rPr>
                <w:rFonts w:ascii="Aptos Narrow" w:eastAsia="Times New Roman" w:hAnsi="Aptos Narrow" w:cs="Times New Roman"/>
                <w:color w:val="000000" w:themeColor="text1"/>
                <w:lang w:eastAsia="en-AU"/>
                <w14:ligatures w14:val="none"/>
              </w:rPr>
            </w:pPr>
            <w:r w:rsidRPr="00D21EBF">
              <w:rPr>
                <w:rFonts w:ascii="Aptos Narrow" w:eastAsia="Times New Roman" w:hAnsi="Aptos Narrow" w:cs="Times New Roman"/>
                <w:color w:val="000000" w:themeColor="text1"/>
                <w:lang w:eastAsia="en-AU"/>
                <w14:ligatures w14:val="none"/>
              </w:rPr>
              <w:t xml:space="preserve">Women </w:t>
            </w:r>
          </w:p>
        </w:tc>
        <w:tc>
          <w:tcPr>
            <w:tcW w:w="1439" w:type="dxa"/>
            <w:shd w:val="clear" w:color="auto" w:fill="auto"/>
            <w:vAlign w:val="bottom"/>
            <w:hideMark/>
          </w:tcPr>
          <w:p w14:paraId="414D8252"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1670" w:type="dxa"/>
            <w:shd w:val="clear" w:color="auto" w:fill="auto"/>
            <w:vAlign w:val="bottom"/>
            <w:hideMark/>
          </w:tcPr>
          <w:p w14:paraId="558D4C18"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NDIS</w:t>
            </w:r>
          </w:p>
        </w:tc>
        <w:tc>
          <w:tcPr>
            <w:tcW w:w="447" w:type="dxa"/>
            <w:shd w:val="clear" w:color="auto" w:fill="auto"/>
            <w:noWrap/>
            <w:vAlign w:val="bottom"/>
            <w:hideMark/>
          </w:tcPr>
          <w:p w14:paraId="28AD196D"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390" w:type="dxa"/>
            <w:shd w:val="clear" w:color="auto" w:fill="auto"/>
            <w:noWrap/>
            <w:vAlign w:val="bottom"/>
            <w:hideMark/>
          </w:tcPr>
          <w:p w14:paraId="13B522DF"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442" w:type="dxa"/>
            <w:shd w:val="clear" w:color="auto" w:fill="auto"/>
            <w:noWrap/>
            <w:vAlign w:val="bottom"/>
            <w:hideMark/>
          </w:tcPr>
          <w:p w14:paraId="2707884D"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692" w:type="dxa"/>
            <w:shd w:val="clear" w:color="auto" w:fill="auto"/>
            <w:noWrap/>
            <w:vAlign w:val="bottom"/>
            <w:hideMark/>
          </w:tcPr>
          <w:p w14:paraId="6704A9CB"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77" w:type="dxa"/>
            <w:shd w:val="clear" w:color="auto" w:fill="auto"/>
            <w:noWrap/>
            <w:vAlign w:val="bottom"/>
            <w:hideMark/>
          </w:tcPr>
          <w:p w14:paraId="38F2B6F3"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505" w:type="dxa"/>
            <w:shd w:val="clear" w:color="auto" w:fill="auto"/>
            <w:noWrap/>
            <w:vAlign w:val="bottom"/>
            <w:hideMark/>
          </w:tcPr>
          <w:p w14:paraId="526158D3"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r>
      <w:tr w:rsidR="00E82A9A" w:rsidRPr="00D21EBF" w14:paraId="22151F86" w14:textId="77777777" w:rsidTr="005B32AC">
        <w:trPr>
          <w:trHeight w:val="310"/>
        </w:trPr>
        <w:tc>
          <w:tcPr>
            <w:tcW w:w="1356" w:type="dxa"/>
          </w:tcPr>
          <w:p w14:paraId="4EEBAD05" w14:textId="66D3CA00"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fldChar w:fldCharType="begin"/>
            </w:r>
            <w:r>
              <w:rPr>
                <w:rFonts w:ascii="Aptos Narrow" w:eastAsia="Times New Roman" w:hAnsi="Aptos Narrow" w:cs="Times New Roman"/>
                <w:color w:val="000000"/>
                <w:lang w:eastAsia="en-AU"/>
                <w14:ligatures w14:val="none"/>
              </w:rPr>
              <w:instrText xml:space="preserve"> ADDIN EN.CITE &lt;EndNote&gt;&lt;Cite&gt;&lt;Author&gt;Mimmo&lt;/Author&gt;&lt;Year&gt;2022&lt;/Year&gt;&lt;RecNum&gt;50166&lt;/RecNum&gt;&lt;DisplayText&gt;(Mimmo et al., 2022)&lt;/DisplayText&gt;&lt;record&gt;&lt;rec-number&gt;50166&lt;/rec-number&gt;&lt;foreign-keys&gt;&lt;key app="EN" db-id="feav29prs929zneaprxvex2z55wwe0dtx9rf" timestamp="1742949803" guid="2d435e8e-8160-4520-85b4-f69727640ccc"&gt;50166&lt;/key&gt;&lt;/foreign-keys&gt;&lt;ref-type name="Journal Article"&gt;17&lt;/ref-type&gt;&lt;contributors&gt;&lt;authors&gt;&lt;author&gt;Mimmo, Laurel&lt;/author&gt;&lt;author&gt;Harrison, Reema&lt;/author&gt;&lt;author&gt;Travaglia, Joanne&lt;/author&gt;&lt;author&gt;Hu, Nan&lt;/author&gt;&lt;author&gt;Woolfenden, Susan&lt;/author&gt;&lt;/authors&gt;&lt;/contributors&gt;&lt;titles&gt;&lt;title&gt;Inequities in quality and safety outcomes for hospitalized children with intellectual disability&lt;/title&gt;&lt;secondary-title&gt;Developmental medicine and child neurology&lt;/secondary-title&gt;&lt;/titles&gt;&lt;periodical&gt;&lt;full-title&gt;Dev Med Child Neurol&lt;/full-title&gt;&lt;abbr-1&gt;Developmental medicine and child neurology&lt;/abbr-1&gt;&lt;/periodical&gt;&lt;pages&gt;314-322&lt;/pages&gt;&lt;volume&gt;64&lt;/volume&gt;&lt;number&gt;3&lt;/number&gt;&lt;dates&gt;&lt;year&gt;2022&lt;/year&gt;&lt;/dates&gt;&lt;pub-location&gt;England&lt;/pub-location&gt;&lt;urls&gt;&lt;/urls&gt;&lt;electronic-resource-num&gt;https://dx.doi.org/10.1111/dmcn.15066&lt;/electronic-resource-num&gt;&lt;/record&gt;&lt;/Cite&gt;&lt;/EndNote&gt;</w:instrText>
            </w:r>
            <w:r>
              <w:rPr>
                <w:rFonts w:ascii="Aptos Narrow" w:eastAsia="Times New Roman" w:hAnsi="Aptos Narrow" w:cs="Times New Roman"/>
                <w:color w:val="000000"/>
                <w:lang w:eastAsia="en-AU"/>
                <w14:ligatures w14:val="none"/>
              </w:rPr>
              <w:fldChar w:fldCharType="separate"/>
            </w:r>
            <w:r>
              <w:rPr>
                <w:rFonts w:ascii="Aptos Narrow" w:eastAsia="Times New Roman" w:hAnsi="Aptos Narrow" w:cs="Times New Roman"/>
                <w:noProof/>
                <w:color w:val="000000"/>
                <w:lang w:eastAsia="en-AU"/>
                <w14:ligatures w14:val="none"/>
              </w:rPr>
              <w:t>(Mimmo et al., 2022)</w:t>
            </w:r>
            <w:r>
              <w:rPr>
                <w:rFonts w:ascii="Aptos Narrow" w:eastAsia="Times New Roman" w:hAnsi="Aptos Narrow" w:cs="Times New Roman"/>
                <w:color w:val="000000"/>
                <w:lang w:eastAsia="en-AU"/>
                <w14:ligatures w14:val="none"/>
              </w:rPr>
              <w:fldChar w:fldCharType="end"/>
            </w:r>
          </w:p>
        </w:tc>
        <w:tc>
          <w:tcPr>
            <w:tcW w:w="1431" w:type="dxa"/>
            <w:shd w:val="clear" w:color="auto" w:fill="auto"/>
            <w:noWrap/>
            <w:vAlign w:val="bottom"/>
            <w:hideMark/>
          </w:tcPr>
          <w:p w14:paraId="347EBD1E" w14:textId="47CAECCF"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NSW</w:t>
            </w:r>
          </w:p>
        </w:tc>
        <w:tc>
          <w:tcPr>
            <w:tcW w:w="1349" w:type="dxa"/>
            <w:shd w:val="clear" w:color="auto" w:fill="auto"/>
            <w:noWrap/>
            <w:vAlign w:val="bottom"/>
            <w:hideMark/>
          </w:tcPr>
          <w:p w14:paraId="7D2A094D"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Quantitative</w:t>
            </w:r>
          </w:p>
        </w:tc>
        <w:tc>
          <w:tcPr>
            <w:tcW w:w="1553" w:type="dxa"/>
            <w:shd w:val="clear" w:color="auto" w:fill="auto"/>
            <w:noWrap/>
            <w:vAlign w:val="bottom"/>
            <w:hideMark/>
          </w:tcPr>
          <w:p w14:paraId="50B3D445" w14:textId="252874BF"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Intellectual </w:t>
            </w:r>
          </w:p>
        </w:tc>
        <w:tc>
          <w:tcPr>
            <w:tcW w:w="1479" w:type="dxa"/>
            <w:shd w:val="clear" w:color="auto" w:fill="auto"/>
            <w:noWrap/>
            <w:vAlign w:val="bottom"/>
            <w:hideMark/>
          </w:tcPr>
          <w:p w14:paraId="314070A5"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proofErr w:type="spellStart"/>
            <w:r w:rsidRPr="00D21EBF">
              <w:rPr>
                <w:rFonts w:ascii="Aptos Narrow" w:eastAsia="Times New Roman" w:hAnsi="Aptos Narrow" w:cs="Times New Roman"/>
                <w:color w:val="000000"/>
                <w:lang w:eastAsia="en-AU"/>
                <w14:ligatures w14:val="none"/>
              </w:rPr>
              <w:t>PwD</w:t>
            </w:r>
            <w:proofErr w:type="spellEnd"/>
          </w:p>
        </w:tc>
        <w:tc>
          <w:tcPr>
            <w:tcW w:w="1634" w:type="dxa"/>
            <w:shd w:val="clear" w:color="auto" w:fill="auto"/>
            <w:vAlign w:val="bottom"/>
            <w:hideMark/>
          </w:tcPr>
          <w:p w14:paraId="55A112BB" w14:textId="77777777" w:rsidR="00E82A9A" w:rsidRPr="00D21EBF" w:rsidRDefault="00E82A9A" w:rsidP="00E82A9A">
            <w:pPr>
              <w:spacing w:after="0" w:line="240" w:lineRule="auto"/>
              <w:rPr>
                <w:rFonts w:ascii="Aptos Narrow" w:eastAsia="Times New Roman" w:hAnsi="Aptos Narrow" w:cs="Times New Roman"/>
                <w:color w:val="000000" w:themeColor="text1"/>
                <w:lang w:eastAsia="en-AU"/>
                <w14:ligatures w14:val="none"/>
              </w:rPr>
            </w:pPr>
            <w:r w:rsidRPr="00D21EBF">
              <w:rPr>
                <w:rFonts w:ascii="Aptos Narrow" w:eastAsia="Times New Roman" w:hAnsi="Aptos Narrow" w:cs="Times New Roman"/>
                <w:color w:val="000000" w:themeColor="text1"/>
                <w:lang w:eastAsia="en-AU"/>
                <w14:ligatures w14:val="none"/>
              </w:rPr>
              <w:t xml:space="preserve">Children </w:t>
            </w:r>
          </w:p>
        </w:tc>
        <w:tc>
          <w:tcPr>
            <w:tcW w:w="1439" w:type="dxa"/>
            <w:shd w:val="clear" w:color="auto" w:fill="auto"/>
            <w:vAlign w:val="bottom"/>
            <w:hideMark/>
          </w:tcPr>
          <w:p w14:paraId="1F586AAD"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Quality care </w:t>
            </w:r>
          </w:p>
        </w:tc>
        <w:tc>
          <w:tcPr>
            <w:tcW w:w="1670" w:type="dxa"/>
            <w:shd w:val="clear" w:color="auto" w:fill="auto"/>
            <w:vAlign w:val="bottom"/>
            <w:hideMark/>
          </w:tcPr>
          <w:p w14:paraId="1E01210D"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447" w:type="dxa"/>
            <w:shd w:val="clear" w:color="auto" w:fill="auto"/>
            <w:noWrap/>
            <w:vAlign w:val="bottom"/>
            <w:hideMark/>
          </w:tcPr>
          <w:p w14:paraId="2C5DBE06"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390" w:type="dxa"/>
            <w:shd w:val="clear" w:color="auto" w:fill="auto"/>
            <w:noWrap/>
            <w:vAlign w:val="bottom"/>
            <w:hideMark/>
          </w:tcPr>
          <w:p w14:paraId="234FBEE7"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442" w:type="dxa"/>
            <w:shd w:val="clear" w:color="auto" w:fill="auto"/>
            <w:noWrap/>
            <w:vAlign w:val="bottom"/>
            <w:hideMark/>
          </w:tcPr>
          <w:p w14:paraId="455B6BC6"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692" w:type="dxa"/>
            <w:shd w:val="clear" w:color="auto" w:fill="auto"/>
            <w:noWrap/>
            <w:vAlign w:val="bottom"/>
            <w:hideMark/>
          </w:tcPr>
          <w:p w14:paraId="5F426C2F"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77" w:type="dxa"/>
            <w:shd w:val="clear" w:color="auto" w:fill="auto"/>
            <w:noWrap/>
            <w:vAlign w:val="bottom"/>
            <w:hideMark/>
          </w:tcPr>
          <w:p w14:paraId="123D3E70"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05" w:type="dxa"/>
            <w:shd w:val="clear" w:color="auto" w:fill="auto"/>
            <w:noWrap/>
            <w:vAlign w:val="bottom"/>
            <w:hideMark/>
          </w:tcPr>
          <w:p w14:paraId="52910FB9"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r>
      <w:tr w:rsidR="00E82A9A" w:rsidRPr="00D21EBF" w14:paraId="3AA55353" w14:textId="77777777" w:rsidTr="005B32AC">
        <w:trPr>
          <w:trHeight w:val="310"/>
        </w:trPr>
        <w:tc>
          <w:tcPr>
            <w:tcW w:w="1356" w:type="dxa"/>
          </w:tcPr>
          <w:p w14:paraId="7EC0EF7B" w14:textId="3EA5667B"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lastRenderedPageBreak/>
              <w:fldChar w:fldCharType="begin"/>
            </w:r>
            <w:r>
              <w:rPr>
                <w:rFonts w:ascii="Aptos Narrow" w:eastAsia="Times New Roman" w:hAnsi="Aptos Narrow" w:cs="Times New Roman"/>
                <w:color w:val="000000"/>
                <w:lang w:eastAsia="en-AU"/>
                <w14:ligatures w14:val="none"/>
              </w:rPr>
              <w:instrText xml:space="preserve"> ADDIN EN.CITE &lt;EndNote&gt;&lt;Cite&gt;&lt;Author&gt;Green&lt;/Author&gt;&lt;Year&gt;2016&lt;/Year&gt;&lt;RecNum&gt;50165&lt;/RecNum&gt;&lt;DisplayText&gt;(Green et al., 2016)&lt;/DisplayText&gt;&lt;record&gt;&lt;rec-number&gt;50165&lt;/rec-number&gt;&lt;foreign-keys&gt;&lt;key app="EN" db-id="feav29prs929zneaprxvex2z55wwe0dtx9rf" timestamp="1742949803" guid="3cdec1ad-263b-49b7-af3e-49b7e1614af0"&gt;50165&lt;/key&gt;&lt;/foreign-keys&gt;&lt;ref-type name="Journal Article"&gt;17&lt;/ref-type&gt;&lt;contributors&gt;&lt;authors&gt;&lt;author&gt;Green, Anna&lt;/author&gt;&lt;author&gt;Abbott, Penelope&lt;/author&gt;&lt;author&gt;Delaney, Patricia&lt;/author&gt;&lt;author&gt;Patradoon-Ho, Patrick&lt;/author&gt;&lt;author&gt;Delaney, John&lt;/author&gt;&lt;author&gt;Davidson, Patricia Mary&lt;/author&gt;&lt;author&gt;DiGiacomo, Michelle&lt;/author&gt;&lt;/authors&gt;&lt;/contributors&gt;&lt;titles&gt;&lt;title&gt;Navigating the journey of Aboriginal childhood disability: a qualitative study of carers&amp;apos; interface with services&lt;/title&gt;&lt;secondary-title&gt;BMC Health Services Research&lt;/secondary-title&gt;&lt;/titles&gt;&lt;periodical&gt;&lt;full-title&gt;BMC health services research&lt;/full-title&gt;&lt;/periodical&gt;&lt;pages&gt;680-680&lt;/pages&gt;&lt;volume&gt;16&lt;/volume&gt;&lt;dates&gt;&lt;year&gt;2016&lt;/year&gt;&lt;/dates&gt;&lt;publisher&gt;BioMed Central&lt;/publisher&gt;&lt;urls&gt;&lt;related-urls&gt;&lt;url&gt;https://search.ebscohost.com/login.aspx?direct=true&amp;amp;AuthType=shib&amp;amp;db=ccm&amp;amp;AN=120348804&amp;amp;site=ehost-live&amp;amp;custid=s3382554&lt;/url&gt;&lt;/related-urls&gt;&lt;/urls&gt;&lt;electronic-resource-num&gt;10.1186/s12913-016-1926-0&lt;/electronic-resource-num&gt;&lt;/record&gt;&lt;/Cite&gt;&lt;/EndNote&gt;</w:instrText>
            </w:r>
            <w:r>
              <w:rPr>
                <w:rFonts w:ascii="Aptos Narrow" w:eastAsia="Times New Roman" w:hAnsi="Aptos Narrow" w:cs="Times New Roman"/>
                <w:color w:val="000000"/>
                <w:lang w:eastAsia="en-AU"/>
                <w14:ligatures w14:val="none"/>
              </w:rPr>
              <w:fldChar w:fldCharType="separate"/>
            </w:r>
            <w:r>
              <w:rPr>
                <w:rFonts w:ascii="Aptos Narrow" w:eastAsia="Times New Roman" w:hAnsi="Aptos Narrow" w:cs="Times New Roman"/>
                <w:noProof/>
                <w:color w:val="000000"/>
                <w:lang w:eastAsia="en-AU"/>
                <w14:ligatures w14:val="none"/>
              </w:rPr>
              <w:t>(Green et al., 2016)</w:t>
            </w:r>
            <w:r>
              <w:rPr>
                <w:rFonts w:ascii="Aptos Narrow" w:eastAsia="Times New Roman" w:hAnsi="Aptos Narrow" w:cs="Times New Roman"/>
                <w:color w:val="000000"/>
                <w:lang w:eastAsia="en-AU"/>
                <w14:ligatures w14:val="none"/>
              </w:rPr>
              <w:fldChar w:fldCharType="end"/>
            </w:r>
          </w:p>
        </w:tc>
        <w:tc>
          <w:tcPr>
            <w:tcW w:w="1431" w:type="dxa"/>
            <w:shd w:val="clear" w:color="auto" w:fill="auto"/>
            <w:noWrap/>
            <w:vAlign w:val="bottom"/>
            <w:hideMark/>
          </w:tcPr>
          <w:p w14:paraId="5245CB1F" w14:textId="42598144"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Australia </w:t>
            </w:r>
          </w:p>
        </w:tc>
        <w:tc>
          <w:tcPr>
            <w:tcW w:w="1349" w:type="dxa"/>
            <w:shd w:val="clear" w:color="auto" w:fill="auto"/>
            <w:noWrap/>
            <w:vAlign w:val="bottom"/>
            <w:hideMark/>
          </w:tcPr>
          <w:p w14:paraId="5A8E3EC6"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Qualitative</w:t>
            </w:r>
          </w:p>
        </w:tc>
        <w:tc>
          <w:tcPr>
            <w:tcW w:w="1553" w:type="dxa"/>
            <w:shd w:val="clear" w:color="auto" w:fill="auto"/>
            <w:noWrap/>
            <w:vAlign w:val="bottom"/>
            <w:hideMark/>
          </w:tcPr>
          <w:p w14:paraId="1E0B1BF5" w14:textId="1C139390"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Mixed </w:t>
            </w:r>
          </w:p>
        </w:tc>
        <w:tc>
          <w:tcPr>
            <w:tcW w:w="1479" w:type="dxa"/>
            <w:shd w:val="clear" w:color="auto" w:fill="auto"/>
            <w:noWrap/>
            <w:vAlign w:val="bottom"/>
            <w:hideMark/>
          </w:tcPr>
          <w:p w14:paraId="409593EF"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Caregiver</w:t>
            </w:r>
          </w:p>
        </w:tc>
        <w:tc>
          <w:tcPr>
            <w:tcW w:w="1634" w:type="dxa"/>
            <w:shd w:val="clear" w:color="auto" w:fill="auto"/>
            <w:vAlign w:val="bottom"/>
            <w:hideMark/>
          </w:tcPr>
          <w:p w14:paraId="03EAE53D" w14:textId="77777777" w:rsidR="00E82A9A" w:rsidRPr="00D21EBF" w:rsidRDefault="00E82A9A" w:rsidP="00E82A9A">
            <w:pPr>
              <w:spacing w:after="0" w:line="240" w:lineRule="auto"/>
              <w:rPr>
                <w:rFonts w:ascii="Aptos Narrow" w:eastAsia="Times New Roman" w:hAnsi="Aptos Narrow" w:cs="Times New Roman"/>
                <w:color w:val="000000" w:themeColor="text1"/>
                <w:lang w:eastAsia="en-AU"/>
                <w14:ligatures w14:val="none"/>
              </w:rPr>
            </w:pPr>
            <w:r w:rsidRPr="00D21EBF">
              <w:rPr>
                <w:rFonts w:ascii="Aptos Narrow" w:eastAsia="Times New Roman" w:hAnsi="Aptos Narrow" w:cs="Times New Roman"/>
                <w:color w:val="000000" w:themeColor="text1"/>
                <w:lang w:eastAsia="en-AU"/>
                <w14:ligatures w14:val="none"/>
              </w:rPr>
              <w:t>Children ; First nation</w:t>
            </w:r>
          </w:p>
        </w:tc>
        <w:tc>
          <w:tcPr>
            <w:tcW w:w="1439" w:type="dxa"/>
            <w:shd w:val="clear" w:color="auto" w:fill="auto"/>
            <w:vAlign w:val="bottom"/>
            <w:hideMark/>
          </w:tcPr>
          <w:p w14:paraId="6568FA2C"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Health services </w:t>
            </w:r>
          </w:p>
        </w:tc>
        <w:tc>
          <w:tcPr>
            <w:tcW w:w="1670" w:type="dxa"/>
            <w:shd w:val="clear" w:color="auto" w:fill="auto"/>
            <w:vAlign w:val="bottom"/>
            <w:hideMark/>
          </w:tcPr>
          <w:p w14:paraId="07525FDA"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447" w:type="dxa"/>
            <w:shd w:val="clear" w:color="auto" w:fill="auto"/>
            <w:noWrap/>
            <w:vAlign w:val="bottom"/>
            <w:hideMark/>
          </w:tcPr>
          <w:p w14:paraId="7E33D6F4"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390" w:type="dxa"/>
            <w:shd w:val="clear" w:color="auto" w:fill="auto"/>
            <w:noWrap/>
            <w:vAlign w:val="bottom"/>
            <w:hideMark/>
          </w:tcPr>
          <w:p w14:paraId="25CA47A7"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442" w:type="dxa"/>
            <w:shd w:val="clear" w:color="auto" w:fill="auto"/>
            <w:noWrap/>
            <w:vAlign w:val="bottom"/>
            <w:hideMark/>
          </w:tcPr>
          <w:p w14:paraId="5C2B92A1"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692" w:type="dxa"/>
            <w:shd w:val="clear" w:color="auto" w:fill="auto"/>
            <w:noWrap/>
            <w:vAlign w:val="bottom"/>
            <w:hideMark/>
          </w:tcPr>
          <w:p w14:paraId="0EA516D7"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77" w:type="dxa"/>
            <w:shd w:val="clear" w:color="auto" w:fill="auto"/>
            <w:noWrap/>
            <w:vAlign w:val="bottom"/>
            <w:hideMark/>
          </w:tcPr>
          <w:p w14:paraId="6E69DC3E"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505" w:type="dxa"/>
            <w:shd w:val="clear" w:color="auto" w:fill="auto"/>
            <w:noWrap/>
            <w:vAlign w:val="bottom"/>
            <w:hideMark/>
          </w:tcPr>
          <w:p w14:paraId="6E3321D1"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r>
      <w:tr w:rsidR="00E82A9A" w:rsidRPr="00D21EBF" w14:paraId="0B57ADD2" w14:textId="77777777" w:rsidTr="005B32AC">
        <w:trPr>
          <w:trHeight w:val="310"/>
        </w:trPr>
        <w:tc>
          <w:tcPr>
            <w:tcW w:w="1356" w:type="dxa"/>
          </w:tcPr>
          <w:p w14:paraId="6718D06B" w14:textId="3EF38B8D"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fldChar w:fldCharType="begin"/>
            </w:r>
            <w:r>
              <w:rPr>
                <w:rFonts w:ascii="Aptos Narrow" w:eastAsia="Times New Roman" w:hAnsi="Aptos Narrow" w:cs="Times New Roman"/>
                <w:color w:val="000000"/>
                <w:lang w:eastAsia="en-AU"/>
                <w14:ligatures w14:val="none"/>
              </w:rPr>
              <w:instrText xml:space="preserve"> ADDIN EN.CITE &lt;EndNote&gt;&lt;Cite&gt;&lt;Author&gt;Ali&lt;/Author&gt;&lt;Year&gt;2020&lt;/Year&gt;&lt;RecNum&gt;50164&lt;/RecNum&gt;&lt;DisplayText&gt;(Ali et al., 2020)&lt;/DisplayText&gt;&lt;record&gt;&lt;rec-number&gt;50164&lt;/rec-number&gt;&lt;foreign-keys&gt;&lt;key app="EN" db-id="feav29prs929zneaprxvex2z55wwe0dtx9rf" timestamp="1742949803" guid="4ecd64a0-0e70-4614-9e44-b89e7287641e"&gt;50164&lt;/key&gt;&lt;/foreign-keys&gt;&lt;ref-type name="Journal Article"&gt;17&lt;/ref-type&gt;&lt;contributors&gt;&lt;authors&gt;&lt;author&gt;Ali, Mohammad Afshar&lt;/author&gt;&lt;author&gt;Alam, Khorshed&lt;/author&gt;&lt;author&gt;Taylor, Brad&lt;/author&gt;&lt;/authors&gt;&lt;/contributors&gt;&lt;titles&gt;&lt;title&gt;Determinants of ICT usage for healthcare among people with disabilities: The moderating role of technological and behavioural constraints&lt;/title&gt;&lt;secondary-title&gt;Journal of Biomedical Informatics&lt;/secondary-title&gt;&lt;/titles&gt;&lt;periodical&gt;&lt;full-title&gt;Journal of Biomedical Informatics&lt;/full-title&gt;&lt;/periodical&gt;&lt;pages&gt;N.PAG-N.PAG&lt;/pages&gt;&lt;volume&gt;108&lt;/volume&gt;&lt;dates&gt;&lt;year&gt;2020&lt;/year&gt;&lt;/dates&gt;&lt;pub-location&gt;Burlington, Massachusetts&lt;/pub-location&gt;&lt;publisher&gt;Academic Press Inc.&lt;/publisher&gt;&lt;urls&gt;&lt;related-urls&gt;&lt;url&gt;https://search.ebscohost.com/login.aspx?direct=true&amp;amp;AuthType=shib&amp;amp;db=ccm&amp;amp;AN=145213112&amp;amp;site=ehost-live&amp;amp;custid=s3382554&lt;/url&gt;&lt;/related-urls&gt;&lt;/urls&gt;&lt;electronic-resource-num&gt;10.1016/j.jbi.2020.103480&lt;/electronic-resource-num&gt;&lt;/record&gt;&lt;/Cite&gt;&lt;/EndNote&gt;</w:instrText>
            </w:r>
            <w:r>
              <w:rPr>
                <w:rFonts w:ascii="Aptos Narrow" w:eastAsia="Times New Roman" w:hAnsi="Aptos Narrow" w:cs="Times New Roman"/>
                <w:color w:val="000000"/>
                <w:lang w:eastAsia="en-AU"/>
                <w14:ligatures w14:val="none"/>
              </w:rPr>
              <w:fldChar w:fldCharType="separate"/>
            </w:r>
            <w:r>
              <w:rPr>
                <w:rFonts w:ascii="Aptos Narrow" w:eastAsia="Times New Roman" w:hAnsi="Aptos Narrow" w:cs="Times New Roman"/>
                <w:noProof/>
                <w:color w:val="000000"/>
                <w:lang w:eastAsia="en-AU"/>
                <w14:ligatures w14:val="none"/>
              </w:rPr>
              <w:t>(Ali et al., 2020)</w:t>
            </w:r>
            <w:r>
              <w:rPr>
                <w:rFonts w:ascii="Aptos Narrow" w:eastAsia="Times New Roman" w:hAnsi="Aptos Narrow" w:cs="Times New Roman"/>
                <w:color w:val="000000"/>
                <w:lang w:eastAsia="en-AU"/>
                <w14:ligatures w14:val="none"/>
              </w:rPr>
              <w:fldChar w:fldCharType="end"/>
            </w:r>
          </w:p>
        </w:tc>
        <w:tc>
          <w:tcPr>
            <w:tcW w:w="1431" w:type="dxa"/>
            <w:shd w:val="clear" w:color="auto" w:fill="auto"/>
            <w:noWrap/>
            <w:vAlign w:val="bottom"/>
            <w:hideMark/>
          </w:tcPr>
          <w:p w14:paraId="3B141488" w14:textId="4AB04376"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Australia </w:t>
            </w:r>
          </w:p>
        </w:tc>
        <w:tc>
          <w:tcPr>
            <w:tcW w:w="1349" w:type="dxa"/>
            <w:shd w:val="clear" w:color="auto" w:fill="auto"/>
            <w:noWrap/>
            <w:vAlign w:val="bottom"/>
            <w:hideMark/>
          </w:tcPr>
          <w:p w14:paraId="0C6484A5"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Quantitative</w:t>
            </w:r>
          </w:p>
        </w:tc>
        <w:tc>
          <w:tcPr>
            <w:tcW w:w="1553" w:type="dxa"/>
            <w:shd w:val="clear" w:color="auto" w:fill="auto"/>
            <w:noWrap/>
            <w:vAlign w:val="bottom"/>
            <w:hideMark/>
          </w:tcPr>
          <w:p w14:paraId="07415C40" w14:textId="3B197585"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Mixed </w:t>
            </w:r>
            <w:r>
              <w:rPr>
                <w:rFonts w:ascii="Aptos Narrow" w:eastAsia="Times New Roman" w:hAnsi="Aptos Narrow" w:cs="Times New Roman"/>
                <w:color w:val="000000"/>
                <w:lang w:eastAsia="en-AU"/>
                <w14:ligatures w14:val="none"/>
              </w:rPr>
              <w:t xml:space="preserve"> </w:t>
            </w:r>
          </w:p>
        </w:tc>
        <w:tc>
          <w:tcPr>
            <w:tcW w:w="1479" w:type="dxa"/>
            <w:shd w:val="clear" w:color="auto" w:fill="auto"/>
            <w:noWrap/>
            <w:vAlign w:val="bottom"/>
            <w:hideMark/>
          </w:tcPr>
          <w:p w14:paraId="59F07E6E"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proofErr w:type="spellStart"/>
            <w:r w:rsidRPr="00D21EBF">
              <w:rPr>
                <w:rFonts w:ascii="Aptos Narrow" w:eastAsia="Times New Roman" w:hAnsi="Aptos Narrow" w:cs="Times New Roman"/>
                <w:color w:val="000000"/>
                <w:lang w:eastAsia="en-AU"/>
                <w14:ligatures w14:val="none"/>
              </w:rPr>
              <w:t>PwD</w:t>
            </w:r>
            <w:proofErr w:type="spellEnd"/>
          </w:p>
        </w:tc>
        <w:tc>
          <w:tcPr>
            <w:tcW w:w="1634" w:type="dxa"/>
            <w:shd w:val="clear" w:color="auto" w:fill="auto"/>
            <w:vAlign w:val="bottom"/>
            <w:hideMark/>
          </w:tcPr>
          <w:p w14:paraId="7C6CD797" w14:textId="77777777" w:rsidR="00E82A9A" w:rsidRPr="00D21EBF" w:rsidRDefault="00E82A9A" w:rsidP="00E82A9A">
            <w:pPr>
              <w:spacing w:after="0" w:line="240" w:lineRule="auto"/>
              <w:rPr>
                <w:rFonts w:ascii="Aptos Narrow" w:eastAsia="Times New Roman" w:hAnsi="Aptos Narrow" w:cs="Times New Roman"/>
                <w:color w:val="000000" w:themeColor="text1"/>
                <w:lang w:eastAsia="en-AU"/>
                <w14:ligatures w14:val="none"/>
              </w:rPr>
            </w:pPr>
            <w:r w:rsidRPr="00D21EBF">
              <w:rPr>
                <w:rFonts w:ascii="Aptos Narrow" w:eastAsia="Times New Roman" w:hAnsi="Aptos Narrow" w:cs="Times New Roman"/>
                <w:color w:val="000000" w:themeColor="text1"/>
                <w:lang w:eastAsia="en-AU"/>
                <w14:ligatures w14:val="none"/>
              </w:rPr>
              <w:t> </w:t>
            </w:r>
          </w:p>
        </w:tc>
        <w:tc>
          <w:tcPr>
            <w:tcW w:w="1439" w:type="dxa"/>
            <w:shd w:val="clear" w:color="auto" w:fill="auto"/>
            <w:vAlign w:val="bottom"/>
            <w:hideMark/>
          </w:tcPr>
          <w:p w14:paraId="7697B0AA"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Telehealth</w:t>
            </w:r>
          </w:p>
        </w:tc>
        <w:tc>
          <w:tcPr>
            <w:tcW w:w="1670" w:type="dxa"/>
            <w:shd w:val="clear" w:color="auto" w:fill="auto"/>
            <w:vAlign w:val="bottom"/>
            <w:hideMark/>
          </w:tcPr>
          <w:p w14:paraId="346170DB"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447" w:type="dxa"/>
            <w:shd w:val="clear" w:color="auto" w:fill="auto"/>
            <w:noWrap/>
            <w:vAlign w:val="bottom"/>
            <w:hideMark/>
          </w:tcPr>
          <w:p w14:paraId="19334838"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390" w:type="dxa"/>
            <w:shd w:val="clear" w:color="auto" w:fill="auto"/>
            <w:noWrap/>
            <w:vAlign w:val="bottom"/>
            <w:hideMark/>
          </w:tcPr>
          <w:p w14:paraId="5F664AD5"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442" w:type="dxa"/>
            <w:shd w:val="clear" w:color="auto" w:fill="auto"/>
            <w:noWrap/>
            <w:vAlign w:val="bottom"/>
            <w:hideMark/>
          </w:tcPr>
          <w:p w14:paraId="7251B9F2"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692" w:type="dxa"/>
            <w:shd w:val="clear" w:color="auto" w:fill="auto"/>
            <w:noWrap/>
            <w:vAlign w:val="bottom"/>
            <w:hideMark/>
          </w:tcPr>
          <w:p w14:paraId="445780AF"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77" w:type="dxa"/>
            <w:shd w:val="clear" w:color="auto" w:fill="auto"/>
            <w:noWrap/>
            <w:vAlign w:val="bottom"/>
            <w:hideMark/>
          </w:tcPr>
          <w:p w14:paraId="6BF09882"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505" w:type="dxa"/>
            <w:shd w:val="clear" w:color="auto" w:fill="auto"/>
            <w:noWrap/>
            <w:vAlign w:val="bottom"/>
            <w:hideMark/>
          </w:tcPr>
          <w:p w14:paraId="08179264"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r>
      <w:tr w:rsidR="00E82A9A" w:rsidRPr="00D21EBF" w14:paraId="1E6BB2F5" w14:textId="77777777" w:rsidTr="005B32AC">
        <w:trPr>
          <w:trHeight w:val="310"/>
        </w:trPr>
        <w:tc>
          <w:tcPr>
            <w:tcW w:w="1356" w:type="dxa"/>
          </w:tcPr>
          <w:p w14:paraId="3673714B" w14:textId="751087F5"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fldChar w:fldCharType="begin"/>
            </w:r>
            <w:r>
              <w:rPr>
                <w:rFonts w:ascii="Aptos Narrow" w:eastAsia="Times New Roman" w:hAnsi="Aptos Narrow" w:cs="Times New Roman"/>
                <w:color w:val="000000"/>
                <w:lang w:eastAsia="en-AU"/>
                <w14:ligatures w14:val="none"/>
              </w:rPr>
              <w:instrText xml:space="preserve"> ADDIN EN.CITE &lt;EndNote&gt;&lt;Cite&gt;&lt;Author&gt;Malbon&lt;/Author&gt;&lt;Year&gt;2019&lt;/Year&gt;&lt;RecNum&gt;50163&lt;/RecNum&gt;&lt;DisplayText&gt;(Malbon et al., 2019)&lt;/DisplayText&gt;&lt;record&gt;&lt;rec-number&gt;50163&lt;/rec-number&gt;&lt;foreign-keys&gt;&lt;key app="EN" db-id="feav29prs929zneaprxvex2z55wwe0dtx9rf" timestamp="1742949803" guid="155c4cd6-b98b-4dc4-8350-a15b24e79dcb"&gt;50163&lt;/key&gt;&lt;/foreign-keys&gt;&lt;ref-type name="Journal Article"&gt;17&lt;/ref-type&gt;&lt;contributors&gt;&lt;authors&gt;&lt;author&gt;Malbon, Eleanor&lt;/author&gt;&lt;author&gt;Carey, Gemma&lt;/author&gt;&lt;author&gt;Meltzer, Ariella&lt;/author&gt;&lt;/authors&gt;&lt;/contributors&gt;&lt;titles&gt;&lt;title&gt;Personalisation schemes in social care: are they growing social and health inequalities?&lt;/title&gt;&lt;secondary-title&gt;BMC Public Health&lt;/secondary-title&gt;&lt;/titles&gt;&lt;periodical&gt;&lt;full-title&gt;BMC Public Health&lt;/full-title&gt;&lt;/periodical&gt;&lt;pages&gt;1-12&lt;/pages&gt;&lt;volume&gt;19&lt;/volume&gt;&lt;number&gt;1&lt;/number&gt;&lt;dates&gt;&lt;year&gt;2019&lt;/year&gt;&lt;/dates&gt;&lt;publisher&gt;BioMed Central&lt;/publisher&gt;&lt;urls&gt;&lt;related-urls&gt;&lt;url&gt;https://search.ebscohost.com/login.aspx?direct=true&amp;amp;AuthType=shib&amp;amp;db=ccm&amp;amp;AN=137146838&amp;amp;site=ehost-live&amp;amp;custid=s3382554&lt;/url&gt;&lt;/related-urls&gt;&lt;/urls&gt;&lt;electronic-resource-num&gt;10.1186/s12889-019-7168-4&lt;/electronic-resource-num&gt;&lt;/record&gt;&lt;/Cite&gt;&lt;/EndNote&gt;</w:instrText>
            </w:r>
            <w:r>
              <w:rPr>
                <w:rFonts w:ascii="Aptos Narrow" w:eastAsia="Times New Roman" w:hAnsi="Aptos Narrow" w:cs="Times New Roman"/>
                <w:color w:val="000000"/>
                <w:lang w:eastAsia="en-AU"/>
                <w14:ligatures w14:val="none"/>
              </w:rPr>
              <w:fldChar w:fldCharType="separate"/>
            </w:r>
            <w:r>
              <w:rPr>
                <w:rFonts w:ascii="Aptos Narrow" w:eastAsia="Times New Roman" w:hAnsi="Aptos Narrow" w:cs="Times New Roman"/>
                <w:noProof/>
                <w:color w:val="000000"/>
                <w:lang w:eastAsia="en-AU"/>
                <w14:ligatures w14:val="none"/>
              </w:rPr>
              <w:t>(Malbon et al., 2019)</w:t>
            </w:r>
            <w:r>
              <w:rPr>
                <w:rFonts w:ascii="Aptos Narrow" w:eastAsia="Times New Roman" w:hAnsi="Aptos Narrow" w:cs="Times New Roman"/>
                <w:color w:val="000000"/>
                <w:lang w:eastAsia="en-AU"/>
                <w14:ligatures w14:val="none"/>
              </w:rPr>
              <w:fldChar w:fldCharType="end"/>
            </w:r>
          </w:p>
        </w:tc>
        <w:tc>
          <w:tcPr>
            <w:tcW w:w="1431" w:type="dxa"/>
            <w:shd w:val="clear" w:color="auto" w:fill="auto"/>
            <w:noWrap/>
            <w:vAlign w:val="bottom"/>
            <w:hideMark/>
          </w:tcPr>
          <w:p w14:paraId="3C92571C" w14:textId="3E008ECF"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Australia </w:t>
            </w:r>
          </w:p>
        </w:tc>
        <w:tc>
          <w:tcPr>
            <w:tcW w:w="1349" w:type="dxa"/>
            <w:shd w:val="clear" w:color="auto" w:fill="auto"/>
            <w:noWrap/>
            <w:vAlign w:val="bottom"/>
            <w:hideMark/>
          </w:tcPr>
          <w:p w14:paraId="5524AC2E"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Review</w:t>
            </w:r>
          </w:p>
        </w:tc>
        <w:tc>
          <w:tcPr>
            <w:tcW w:w="1553" w:type="dxa"/>
            <w:shd w:val="clear" w:color="auto" w:fill="auto"/>
            <w:noWrap/>
            <w:vAlign w:val="bottom"/>
            <w:hideMark/>
          </w:tcPr>
          <w:p w14:paraId="7AEE46D6" w14:textId="5ABE3393"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Mixed </w:t>
            </w:r>
          </w:p>
        </w:tc>
        <w:tc>
          <w:tcPr>
            <w:tcW w:w="1479" w:type="dxa"/>
            <w:shd w:val="clear" w:color="auto" w:fill="auto"/>
            <w:noWrap/>
            <w:vAlign w:val="bottom"/>
            <w:hideMark/>
          </w:tcPr>
          <w:p w14:paraId="516974CC"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proofErr w:type="spellStart"/>
            <w:r w:rsidRPr="00D21EBF">
              <w:rPr>
                <w:rFonts w:ascii="Aptos Narrow" w:eastAsia="Times New Roman" w:hAnsi="Aptos Narrow" w:cs="Times New Roman"/>
                <w:color w:val="000000"/>
                <w:lang w:eastAsia="en-AU"/>
                <w14:ligatures w14:val="none"/>
              </w:rPr>
              <w:t>PwD</w:t>
            </w:r>
            <w:proofErr w:type="spellEnd"/>
            <w:r w:rsidRPr="00D21EBF">
              <w:rPr>
                <w:rFonts w:ascii="Aptos Narrow" w:eastAsia="Times New Roman" w:hAnsi="Aptos Narrow" w:cs="Times New Roman"/>
                <w:color w:val="000000"/>
                <w:lang w:eastAsia="en-AU"/>
                <w14:ligatures w14:val="none"/>
              </w:rPr>
              <w:t>; Caregiver; Provider</w:t>
            </w:r>
          </w:p>
        </w:tc>
        <w:tc>
          <w:tcPr>
            <w:tcW w:w="1634" w:type="dxa"/>
            <w:shd w:val="clear" w:color="auto" w:fill="auto"/>
            <w:vAlign w:val="bottom"/>
            <w:hideMark/>
          </w:tcPr>
          <w:p w14:paraId="4217A31C" w14:textId="77777777" w:rsidR="00E82A9A" w:rsidRPr="00D21EBF" w:rsidRDefault="00E82A9A" w:rsidP="00E82A9A">
            <w:pPr>
              <w:spacing w:after="0" w:line="240" w:lineRule="auto"/>
              <w:rPr>
                <w:rFonts w:ascii="Aptos Narrow" w:eastAsia="Times New Roman" w:hAnsi="Aptos Narrow" w:cs="Times New Roman"/>
                <w:color w:val="000000" w:themeColor="text1"/>
                <w:lang w:eastAsia="en-AU"/>
                <w14:ligatures w14:val="none"/>
              </w:rPr>
            </w:pPr>
            <w:r w:rsidRPr="00D21EBF">
              <w:rPr>
                <w:rFonts w:ascii="Aptos Narrow" w:eastAsia="Times New Roman" w:hAnsi="Aptos Narrow" w:cs="Times New Roman"/>
                <w:color w:val="000000" w:themeColor="text1"/>
                <w:lang w:eastAsia="en-AU"/>
                <w14:ligatures w14:val="none"/>
              </w:rPr>
              <w:t> </w:t>
            </w:r>
          </w:p>
        </w:tc>
        <w:tc>
          <w:tcPr>
            <w:tcW w:w="1439" w:type="dxa"/>
            <w:shd w:val="clear" w:color="auto" w:fill="auto"/>
            <w:vAlign w:val="bottom"/>
            <w:hideMark/>
          </w:tcPr>
          <w:p w14:paraId="1FD9329B"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1670" w:type="dxa"/>
            <w:shd w:val="clear" w:color="auto" w:fill="auto"/>
            <w:vAlign w:val="bottom"/>
            <w:hideMark/>
          </w:tcPr>
          <w:p w14:paraId="6A771815"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NDIS support services.</w:t>
            </w:r>
          </w:p>
        </w:tc>
        <w:tc>
          <w:tcPr>
            <w:tcW w:w="447" w:type="dxa"/>
            <w:shd w:val="clear" w:color="auto" w:fill="auto"/>
            <w:noWrap/>
            <w:vAlign w:val="bottom"/>
            <w:hideMark/>
          </w:tcPr>
          <w:p w14:paraId="75E3CB2C"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390" w:type="dxa"/>
            <w:shd w:val="clear" w:color="auto" w:fill="auto"/>
            <w:noWrap/>
            <w:vAlign w:val="bottom"/>
            <w:hideMark/>
          </w:tcPr>
          <w:p w14:paraId="3EF64641"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442" w:type="dxa"/>
            <w:shd w:val="clear" w:color="auto" w:fill="auto"/>
            <w:noWrap/>
            <w:vAlign w:val="bottom"/>
            <w:hideMark/>
          </w:tcPr>
          <w:p w14:paraId="08F1FB6A"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692" w:type="dxa"/>
            <w:shd w:val="clear" w:color="auto" w:fill="auto"/>
            <w:noWrap/>
            <w:vAlign w:val="bottom"/>
            <w:hideMark/>
          </w:tcPr>
          <w:p w14:paraId="4646D624"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577" w:type="dxa"/>
            <w:shd w:val="clear" w:color="auto" w:fill="auto"/>
            <w:noWrap/>
            <w:vAlign w:val="bottom"/>
            <w:hideMark/>
          </w:tcPr>
          <w:p w14:paraId="26920B9B"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05" w:type="dxa"/>
            <w:shd w:val="clear" w:color="auto" w:fill="auto"/>
            <w:noWrap/>
            <w:vAlign w:val="bottom"/>
            <w:hideMark/>
          </w:tcPr>
          <w:p w14:paraId="4BD3FBB2"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r>
      <w:tr w:rsidR="00E82A9A" w:rsidRPr="00D21EBF" w14:paraId="5CF23FAE" w14:textId="77777777" w:rsidTr="005B32AC">
        <w:trPr>
          <w:trHeight w:val="310"/>
        </w:trPr>
        <w:tc>
          <w:tcPr>
            <w:tcW w:w="1356" w:type="dxa"/>
          </w:tcPr>
          <w:p w14:paraId="4E992531" w14:textId="5E822C21"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fldChar w:fldCharType="begin"/>
            </w:r>
            <w:r>
              <w:rPr>
                <w:rFonts w:ascii="Aptos Narrow" w:eastAsia="Times New Roman" w:hAnsi="Aptos Narrow" w:cs="Times New Roman"/>
                <w:color w:val="000000"/>
                <w:lang w:eastAsia="en-AU"/>
                <w14:ligatures w14:val="none"/>
              </w:rPr>
              <w:instrText xml:space="preserve"> ADDIN EN.CITE &lt;EndNote&gt;&lt;Cite&gt;&lt;Author&gt;DiGiacomo&lt;/Author&gt;&lt;Year&gt;2013&lt;/Year&gt;&lt;RecNum&gt;50162&lt;/RecNum&gt;&lt;DisplayText&gt;(DiGiacomo et al., 2013)&lt;/DisplayText&gt;&lt;record&gt;&lt;rec-number&gt;50162&lt;/rec-number&gt;&lt;foreign-keys&gt;&lt;key app="EN" db-id="feav29prs929zneaprxvex2z55wwe0dtx9rf" timestamp="1742949803" guid="dd33496b-98a4-4ed3-805a-780df33ba54f"&gt;50162&lt;/key&gt;&lt;/foreign-keys&gt;&lt;ref-type name="Journal Article"&gt;17&lt;/ref-type&gt;&lt;contributors&gt;&lt;authors&gt;&lt;author&gt;DiGiacomo, Michelle&lt;/author&gt;&lt;author&gt;Davidson, Patricia M.&lt;/author&gt;&lt;author&gt;Abbott, Penelope&lt;/author&gt;&lt;author&gt;Delaney, Patricia&lt;/author&gt;&lt;author&gt;Dharmendra, Tessa&lt;/author&gt;&lt;author&gt;McGrath, Sarah J.&lt;/author&gt;&lt;author&gt;Delaney, Joanne&lt;/author&gt;&lt;author&gt;Vincent, Frank&lt;/author&gt;&lt;/authors&gt;&lt;/contributors&gt;&lt;titles&gt;&lt;title&gt;Childhood disability in Aboriginal and Torres Strait Islander peoples: a literature review&lt;/title&gt;&lt;secondary-title&gt;International Journal for Equity in Health&lt;/secondary-title&gt;&lt;/titles&gt;&lt;periodical&gt;&lt;full-title&gt;International Journal for Equity in Health&lt;/full-title&gt;&lt;/periodical&gt;&lt;pages&gt;7-24&lt;/pages&gt;&lt;volume&gt;12&lt;/volume&gt;&lt;number&gt;1&lt;/number&gt;&lt;dates&gt;&lt;year&gt;2013&lt;/year&gt;&lt;/dates&gt;&lt;publisher&gt;BioMed Central&lt;/publisher&gt;&lt;urls&gt;&lt;related-urls&gt;&lt;url&gt;https://search.ebscohost.com/login.aspx?direct=true&amp;amp;AuthType=shib&amp;amp;db=ccm&amp;amp;AN=104175272&amp;amp;site=ehost-live&amp;amp;custid=s3382554&lt;/url&gt;&lt;/related-urls&gt;&lt;/urls&gt;&lt;electronic-resource-num&gt;10.1186/1475-9276-12-7&lt;/electronic-resource-num&gt;&lt;/record&gt;&lt;/Cite&gt;&lt;/EndNote&gt;</w:instrText>
            </w:r>
            <w:r>
              <w:rPr>
                <w:rFonts w:ascii="Aptos Narrow" w:eastAsia="Times New Roman" w:hAnsi="Aptos Narrow" w:cs="Times New Roman"/>
                <w:color w:val="000000"/>
                <w:lang w:eastAsia="en-AU"/>
                <w14:ligatures w14:val="none"/>
              </w:rPr>
              <w:fldChar w:fldCharType="separate"/>
            </w:r>
            <w:r>
              <w:rPr>
                <w:rFonts w:ascii="Aptos Narrow" w:eastAsia="Times New Roman" w:hAnsi="Aptos Narrow" w:cs="Times New Roman"/>
                <w:noProof/>
                <w:color w:val="000000"/>
                <w:lang w:eastAsia="en-AU"/>
                <w14:ligatures w14:val="none"/>
              </w:rPr>
              <w:t>(DiGiacomo et al., 2013)</w:t>
            </w:r>
            <w:r>
              <w:rPr>
                <w:rFonts w:ascii="Aptos Narrow" w:eastAsia="Times New Roman" w:hAnsi="Aptos Narrow" w:cs="Times New Roman"/>
                <w:color w:val="000000"/>
                <w:lang w:eastAsia="en-AU"/>
                <w14:ligatures w14:val="none"/>
              </w:rPr>
              <w:fldChar w:fldCharType="end"/>
            </w:r>
          </w:p>
        </w:tc>
        <w:tc>
          <w:tcPr>
            <w:tcW w:w="1431" w:type="dxa"/>
            <w:shd w:val="clear" w:color="auto" w:fill="auto"/>
            <w:noWrap/>
            <w:vAlign w:val="bottom"/>
            <w:hideMark/>
          </w:tcPr>
          <w:p w14:paraId="084B3BE1" w14:textId="05CE18C6"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Australia </w:t>
            </w:r>
          </w:p>
        </w:tc>
        <w:tc>
          <w:tcPr>
            <w:tcW w:w="1349" w:type="dxa"/>
            <w:shd w:val="clear" w:color="auto" w:fill="auto"/>
            <w:noWrap/>
            <w:vAlign w:val="bottom"/>
            <w:hideMark/>
          </w:tcPr>
          <w:p w14:paraId="4944E83A"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Review</w:t>
            </w:r>
          </w:p>
        </w:tc>
        <w:tc>
          <w:tcPr>
            <w:tcW w:w="1553" w:type="dxa"/>
            <w:shd w:val="clear" w:color="auto" w:fill="auto"/>
            <w:noWrap/>
            <w:vAlign w:val="bottom"/>
            <w:hideMark/>
          </w:tcPr>
          <w:p w14:paraId="738DC977" w14:textId="4DCD7A73"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Mixed </w:t>
            </w:r>
          </w:p>
        </w:tc>
        <w:tc>
          <w:tcPr>
            <w:tcW w:w="1479" w:type="dxa"/>
            <w:shd w:val="clear" w:color="auto" w:fill="auto"/>
            <w:noWrap/>
            <w:vAlign w:val="bottom"/>
            <w:hideMark/>
          </w:tcPr>
          <w:p w14:paraId="67140C97"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Caregiver</w:t>
            </w:r>
          </w:p>
        </w:tc>
        <w:tc>
          <w:tcPr>
            <w:tcW w:w="1634" w:type="dxa"/>
            <w:shd w:val="clear" w:color="auto" w:fill="auto"/>
            <w:vAlign w:val="bottom"/>
            <w:hideMark/>
          </w:tcPr>
          <w:p w14:paraId="6D6F3D6D" w14:textId="77777777" w:rsidR="00E82A9A" w:rsidRPr="00D21EBF" w:rsidRDefault="00E82A9A" w:rsidP="00E82A9A">
            <w:pPr>
              <w:spacing w:after="0" w:line="240" w:lineRule="auto"/>
              <w:rPr>
                <w:rFonts w:ascii="Aptos Narrow" w:eastAsia="Times New Roman" w:hAnsi="Aptos Narrow" w:cs="Times New Roman"/>
                <w:color w:val="000000" w:themeColor="text1"/>
                <w:lang w:eastAsia="en-AU"/>
                <w14:ligatures w14:val="none"/>
              </w:rPr>
            </w:pPr>
            <w:r w:rsidRPr="00D21EBF">
              <w:rPr>
                <w:rFonts w:ascii="Aptos Narrow" w:eastAsia="Times New Roman" w:hAnsi="Aptos Narrow" w:cs="Times New Roman"/>
                <w:color w:val="000000" w:themeColor="text1"/>
                <w:lang w:eastAsia="en-AU"/>
                <w14:ligatures w14:val="none"/>
              </w:rPr>
              <w:t>Children ; First nation</w:t>
            </w:r>
          </w:p>
        </w:tc>
        <w:tc>
          <w:tcPr>
            <w:tcW w:w="1439" w:type="dxa"/>
            <w:shd w:val="clear" w:color="auto" w:fill="auto"/>
            <w:vAlign w:val="bottom"/>
            <w:hideMark/>
          </w:tcPr>
          <w:p w14:paraId="5F946480"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1670" w:type="dxa"/>
            <w:shd w:val="clear" w:color="auto" w:fill="auto"/>
            <w:vAlign w:val="bottom"/>
            <w:hideMark/>
          </w:tcPr>
          <w:p w14:paraId="5AE05D89"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support services </w:t>
            </w:r>
          </w:p>
        </w:tc>
        <w:tc>
          <w:tcPr>
            <w:tcW w:w="447" w:type="dxa"/>
            <w:shd w:val="clear" w:color="auto" w:fill="auto"/>
            <w:noWrap/>
            <w:vAlign w:val="bottom"/>
            <w:hideMark/>
          </w:tcPr>
          <w:p w14:paraId="6C714535"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390" w:type="dxa"/>
            <w:shd w:val="clear" w:color="auto" w:fill="auto"/>
            <w:noWrap/>
            <w:vAlign w:val="bottom"/>
            <w:hideMark/>
          </w:tcPr>
          <w:p w14:paraId="5078E66F"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442" w:type="dxa"/>
            <w:shd w:val="clear" w:color="auto" w:fill="auto"/>
            <w:noWrap/>
            <w:vAlign w:val="bottom"/>
            <w:hideMark/>
          </w:tcPr>
          <w:p w14:paraId="492D049E"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692" w:type="dxa"/>
            <w:shd w:val="clear" w:color="auto" w:fill="auto"/>
            <w:noWrap/>
            <w:vAlign w:val="bottom"/>
            <w:hideMark/>
          </w:tcPr>
          <w:p w14:paraId="5F170880"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77" w:type="dxa"/>
            <w:shd w:val="clear" w:color="auto" w:fill="auto"/>
            <w:noWrap/>
            <w:vAlign w:val="bottom"/>
            <w:hideMark/>
          </w:tcPr>
          <w:p w14:paraId="11ADEDF2"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05" w:type="dxa"/>
            <w:shd w:val="clear" w:color="auto" w:fill="auto"/>
            <w:noWrap/>
            <w:vAlign w:val="bottom"/>
            <w:hideMark/>
          </w:tcPr>
          <w:p w14:paraId="588E0F6A"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r>
      <w:tr w:rsidR="00E82A9A" w:rsidRPr="00D21EBF" w14:paraId="71BF28C2" w14:textId="77777777" w:rsidTr="005B32AC">
        <w:trPr>
          <w:trHeight w:val="310"/>
        </w:trPr>
        <w:tc>
          <w:tcPr>
            <w:tcW w:w="1356" w:type="dxa"/>
          </w:tcPr>
          <w:p w14:paraId="5383D169" w14:textId="7A64BDE0"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fldChar w:fldCharType="begin"/>
            </w:r>
            <w:r>
              <w:rPr>
                <w:rFonts w:ascii="Aptos Narrow" w:eastAsia="Times New Roman" w:hAnsi="Aptos Narrow" w:cs="Times New Roman"/>
                <w:color w:val="000000"/>
                <w:lang w:eastAsia="en-AU"/>
                <w14:ligatures w14:val="none"/>
              </w:rPr>
              <w:instrText xml:space="preserve"> ADDIN EN.CITE &lt;EndNote&gt;&lt;Cite&gt;&lt;Author&gt;Zhou&lt;/Author&gt;&lt;Year&gt;2016&lt;/Year&gt;&lt;RecNum&gt;50161&lt;/RecNum&gt;&lt;DisplayText&gt;(Zhou, 2016)&lt;/DisplayText&gt;&lt;record&gt;&lt;rec-number&gt;50161&lt;/rec-number&gt;&lt;foreign-keys&gt;&lt;key app="EN" db-id="feav29prs929zneaprxvex2z55wwe0dtx9rf" timestamp="1742949803" guid="a4707f84-6974-4a78-9bb2-16d7efe26cd7"&gt;50161&lt;/key&gt;&lt;/foreign-keys&gt;&lt;ref-type name="Journal Article"&gt;17&lt;/ref-type&gt;&lt;contributors&gt;&lt;authors&gt;&lt;author&gt;Zhou, Qingsheng&lt;/author&gt;&lt;/authors&gt;&lt;/contributors&gt;&lt;titles&gt;&lt;title&gt;Accessing disability services by people from culturally and linguistically diverse backgrounds in Australia&lt;/title&gt;&lt;secondary-title&gt;Disability &amp;amp; Rehabilitation&lt;/secondary-title&gt;&lt;/titles&gt;&lt;periodical&gt;&lt;full-title&gt;Disability &amp;amp; Rehabilitation&lt;/full-title&gt;&lt;/periodical&gt;&lt;pages&gt;844-852&lt;/pages&gt;&lt;volume&gt;38&lt;/volume&gt;&lt;number&gt;9&lt;/number&gt;&lt;dates&gt;&lt;year&gt;2016&lt;/year&gt;&lt;/dates&gt;&lt;pub-location&gt;Philadelphia, Pennsylvania&lt;/pub-location&gt;&lt;publisher&gt;Taylor &amp;amp; Francis Ltd&lt;/publisher&gt;&lt;urls&gt;&lt;related-urls&gt;&lt;url&gt;https://search.ebscohost.com/login.aspx?direct=true&amp;amp;AuthType=shib&amp;amp;db=ccm&amp;amp;AN=112860508&amp;amp;site=ehost-live&amp;amp;custid=s3382554&lt;/url&gt;&lt;/related-urls&gt;&lt;/urls&gt;&lt;electronic-resource-num&gt;10.3109/09638288.2015.1062925&lt;/electronic-resource-num&gt;&lt;/record&gt;&lt;/Cite&gt;&lt;/EndNote&gt;</w:instrText>
            </w:r>
            <w:r>
              <w:rPr>
                <w:rFonts w:ascii="Aptos Narrow" w:eastAsia="Times New Roman" w:hAnsi="Aptos Narrow" w:cs="Times New Roman"/>
                <w:color w:val="000000"/>
                <w:lang w:eastAsia="en-AU"/>
                <w14:ligatures w14:val="none"/>
              </w:rPr>
              <w:fldChar w:fldCharType="separate"/>
            </w:r>
            <w:r>
              <w:rPr>
                <w:rFonts w:ascii="Aptos Narrow" w:eastAsia="Times New Roman" w:hAnsi="Aptos Narrow" w:cs="Times New Roman"/>
                <w:noProof/>
                <w:color w:val="000000"/>
                <w:lang w:eastAsia="en-AU"/>
                <w14:ligatures w14:val="none"/>
              </w:rPr>
              <w:t>(Zhou, 2016)</w:t>
            </w:r>
            <w:r>
              <w:rPr>
                <w:rFonts w:ascii="Aptos Narrow" w:eastAsia="Times New Roman" w:hAnsi="Aptos Narrow" w:cs="Times New Roman"/>
                <w:color w:val="000000"/>
                <w:lang w:eastAsia="en-AU"/>
                <w14:ligatures w14:val="none"/>
              </w:rPr>
              <w:fldChar w:fldCharType="end"/>
            </w:r>
          </w:p>
        </w:tc>
        <w:tc>
          <w:tcPr>
            <w:tcW w:w="1431" w:type="dxa"/>
            <w:shd w:val="clear" w:color="auto" w:fill="auto"/>
            <w:noWrap/>
            <w:vAlign w:val="bottom"/>
            <w:hideMark/>
          </w:tcPr>
          <w:p w14:paraId="154D9AEC" w14:textId="6434AAA8"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Australia </w:t>
            </w:r>
          </w:p>
        </w:tc>
        <w:tc>
          <w:tcPr>
            <w:tcW w:w="1349" w:type="dxa"/>
            <w:shd w:val="clear" w:color="auto" w:fill="auto"/>
            <w:noWrap/>
            <w:vAlign w:val="bottom"/>
            <w:hideMark/>
          </w:tcPr>
          <w:p w14:paraId="5D3CFC8A"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Quantitative</w:t>
            </w:r>
          </w:p>
        </w:tc>
        <w:tc>
          <w:tcPr>
            <w:tcW w:w="1553" w:type="dxa"/>
            <w:shd w:val="clear" w:color="auto" w:fill="auto"/>
            <w:noWrap/>
            <w:vAlign w:val="bottom"/>
            <w:hideMark/>
          </w:tcPr>
          <w:p w14:paraId="07B12BCE" w14:textId="5EDF64C4"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Mixed </w:t>
            </w:r>
          </w:p>
        </w:tc>
        <w:tc>
          <w:tcPr>
            <w:tcW w:w="1479" w:type="dxa"/>
            <w:shd w:val="clear" w:color="auto" w:fill="auto"/>
            <w:noWrap/>
            <w:vAlign w:val="bottom"/>
            <w:hideMark/>
          </w:tcPr>
          <w:p w14:paraId="5ADA999B"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Caregiver; Provider</w:t>
            </w:r>
          </w:p>
        </w:tc>
        <w:tc>
          <w:tcPr>
            <w:tcW w:w="1634" w:type="dxa"/>
            <w:shd w:val="clear" w:color="auto" w:fill="auto"/>
            <w:vAlign w:val="bottom"/>
            <w:hideMark/>
          </w:tcPr>
          <w:p w14:paraId="365A5353" w14:textId="77777777" w:rsidR="00E82A9A" w:rsidRPr="00D21EBF" w:rsidRDefault="00E82A9A" w:rsidP="00E82A9A">
            <w:pPr>
              <w:spacing w:after="0" w:line="240" w:lineRule="auto"/>
              <w:rPr>
                <w:rFonts w:ascii="Aptos Narrow" w:eastAsia="Times New Roman" w:hAnsi="Aptos Narrow" w:cs="Times New Roman"/>
                <w:color w:val="000000" w:themeColor="text1"/>
                <w:lang w:eastAsia="en-AU"/>
                <w14:ligatures w14:val="none"/>
              </w:rPr>
            </w:pPr>
            <w:r w:rsidRPr="00D21EBF">
              <w:rPr>
                <w:rFonts w:ascii="Aptos Narrow" w:eastAsia="Times New Roman" w:hAnsi="Aptos Narrow" w:cs="Times New Roman"/>
                <w:color w:val="000000" w:themeColor="text1"/>
                <w:lang w:eastAsia="en-AU"/>
                <w14:ligatures w14:val="none"/>
              </w:rPr>
              <w:t>CALD</w:t>
            </w:r>
          </w:p>
        </w:tc>
        <w:tc>
          <w:tcPr>
            <w:tcW w:w="1439" w:type="dxa"/>
            <w:shd w:val="clear" w:color="auto" w:fill="auto"/>
            <w:vAlign w:val="bottom"/>
            <w:hideMark/>
          </w:tcPr>
          <w:p w14:paraId="423B6AC6"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1670" w:type="dxa"/>
            <w:shd w:val="clear" w:color="auto" w:fill="auto"/>
            <w:vAlign w:val="bottom"/>
            <w:hideMark/>
          </w:tcPr>
          <w:p w14:paraId="7C7BFCAD"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specialist disability services - rehabilitation</w:t>
            </w:r>
          </w:p>
        </w:tc>
        <w:tc>
          <w:tcPr>
            <w:tcW w:w="447" w:type="dxa"/>
            <w:shd w:val="clear" w:color="auto" w:fill="auto"/>
            <w:noWrap/>
            <w:vAlign w:val="bottom"/>
            <w:hideMark/>
          </w:tcPr>
          <w:p w14:paraId="3B997561"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390" w:type="dxa"/>
            <w:shd w:val="clear" w:color="auto" w:fill="auto"/>
            <w:noWrap/>
            <w:vAlign w:val="bottom"/>
            <w:hideMark/>
          </w:tcPr>
          <w:p w14:paraId="0938DFE3"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442" w:type="dxa"/>
            <w:shd w:val="clear" w:color="auto" w:fill="auto"/>
            <w:noWrap/>
            <w:vAlign w:val="bottom"/>
            <w:hideMark/>
          </w:tcPr>
          <w:p w14:paraId="65F1AC2D"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692" w:type="dxa"/>
            <w:shd w:val="clear" w:color="auto" w:fill="auto"/>
            <w:noWrap/>
            <w:vAlign w:val="bottom"/>
            <w:hideMark/>
          </w:tcPr>
          <w:p w14:paraId="03673AB4"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77" w:type="dxa"/>
            <w:shd w:val="clear" w:color="auto" w:fill="auto"/>
            <w:noWrap/>
            <w:vAlign w:val="bottom"/>
            <w:hideMark/>
          </w:tcPr>
          <w:p w14:paraId="2A43C4A3"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05" w:type="dxa"/>
            <w:shd w:val="clear" w:color="auto" w:fill="auto"/>
            <w:noWrap/>
            <w:vAlign w:val="bottom"/>
            <w:hideMark/>
          </w:tcPr>
          <w:p w14:paraId="04DB725E"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r>
      <w:tr w:rsidR="00E82A9A" w:rsidRPr="00D21EBF" w14:paraId="797837EC" w14:textId="77777777" w:rsidTr="005B32AC">
        <w:trPr>
          <w:trHeight w:val="310"/>
        </w:trPr>
        <w:tc>
          <w:tcPr>
            <w:tcW w:w="1356" w:type="dxa"/>
          </w:tcPr>
          <w:p w14:paraId="08560E81" w14:textId="55C6337D"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fldChar w:fldCharType="begin"/>
            </w:r>
            <w:r>
              <w:rPr>
                <w:rFonts w:ascii="Aptos Narrow" w:eastAsia="Times New Roman" w:hAnsi="Aptos Narrow" w:cs="Times New Roman"/>
                <w:color w:val="000000"/>
                <w:lang w:eastAsia="en-AU"/>
                <w14:ligatures w14:val="none"/>
              </w:rPr>
              <w:instrText xml:space="preserve"> ADDIN EN.CITE &lt;EndNote&gt;&lt;Cite&gt;&lt;Author&gt;Barr&lt;/Author&gt;&lt;Year&gt;2018&lt;/Year&gt;&lt;RecNum&gt;50160&lt;/RecNum&gt;&lt;DisplayText&gt;(Barr et al., 2018)&lt;/DisplayText&gt;&lt;record&gt;&lt;rec-number&gt;50160&lt;/rec-number&gt;&lt;foreign-keys&gt;&lt;key app="EN" db-id="feav29prs929zneaprxvex2z55wwe0dtx9rf" timestamp="1742949803" guid="fe49477a-d45d-4816-9c8d-6d5b21564291"&gt;50160&lt;/key&gt;&lt;/foreign-keys&gt;&lt;ref-type name="Journal Article"&gt;17&lt;/ref-type&gt;&lt;contributors&gt;&lt;authors&gt;&lt;author&gt;Barr, Megan&lt;/author&gt;&lt;author&gt;Duncan, Jill&lt;/author&gt;&lt;author&gt;Dally, Kerry&lt;/author&gt;&lt;/authors&gt;&lt;/contributors&gt;&lt;titles&gt;&lt;title&gt;A Systematic Review of Services to DHH Children in Rural and Remote Regions&lt;/title&gt;&lt;secondary-title&gt;Journal of Deaf Studies &amp;amp; Deaf Education&lt;/secondary-title&gt;&lt;/titles&gt;&lt;periodical&gt;&lt;full-title&gt;Journal of Deaf Studies &amp;amp; Deaf Education&lt;/full-title&gt;&lt;/periodical&gt;&lt;pages&gt;118-130&lt;/pages&gt;&lt;volume&gt;23&lt;/volume&gt;&lt;number&gt;2&lt;/number&gt;&lt;dates&gt;&lt;year&gt;2018&lt;/year&gt;&lt;/dates&gt;&lt;publisher&gt;Oxford University Press / USA&lt;/publisher&gt;&lt;urls&gt;&lt;related-urls&gt;&lt;url&gt;https://search.ebscohost.com/login.aspx?direct=true&amp;amp;AuthType=shib&amp;amp;db=ccm&amp;amp;AN=128550474&amp;amp;site=ehost-live&amp;amp;custid=s3382554&lt;/url&gt;&lt;/related-urls&gt;&lt;/urls&gt;&lt;electronic-resource-num&gt;10.1093/deafed/enx059&lt;/electronic-resource-num&gt;&lt;/record&gt;&lt;/Cite&gt;&lt;/EndNote&gt;</w:instrText>
            </w:r>
            <w:r>
              <w:rPr>
                <w:rFonts w:ascii="Aptos Narrow" w:eastAsia="Times New Roman" w:hAnsi="Aptos Narrow" w:cs="Times New Roman"/>
                <w:color w:val="000000"/>
                <w:lang w:eastAsia="en-AU"/>
                <w14:ligatures w14:val="none"/>
              </w:rPr>
              <w:fldChar w:fldCharType="separate"/>
            </w:r>
            <w:r>
              <w:rPr>
                <w:rFonts w:ascii="Aptos Narrow" w:eastAsia="Times New Roman" w:hAnsi="Aptos Narrow" w:cs="Times New Roman"/>
                <w:noProof/>
                <w:color w:val="000000"/>
                <w:lang w:eastAsia="en-AU"/>
                <w14:ligatures w14:val="none"/>
              </w:rPr>
              <w:t>(Barr et al., 2018)</w:t>
            </w:r>
            <w:r>
              <w:rPr>
                <w:rFonts w:ascii="Aptos Narrow" w:eastAsia="Times New Roman" w:hAnsi="Aptos Narrow" w:cs="Times New Roman"/>
                <w:color w:val="000000"/>
                <w:lang w:eastAsia="en-AU"/>
                <w14:ligatures w14:val="none"/>
              </w:rPr>
              <w:fldChar w:fldCharType="end"/>
            </w:r>
          </w:p>
        </w:tc>
        <w:tc>
          <w:tcPr>
            <w:tcW w:w="1431" w:type="dxa"/>
            <w:shd w:val="clear" w:color="auto" w:fill="auto"/>
            <w:noWrap/>
            <w:vAlign w:val="bottom"/>
            <w:hideMark/>
          </w:tcPr>
          <w:p w14:paraId="7C8F3B6D" w14:textId="030595F2"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Australia </w:t>
            </w:r>
          </w:p>
        </w:tc>
        <w:tc>
          <w:tcPr>
            <w:tcW w:w="1349" w:type="dxa"/>
            <w:shd w:val="clear" w:color="auto" w:fill="auto"/>
            <w:noWrap/>
            <w:vAlign w:val="bottom"/>
            <w:hideMark/>
          </w:tcPr>
          <w:p w14:paraId="1DE7B032"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Review</w:t>
            </w:r>
          </w:p>
        </w:tc>
        <w:tc>
          <w:tcPr>
            <w:tcW w:w="1553" w:type="dxa"/>
            <w:shd w:val="clear" w:color="auto" w:fill="auto"/>
            <w:noWrap/>
            <w:vAlign w:val="bottom"/>
            <w:hideMark/>
          </w:tcPr>
          <w:p w14:paraId="5C5F41B5"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Sensory</w:t>
            </w:r>
          </w:p>
        </w:tc>
        <w:tc>
          <w:tcPr>
            <w:tcW w:w="1479" w:type="dxa"/>
            <w:shd w:val="clear" w:color="auto" w:fill="auto"/>
            <w:noWrap/>
            <w:vAlign w:val="bottom"/>
            <w:hideMark/>
          </w:tcPr>
          <w:p w14:paraId="437113D8"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proofErr w:type="spellStart"/>
            <w:r w:rsidRPr="00D21EBF">
              <w:rPr>
                <w:rFonts w:ascii="Aptos Narrow" w:eastAsia="Times New Roman" w:hAnsi="Aptos Narrow" w:cs="Times New Roman"/>
                <w:color w:val="000000"/>
                <w:lang w:eastAsia="en-AU"/>
                <w14:ligatures w14:val="none"/>
              </w:rPr>
              <w:t>PwD</w:t>
            </w:r>
            <w:proofErr w:type="spellEnd"/>
            <w:r w:rsidRPr="00D21EBF">
              <w:rPr>
                <w:rFonts w:ascii="Aptos Narrow" w:eastAsia="Times New Roman" w:hAnsi="Aptos Narrow" w:cs="Times New Roman"/>
                <w:color w:val="000000"/>
                <w:lang w:eastAsia="en-AU"/>
                <w14:ligatures w14:val="none"/>
              </w:rPr>
              <w:t>; Caregiver; Provider</w:t>
            </w:r>
          </w:p>
        </w:tc>
        <w:tc>
          <w:tcPr>
            <w:tcW w:w="1634" w:type="dxa"/>
            <w:shd w:val="clear" w:color="auto" w:fill="auto"/>
            <w:vAlign w:val="bottom"/>
            <w:hideMark/>
          </w:tcPr>
          <w:p w14:paraId="4BEFD385" w14:textId="77777777" w:rsidR="00E82A9A" w:rsidRPr="00D21EBF" w:rsidRDefault="00E82A9A" w:rsidP="00E82A9A">
            <w:pPr>
              <w:spacing w:after="0" w:line="240" w:lineRule="auto"/>
              <w:rPr>
                <w:rFonts w:ascii="Aptos Narrow" w:eastAsia="Times New Roman" w:hAnsi="Aptos Narrow" w:cs="Times New Roman"/>
                <w:color w:val="000000" w:themeColor="text1"/>
                <w:lang w:eastAsia="en-AU"/>
                <w14:ligatures w14:val="none"/>
              </w:rPr>
            </w:pPr>
            <w:r w:rsidRPr="00D21EBF">
              <w:rPr>
                <w:rFonts w:ascii="Aptos Narrow" w:eastAsia="Times New Roman" w:hAnsi="Aptos Narrow" w:cs="Times New Roman"/>
                <w:color w:val="000000" w:themeColor="text1"/>
                <w:lang w:eastAsia="en-AU"/>
                <w14:ligatures w14:val="none"/>
              </w:rPr>
              <w:t>Children ; Rural (remote)</w:t>
            </w:r>
          </w:p>
        </w:tc>
        <w:tc>
          <w:tcPr>
            <w:tcW w:w="1439" w:type="dxa"/>
            <w:shd w:val="clear" w:color="auto" w:fill="auto"/>
            <w:vAlign w:val="bottom"/>
            <w:hideMark/>
          </w:tcPr>
          <w:p w14:paraId="4A9265CA"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Telehealth (</w:t>
            </w:r>
            <w:proofErr w:type="spellStart"/>
            <w:r w:rsidRPr="00D21EBF">
              <w:rPr>
                <w:rFonts w:ascii="Aptos Narrow" w:eastAsia="Times New Roman" w:hAnsi="Aptos Narrow" w:cs="Times New Roman"/>
                <w:color w:val="000000"/>
                <w:lang w:eastAsia="en-AU"/>
                <w14:ligatures w14:val="none"/>
              </w:rPr>
              <w:t>telepractice</w:t>
            </w:r>
            <w:proofErr w:type="spellEnd"/>
            <w:r w:rsidRPr="00D21EBF">
              <w:rPr>
                <w:rFonts w:ascii="Aptos Narrow" w:eastAsia="Times New Roman" w:hAnsi="Aptos Narrow" w:cs="Times New Roman"/>
                <w:color w:val="000000"/>
                <w:lang w:eastAsia="en-AU"/>
                <w14:ligatures w14:val="none"/>
              </w:rPr>
              <w:t>)</w:t>
            </w:r>
          </w:p>
        </w:tc>
        <w:tc>
          <w:tcPr>
            <w:tcW w:w="1670" w:type="dxa"/>
            <w:shd w:val="clear" w:color="auto" w:fill="auto"/>
            <w:vAlign w:val="bottom"/>
            <w:hideMark/>
          </w:tcPr>
          <w:p w14:paraId="6D57D35E"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Specialist Disability Accommodation (SDA) under NDIS</w:t>
            </w:r>
          </w:p>
        </w:tc>
        <w:tc>
          <w:tcPr>
            <w:tcW w:w="447" w:type="dxa"/>
            <w:shd w:val="clear" w:color="auto" w:fill="auto"/>
            <w:noWrap/>
            <w:vAlign w:val="bottom"/>
            <w:hideMark/>
          </w:tcPr>
          <w:p w14:paraId="5D54A6F2"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390" w:type="dxa"/>
            <w:shd w:val="clear" w:color="auto" w:fill="auto"/>
            <w:noWrap/>
            <w:vAlign w:val="bottom"/>
            <w:hideMark/>
          </w:tcPr>
          <w:p w14:paraId="13957E0A"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442" w:type="dxa"/>
            <w:shd w:val="clear" w:color="auto" w:fill="auto"/>
            <w:noWrap/>
            <w:vAlign w:val="bottom"/>
            <w:hideMark/>
          </w:tcPr>
          <w:p w14:paraId="6910FD3A"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692" w:type="dxa"/>
            <w:shd w:val="clear" w:color="auto" w:fill="auto"/>
            <w:noWrap/>
            <w:vAlign w:val="bottom"/>
            <w:hideMark/>
          </w:tcPr>
          <w:p w14:paraId="4BCF91BB"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77" w:type="dxa"/>
            <w:shd w:val="clear" w:color="auto" w:fill="auto"/>
            <w:noWrap/>
            <w:vAlign w:val="bottom"/>
            <w:hideMark/>
          </w:tcPr>
          <w:p w14:paraId="75168FD7"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05" w:type="dxa"/>
            <w:shd w:val="clear" w:color="auto" w:fill="auto"/>
            <w:noWrap/>
            <w:vAlign w:val="bottom"/>
            <w:hideMark/>
          </w:tcPr>
          <w:p w14:paraId="7D99344C"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r>
      <w:tr w:rsidR="00E82A9A" w:rsidRPr="00D21EBF" w14:paraId="2798E225" w14:textId="77777777" w:rsidTr="005B32AC">
        <w:trPr>
          <w:trHeight w:val="310"/>
        </w:trPr>
        <w:tc>
          <w:tcPr>
            <w:tcW w:w="1356" w:type="dxa"/>
          </w:tcPr>
          <w:p w14:paraId="3BBD04D1" w14:textId="0298BD1B"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fldChar w:fldCharType="begin"/>
            </w:r>
            <w:r>
              <w:rPr>
                <w:rFonts w:ascii="Aptos Narrow" w:eastAsia="Times New Roman" w:hAnsi="Aptos Narrow" w:cs="Times New Roman"/>
                <w:color w:val="000000"/>
                <w:lang w:eastAsia="en-AU"/>
                <w14:ligatures w14:val="none"/>
              </w:rPr>
              <w:instrText xml:space="preserve"> ADDIN EN.CITE &lt;EndNote&gt;&lt;Cite&gt;&lt;Author&gt;Corscadden&lt;/Author&gt;&lt;Year&gt;2019&lt;/Year&gt;&lt;RecNum&gt;50159&lt;/RecNum&gt;&lt;DisplayText&gt;(Corscadden et al., 2019)&lt;/DisplayText&gt;&lt;record&gt;&lt;rec-number&gt;50159&lt;/rec-number&gt;&lt;foreign-keys&gt;&lt;key app="EN" db-id="feav29prs929zneaprxvex2z55wwe0dtx9rf" timestamp="1742949803" guid="f74c4c30-ddfb-4397-991e-48b276120493"&gt;50159&lt;/key&gt;&lt;/foreign-keys&gt;&lt;ref-type name="Journal Article"&gt;17&lt;/ref-type&gt;&lt;contributors&gt;&lt;authors&gt;&lt;author&gt;Corscadden, L.&lt;/author&gt;&lt;author&gt;Callander, E. J.&lt;/author&gt;&lt;author&gt;Topp, S. M.&lt;/author&gt;&lt;/authors&gt;&lt;/contributors&gt;&lt;titles&gt;&lt;title&gt;Disparities in access to health care in Australia for people with mental health conditions&lt;/title&gt;&lt;secondary-title&gt;Australian Health Review&lt;/secondary-title&gt;&lt;/titles&gt;&lt;periodical&gt;&lt;full-title&gt;Australian Health Review&lt;/full-title&gt;&lt;/periodical&gt;&lt;pages&gt;619-627&lt;/pages&gt;&lt;volume&gt;43&lt;/volume&gt;&lt;number&gt;6&lt;/number&gt;&lt;dates&gt;&lt;year&gt;2019&lt;/year&gt;&lt;/dates&gt;&lt;pub-location&gt;Canberra ACT, &amp;lt;Blank&amp;gt;&lt;/pub-location&gt;&lt;publisher&gt;CSIRO Publishing&lt;/publisher&gt;&lt;urls&gt;&lt;related-urls&gt;&lt;url&gt;https://search.ebscohost.com/login.aspx?direct=true&amp;amp;AuthType=shib&amp;amp;db=ccm&amp;amp;AN=140032086&amp;amp;site=ehost-live&amp;amp;custid=s3382554&lt;/url&gt;&lt;/related-urls&gt;&lt;/urls&gt;&lt;electronic-resource-num&gt;10.1071/AH17259&lt;/electronic-resource-num&gt;&lt;/record&gt;&lt;/Cite&gt;&lt;/EndNote&gt;</w:instrText>
            </w:r>
            <w:r>
              <w:rPr>
                <w:rFonts w:ascii="Aptos Narrow" w:eastAsia="Times New Roman" w:hAnsi="Aptos Narrow" w:cs="Times New Roman"/>
                <w:color w:val="000000"/>
                <w:lang w:eastAsia="en-AU"/>
                <w14:ligatures w14:val="none"/>
              </w:rPr>
              <w:fldChar w:fldCharType="separate"/>
            </w:r>
            <w:r>
              <w:rPr>
                <w:rFonts w:ascii="Aptos Narrow" w:eastAsia="Times New Roman" w:hAnsi="Aptos Narrow" w:cs="Times New Roman"/>
                <w:noProof/>
                <w:color w:val="000000"/>
                <w:lang w:eastAsia="en-AU"/>
                <w14:ligatures w14:val="none"/>
              </w:rPr>
              <w:t>(Corscadden et al., 2019)</w:t>
            </w:r>
            <w:r>
              <w:rPr>
                <w:rFonts w:ascii="Aptos Narrow" w:eastAsia="Times New Roman" w:hAnsi="Aptos Narrow" w:cs="Times New Roman"/>
                <w:color w:val="000000"/>
                <w:lang w:eastAsia="en-AU"/>
                <w14:ligatures w14:val="none"/>
              </w:rPr>
              <w:fldChar w:fldCharType="end"/>
            </w:r>
          </w:p>
        </w:tc>
        <w:tc>
          <w:tcPr>
            <w:tcW w:w="1431" w:type="dxa"/>
            <w:shd w:val="clear" w:color="auto" w:fill="auto"/>
            <w:noWrap/>
            <w:vAlign w:val="bottom"/>
            <w:hideMark/>
          </w:tcPr>
          <w:p w14:paraId="542CAE4F" w14:textId="68771712"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Australia </w:t>
            </w:r>
          </w:p>
        </w:tc>
        <w:tc>
          <w:tcPr>
            <w:tcW w:w="1349" w:type="dxa"/>
            <w:shd w:val="clear" w:color="auto" w:fill="auto"/>
            <w:noWrap/>
            <w:vAlign w:val="bottom"/>
            <w:hideMark/>
          </w:tcPr>
          <w:p w14:paraId="51280170"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Quantitative</w:t>
            </w:r>
          </w:p>
        </w:tc>
        <w:tc>
          <w:tcPr>
            <w:tcW w:w="1553" w:type="dxa"/>
            <w:shd w:val="clear" w:color="auto" w:fill="auto"/>
            <w:noWrap/>
            <w:vAlign w:val="bottom"/>
            <w:hideMark/>
          </w:tcPr>
          <w:p w14:paraId="06CBFF61"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Psychosocial </w:t>
            </w:r>
          </w:p>
        </w:tc>
        <w:tc>
          <w:tcPr>
            <w:tcW w:w="1479" w:type="dxa"/>
            <w:shd w:val="clear" w:color="auto" w:fill="auto"/>
            <w:noWrap/>
            <w:vAlign w:val="bottom"/>
            <w:hideMark/>
          </w:tcPr>
          <w:p w14:paraId="33D30517"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proofErr w:type="spellStart"/>
            <w:r w:rsidRPr="00D21EBF">
              <w:rPr>
                <w:rFonts w:ascii="Aptos Narrow" w:eastAsia="Times New Roman" w:hAnsi="Aptos Narrow" w:cs="Times New Roman"/>
                <w:color w:val="000000"/>
                <w:lang w:eastAsia="en-AU"/>
                <w14:ligatures w14:val="none"/>
              </w:rPr>
              <w:t>PwD</w:t>
            </w:r>
            <w:proofErr w:type="spellEnd"/>
          </w:p>
        </w:tc>
        <w:tc>
          <w:tcPr>
            <w:tcW w:w="1634" w:type="dxa"/>
            <w:shd w:val="clear" w:color="auto" w:fill="auto"/>
            <w:vAlign w:val="bottom"/>
            <w:hideMark/>
          </w:tcPr>
          <w:p w14:paraId="0FCD8E2E" w14:textId="77777777" w:rsidR="00E82A9A" w:rsidRPr="00D21EBF" w:rsidRDefault="00E82A9A" w:rsidP="00E82A9A">
            <w:pPr>
              <w:spacing w:after="0" w:line="240" w:lineRule="auto"/>
              <w:rPr>
                <w:rFonts w:ascii="Aptos Narrow" w:eastAsia="Times New Roman" w:hAnsi="Aptos Narrow" w:cs="Times New Roman"/>
                <w:color w:val="000000" w:themeColor="text1"/>
                <w:lang w:eastAsia="en-AU"/>
                <w14:ligatures w14:val="none"/>
              </w:rPr>
            </w:pPr>
            <w:r w:rsidRPr="00D21EBF">
              <w:rPr>
                <w:rFonts w:ascii="Aptos Narrow" w:eastAsia="Times New Roman" w:hAnsi="Aptos Narrow" w:cs="Times New Roman"/>
                <w:color w:val="000000" w:themeColor="text1"/>
                <w:lang w:eastAsia="en-AU"/>
                <w14:ligatures w14:val="none"/>
              </w:rPr>
              <w:t> </w:t>
            </w:r>
          </w:p>
        </w:tc>
        <w:tc>
          <w:tcPr>
            <w:tcW w:w="1439" w:type="dxa"/>
            <w:shd w:val="clear" w:color="auto" w:fill="auto"/>
            <w:vAlign w:val="bottom"/>
            <w:hideMark/>
          </w:tcPr>
          <w:p w14:paraId="5BD4232C"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Health care</w:t>
            </w:r>
          </w:p>
        </w:tc>
        <w:tc>
          <w:tcPr>
            <w:tcW w:w="1670" w:type="dxa"/>
            <w:shd w:val="clear" w:color="auto" w:fill="auto"/>
            <w:vAlign w:val="bottom"/>
            <w:hideMark/>
          </w:tcPr>
          <w:p w14:paraId="74562C1E"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447" w:type="dxa"/>
            <w:shd w:val="clear" w:color="auto" w:fill="auto"/>
            <w:noWrap/>
            <w:vAlign w:val="bottom"/>
            <w:hideMark/>
          </w:tcPr>
          <w:p w14:paraId="28E772A3"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390" w:type="dxa"/>
            <w:shd w:val="clear" w:color="auto" w:fill="auto"/>
            <w:noWrap/>
            <w:vAlign w:val="bottom"/>
            <w:hideMark/>
          </w:tcPr>
          <w:p w14:paraId="522594E1"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442" w:type="dxa"/>
            <w:shd w:val="clear" w:color="auto" w:fill="auto"/>
            <w:noWrap/>
            <w:vAlign w:val="bottom"/>
            <w:hideMark/>
          </w:tcPr>
          <w:p w14:paraId="06CD6863"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692" w:type="dxa"/>
            <w:shd w:val="clear" w:color="auto" w:fill="auto"/>
            <w:noWrap/>
            <w:vAlign w:val="bottom"/>
            <w:hideMark/>
          </w:tcPr>
          <w:p w14:paraId="112A5FFB"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77" w:type="dxa"/>
            <w:shd w:val="clear" w:color="auto" w:fill="auto"/>
            <w:noWrap/>
            <w:vAlign w:val="bottom"/>
            <w:hideMark/>
          </w:tcPr>
          <w:p w14:paraId="21B0D4A3"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505" w:type="dxa"/>
            <w:shd w:val="clear" w:color="auto" w:fill="auto"/>
            <w:noWrap/>
            <w:vAlign w:val="bottom"/>
            <w:hideMark/>
          </w:tcPr>
          <w:p w14:paraId="17DA2A63"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r>
      <w:tr w:rsidR="00E82A9A" w:rsidRPr="00D21EBF" w14:paraId="08E86382" w14:textId="77777777" w:rsidTr="005B32AC">
        <w:trPr>
          <w:trHeight w:val="310"/>
        </w:trPr>
        <w:tc>
          <w:tcPr>
            <w:tcW w:w="1356" w:type="dxa"/>
          </w:tcPr>
          <w:p w14:paraId="76A682E0" w14:textId="093D945F"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fldChar w:fldCharType="begin"/>
            </w:r>
            <w:r>
              <w:rPr>
                <w:rFonts w:ascii="Aptos Narrow" w:eastAsia="Times New Roman" w:hAnsi="Aptos Narrow" w:cs="Times New Roman"/>
                <w:color w:val="000000"/>
                <w:lang w:eastAsia="en-AU"/>
                <w14:ligatures w14:val="none"/>
              </w:rPr>
              <w:instrText xml:space="preserve"> ADDIN EN.CITE &lt;EndNote&gt;&lt;Cite&gt;&lt;Author&gt;Aitken&lt;/Author&gt;&lt;Year&gt;2019&lt;/Year&gt;&lt;RecNum&gt;50158&lt;/RecNum&gt;&lt;DisplayText&gt;(Aitken et al., 2019)&lt;/DisplayText&gt;&lt;record&gt;&lt;rec-number&gt;50158&lt;/rec-number&gt;&lt;foreign-keys&gt;&lt;key app="EN" db-id="feav29prs929zneaprxvex2z55wwe0dtx9rf" timestamp="1742949803" guid="5cf0a2cc-1c2b-43f9-ba0e-06b0951eeb15"&gt;50158&lt;/key&gt;&lt;/foreign-keys&gt;&lt;ref-type name="Journal Article"&gt;17&lt;/ref-type&gt;&lt;contributors&gt;&lt;authors&gt;&lt;author&gt;Aitken, Zoe&lt;/author&gt;&lt;author&gt;Baker, Emma&lt;/author&gt;&lt;author&gt;Badland, Hannah&lt;/author&gt;&lt;author&gt;Mason, Kate&lt;/author&gt;&lt;author&gt;Bentley, Rebecca&lt;/author&gt;&lt;author&gt;Beer, Andrew&lt;/author&gt;&lt;author&gt;Kavanagh, Anne Marie&lt;/author&gt;&lt;/authors&gt;&lt;/contributors&gt;&lt;titles&gt;&lt;title&gt;Precariously placed: housing affordability, quality and satisfaction of Australians with disabilities&lt;/title&gt;&lt;secondary-title&gt;Disability &amp;amp; Society&lt;/secondary-title&gt;&lt;/titles&gt;&lt;periodical&gt;&lt;full-title&gt;Disability &amp;amp; Society&lt;/full-title&gt;&lt;/periodical&gt;&lt;pages&gt;121-142&lt;/pages&gt;&lt;volume&gt;34&lt;/volume&gt;&lt;number&gt;1&lt;/number&gt;&lt;dates&gt;&lt;year&gt;2019&lt;/year&gt;&lt;/dates&gt;&lt;pub-location&gt;Oxfordshire, &amp;lt;Blank&amp;gt;&lt;/pub-location&gt;&lt;publisher&gt;Routledge&lt;/publisher&gt;&lt;urls&gt;&lt;related-urls&gt;&lt;url&gt;https://search.ebscohost.com/login.aspx?direct=true&amp;amp;AuthType=shib&amp;amp;db=ccm&amp;amp;AN=135889822&amp;amp;site=ehost-live&amp;amp;custid=s3382554&lt;/url&gt;&lt;/related-urls&gt;&lt;/urls&gt;&lt;electronic-resource-num&gt;10.1080/09687599.2018.1521333&lt;/electronic-resource-num&gt;&lt;/record&gt;&lt;/Cite&gt;&lt;/EndNote&gt;</w:instrText>
            </w:r>
            <w:r>
              <w:rPr>
                <w:rFonts w:ascii="Aptos Narrow" w:eastAsia="Times New Roman" w:hAnsi="Aptos Narrow" w:cs="Times New Roman"/>
                <w:color w:val="000000"/>
                <w:lang w:eastAsia="en-AU"/>
                <w14:ligatures w14:val="none"/>
              </w:rPr>
              <w:fldChar w:fldCharType="separate"/>
            </w:r>
            <w:r>
              <w:rPr>
                <w:rFonts w:ascii="Aptos Narrow" w:eastAsia="Times New Roman" w:hAnsi="Aptos Narrow" w:cs="Times New Roman"/>
                <w:noProof/>
                <w:color w:val="000000"/>
                <w:lang w:eastAsia="en-AU"/>
                <w14:ligatures w14:val="none"/>
              </w:rPr>
              <w:t>(Aitken et al., 2019)</w:t>
            </w:r>
            <w:r>
              <w:rPr>
                <w:rFonts w:ascii="Aptos Narrow" w:eastAsia="Times New Roman" w:hAnsi="Aptos Narrow" w:cs="Times New Roman"/>
                <w:color w:val="000000"/>
                <w:lang w:eastAsia="en-AU"/>
                <w14:ligatures w14:val="none"/>
              </w:rPr>
              <w:fldChar w:fldCharType="end"/>
            </w:r>
          </w:p>
        </w:tc>
        <w:tc>
          <w:tcPr>
            <w:tcW w:w="1431" w:type="dxa"/>
            <w:shd w:val="clear" w:color="auto" w:fill="auto"/>
            <w:noWrap/>
            <w:vAlign w:val="bottom"/>
            <w:hideMark/>
          </w:tcPr>
          <w:p w14:paraId="3EA50A78" w14:textId="5D6E9712"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Australia </w:t>
            </w:r>
          </w:p>
        </w:tc>
        <w:tc>
          <w:tcPr>
            <w:tcW w:w="1349" w:type="dxa"/>
            <w:shd w:val="clear" w:color="auto" w:fill="auto"/>
            <w:noWrap/>
            <w:vAlign w:val="bottom"/>
            <w:hideMark/>
          </w:tcPr>
          <w:p w14:paraId="5C8F6A3E"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Quantitative</w:t>
            </w:r>
          </w:p>
        </w:tc>
        <w:tc>
          <w:tcPr>
            <w:tcW w:w="1553" w:type="dxa"/>
            <w:shd w:val="clear" w:color="auto" w:fill="auto"/>
            <w:noWrap/>
            <w:vAlign w:val="bottom"/>
            <w:hideMark/>
          </w:tcPr>
          <w:p w14:paraId="04EBC5C3" w14:textId="3B29AEFC"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Mixed </w:t>
            </w:r>
          </w:p>
        </w:tc>
        <w:tc>
          <w:tcPr>
            <w:tcW w:w="1479" w:type="dxa"/>
            <w:shd w:val="clear" w:color="auto" w:fill="auto"/>
            <w:noWrap/>
            <w:vAlign w:val="bottom"/>
            <w:hideMark/>
          </w:tcPr>
          <w:p w14:paraId="1A4F2515"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proofErr w:type="spellStart"/>
            <w:r w:rsidRPr="00D21EBF">
              <w:rPr>
                <w:rFonts w:ascii="Aptos Narrow" w:eastAsia="Times New Roman" w:hAnsi="Aptos Narrow" w:cs="Times New Roman"/>
                <w:color w:val="000000"/>
                <w:lang w:eastAsia="en-AU"/>
                <w14:ligatures w14:val="none"/>
              </w:rPr>
              <w:t>PwD</w:t>
            </w:r>
            <w:proofErr w:type="spellEnd"/>
          </w:p>
        </w:tc>
        <w:tc>
          <w:tcPr>
            <w:tcW w:w="1634" w:type="dxa"/>
            <w:shd w:val="clear" w:color="auto" w:fill="auto"/>
            <w:vAlign w:val="bottom"/>
            <w:hideMark/>
          </w:tcPr>
          <w:p w14:paraId="00070B3D" w14:textId="77777777" w:rsidR="00E82A9A" w:rsidRPr="00D21EBF" w:rsidRDefault="00E82A9A" w:rsidP="00E82A9A">
            <w:pPr>
              <w:spacing w:after="0" w:line="240" w:lineRule="auto"/>
              <w:rPr>
                <w:rFonts w:ascii="Aptos Narrow" w:eastAsia="Times New Roman" w:hAnsi="Aptos Narrow" w:cs="Times New Roman"/>
                <w:color w:val="000000" w:themeColor="text1"/>
                <w:lang w:eastAsia="en-AU"/>
                <w14:ligatures w14:val="none"/>
              </w:rPr>
            </w:pPr>
            <w:r w:rsidRPr="00D21EBF">
              <w:rPr>
                <w:rFonts w:ascii="Aptos Narrow" w:eastAsia="Times New Roman" w:hAnsi="Aptos Narrow" w:cs="Times New Roman"/>
                <w:color w:val="000000" w:themeColor="text1"/>
                <w:lang w:eastAsia="en-AU"/>
                <w14:ligatures w14:val="none"/>
              </w:rPr>
              <w:t> </w:t>
            </w:r>
          </w:p>
        </w:tc>
        <w:tc>
          <w:tcPr>
            <w:tcW w:w="1439" w:type="dxa"/>
            <w:shd w:val="clear" w:color="auto" w:fill="auto"/>
            <w:vAlign w:val="bottom"/>
            <w:hideMark/>
          </w:tcPr>
          <w:p w14:paraId="2946C6E7"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1670" w:type="dxa"/>
            <w:shd w:val="clear" w:color="auto" w:fill="auto"/>
            <w:vAlign w:val="bottom"/>
            <w:hideMark/>
          </w:tcPr>
          <w:p w14:paraId="1B49580D"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Housing </w:t>
            </w:r>
          </w:p>
        </w:tc>
        <w:tc>
          <w:tcPr>
            <w:tcW w:w="447" w:type="dxa"/>
            <w:shd w:val="clear" w:color="auto" w:fill="auto"/>
            <w:noWrap/>
            <w:vAlign w:val="bottom"/>
            <w:hideMark/>
          </w:tcPr>
          <w:p w14:paraId="67C39A73"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390" w:type="dxa"/>
            <w:shd w:val="clear" w:color="auto" w:fill="auto"/>
            <w:noWrap/>
            <w:vAlign w:val="bottom"/>
            <w:hideMark/>
          </w:tcPr>
          <w:p w14:paraId="560922AA"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442" w:type="dxa"/>
            <w:shd w:val="clear" w:color="auto" w:fill="auto"/>
            <w:noWrap/>
            <w:vAlign w:val="bottom"/>
            <w:hideMark/>
          </w:tcPr>
          <w:p w14:paraId="3783BB62"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692" w:type="dxa"/>
            <w:shd w:val="clear" w:color="auto" w:fill="auto"/>
            <w:noWrap/>
            <w:vAlign w:val="bottom"/>
            <w:hideMark/>
          </w:tcPr>
          <w:p w14:paraId="53B88075"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77" w:type="dxa"/>
            <w:shd w:val="clear" w:color="auto" w:fill="auto"/>
            <w:noWrap/>
            <w:vAlign w:val="bottom"/>
            <w:hideMark/>
          </w:tcPr>
          <w:p w14:paraId="6824EAE2"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05" w:type="dxa"/>
            <w:shd w:val="clear" w:color="auto" w:fill="auto"/>
            <w:noWrap/>
            <w:vAlign w:val="bottom"/>
            <w:hideMark/>
          </w:tcPr>
          <w:p w14:paraId="6B53CCE5"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r>
      <w:tr w:rsidR="00E82A9A" w:rsidRPr="00D21EBF" w14:paraId="4CEDE650" w14:textId="77777777" w:rsidTr="005B32AC">
        <w:trPr>
          <w:trHeight w:val="310"/>
        </w:trPr>
        <w:tc>
          <w:tcPr>
            <w:tcW w:w="1356" w:type="dxa"/>
          </w:tcPr>
          <w:p w14:paraId="761F22FB" w14:textId="41890D36"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fldChar w:fldCharType="begin"/>
            </w:r>
            <w:r>
              <w:rPr>
                <w:rFonts w:ascii="Aptos Narrow" w:eastAsia="Times New Roman" w:hAnsi="Aptos Narrow" w:cs="Times New Roman"/>
                <w:color w:val="000000"/>
                <w:lang w:eastAsia="en-AU"/>
                <w14:ligatures w14:val="none"/>
              </w:rPr>
              <w:instrText xml:space="preserve"> ADDIN EN.CITE &lt;EndNote&gt;&lt;Cite&gt;&lt;Author&gt;Carey&lt;/Author&gt;&lt;Year&gt;2017&lt;/Year&gt;&lt;RecNum&gt;50157&lt;/RecNum&gt;&lt;DisplayText&gt;(Carey et al., 2017)&lt;/DisplayText&gt;&lt;record&gt;&lt;rec-number&gt;50157&lt;/rec-number&gt;&lt;foreign-keys&gt;&lt;key app="EN" db-id="feav29prs929zneaprxvex2z55wwe0dtx9rf" timestamp="1742949803" guid="dc502036-7688-4f6a-8c5a-a1cec37a9fe0"&gt;50157&lt;/key&gt;&lt;/foreign-keys&gt;&lt;ref-type name="Journal Article"&gt;17&lt;/ref-type&gt;&lt;contributors&gt;&lt;authors&gt;&lt;author&gt;Carey, Gemma&lt;/author&gt;&lt;author&gt;Malbon, Eleanor&lt;/author&gt;&lt;author&gt;Reeders, Daniel&lt;/author&gt;&lt;author&gt;Kavanagh, Anne&lt;/author&gt;&lt;author&gt;Llewellyn, Gwynnyth&lt;/author&gt;&lt;/authors&gt;&lt;/contributors&gt;&lt;titles&gt;&lt;title&gt;Redressing or entrenching social and health inequities through policy implementation? Examining personalised budgets through the Australian National Disability Insurance Scheme&lt;/title&gt;&lt;secondary-title&gt;International Journal for Equity in Health&lt;/secondary-title&gt;&lt;/titles&gt;&lt;periodical&gt;&lt;full-title&gt;International Journal for Equity in Health&lt;/full-title&gt;&lt;/periodical&gt;&lt;pages&gt;1-12&lt;/pages&gt;&lt;volume&gt;16&lt;/volume&gt;&lt;dates&gt;&lt;year&gt;2017&lt;/year&gt;&lt;/dates&gt;&lt;publisher&gt;BioMed Central&lt;/publisher&gt;&lt;urls&gt;&lt;related-urls&gt;&lt;url&gt;https://search.ebscohost.com/login.aspx?direct=true&amp;amp;AuthType=shib&amp;amp;db=ccm&amp;amp;AN=126079738&amp;amp;site=ehost-live&amp;amp;custid=s3382554&lt;/url&gt;&lt;/related-urls&gt;&lt;/urls&gt;&lt;electronic-resource-num&gt;10.1186/s12939-017-0682-z&lt;/electronic-resource-num&gt;&lt;/record&gt;&lt;/Cite&gt;&lt;/EndNote&gt;</w:instrText>
            </w:r>
            <w:r>
              <w:rPr>
                <w:rFonts w:ascii="Aptos Narrow" w:eastAsia="Times New Roman" w:hAnsi="Aptos Narrow" w:cs="Times New Roman"/>
                <w:color w:val="000000"/>
                <w:lang w:eastAsia="en-AU"/>
                <w14:ligatures w14:val="none"/>
              </w:rPr>
              <w:fldChar w:fldCharType="separate"/>
            </w:r>
            <w:r>
              <w:rPr>
                <w:rFonts w:ascii="Aptos Narrow" w:eastAsia="Times New Roman" w:hAnsi="Aptos Narrow" w:cs="Times New Roman"/>
                <w:noProof/>
                <w:color w:val="000000"/>
                <w:lang w:eastAsia="en-AU"/>
                <w14:ligatures w14:val="none"/>
              </w:rPr>
              <w:t>(Carey et al., 2017)</w:t>
            </w:r>
            <w:r>
              <w:rPr>
                <w:rFonts w:ascii="Aptos Narrow" w:eastAsia="Times New Roman" w:hAnsi="Aptos Narrow" w:cs="Times New Roman"/>
                <w:color w:val="000000"/>
                <w:lang w:eastAsia="en-AU"/>
                <w14:ligatures w14:val="none"/>
              </w:rPr>
              <w:fldChar w:fldCharType="end"/>
            </w:r>
          </w:p>
        </w:tc>
        <w:tc>
          <w:tcPr>
            <w:tcW w:w="1431" w:type="dxa"/>
            <w:shd w:val="clear" w:color="auto" w:fill="auto"/>
            <w:noWrap/>
            <w:vAlign w:val="bottom"/>
            <w:hideMark/>
          </w:tcPr>
          <w:p w14:paraId="2825487B" w14:textId="6CF7B672"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Australia </w:t>
            </w:r>
          </w:p>
        </w:tc>
        <w:tc>
          <w:tcPr>
            <w:tcW w:w="1349" w:type="dxa"/>
            <w:shd w:val="clear" w:color="auto" w:fill="auto"/>
            <w:noWrap/>
            <w:vAlign w:val="bottom"/>
            <w:hideMark/>
          </w:tcPr>
          <w:p w14:paraId="395A55B3"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Review</w:t>
            </w:r>
          </w:p>
        </w:tc>
        <w:tc>
          <w:tcPr>
            <w:tcW w:w="1553" w:type="dxa"/>
            <w:shd w:val="clear" w:color="auto" w:fill="auto"/>
            <w:noWrap/>
            <w:vAlign w:val="bottom"/>
            <w:hideMark/>
          </w:tcPr>
          <w:p w14:paraId="599684A6" w14:textId="492AD615"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Mixed </w:t>
            </w:r>
          </w:p>
        </w:tc>
        <w:tc>
          <w:tcPr>
            <w:tcW w:w="1479" w:type="dxa"/>
            <w:shd w:val="clear" w:color="auto" w:fill="auto"/>
            <w:noWrap/>
            <w:vAlign w:val="bottom"/>
            <w:hideMark/>
          </w:tcPr>
          <w:p w14:paraId="0693F5A1"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Provider</w:t>
            </w:r>
          </w:p>
        </w:tc>
        <w:tc>
          <w:tcPr>
            <w:tcW w:w="1634" w:type="dxa"/>
            <w:shd w:val="clear" w:color="auto" w:fill="auto"/>
            <w:vAlign w:val="bottom"/>
            <w:hideMark/>
          </w:tcPr>
          <w:p w14:paraId="22D0B84C" w14:textId="77777777" w:rsidR="00E82A9A" w:rsidRPr="00D21EBF" w:rsidRDefault="00E82A9A" w:rsidP="00E82A9A">
            <w:pPr>
              <w:spacing w:after="0" w:line="240" w:lineRule="auto"/>
              <w:rPr>
                <w:rFonts w:ascii="Aptos Narrow" w:eastAsia="Times New Roman" w:hAnsi="Aptos Narrow" w:cs="Times New Roman"/>
                <w:color w:val="000000" w:themeColor="text1"/>
                <w:lang w:eastAsia="en-AU"/>
                <w14:ligatures w14:val="none"/>
              </w:rPr>
            </w:pPr>
            <w:r w:rsidRPr="00D21EBF">
              <w:rPr>
                <w:rFonts w:ascii="Aptos Narrow" w:eastAsia="Times New Roman" w:hAnsi="Aptos Narrow" w:cs="Times New Roman"/>
                <w:color w:val="000000" w:themeColor="text1"/>
                <w:lang w:eastAsia="en-AU"/>
                <w14:ligatures w14:val="none"/>
              </w:rPr>
              <w:t> </w:t>
            </w:r>
          </w:p>
        </w:tc>
        <w:tc>
          <w:tcPr>
            <w:tcW w:w="1439" w:type="dxa"/>
            <w:shd w:val="clear" w:color="auto" w:fill="auto"/>
            <w:vAlign w:val="bottom"/>
            <w:hideMark/>
          </w:tcPr>
          <w:p w14:paraId="3C3B01F8"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1670" w:type="dxa"/>
            <w:shd w:val="clear" w:color="auto" w:fill="auto"/>
            <w:vAlign w:val="bottom"/>
            <w:hideMark/>
          </w:tcPr>
          <w:p w14:paraId="3EC75013"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NDIS </w:t>
            </w:r>
          </w:p>
        </w:tc>
        <w:tc>
          <w:tcPr>
            <w:tcW w:w="447" w:type="dxa"/>
            <w:shd w:val="clear" w:color="auto" w:fill="auto"/>
            <w:noWrap/>
            <w:vAlign w:val="bottom"/>
            <w:hideMark/>
          </w:tcPr>
          <w:p w14:paraId="7F57BF97"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390" w:type="dxa"/>
            <w:shd w:val="clear" w:color="auto" w:fill="auto"/>
            <w:noWrap/>
            <w:vAlign w:val="bottom"/>
            <w:hideMark/>
          </w:tcPr>
          <w:p w14:paraId="645E0A20"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442" w:type="dxa"/>
            <w:shd w:val="clear" w:color="auto" w:fill="auto"/>
            <w:noWrap/>
            <w:vAlign w:val="bottom"/>
            <w:hideMark/>
          </w:tcPr>
          <w:p w14:paraId="06B75AA6"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692" w:type="dxa"/>
            <w:shd w:val="clear" w:color="auto" w:fill="auto"/>
            <w:noWrap/>
            <w:vAlign w:val="bottom"/>
            <w:hideMark/>
          </w:tcPr>
          <w:p w14:paraId="431D50CC"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77" w:type="dxa"/>
            <w:shd w:val="clear" w:color="auto" w:fill="auto"/>
            <w:noWrap/>
            <w:vAlign w:val="bottom"/>
            <w:hideMark/>
          </w:tcPr>
          <w:p w14:paraId="56B16851"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505" w:type="dxa"/>
            <w:shd w:val="clear" w:color="auto" w:fill="auto"/>
            <w:noWrap/>
            <w:vAlign w:val="bottom"/>
            <w:hideMark/>
          </w:tcPr>
          <w:p w14:paraId="6EFBCCD4"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r>
      <w:tr w:rsidR="00E82A9A" w:rsidRPr="00D21EBF" w14:paraId="7F899F62" w14:textId="77777777" w:rsidTr="005B32AC">
        <w:trPr>
          <w:trHeight w:val="310"/>
        </w:trPr>
        <w:tc>
          <w:tcPr>
            <w:tcW w:w="1356" w:type="dxa"/>
          </w:tcPr>
          <w:p w14:paraId="1544C626" w14:textId="52FF0AFB"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fldChar w:fldCharType="begin"/>
            </w:r>
            <w:r>
              <w:rPr>
                <w:rFonts w:ascii="Aptos Narrow" w:eastAsia="Times New Roman" w:hAnsi="Aptos Narrow" w:cs="Times New Roman"/>
                <w:color w:val="000000"/>
                <w:lang w:eastAsia="en-AU"/>
                <w14:ligatures w14:val="none"/>
              </w:rPr>
              <w:instrText xml:space="preserve"> ADDIN EN.CITE &lt;EndNote&gt;&lt;Cite&gt;&lt;Author&gt;Gao&lt;/Author&gt;&lt;Year&gt;2019&lt;/Year&gt;&lt;RecNum&gt;50156&lt;/RecNum&gt;&lt;DisplayText&gt;(Gao et al., 2019)&lt;/DisplayText&gt;&lt;record&gt;&lt;rec-number&gt;50156&lt;/rec-number&gt;&lt;foreign-keys&gt;&lt;key app="EN" db-id="feav29prs929zneaprxvex2z55wwe0dtx9rf" timestamp="1742949803" guid="d11b713b-5915-422f-82dd-a597b19f6139"&gt;50156&lt;/key&gt;&lt;/foreign-keys&gt;&lt;ref-type name="Journal Article"&gt;17&lt;/ref-type&gt;&lt;contributors&gt;&lt;authors&gt;&lt;author&gt;Gao, Fengsong&lt;/author&gt;&lt;author&gt;Foster, Michele&lt;/author&gt;&lt;author&gt;Liu, Yan&lt;/author&gt;&lt;/authors&gt;&lt;/contributors&gt;&lt;titles&gt;&lt;title&gt;Disability concentration and access to rehabilitation services: a pilot spatial assessment applying geographic information system analysis&lt;/title&gt;&lt;secondary-title&gt;Disability &amp;amp; Rehabilitation&lt;/secondary-title&gt;&lt;/titles&gt;&lt;periodical&gt;&lt;full-title&gt;Disability &amp;amp; Rehabilitation&lt;/full-title&gt;&lt;/periodical&gt;&lt;pages&gt;2468-2476&lt;/pages&gt;&lt;volume&gt;41&lt;/volume&gt;&lt;number&gt;20&lt;/number&gt;&lt;dates&gt;&lt;year&gt;2019&lt;/year&gt;&lt;/dates&gt;&lt;pub-location&gt;Philadelphia, Pennsylvania&lt;/pub-location&gt;&lt;publisher&gt;Taylor &amp;amp; Francis Ltd&lt;/publisher&gt;&lt;urls&gt;&lt;related-urls&gt;&lt;url&gt;https://search.ebscohost.com/login.aspx?direct=true&amp;amp;AuthType=shib&amp;amp;db=ccm&amp;amp;AN=137032592&amp;amp;site=ehost-live&amp;amp;custid=s3382554&lt;/url&gt;&lt;/related-urls&gt;&lt;/urls&gt;&lt;electronic-resource-num&gt;10.1080/09638288.2018.1468931&lt;/electronic-resource-num&gt;&lt;/record&gt;&lt;/Cite&gt;&lt;/EndNote&gt;</w:instrText>
            </w:r>
            <w:r>
              <w:rPr>
                <w:rFonts w:ascii="Aptos Narrow" w:eastAsia="Times New Roman" w:hAnsi="Aptos Narrow" w:cs="Times New Roman"/>
                <w:color w:val="000000"/>
                <w:lang w:eastAsia="en-AU"/>
                <w14:ligatures w14:val="none"/>
              </w:rPr>
              <w:fldChar w:fldCharType="separate"/>
            </w:r>
            <w:r>
              <w:rPr>
                <w:rFonts w:ascii="Aptos Narrow" w:eastAsia="Times New Roman" w:hAnsi="Aptos Narrow" w:cs="Times New Roman"/>
                <w:noProof/>
                <w:color w:val="000000"/>
                <w:lang w:eastAsia="en-AU"/>
                <w14:ligatures w14:val="none"/>
              </w:rPr>
              <w:t>(Gao et al., 2019)</w:t>
            </w:r>
            <w:r>
              <w:rPr>
                <w:rFonts w:ascii="Aptos Narrow" w:eastAsia="Times New Roman" w:hAnsi="Aptos Narrow" w:cs="Times New Roman"/>
                <w:color w:val="000000"/>
                <w:lang w:eastAsia="en-AU"/>
                <w14:ligatures w14:val="none"/>
              </w:rPr>
              <w:fldChar w:fldCharType="end"/>
            </w:r>
          </w:p>
        </w:tc>
        <w:tc>
          <w:tcPr>
            <w:tcW w:w="1431" w:type="dxa"/>
            <w:shd w:val="clear" w:color="auto" w:fill="auto"/>
            <w:noWrap/>
            <w:vAlign w:val="bottom"/>
            <w:hideMark/>
          </w:tcPr>
          <w:p w14:paraId="475FBA47" w14:textId="238DE2DC"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QLD</w:t>
            </w:r>
          </w:p>
        </w:tc>
        <w:tc>
          <w:tcPr>
            <w:tcW w:w="1349" w:type="dxa"/>
            <w:shd w:val="clear" w:color="auto" w:fill="auto"/>
            <w:noWrap/>
            <w:vAlign w:val="bottom"/>
            <w:hideMark/>
          </w:tcPr>
          <w:p w14:paraId="3E7A1960"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Quantitative</w:t>
            </w:r>
          </w:p>
        </w:tc>
        <w:tc>
          <w:tcPr>
            <w:tcW w:w="1553" w:type="dxa"/>
            <w:shd w:val="clear" w:color="auto" w:fill="auto"/>
            <w:noWrap/>
            <w:vAlign w:val="bottom"/>
            <w:hideMark/>
          </w:tcPr>
          <w:p w14:paraId="6D2C3AB5" w14:textId="0B63C9FC"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Mixed </w:t>
            </w:r>
          </w:p>
        </w:tc>
        <w:tc>
          <w:tcPr>
            <w:tcW w:w="1479" w:type="dxa"/>
            <w:shd w:val="clear" w:color="auto" w:fill="auto"/>
            <w:noWrap/>
            <w:vAlign w:val="bottom"/>
            <w:hideMark/>
          </w:tcPr>
          <w:p w14:paraId="120CD434"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proofErr w:type="spellStart"/>
            <w:r w:rsidRPr="00D21EBF">
              <w:rPr>
                <w:rFonts w:ascii="Aptos Narrow" w:eastAsia="Times New Roman" w:hAnsi="Aptos Narrow" w:cs="Times New Roman"/>
                <w:color w:val="000000"/>
                <w:lang w:eastAsia="en-AU"/>
                <w14:ligatures w14:val="none"/>
              </w:rPr>
              <w:t>PwD</w:t>
            </w:r>
            <w:proofErr w:type="spellEnd"/>
            <w:r w:rsidRPr="00D21EBF">
              <w:rPr>
                <w:rFonts w:ascii="Aptos Narrow" w:eastAsia="Times New Roman" w:hAnsi="Aptos Narrow" w:cs="Times New Roman"/>
                <w:color w:val="000000"/>
                <w:lang w:eastAsia="en-AU"/>
                <w14:ligatures w14:val="none"/>
              </w:rPr>
              <w:t>; Caregiver</w:t>
            </w:r>
          </w:p>
        </w:tc>
        <w:tc>
          <w:tcPr>
            <w:tcW w:w="1634" w:type="dxa"/>
            <w:shd w:val="clear" w:color="auto" w:fill="auto"/>
            <w:vAlign w:val="bottom"/>
            <w:hideMark/>
          </w:tcPr>
          <w:p w14:paraId="4C27C9B5" w14:textId="77777777" w:rsidR="00E82A9A" w:rsidRPr="00D21EBF" w:rsidRDefault="00E82A9A" w:rsidP="00E82A9A">
            <w:pPr>
              <w:spacing w:after="0" w:line="240" w:lineRule="auto"/>
              <w:rPr>
                <w:rFonts w:ascii="Aptos Narrow" w:eastAsia="Times New Roman" w:hAnsi="Aptos Narrow" w:cs="Times New Roman"/>
                <w:color w:val="000000" w:themeColor="text1"/>
                <w:lang w:eastAsia="en-AU"/>
                <w14:ligatures w14:val="none"/>
              </w:rPr>
            </w:pPr>
            <w:r w:rsidRPr="00D21EBF">
              <w:rPr>
                <w:rFonts w:ascii="Aptos Narrow" w:eastAsia="Times New Roman" w:hAnsi="Aptos Narrow" w:cs="Times New Roman"/>
                <w:color w:val="000000" w:themeColor="text1"/>
                <w:lang w:eastAsia="en-AU"/>
                <w14:ligatures w14:val="none"/>
              </w:rPr>
              <w:t> </w:t>
            </w:r>
          </w:p>
        </w:tc>
        <w:tc>
          <w:tcPr>
            <w:tcW w:w="1439" w:type="dxa"/>
            <w:shd w:val="clear" w:color="auto" w:fill="auto"/>
            <w:vAlign w:val="bottom"/>
            <w:hideMark/>
          </w:tcPr>
          <w:p w14:paraId="2D721359"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Rehabilitation services </w:t>
            </w:r>
          </w:p>
        </w:tc>
        <w:tc>
          <w:tcPr>
            <w:tcW w:w="1670" w:type="dxa"/>
            <w:shd w:val="clear" w:color="auto" w:fill="auto"/>
            <w:vAlign w:val="bottom"/>
            <w:hideMark/>
          </w:tcPr>
          <w:p w14:paraId="0C5D1B12"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447" w:type="dxa"/>
            <w:shd w:val="clear" w:color="auto" w:fill="auto"/>
            <w:noWrap/>
            <w:vAlign w:val="bottom"/>
            <w:hideMark/>
          </w:tcPr>
          <w:p w14:paraId="6AE43DEE"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390" w:type="dxa"/>
            <w:shd w:val="clear" w:color="auto" w:fill="auto"/>
            <w:noWrap/>
            <w:vAlign w:val="bottom"/>
            <w:hideMark/>
          </w:tcPr>
          <w:p w14:paraId="5128BCBC"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442" w:type="dxa"/>
            <w:shd w:val="clear" w:color="auto" w:fill="auto"/>
            <w:noWrap/>
            <w:vAlign w:val="bottom"/>
            <w:hideMark/>
          </w:tcPr>
          <w:p w14:paraId="22DD5A15"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692" w:type="dxa"/>
            <w:shd w:val="clear" w:color="auto" w:fill="auto"/>
            <w:noWrap/>
            <w:vAlign w:val="bottom"/>
            <w:hideMark/>
          </w:tcPr>
          <w:p w14:paraId="20D58CAE"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77" w:type="dxa"/>
            <w:shd w:val="clear" w:color="auto" w:fill="auto"/>
            <w:noWrap/>
            <w:vAlign w:val="bottom"/>
            <w:hideMark/>
          </w:tcPr>
          <w:p w14:paraId="3B82B9C4"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05" w:type="dxa"/>
            <w:shd w:val="clear" w:color="auto" w:fill="auto"/>
            <w:noWrap/>
            <w:vAlign w:val="bottom"/>
            <w:hideMark/>
          </w:tcPr>
          <w:p w14:paraId="211D63C7"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r>
      <w:tr w:rsidR="00E82A9A" w:rsidRPr="00D21EBF" w14:paraId="74803D3E" w14:textId="77777777" w:rsidTr="005B32AC">
        <w:trPr>
          <w:trHeight w:val="310"/>
        </w:trPr>
        <w:tc>
          <w:tcPr>
            <w:tcW w:w="1356" w:type="dxa"/>
          </w:tcPr>
          <w:p w14:paraId="6269FADD" w14:textId="63D9429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fldChar w:fldCharType="begin"/>
            </w:r>
            <w:r>
              <w:rPr>
                <w:rFonts w:ascii="Aptos Narrow" w:eastAsia="Times New Roman" w:hAnsi="Aptos Narrow" w:cs="Times New Roman"/>
                <w:color w:val="000000"/>
                <w:lang w:eastAsia="en-AU"/>
                <w14:ligatures w14:val="none"/>
              </w:rPr>
              <w:instrText xml:space="preserve"> ADDIN EN.CITE &lt;EndNote&gt;&lt;Cite&gt;&lt;Author&gt;Netto&lt;/Author&gt;&lt;Year&gt;2016&lt;/Year&gt;&lt;RecNum&gt;50155&lt;/RecNum&gt;&lt;DisplayText&gt;(Netto et al., 2016)&lt;/DisplayText&gt;&lt;record&gt;&lt;rec-number&gt;50155&lt;/rec-number&gt;&lt;foreign-keys&gt;&lt;key app="EN" db-id="feav29prs929zneaprxvex2z55wwe0dtx9rf" timestamp="1742949803" guid="b1da2b9f-a5e3-44c0-94f5-b0c1bdae1bad"&gt;50155&lt;/key&gt;&lt;/foreign-keys&gt;&lt;ref-type name="Journal Article"&gt;17&lt;/ref-type&gt;&lt;contributors&gt;&lt;authors&gt;&lt;author&gt;Netto, Julie Ann&lt;/author&gt;&lt;author&gt;Polly, Yeung&lt;/author&gt;&lt;author&gt;Cocks, Errol&lt;/author&gt;&lt;author&gt;McNamara, Beverley&lt;/author&gt;&lt;/authors&gt;&lt;/contributors&gt;&lt;titles&gt;&lt;title&gt;Facilitators and barriers to employment for people with mental illness: A qualitative study&lt;/title&gt;&lt;secondary-title&gt;Journal of Vocational Rehabilitation&lt;/secondary-title&gt;&lt;/titles&gt;&lt;periodical&gt;&lt;full-title&gt;Journal of Vocational Rehabilitation&lt;/full-title&gt;&lt;abbr-1&gt;J. Vocat. Rehabil.&lt;/abbr-1&gt;&lt;/periodical&gt;&lt;pages&gt;61-72&lt;/pages&gt;&lt;volume&gt;44&lt;/volume&gt;&lt;number&gt;1&lt;/number&gt;&lt;dates&gt;&lt;year&gt;2016&lt;/year&gt;&lt;/dates&gt;&lt;publisher&gt;IOS Press&lt;/publisher&gt;&lt;urls&gt;&lt;related-urls&gt;&lt;url&gt;https://search.ebscohost.com/login.aspx?direct=true&amp;amp;AuthType=shib&amp;amp;db=ccm&amp;amp;AN=112202472&amp;amp;site=ehost-live&amp;amp;custid=s3382554&lt;/url&gt;&lt;/related-urls&gt;&lt;/urls&gt;&lt;electronic-resource-num&gt;10.3233/JVR-150780&lt;/electronic-resource-num&gt;&lt;/record&gt;&lt;/Cite&gt;&lt;/EndNote&gt;</w:instrText>
            </w:r>
            <w:r>
              <w:rPr>
                <w:rFonts w:ascii="Aptos Narrow" w:eastAsia="Times New Roman" w:hAnsi="Aptos Narrow" w:cs="Times New Roman"/>
                <w:color w:val="000000"/>
                <w:lang w:eastAsia="en-AU"/>
                <w14:ligatures w14:val="none"/>
              </w:rPr>
              <w:fldChar w:fldCharType="separate"/>
            </w:r>
            <w:r>
              <w:rPr>
                <w:rFonts w:ascii="Aptos Narrow" w:eastAsia="Times New Roman" w:hAnsi="Aptos Narrow" w:cs="Times New Roman"/>
                <w:noProof/>
                <w:color w:val="000000"/>
                <w:lang w:eastAsia="en-AU"/>
                <w14:ligatures w14:val="none"/>
              </w:rPr>
              <w:t>(Netto et al., 2016)</w:t>
            </w:r>
            <w:r>
              <w:rPr>
                <w:rFonts w:ascii="Aptos Narrow" w:eastAsia="Times New Roman" w:hAnsi="Aptos Narrow" w:cs="Times New Roman"/>
                <w:color w:val="000000"/>
                <w:lang w:eastAsia="en-AU"/>
                <w14:ligatures w14:val="none"/>
              </w:rPr>
              <w:fldChar w:fldCharType="end"/>
            </w:r>
          </w:p>
        </w:tc>
        <w:tc>
          <w:tcPr>
            <w:tcW w:w="1431" w:type="dxa"/>
            <w:shd w:val="clear" w:color="auto" w:fill="auto"/>
            <w:noWrap/>
            <w:vAlign w:val="bottom"/>
            <w:hideMark/>
          </w:tcPr>
          <w:p w14:paraId="6CF30E09" w14:textId="0A726A70"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Australia </w:t>
            </w:r>
          </w:p>
        </w:tc>
        <w:tc>
          <w:tcPr>
            <w:tcW w:w="1349" w:type="dxa"/>
            <w:shd w:val="clear" w:color="auto" w:fill="auto"/>
            <w:noWrap/>
            <w:vAlign w:val="bottom"/>
            <w:hideMark/>
          </w:tcPr>
          <w:p w14:paraId="436E5120"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Qualitative</w:t>
            </w:r>
          </w:p>
        </w:tc>
        <w:tc>
          <w:tcPr>
            <w:tcW w:w="1553" w:type="dxa"/>
            <w:shd w:val="clear" w:color="auto" w:fill="auto"/>
            <w:noWrap/>
            <w:vAlign w:val="bottom"/>
            <w:hideMark/>
          </w:tcPr>
          <w:p w14:paraId="7A2B1B27"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Psychosocial </w:t>
            </w:r>
          </w:p>
        </w:tc>
        <w:tc>
          <w:tcPr>
            <w:tcW w:w="1479" w:type="dxa"/>
            <w:shd w:val="clear" w:color="auto" w:fill="auto"/>
            <w:noWrap/>
            <w:vAlign w:val="bottom"/>
            <w:hideMark/>
          </w:tcPr>
          <w:p w14:paraId="1FF8E2C7"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proofErr w:type="spellStart"/>
            <w:r w:rsidRPr="00D21EBF">
              <w:rPr>
                <w:rFonts w:ascii="Aptos Narrow" w:eastAsia="Times New Roman" w:hAnsi="Aptos Narrow" w:cs="Times New Roman"/>
                <w:color w:val="000000"/>
                <w:lang w:eastAsia="en-AU"/>
                <w14:ligatures w14:val="none"/>
              </w:rPr>
              <w:t>PwD</w:t>
            </w:r>
            <w:proofErr w:type="spellEnd"/>
          </w:p>
        </w:tc>
        <w:tc>
          <w:tcPr>
            <w:tcW w:w="1634" w:type="dxa"/>
            <w:shd w:val="clear" w:color="auto" w:fill="auto"/>
            <w:vAlign w:val="bottom"/>
            <w:hideMark/>
          </w:tcPr>
          <w:p w14:paraId="41BAAD6F" w14:textId="77777777" w:rsidR="00E82A9A" w:rsidRPr="00D21EBF" w:rsidRDefault="00E82A9A" w:rsidP="00E82A9A">
            <w:pPr>
              <w:spacing w:after="0" w:line="240" w:lineRule="auto"/>
              <w:rPr>
                <w:rFonts w:ascii="Aptos Narrow" w:eastAsia="Times New Roman" w:hAnsi="Aptos Narrow" w:cs="Times New Roman"/>
                <w:color w:val="000000" w:themeColor="text1"/>
                <w:lang w:eastAsia="en-AU"/>
                <w14:ligatures w14:val="none"/>
              </w:rPr>
            </w:pPr>
            <w:r w:rsidRPr="00D21EBF">
              <w:rPr>
                <w:rFonts w:ascii="Aptos Narrow" w:eastAsia="Times New Roman" w:hAnsi="Aptos Narrow" w:cs="Times New Roman"/>
                <w:color w:val="000000" w:themeColor="text1"/>
                <w:lang w:eastAsia="en-AU"/>
                <w14:ligatures w14:val="none"/>
              </w:rPr>
              <w:t> </w:t>
            </w:r>
          </w:p>
        </w:tc>
        <w:tc>
          <w:tcPr>
            <w:tcW w:w="1439" w:type="dxa"/>
            <w:shd w:val="clear" w:color="auto" w:fill="auto"/>
            <w:vAlign w:val="bottom"/>
            <w:hideMark/>
          </w:tcPr>
          <w:p w14:paraId="319C62BA"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1670" w:type="dxa"/>
            <w:shd w:val="clear" w:color="auto" w:fill="auto"/>
            <w:vAlign w:val="bottom"/>
            <w:hideMark/>
          </w:tcPr>
          <w:p w14:paraId="57844685"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employment support</w:t>
            </w:r>
          </w:p>
        </w:tc>
        <w:tc>
          <w:tcPr>
            <w:tcW w:w="447" w:type="dxa"/>
            <w:shd w:val="clear" w:color="auto" w:fill="auto"/>
            <w:noWrap/>
            <w:vAlign w:val="bottom"/>
            <w:hideMark/>
          </w:tcPr>
          <w:p w14:paraId="08924B10"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390" w:type="dxa"/>
            <w:shd w:val="clear" w:color="auto" w:fill="auto"/>
            <w:noWrap/>
            <w:vAlign w:val="bottom"/>
            <w:hideMark/>
          </w:tcPr>
          <w:p w14:paraId="6F566A1E"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442" w:type="dxa"/>
            <w:shd w:val="clear" w:color="auto" w:fill="auto"/>
            <w:noWrap/>
            <w:vAlign w:val="bottom"/>
            <w:hideMark/>
          </w:tcPr>
          <w:p w14:paraId="613201C6"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692" w:type="dxa"/>
            <w:shd w:val="clear" w:color="auto" w:fill="auto"/>
            <w:noWrap/>
            <w:vAlign w:val="bottom"/>
            <w:hideMark/>
          </w:tcPr>
          <w:p w14:paraId="567AF2F4"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577" w:type="dxa"/>
            <w:shd w:val="clear" w:color="auto" w:fill="auto"/>
            <w:noWrap/>
            <w:vAlign w:val="bottom"/>
            <w:hideMark/>
          </w:tcPr>
          <w:p w14:paraId="45C7554E"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05" w:type="dxa"/>
            <w:shd w:val="clear" w:color="auto" w:fill="auto"/>
            <w:noWrap/>
            <w:vAlign w:val="bottom"/>
            <w:hideMark/>
          </w:tcPr>
          <w:p w14:paraId="0B2062F0"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r>
      <w:tr w:rsidR="00E82A9A" w:rsidRPr="00D21EBF" w14:paraId="5D2183CF" w14:textId="77777777" w:rsidTr="005B32AC">
        <w:trPr>
          <w:trHeight w:val="310"/>
        </w:trPr>
        <w:tc>
          <w:tcPr>
            <w:tcW w:w="1356" w:type="dxa"/>
          </w:tcPr>
          <w:p w14:paraId="5AEDEAA9" w14:textId="2BA02062"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fldChar w:fldCharType="begin"/>
            </w:r>
            <w:r>
              <w:rPr>
                <w:rFonts w:ascii="Aptos Narrow" w:eastAsia="Times New Roman" w:hAnsi="Aptos Narrow" w:cs="Times New Roman"/>
                <w:color w:val="000000"/>
                <w:lang w:eastAsia="en-AU"/>
                <w14:ligatures w14:val="none"/>
              </w:rPr>
              <w:instrText xml:space="preserve"> ADDIN EN.CITE &lt;EndNote&gt;&lt;Cite&gt;&lt;Author&gt;Gilroy&lt;/Author&gt;&lt;Year&gt;2021&lt;/Year&gt;&lt;RecNum&gt;50153&lt;/RecNum&gt;&lt;DisplayText&gt;(Gilroy et al., 2021)&lt;/DisplayText&gt;&lt;record&gt;&lt;rec-number&gt;50153&lt;/rec-number&gt;&lt;foreign-keys&gt;&lt;key app="EN" db-id="feav29prs929zneaprxvex2z55wwe0dtx9rf" timestamp="1742949803" guid="7e1c4183-2da7-4270-ac7f-c35903d67c93"&gt;50153&lt;/key&gt;&lt;/foreign-keys&gt;&lt;ref-type name="Journal Article"&gt;17&lt;/ref-type&gt;&lt;contributors&gt;&lt;authors&gt;&lt;author&gt;Gilroy, John&lt;/author&gt;&lt;author&gt;Dew, Angela&lt;/author&gt;&lt;author&gt;Barton, Rebecca&lt;/author&gt;&lt;author&gt;Ryall, Lee&lt;/author&gt;&lt;author&gt;Lincoln, Michelle&lt;/author&gt;&lt;author&gt;Taylor, Kerry&lt;/author&gt;&lt;author&gt;Jensen, Heather&lt;/author&gt;&lt;author&gt;Flood, Victoria&lt;/author&gt;&lt;author&gt;McRae, Kim&lt;/author&gt;&lt;/authors&gt;&lt;/contributors&gt;&lt;titles&gt;&lt;title&gt;Environmental and systemic challenges to delivering services for Aboriginal adults with a disability in Central Australia&lt;/title&gt;&lt;secondary-title&gt;Disability &amp;amp; Rehabilitation&lt;/secondary-title&gt;&lt;/titles&gt;&lt;periodical&gt;&lt;full-title&gt;Disability &amp;amp; Rehabilitation&lt;/full-title&gt;&lt;/periodical&gt;&lt;pages&gt;2919-2929&lt;/pages&gt;&lt;volume&gt;43&lt;/volume&gt;&lt;number&gt;20&lt;/number&gt;&lt;dates&gt;&lt;year&gt;2021&lt;/year&gt;&lt;/dates&gt;&lt;pub-location&gt;Philadelphia, Pennsylvania&lt;/pub-location&gt;&lt;publisher&gt;Taylor &amp;amp; Francis Ltd&lt;/publisher&gt;&lt;urls&gt;&lt;related-urls&gt;&lt;url&gt;https://search.ebscohost.com/login.aspx?direct=true&amp;amp;AuthType=shib&amp;amp;db=ccm&amp;amp;AN=152850870&amp;amp;site=ehost-live&amp;amp;custid=s3382554&lt;/url&gt;&lt;/related-urls&gt;&lt;/urls&gt;&lt;electronic-resource-num&gt;10.1080/09638288.2020.1725654&lt;/electronic-resource-num&gt;&lt;/record&gt;&lt;/Cite&gt;&lt;/EndNote&gt;</w:instrText>
            </w:r>
            <w:r>
              <w:rPr>
                <w:rFonts w:ascii="Aptos Narrow" w:eastAsia="Times New Roman" w:hAnsi="Aptos Narrow" w:cs="Times New Roman"/>
                <w:color w:val="000000"/>
                <w:lang w:eastAsia="en-AU"/>
                <w14:ligatures w14:val="none"/>
              </w:rPr>
              <w:fldChar w:fldCharType="separate"/>
            </w:r>
            <w:r>
              <w:rPr>
                <w:rFonts w:ascii="Aptos Narrow" w:eastAsia="Times New Roman" w:hAnsi="Aptos Narrow" w:cs="Times New Roman"/>
                <w:noProof/>
                <w:color w:val="000000"/>
                <w:lang w:eastAsia="en-AU"/>
                <w14:ligatures w14:val="none"/>
              </w:rPr>
              <w:t>(Gilroy et al., 2021)</w:t>
            </w:r>
            <w:r>
              <w:rPr>
                <w:rFonts w:ascii="Aptos Narrow" w:eastAsia="Times New Roman" w:hAnsi="Aptos Narrow" w:cs="Times New Roman"/>
                <w:color w:val="000000"/>
                <w:lang w:eastAsia="en-AU"/>
                <w14:ligatures w14:val="none"/>
              </w:rPr>
              <w:fldChar w:fldCharType="end"/>
            </w:r>
          </w:p>
        </w:tc>
        <w:tc>
          <w:tcPr>
            <w:tcW w:w="1431" w:type="dxa"/>
            <w:shd w:val="clear" w:color="auto" w:fill="auto"/>
            <w:noWrap/>
            <w:vAlign w:val="bottom"/>
            <w:hideMark/>
          </w:tcPr>
          <w:p w14:paraId="68D7053F" w14:textId="16C9E89F"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NT; SA; WA</w:t>
            </w:r>
          </w:p>
        </w:tc>
        <w:tc>
          <w:tcPr>
            <w:tcW w:w="1349" w:type="dxa"/>
            <w:shd w:val="clear" w:color="auto" w:fill="auto"/>
            <w:noWrap/>
            <w:vAlign w:val="bottom"/>
            <w:hideMark/>
          </w:tcPr>
          <w:p w14:paraId="1BF13ECB"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Qualitative</w:t>
            </w:r>
          </w:p>
        </w:tc>
        <w:tc>
          <w:tcPr>
            <w:tcW w:w="1553" w:type="dxa"/>
            <w:shd w:val="clear" w:color="auto" w:fill="auto"/>
            <w:noWrap/>
            <w:vAlign w:val="bottom"/>
            <w:hideMark/>
          </w:tcPr>
          <w:p w14:paraId="1102C3B9" w14:textId="6F08B41F"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Mixed </w:t>
            </w:r>
          </w:p>
        </w:tc>
        <w:tc>
          <w:tcPr>
            <w:tcW w:w="1479" w:type="dxa"/>
            <w:shd w:val="clear" w:color="auto" w:fill="auto"/>
            <w:noWrap/>
            <w:vAlign w:val="bottom"/>
            <w:hideMark/>
          </w:tcPr>
          <w:p w14:paraId="595CB520"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proofErr w:type="spellStart"/>
            <w:r w:rsidRPr="00D21EBF">
              <w:rPr>
                <w:rFonts w:ascii="Aptos Narrow" w:eastAsia="Times New Roman" w:hAnsi="Aptos Narrow" w:cs="Times New Roman"/>
                <w:color w:val="000000"/>
                <w:lang w:eastAsia="en-AU"/>
                <w14:ligatures w14:val="none"/>
              </w:rPr>
              <w:t>PwD</w:t>
            </w:r>
            <w:proofErr w:type="spellEnd"/>
            <w:r w:rsidRPr="00D21EBF">
              <w:rPr>
                <w:rFonts w:ascii="Aptos Narrow" w:eastAsia="Times New Roman" w:hAnsi="Aptos Narrow" w:cs="Times New Roman"/>
                <w:color w:val="000000"/>
                <w:lang w:eastAsia="en-AU"/>
                <w14:ligatures w14:val="none"/>
              </w:rPr>
              <w:t>; Caregiver; Provider</w:t>
            </w:r>
          </w:p>
        </w:tc>
        <w:tc>
          <w:tcPr>
            <w:tcW w:w="1634" w:type="dxa"/>
            <w:shd w:val="clear" w:color="auto" w:fill="auto"/>
            <w:vAlign w:val="bottom"/>
            <w:hideMark/>
          </w:tcPr>
          <w:p w14:paraId="394D886A" w14:textId="77777777" w:rsidR="00E82A9A" w:rsidRPr="00D21EBF" w:rsidRDefault="00E82A9A" w:rsidP="00E82A9A">
            <w:pPr>
              <w:spacing w:after="0" w:line="240" w:lineRule="auto"/>
              <w:rPr>
                <w:rFonts w:ascii="Aptos Narrow" w:eastAsia="Times New Roman" w:hAnsi="Aptos Narrow" w:cs="Times New Roman"/>
                <w:color w:val="000000" w:themeColor="text1"/>
                <w:lang w:eastAsia="en-AU"/>
                <w14:ligatures w14:val="none"/>
              </w:rPr>
            </w:pPr>
            <w:r w:rsidRPr="00D21EBF">
              <w:rPr>
                <w:rFonts w:ascii="Aptos Narrow" w:eastAsia="Times New Roman" w:hAnsi="Aptos Narrow" w:cs="Times New Roman"/>
                <w:color w:val="000000" w:themeColor="text1"/>
                <w:lang w:eastAsia="en-AU"/>
                <w14:ligatures w14:val="none"/>
              </w:rPr>
              <w:t>First nation; Rural (remote)</w:t>
            </w:r>
          </w:p>
        </w:tc>
        <w:tc>
          <w:tcPr>
            <w:tcW w:w="1439" w:type="dxa"/>
            <w:shd w:val="clear" w:color="auto" w:fill="auto"/>
            <w:vAlign w:val="bottom"/>
            <w:hideMark/>
          </w:tcPr>
          <w:p w14:paraId="6E7725B1"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Rehabilitation services </w:t>
            </w:r>
          </w:p>
        </w:tc>
        <w:tc>
          <w:tcPr>
            <w:tcW w:w="1670" w:type="dxa"/>
            <w:shd w:val="clear" w:color="auto" w:fill="auto"/>
            <w:vAlign w:val="bottom"/>
            <w:hideMark/>
          </w:tcPr>
          <w:p w14:paraId="6BEDF9AC"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447" w:type="dxa"/>
            <w:shd w:val="clear" w:color="auto" w:fill="auto"/>
            <w:noWrap/>
            <w:vAlign w:val="bottom"/>
            <w:hideMark/>
          </w:tcPr>
          <w:p w14:paraId="23903DC9"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390" w:type="dxa"/>
            <w:shd w:val="clear" w:color="auto" w:fill="auto"/>
            <w:noWrap/>
            <w:vAlign w:val="bottom"/>
            <w:hideMark/>
          </w:tcPr>
          <w:p w14:paraId="6F9F1D10"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442" w:type="dxa"/>
            <w:shd w:val="clear" w:color="auto" w:fill="auto"/>
            <w:noWrap/>
            <w:vAlign w:val="bottom"/>
            <w:hideMark/>
          </w:tcPr>
          <w:p w14:paraId="462ACEDF"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692" w:type="dxa"/>
            <w:shd w:val="clear" w:color="auto" w:fill="auto"/>
            <w:noWrap/>
            <w:vAlign w:val="bottom"/>
            <w:hideMark/>
          </w:tcPr>
          <w:p w14:paraId="734F15C1"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77" w:type="dxa"/>
            <w:shd w:val="clear" w:color="auto" w:fill="auto"/>
            <w:noWrap/>
            <w:vAlign w:val="bottom"/>
            <w:hideMark/>
          </w:tcPr>
          <w:p w14:paraId="3C0277A9"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505" w:type="dxa"/>
            <w:shd w:val="clear" w:color="auto" w:fill="auto"/>
            <w:noWrap/>
            <w:vAlign w:val="bottom"/>
            <w:hideMark/>
          </w:tcPr>
          <w:p w14:paraId="45B5739F"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r>
      <w:tr w:rsidR="00E82A9A" w:rsidRPr="00D21EBF" w14:paraId="5F1D9C7A" w14:textId="77777777" w:rsidTr="005B32AC">
        <w:trPr>
          <w:trHeight w:val="310"/>
        </w:trPr>
        <w:tc>
          <w:tcPr>
            <w:tcW w:w="1356" w:type="dxa"/>
          </w:tcPr>
          <w:p w14:paraId="44BAB0C0" w14:textId="7D268A94"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fldChar w:fldCharType="begin"/>
            </w:r>
            <w:r>
              <w:rPr>
                <w:rFonts w:ascii="Aptos Narrow" w:eastAsia="Times New Roman" w:hAnsi="Aptos Narrow" w:cs="Times New Roman"/>
                <w:color w:val="000000"/>
                <w:lang w:eastAsia="en-AU"/>
                <w14:ligatures w14:val="none"/>
              </w:rPr>
              <w:instrText xml:space="preserve"> ADDIN EN.CITE &lt;EndNote&gt;&lt;Cite&gt;&lt;Author&gt;Cortese&lt;/Author&gt;&lt;Year&gt;2021&lt;/Year&gt;&lt;RecNum&gt;50152&lt;/RecNum&gt;&lt;DisplayText&gt;(Cortese et al., 2021)&lt;/DisplayText&gt;&lt;record&gt;&lt;rec-number&gt;50152&lt;/rec-number&gt;&lt;foreign-keys&gt;&lt;key app="EN" db-id="feav29prs929zneaprxvex2z55wwe0dtx9rf" timestamp="1742949803" guid="06e8dd4d-9e88-44b4-9854-2784ba2c73c8"&gt;50152&lt;/key&gt;&lt;/foreign-keys&gt;&lt;ref-type name="Journal Article"&gt;17&lt;/ref-type&gt;&lt;contributors&gt;&lt;authors&gt;&lt;author&gt;Cortese, Corinne&lt;/author&gt;&lt;author&gt;Truscott, Freda&lt;/author&gt;&lt;author&gt;Nikidehaghani, Mona&lt;/author&gt;&lt;author&gt;Chapple, Sandra&lt;/author&gt;&lt;/authors&gt;&lt;/contributors&gt;&lt;titles&gt;&lt;title&gt;Hard-to-reach: the NDIS, disability, and socio-economic disadvantage&lt;/title&gt;&lt;secondary-title&gt;Disability &amp;amp; Society&lt;/secondary-title&gt;&lt;/titles&gt;&lt;periodical&gt;&lt;full-title&gt;Disability &amp;amp; Society&lt;/full-title&gt;&lt;/periodical&gt;&lt;pages&gt;883-903&lt;/pages&gt;&lt;volume&gt;36&lt;/volume&gt;&lt;number&gt;6&lt;/number&gt;&lt;dates&gt;&lt;year&gt;2021&lt;/year&gt;&lt;/dates&gt;&lt;pub-location&gt;Oxfordshire, &amp;lt;Blank&amp;gt;&lt;/pub-location&gt;&lt;publisher&gt;Routledge&lt;/publisher&gt;&lt;urls&gt;&lt;related-urls&gt;&lt;url&gt;https://search.ebscohost.com/login.aspx?direct=true&amp;amp;AuthType=shib&amp;amp;db=ccm&amp;amp;AN=151190067&amp;amp;site=ehost-live&amp;amp;custid=s3382554&lt;/url&gt;&lt;/related-urls&gt;&lt;/urls&gt;&lt;electronic-resource-num&gt;10.1080/09687599.2020.1782173&lt;/electronic-resource-num&gt;&lt;/record&gt;&lt;/Cite&gt;&lt;/EndNote&gt;</w:instrText>
            </w:r>
            <w:r>
              <w:rPr>
                <w:rFonts w:ascii="Aptos Narrow" w:eastAsia="Times New Roman" w:hAnsi="Aptos Narrow" w:cs="Times New Roman"/>
                <w:color w:val="000000"/>
                <w:lang w:eastAsia="en-AU"/>
                <w14:ligatures w14:val="none"/>
              </w:rPr>
              <w:fldChar w:fldCharType="separate"/>
            </w:r>
            <w:r>
              <w:rPr>
                <w:rFonts w:ascii="Aptos Narrow" w:eastAsia="Times New Roman" w:hAnsi="Aptos Narrow" w:cs="Times New Roman"/>
                <w:noProof/>
                <w:color w:val="000000"/>
                <w:lang w:eastAsia="en-AU"/>
                <w14:ligatures w14:val="none"/>
              </w:rPr>
              <w:t>(Cortese et al., 2021)</w:t>
            </w:r>
            <w:r>
              <w:rPr>
                <w:rFonts w:ascii="Aptos Narrow" w:eastAsia="Times New Roman" w:hAnsi="Aptos Narrow" w:cs="Times New Roman"/>
                <w:color w:val="000000"/>
                <w:lang w:eastAsia="en-AU"/>
                <w14:ligatures w14:val="none"/>
              </w:rPr>
              <w:fldChar w:fldCharType="end"/>
            </w:r>
          </w:p>
        </w:tc>
        <w:tc>
          <w:tcPr>
            <w:tcW w:w="1431" w:type="dxa"/>
            <w:shd w:val="clear" w:color="auto" w:fill="auto"/>
            <w:noWrap/>
            <w:vAlign w:val="bottom"/>
            <w:hideMark/>
          </w:tcPr>
          <w:p w14:paraId="1AEAC398" w14:textId="7450397F"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Australia </w:t>
            </w:r>
          </w:p>
        </w:tc>
        <w:tc>
          <w:tcPr>
            <w:tcW w:w="1349" w:type="dxa"/>
            <w:shd w:val="clear" w:color="auto" w:fill="auto"/>
            <w:noWrap/>
            <w:vAlign w:val="bottom"/>
            <w:hideMark/>
          </w:tcPr>
          <w:p w14:paraId="3B5E6BC5"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Qualitative</w:t>
            </w:r>
          </w:p>
        </w:tc>
        <w:tc>
          <w:tcPr>
            <w:tcW w:w="1553" w:type="dxa"/>
            <w:shd w:val="clear" w:color="auto" w:fill="auto"/>
            <w:noWrap/>
            <w:vAlign w:val="bottom"/>
            <w:hideMark/>
          </w:tcPr>
          <w:p w14:paraId="30593E55" w14:textId="3BF2EC78"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Mixed </w:t>
            </w:r>
          </w:p>
        </w:tc>
        <w:tc>
          <w:tcPr>
            <w:tcW w:w="1479" w:type="dxa"/>
            <w:shd w:val="clear" w:color="auto" w:fill="auto"/>
            <w:noWrap/>
            <w:vAlign w:val="bottom"/>
            <w:hideMark/>
          </w:tcPr>
          <w:p w14:paraId="584AEAA3"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proofErr w:type="spellStart"/>
            <w:r w:rsidRPr="00D21EBF">
              <w:rPr>
                <w:rFonts w:ascii="Aptos Narrow" w:eastAsia="Times New Roman" w:hAnsi="Aptos Narrow" w:cs="Times New Roman"/>
                <w:color w:val="000000"/>
                <w:lang w:eastAsia="en-AU"/>
                <w14:ligatures w14:val="none"/>
              </w:rPr>
              <w:t>PwD</w:t>
            </w:r>
            <w:proofErr w:type="spellEnd"/>
          </w:p>
        </w:tc>
        <w:tc>
          <w:tcPr>
            <w:tcW w:w="1634" w:type="dxa"/>
            <w:shd w:val="clear" w:color="auto" w:fill="auto"/>
            <w:vAlign w:val="bottom"/>
            <w:hideMark/>
          </w:tcPr>
          <w:p w14:paraId="3BAB423C" w14:textId="77777777" w:rsidR="00E82A9A" w:rsidRPr="00D21EBF" w:rsidRDefault="00E82A9A" w:rsidP="00E82A9A">
            <w:pPr>
              <w:spacing w:after="0" w:line="240" w:lineRule="auto"/>
              <w:rPr>
                <w:rFonts w:ascii="Aptos Narrow" w:eastAsia="Times New Roman" w:hAnsi="Aptos Narrow" w:cs="Times New Roman"/>
                <w:color w:val="000000" w:themeColor="text1"/>
                <w:lang w:eastAsia="en-AU"/>
                <w14:ligatures w14:val="none"/>
              </w:rPr>
            </w:pPr>
            <w:r w:rsidRPr="00D21EBF">
              <w:rPr>
                <w:rFonts w:ascii="Aptos Narrow" w:eastAsia="Times New Roman" w:hAnsi="Aptos Narrow" w:cs="Times New Roman"/>
                <w:color w:val="000000" w:themeColor="text1"/>
                <w:lang w:eastAsia="en-AU"/>
                <w14:ligatures w14:val="none"/>
              </w:rPr>
              <w:t> </w:t>
            </w:r>
          </w:p>
        </w:tc>
        <w:tc>
          <w:tcPr>
            <w:tcW w:w="1439" w:type="dxa"/>
            <w:shd w:val="clear" w:color="auto" w:fill="auto"/>
            <w:vAlign w:val="bottom"/>
            <w:hideMark/>
          </w:tcPr>
          <w:p w14:paraId="3418D861"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1670" w:type="dxa"/>
            <w:shd w:val="clear" w:color="auto" w:fill="auto"/>
            <w:vAlign w:val="bottom"/>
            <w:hideMark/>
          </w:tcPr>
          <w:p w14:paraId="3831E040"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NDIS</w:t>
            </w:r>
          </w:p>
        </w:tc>
        <w:tc>
          <w:tcPr>
            <w:tcW w:w="447" w:type="dxa"/>
            <w:shd w:val="clear" w:color="auto" w:fill="auto"/>
            <w:noWrap/>
            <w:vAlign w:val="bottom"/>
            <w:hideMark/>
          </w:tcPr>
          <w:p w14:paraId="6C74B703"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390" w:type="dxa"/>
            <w:shd w:val="clear" w:color="auto" w:fill="auto"/>
            <w:noWrap/>
            <w:vAlign w:val="bottom"/>
            <w:hideMark/>
          </w:tcPr>
          <w:p w14:paraId="549DDE08"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442" w:type="dxa"/>
            <w:shd w:val="clear" w:color="auto" w:fill="auto"/>
            <w:noWrap/>
            <w:vAlign w:val="bottom"/>
            <w:hideMark/>
          </w:tcPr>
          <w:p w14:paraId="475BC122"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692" w:type="dxa"/>
            <w:shd w:val="clear" w:color="auto" w:fill="auto"/>
            <w:noWrap/>
            <w:vAlign w:val="bottom"/>
            <w:hideMark/>
          </w:tcPr>
          <w:p w14:paraId="260D023B"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77" w:type="dxa"/>
            <w:shd w:val="clear" w:color="auto" w:fill="auto"/>
            <w:noWrap/>
            <w:vAlign w:val="bottom"/>
            <w:hideMark/>
          </w:tcPr>
          <w:p w14:paraId="5C1B52D8"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05" w:type="dxa"/>
            <w:shd w:val="clear" w:color="auto" w:fill="auto"/>
            <w:noWrap/>
            <w:vAlign w:val="bottom"/>
            <w:hideMark/>
          </w:tcPr>
          <w:p w14:paraId="1F461844"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r>
      <w:tr w:rsidR="00E82A9A" w:rsidRPr="00D21EBF" w14:paraId="60891BB7" w14:textId="77777777" w:rsidTr="005B32AC">
        <w:trPr>
          <w:trHeight w:val="310"/>
        </w:trPr>
        <w:tc>
          <w:tcPr>
            <w:tcW w:w="1356" w:type="dxa"/>
          </w:tcPr>
          <w:p w14:paraId="42F2D36C" w14:textId="5B9DF64B"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lastRenderedPageBreak/>
              <w:fldChar w:fldCharType="begin"/>
            </w:r>
            <w:r>
              <w:rPr>
                <w:rFonts w:ascii="Aptos Narrow" w:eastAsia="Times New Roman" w:hAnsi="Aptos Narrow" w:cs="Times New Roman"/>
                <w:color w:val="000000"/>
                <w:lang w:eastAsia="en-AU"/>
                <w14:ligatures w14:val="none"/>
              </w:rPr>
              <w:instrText xml:space="preserve"> ADDIN EN.CITE &lt;EndNote&gt;&lt;Cite&gt;&lt;Author&gt;Green&lt;/Author&gt;&lt;Year&gt;2022&lt;/Year&gt;&lt;RecNum&gt;50151&lt;/RecNum&gt;&lt;DisplayText&gt;(Green et al., 2022)&lt;/DisplayText&gt;&lt;record&gt;&lt;rec-number&gt;50151&lt;/rec-number&gt;&lt;foreign-keys&gt;&lt;key app="EN" db-id="feav29prs929zneaprxvex2z55wwe0dtx9rf" timestamp="1742949803" guid="148cc333-81cf-4919-948b-bc9e2c102088"&gt;50151&lt;/key&gt;&lt;/foreign-keys&gt;&lt;ref-type name="Journal Article"&gt;17&lt;/ref-type&gt;&lt;contributors&gt;&lt;authors&gt;&lt;author&gt;Green, Celia&lt;/author&gt;&lt;author&gt;Dickinson, Helen&lt;/author&gt;&lt;author&gt;Carey, Gemma&lt;/author&gt;&lt;author&gt;Joyce, Andrew&lt;/author&gt;&lt;/authors&gt;&lt;/contributors&gt;&lt;titles&gt;&lt;title&gt;Barriers to policy action on social determinants of health for people with disability in Australia&lt;/title&gt;&lt;secondary-title&gt;Disability &amp;amp; Society&lt;/secondary-title&gt;&lt;/titles&gt;&lt;periodical&gt;&lt;full-title&gt;Disability &amp;amp; Society&lt;/full-title&gt;&lt;/periodical&gt;&lt;pages&gt;206-230&lt;/pages&gt;&lt;volume&gt;37&lt;/volume&gt;&lt;number&gt;2&lt;/number&gt;&lt;dates&gt;&lt;year&gt;2022&lt;/year&gt;&lt;/dates&gt;&lt;pub-location&gt;Oxfordshire, &amp;lt;Blank&amp;gt;&lt;/pub-location&gt;&lt;publisher&gt;Routledge&lt;/publisher&gt;&lt;urls&gt;&lt;related-urls&gt;&lt;url&gt;https://search.ebscohost.com/login.aspx?direct=true&amp;amp;AuthType=shib&amp;amp;db=ccm&amp;amp;AN=155892794&amp;amp;site=ehost-live&amp;amp;custid=s3382554&lt;/url&gt;&lt;/related-urls&gt;&lt;/urls&gt;&lt;electronic-resource-num&gt;10.1080/09687599.2020.1815523&lt;/electronic-resource-num&gt;&lt;/record&gt;&lt;/Cite&gt;&lt;/EndNote&gt;</w:instrText>
            </w:r>
            <w:r>
              <w:rPr>
                <w:rFonts w:ascii="Aptos Narrow" w:eastAsia="Times New Roman" w:hAnsi="Aptos Narrow" w:cs="Times New Roman"/>
                <w:color w:val="000000"/>
                <w:lang w:eastAsia="en-AU"/>
                <w14:ligatures w14:val="none"/>
              </w:rPr>
              <w:fldChar w:fldCharType="separate"/>
            </w:r>
            <w:r>
              <w:rPr>
                <w:rFonts w:ascii="Aptos Narrow" w:eastAsia="Times New Roman" w:hAnsi="Aptos Narrow" w:cs="Times New Roman"/>
                <w:noProof/>
                <w:color w:val="000000"/>
                <w:lang w:eastAsia="en-AU"/>
                <w14:ligatures w14:val="none"/>
              </w:rPr>
              <w:t>(Green et al., 2022)</w:t>
            </w:r>
            <w:r>
              <w:rPr>
                <w:rFonts w:ascii="Aptos Narrow" w:eastAsia="Times New Roman" w:hAnsi="Aptos Narrow" w:cs="Times New Roman"/>
                <w:color w:val="000000"/>
                <w:lang w:eastAsia="en-AU"/>
                <w14:ligatures w14:val="none"/>
              </w:rPr>
              <w:fldChar w:fldCharType="end"/>
            </w:r>
          </w:p>
        </w:tc>
        <w:tc>
          <w:tcPr>
            <w:tcW w:w="1431" w:type="dxa"/>
            <w:shd w:val="clear" w:color="auto" w:fill="auto"/>
            <w:noWrap/>
            <w:vAlign w:val="bottom"/>
            <w:hideMark/>
          </w:tcPr>
          <w:p w14:paraId="05CDCA8F" w14:textId="491B9A14"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Australia </w:t>
            </w:r>
          </w:p>
        </w:tc>
        <w:tc>
          <w:tcPr>
            <w:tcW w:w="1349" w:type="dxa"/>
            <w:shd w:val="clear" w:color="auto" w:fill="auto"/>
            <w:noWrap/>
            <w:vAlign w:val="bottom"/>
            <w:hideMark/>
          </w:tcPr>
          <w:p w14:paraId="42E0794F"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Qualitative</w:t>
            </w:r>
          </w:p>
        </w:tc>
        <w:tc>
          <w:tcPr>
            <w:tcW w:w="1553" w:type="dxa"/>
            <w:shd w:val="clear" w:color="auto" w:fill="auto"/>
            <w:noWrap/>
            <w:vAlign w:val="bottom"/>
            <w:hideMark/>
          </w:tcPr>
          <w:p w14:paraId="389AAFBB" w14:textId="71667DF3"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Mixed </w:t>
            </w:r>
          </w:p>
        </w:tc>
        <w:tc>
          <w:tcPr>
            <w:tcW w:w="1479" w:type="dxa"/>
            <w:shd w:val="clear" w:color="auto" w:fill="auto"/>
            <w:noWrap/>
            <w:vAlign w:val="bottom"/>
            <w:hideMark/>
          </w:tcPr>
          <w:p w14:paraId="3CD5A95B"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Provider</w:t>
            </w:r>
          </w:p>
        </w:tc>
        <w:tc>
          <w:tcPr>
            <w:tcW w:w="1634" w:type="dxa"/>
            <w:shd w:val="clear" w:color="auto" w:fill="auto"/>
            <w:vAlign w:val="bottom"/>
            <w:hideMark/>
          </w:tcPr>
          <w:p w14:paraId="7AE2648B" w14:textId="77777777" w:rsidR="00E82A9A" w:rsidRPr="00D21EBF" w:rsidRDefault="00E82A9A" w:rsidP="00E82A9A">
            <w:pPr>
              <w:spacing w:after="0" w:line="240" w:lineRule="auto"/>
              <w:rPr>
                <w:rFonts w:ascii="Aptos Narrow" w:eastAsia="Times New Roman" w:hAnsi="Aptos Narrow" w:cs="Times New Roman"/>
                <w:color w:val="000000" w:themeColor="text1"/>
                <w:lang w:eastAsia="en-AU"/>
                <w14:ligatures w14:val="none"/>
              </w:rPr>
            </w:pPr>
            <w:r w:rsidRPr="00D21EBF">
              <w:rPr>
                <w:rFonts w:ascii="Aptos Narrow" w:eastAsia="Times New Roman" w:hAnsi="Aptos Narrow" w:cs="Times New Roman"/>
                <w:color w:val="000000" w:themeColor="text1"/>
                <w:lang w:eastAsia="en-AU"/>
                <w14:ligatures w14:val="none"/>
              </w:rPr>
              <w:t> </w:t>
            </w:r>
          </w:p>
        </w:tc>
        <w:tc>
          <w:tcPr>
            <w:tcW w:w="1439" w:type="dxa"/>
            <w:shd w:val="clear" w:color="auto" w:fill="auto"/>
            <w:vAlign w:val="bottom"/>
            <w:hideMark/>
          </w:tcPr>
          <w:p w14:paraId="5A38191D"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1670" w:type="dxa"/>
            <w:shd w:val="clear" w:color="auto" w:fill="auto"/>
            <w:vAlign w:val="bottom"/>
            <w:hideMark/>
          </w:tcPr>
          <w:p w14:paraId="352847AD"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Organisations involved in disability policy</w:t>
            </w:r>
          </w:p>
        </w:tc>
        <w:tc>
          <w:tcPr>
            <w:tcW w:w="447" w:type="dxa"/>
            <w:shd w:val="clear" w:color="auto" w:fill="auto"/>
            <w:noWrap/>
            <w:vAlign w:val="bottom"/>
            <w:hideMark/>
          </w:tcPr>
          <w:p w14:paraId="65527F07"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390" w:type="dxa"/>
            <w:shd w:val="clear" w:color="auto" w:fill="auto"/>
            <w:noWrap/>
            <w:vAlign w:val="bottom"/>
            <w:hideMark/>
          </w:tcPr>
          <w:p w14:paraId="28E01ED0"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442" w:type="dxa"/>
            <w:shd w:val="clear" w:color="auto" w:fill="auto"/>
            <w:noWrap/>
            <w:vAlign w:val="bottom"/>
            <w:hideMark/>
          </w:tcPr>
          <w:p w14:paraId="390AE149"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692" w:type="dxa"/>
            <w:shd w:val="clear" w:color="auto" w:fill="auto"/>
            <w:noWrap/>
            <w:vAlign w:val="bottom"/>
            <w:hideMark/>
          </w:tcPr>
          <w:p w14:paraId="7171918C"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577" w:type="dxa"/>
            <w:shd w:val="clear" w:color="auto" w:fill="auto"/>
            <w:noWrap/>
            <w:vAlign w:val="bottom"/>
            <w:hideMark/>
          </w:tcPr>
          <w:p w14:paraId="2CE99482"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05" w:type="dxa"/>
            <w:shd w:val="clear" w:color="auto" w:fill="auto"/>
            <w:noWrap/>
            <w:vAlign w:val="bottom"/>
            <w:hideMark/>
          </w:tcPr>
          <w:p w14:paraId="17F30164"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r>
      <w:tr w:rsidR="00E82A9A" w:rsidRPr="00D21EBF" w14:paraId="4566F115" w14:textId="77777777" w:rsidTr="005B32AC">
        <w:trPr>
          <w:trHeight w:val="310"/>
        </w:trPr>
        <w:tc>
          <w:tcPr>
            <w:tcW w:w="1356" w:type="dxa"/>
            <w:vAlign w:val="center"/>
          </w:tcPr>
          <w:p w14:paraId="4B154111" w14:textId="06A2F4BF" w:rsidR="00E82A9A" w:rsidRDefault="00E82A9A" w:rsidP="00E82A9A">
            <w:pPr>
              <w:spacing w:after="0" w:line="240" w:lineRule="auto"/>
              <w:rPr>
                <w:rFonts w:ascii="Aptos Narrow" w:eastAsia="Times New Roman" w:hAnsi="Aptos Narrow" w:cs="Times New Roman"/>
                <w:color w:val="000000"/>
                <w:lang w:eastAsia="en-AU"/>
                <w14:ligatures w14:val="none"/>
              </w:rPr>
            </w:pPr>
            <w:r w:rsidRPr="003538E1">
              <w:rPr>
                <w:rFonts w:ascii="Aptos Narrow" w:eastAsia="Times New Roman" w:hAnsi="Aptos Narrow" w:cs="Times New Roman"/>
                <w:color w:val="000000"/>
                <w:lang w:eastAsia="en-AU"/>
                <w14:ligatures w14:val="none"/>
              </w:rPr>
              <w:t> </w:t>
            </w:r>
            <w:r>
              <w:rPr>
                <w:rFonts w:ascii="Aptos Narrow" w:eastAsia="Times New Roman" w:hAnsi="Aptos Narrow" w:cs="Times New Roman"/>
                <w:color w:val="000000"/>
                <w:lang w:eastAsia="en-AU"/>
                <w14:ligatures w14:val="none"/>
              </w:rPr>
              <w:fldChar w:fldCharType="begin"/>
            </w:r>
            <w:r>
              <w:rPr>
                <w:rFonts w:ascii="Aptos Narrow" w:eastAsia="Times New Roman" w:hAnsi="Aptos Narrow" w:cs="Times New Roman"/>
                <w:color w:val="000000"/>
                <w:lang w:eastAsia="en-AU"/>
                <w14:ligatures w14:val="none"/>
              </w:rPr>
              <w:instrText xml:space="preserve"> ADDIN EN.CITE &lt;EndNote&gt;&lt;Cite&gt;&lt;Author&gt;Mellifont&lt;/Author&gt;&lt;Year&gt;2023&lt;/Year&gt;&lt;RecNum&gt;50207&lt;/RecNum&gt;&lt;DisplayText&gt;(Mellifont, Smith</w:instrText>
            </w:r>
            <w:r>
              <w:rPr>
                <w:rFonts w:ascii="Cambria Math" w:eastAsia="Times New Roman" w:hAnsi="Cambria Math" w:cs="Cambria Math"/>
                <w:color w:val="000000"/>
                <w:lang w:eastAsia="en-AU"/>
                <w14:ligatures w14:val="none"/>
              </w:rPr>
              <w:instrText>‐</w:instrText>
            </w:r>
            <w:r>
              <w:rPr>
                <w:rFonts w:ascii="Aptos Narrow" w:eastAsia="Times New Roman" w:hAnsi="Aptos Narrow" w:cs="Times New Roman"/>
                <w:color w:val="000000"/>
                <w:lang w:eastAsia="en-AU"/>
                <w14:ligatures w14:val="none"/>
              </w:rPr>
              <w:instrText>Merry, et al., 2023)&lt;/DisplayText&gt;&lt;record&gt;&lt;rec-number&gt;50207&lt;/rec-number&gt;&lt;foreign-keys&gt;&lt;key app="EN" db-id="feav29prs929zneaprxvex2z55wwe0dtx9rf" timestamp="1742949803" guid="3c92ba25-828e-438e-9e32-959da8ede4d1"&gt;50207&lt;/key&gt;&lt;/foreign-keys&gt;&lt;ref-type name="Journal Article"&gt;17&lt;/ref-type&gt;&lt;contributors&gt;&lt;authors&gt;&lt;author&gt;Mellifont, Damian&lt;/author&gt;&lt;author&gt;Smith</w:instrText>
            </w:r>
            <w:r>
              <w:rPr>
                <w:rFonts w:ascii="Cambria Math" w:eastAsia="Times New Roman" w:hAnsi="Cambria Math" w:cs="Cambria Math"/>
                <w:color w:val="000000"/>
                <w:lang w:eastAsia="en-AU"/>
                <w14:ligatures w14:val="none"/>
              </w:rPr>
              <w:instrText>‐</w:instrText>
            </w:r>
            <w:r>
              <w:rPr>
                <w:rFonts w:ascii="Aptos Narrow" w:eastAsia="Times New Roman" w:hAnsi="Aptos Narrow" w:cs="Times New Roman"/>
                <w:color w:val="000000"/>
                <w:lang w:eastAsia="en-AU"/>
                <w14:ligatures w14:val="none"/>
              </w:rPr>
              <w:instrText>Merry, Jennifer&lt;/author&gt;&lt;author&gt;Bulkeley, Kim&lt;/author&gt;&lt;/authors&gt;&lt;/contributors&gt;&lt;titles&gt;&lt;title&gt;The employment of people with lived experience of disability in Australian disability services&lt;/title&gt;&lt;secondary-title&gt;Social policy &amp;amp; administration&lt;/secondary-title&gt;&lt;/titles&gt;&lt;periodical&gt;&lt;full-title&gt;Social Policy &amp;amp; Administration&lt;/full-title&gt;&lt;/periodical&gt;&lt;pages&gt;642-655&lt;/pages&gt;&lt;volume&gt;57&lt;/volume&gt;&lt;number&gt;5&lt;/number&gt;&lt;dates&gt;&lt;year&gt;2023&lt;/year&gt;&lt;/dates&gt;&lt;publisher&gt;Wiley Online Library&lt;/publisher&gt;&lt;urls&gt;&lt;/urls&gt;&lt;/record&gt;&lt;/Cite&gt;&lt;/EndNote&gt;</w:instrText>
            </w:r>
            <w:r>
              <w:rPr>
                <w:rFonts w:ascii="Aptos Narrow" w:eastAsia="Times New Roman" w:hAnsi="Aptos Narrow" w:cs="Times New Roman"/>
                <w:color w:val="000000"/>
                <w:lang w:eastAsia="en-AU"/>
                <w14:ligatures w14:val="none"/>
              </w:rPr>
              <w:fldChar w:fldCharType="separate"/>
            </w:r>
            <w:r>
              <w:rPr>
                <w:rFonts w:ascii="Aptos Narrow" w:eastAsia="Times New Roman" w:hAnsi="Aptos Narrow" w:cs="Times New Roman"/>
                <w:noProof/>
                <w:color w:val="000000"/>
                <w:lang w:eastAsia="en-AU"/>
                <w14:ligatures w14:val="none"/>
              </w:rPr>
              <w:t>(Mellifont, Smith</w:t>
            </w:r>
            <w:r>
              <w:rPr>
                <w:rFonts w:ascii="Cambria Math" w:eastAsia="Times New Roman" w:hAnsi="Cambria Math" w:cs="Cambria Math"/>
                <w:noProof/>
                <w:color w:val="000000"/>
                <w:lang w:eastAsia="en-AU"/>
                <w14:ligatures w14:val="none"/>
              </w:rPr>
              <w:t>‐</w:t>
            </w:r>
            <w:r>
              <w:rPr>
                <w:rFonts w:ascii="Aptos Narrow" w:eastAsia="Times New Roman" w:hAnsi="Aptos Narrow" w:cs="Times New Roman"/>
                <w:noProof/>
                <w:color w:val="000000"/>
                <w:lang w:eastAsia="en-AU"/>
                <w14:ligatures w14:val="none"/>
              </w:rPr>
              <w:t>Merry, et al., 2023)</w:t>
            </w:r>
            <w:r>
              <w:rPr>
                <w:rFonts w:ascii="Aptos Narrow" w:eastAsia="Times New Roman" w:hAnsi="Aptos Narrow" w:cs="Times New Roman"/>
                <w:color w:val="000000"/>
                <w:lang w:eastAsia="en-AU"/>
                <w14:ligatures w14:val="none"/>
              </w:rPr>
              <w:fldChar w:fldCharType="end"/>
            </w:r>
          </w:p>
        </w:tc>
        <w:tc>
          <w:tcPr>
            <w:tcW w:w="1431" w:type="dxa"/>
            <w:shd w:val="clear" w:color="auto" w:fill="auto"/>
            <w:noWrap/>
            <w:vAlign w:val="center"/>
          </w:tcPr>
          <w:p w14:paraId="096DF981" w14:textId="64C2A93D"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3538E1">
              <w:rPr>
                <w:rFonts w:ascii="Aptos Narrow" w:eastAsia="Times New Roman" w:hAnsi="Aptos Narrow" w:cs="Times New Roman"/>
                <w:color w:val="000000"/>
                <w:lang w:eastAsia="en-AU"/>
                <w14:ligatures w14:val="none"/>
              </w:rPr>
              <w:t xml:space="preserve">Australia </w:t>
            </w:r>
          </w:p>
        </w:tc>
        <w:tc>
          <w:tcPr>
            <w:tcW w:w="1349" w:type="dxa"/>
            <w:shd w:val="clear" w:color="auto" w:fill="auto"/>
            <w:noWrap/>
            <w:vAlign w:val="center"/>
          </w:tcPr>
          <w:p w14:paraId="5B09728C" w14:textId="1AE36E51"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3538E1">
              <w:rPr>
                <w:rFonts w:ascii="Aptos Narrow" w:eastAsia="Times New Roman" w:hAnsi="Aptos Narrow" w:cs="Times New Roman"/>
                <w:color w:val="000000"/>
                <w:lang w:eastAsia="en-AU"/>
                <w14:ligatures w14:val="none"/>
              </w:rPr>
              <w:t>Mixed</w:t>
            </w:r>
          </w:p>
        </w:tc>
        <w:tc>
          <w:tcPr>
            <w:tcW w:w="1553" w:type="dxa"/>
            <w:shd w:val="clear" w:color="auto" w:fill="auto"/>
            <w:noWrap/>
            <w:vAlign w:val="center"/>
          </w:tcPr>
          <w:p w14:paraId="147C56E7" w14:textId="220BD525"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3538E1">
              <w:rPr>
                <w:rFonts w:ascii="Aptos Narrow" w:eastAsia="Times New Roman" w:hAnsi="Aptos Narrow" w:cs="Times New Roman"/>
                <w:color w:val="000000"/>
                <w:lang w:eastAsia="en-AU"/>
                <w14:ligatures w14:val="none"/>
              </w:rPr>
              <w:t xml:space="preserve">Mixed </w:t>
            </w:r>
          </w:p>
        </w:tc>
        <w:tc>
          <w:tcPr>
            <w:tcW w:w="1479" w:type="dxa"/>
            <w:shd w:val="clear" w:color="auto" w:fill="auto"/>
            <w:noWrap/>
            <w:vAlign w:val="center"/>
          </w:tcPr>
          <w:p w14:paraId="011EA0EE" w14:textId="3AFCBD5D"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proofErr w:type="spellStart"/>
            <w:r w:rsidRPr="003538E1">
              <w:rPr>
                <w:rFonts w:ascii="Aptos Narrow" w:eastAsia="Times New Roman" w:hAnsi="Aptos Narrow" w:cs="Times New Roman"/>
                <w:color w:val="000000"/>
                <w:lang w:eastAsia="en-AU"/>
                <w14:ligatures w14:val="none"/>
              </w:rPr>
              <w:t>PwD</w:t>
            </w:r>
            <w:proofErr w:type="spellEnd"/>
            <w:r w:rsidRPr="003538E1">
              <w:rPr>
                <w:rFonts w:ascii="Aptos Narrow" w:eastAsia="Times New Roman" w:hAnsi="Aptos Narrow" w:cs="Times New Roman"/>
                <w:color w:val="000000"/>
                <w:lang w:eastAsia="en-AU"/>
                <w14:ligatures w14:val="none"/>
              </w:rPr>
              <w:t>; Provider</w:t>
            </w:r>
          </w:p>
        </w:tc>
        <w:tc>
          <w:tcPr>
            <w:tcW w:w="1634" w:type="dxa"/>
            <w:shd w:val="clear" w:color="auto" w:fill="auto"/>
            <w:vAlign w:val="bottom"/>
          </w:tcPr>
          <w:p w14:paraId="0F10891B" w14:textId="0CF97939" w:rsidR="00E82A9A" w:rsidRPr="00E82A9A" w:rsidRDefault="00E82A9A" w:rsidP="00E82A9A">
            <w:pPr>
              <w:spacing w:after="0" w:line="240" w:lineRule="auto"/>
              <w:rPr>
                <w:rFonts w:ascii="Aptos Narrow" w:eastAsia="Times New Roman" w:hAnsi="Aptos Narrow" w:cs="Times New Roman"/>
                <w:color w:val="000000" w:themeColor="text1"/>
                <w:lang w:eastAsia="en-AU"/>
                <w14:ligatures w14:val="none"/>
              </w:rPr>
            </w:pPr>
            <w:r w:rsidRPr="003538E1">
              <w:rPr>
                <w:rFonts w:ascii="Aptos" w:eastAsia="Times New Roman" w:hAnsi="Aptos" w:cs="Times New Roman"/>
                <w:color w:val="000000" w:themeColor="text1"/>
                <w:lang w:eastAsia="en-AU"/>
                <w14:ligatures w14:val="none"/>
              </w:rPr>
              <w:t> </w:t>
            </w:r>
          </w:p>
        </w:tc>
        <w:tc>
          <w:tcPr>
            <w:tcW w:w="1439" w:type="dxa"/>
            <w:shd w:val="clear" w:color="auto" w:fill="auto"/>
            <w:vAlign w:val="bottom"/>
          </w:tcPr>
          <w:p w14:paraId="08687E98" w14:textId="59AC2A6A"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3538E1">
              <w:rPr>
                <w:rFonts w:ascii="Aptos" w:eastAsia="Times New Roman" w:hAnsi="Aptos" w:cs="Times New Roman"/>
                <w:color w:val="000000"/>
                <w:lang w:eastAsia="en-AU"/>
                <w14:ligatures w14:val="none"/>
              </w:rPr>
              <w:t> </w:t>
            </w:r>
          </w:p>
        </w:tc>
        <w:tc>
          <w:tcPr>
            <w:tcW w:w="1670" w:type="dxa"/>
            <w:shd w:val="clear" w:color="auto" w:fill="auto"/>
            <w:vAlign w:val="center"/>
          </w:tcPr>
          <w:p w14:paraId="2BCD4B86" w14:textId="3CE412E1"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3538E1">
              <w:rPr>
                <w:rFonts w:ascii="Aptos Narrow" w:eastAsia="Times New Roman" w:hAnsi="Aptos Narrow" w:cs="Times New Roman"/>
                <w:color w:val="000000"/>
                <w:lang w:eastAsia="en-AU"/>
                <w14:ligatures w14:val="none"/>
              </w:rPr>
              <w:t>Australian disability service organizations.</w:t>
            </w:r>
          </w:p>
        </w:tc>
        <w:tc>
          <w:tcPr>
            <w:tcW w:w="447" w:type="dxa"/>
            <w:shd w:val="clear" w:color="auto" w:fill="auto"/>
            <w:noWrap/>
            <w:vAlign w:val="center"/>
          </w:tcPr>
          <w:p w14:paraId="7DD71BA5" w14:textId="14B50A92"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3538E1">
              <w:rPr>
                <w:rFonts w:ascii="Aptos Narrow" w:eastAsia="Times New Roman" w:hAnsi="Aptos Narrow" w:cs="Times New Roman"/>
                <w:color w:val="000000"/>
                <w:lang w:eastAsia="en-AU"/>
                <w14:ligatures w14:val="none"/>
              </w:rPr>
              <w:t>x</w:t>
            </w:r>
          </w:p>
        </w:tc>
        <w:tc>
          <w:tcPr>
            <w:tcW w:w="390" w:type="dxa"/>
            <w:shd w:val="clear" w:color="auto" w:fill="auto"/>
            <w:noWrap/>
            <w:vAlign w:val="bottom"/>
          </w:tcPr>
          <w:p w14:paraId="404C87D5" w14:textId="00634BCC"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3538E1">
              <w:rPr>
                <w:rFonts w:ascii="Aptos" w:eastAsia="Times New Roman" w:hAnsi="Aptos" w:cs="Times New Roman"/>
                <w:color w:val="000000"/>
                <w:lang w:eastAsia="en-AU"/>
                <w14:ligatures w14:val="none"/>
              </w:rPr>
              <w:t> </w:t>
            </w:r>
          </w:p>
        </w:tc>
        <w:tc>
          <w:tcPr>
            <w:tcW w:w="442" w:type="dxa"/>
            <w:shd w:val="clear" w:color="auto" w:fill="auto"/>
            <w:noWrap/>
            <w:vAlign w:val="bottom"/>
          </w:tcPr>
          <w:p w14:paraId="5303D46A" w14:textId="7C5F92E5"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3538E1">
              <w:rPr>
                <w:rFonts w:ascii="Aptos" w:eastAsia="Times New Roman" w:hAnsi="Aptos" w:cs="Times New Roman"/>
                <w:color w:val="000000"/>
                <w:lang w:eastAsia="en-AU"/>
                <w14:ligatures w14:val="none"/>
              </w:rPr>
              <w:t> </w:t>
            </w:r>
          </w:p>
        </w:tc>
        <w:tc>
          <w:tcPr>
            <w:tcW w:w="692" w:type="dxa"/>
            <w:shd w:val="clear" w:color="auto" w:fill="auto"/>
            <w:noWrap/>
            <w:vAlign w:val="center"/>
          </w:tcPr>
          <w:p w14:paraId="54F8BEC6" w14:textId="79934776"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3538E1">
              <w:rPr>
                <w:rFonts w:ascii="Aptos Narrow" w:eastAsia="Times New Roman" w:hAnsi="Aptos Narrow" w:cs="Times New Roman"/>
                <w:color w:val="000000"/>
                <w:lang w:eastAsia="en-AU"/>
                <w14:ligatures w14:val="none"/>
              </w:rPr>
              <w:t>x</w:t>
            </w:r>
          </w:p>
        </w:tc>
        <w:tc>
          <w:tcPr>
            <w:tcW w:w="577" w:type="dxa"/>
            <w:shd w:val="clear" w:color="auto" w:fill="auto"/>
            <w:noWrap/>
            <w:vAlign w:val="bottom"/>
          </w:tcPr>
          <w:p w14:paraId="65BB8AB8" w14:textId="2229743A"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3538E1">
              <w:rPr>
                <w:rFonts w:ascii="Aptos" w:eastAsia="Times New Roman" w:hAnsi="Aptos" w:cs="Times New Roman"/>
                <w:color w:val="000000"/>
                <w:lang w:eastAsia="en-AU"/>
                <w14:ligatures w14:val="none"/>
              </w:rPr>
              <w:t> </w:t>
            </w:r>
          </w:p>
        </w:tc>
        <w:tc>
          <w:tcPr>
            <w:tcW w:w="505" w:type="dxa"/>
            <w:shd w:val="clear" w:color="auto" w:fill="auto"/>
            <w:noWrap/>
            <w:vAlign w:val="bottom"/>
          </w:tcPr>
          <w:p w14:paraId="66C5980C" w14:textId="2B5CA060"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3538E1">
              <w:rPr>
                <w:rFonts w:ascii="Aptos" w:eastAsia="Times New Roman" w:hAnsi="Aptos" w:cs="Times New Roman"/>
                <w:color w:val="000000"/>
                <w:lang w:eastAsia="en-AU"/>
                <w14:ligatures w14:val="none"/>
              </w:rPr>
              <w:t> </w:t>
            </w:r>
          </w:p>
        </w:tc>
      </w:tr>
      <w:tr w:rsidR="00E82A9A" w:rsidRPr="00D21EBF" w14:paraId="36C104C2" w14:textId="77777777" w:rsidTr="005B32AC">
        <w:trPr>
          <w:trHeight w:val="310"/>
        </w:trPr>
        <w:tc>
          <w:tcPr>
            <w:tcW w:w="1356" w:type="dxa"/>
          </w:tcPr>
          <w:p w14:paraId="0715DDF1" w14:textId="4C8A5EFC"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Pr>
                <w:rFonts w:ascii="Aptos Narrow" w:eastAsia="Times New Roman" w:hAnsi="Aptos Narrow" w:cs="Times New Roman"/>
                <w:color w:val="000000"/>
                <w:lang w:eastAsia="en-AU"/>
                <w14:ligatures w14:val="none"/>
              </w:rPr>
              <w:fldChar w:fldCharType="begin"/>
            </w:r>
            <w:r>
              <w:rPr>
                <w:rFonts w:ascii="Aptos Narrow" w:eastAsia="Times New Roman" w:hAnsi="Aptos Narrow" w:cs="Times New Roman"/>
                <w:color w:val="000000"/>
                <w:lang w:eastAsia="en-AU"/>
                <w14:ligatures w14:val="none"/>
              </w:rPr>
              <w:instrText xml:space="preserve"> ADDIN EN.CITE &lt;EndNote&gt;&lt;Cite&gt;&lt;Author&gt;Wakely&lt;/Author&gt;&lt;Year&gt;2023&lt;/Year&gt;&lt;RecNum&gt;50150&lt;/RecNum&gt;&lt;DisplayText&gt;(Wakely et al., 2023)&lt;/DisplayText&gt;&lt;record&gt;&lt;rec-number&gt;50150&lt;/rec-number&gt;&lt;foreign-keys&gt;&lt;key app="EN" db-id="feav29prs929zneaprxvex2z55wwe0dtx9rf" timestamp="1742949803" guid="41765b9b-2a0f-42e2-9157-cd4fe7079cf2"&gt;50150&lt;/key&gt;&lt;/foreign-keys&gt;&lt;ref-type name="Journal Article"&gt;17&lt;/ref-type&gt;&lt;contributors&gt;&lt;authors&gt;&lt;author&gt;Wakely, Luke&lt;/author&gt;&lt;author&gt;Green, Elisha&lt;/author&gt;&lt;author&gt;Little, Alexandra&lt;/author&gt;&lt;author&gt;Fisher, Karin&lt;/author&gt;&lt;author&gt;Wakely, Katrina&lt;/author&gt;&lt;author&gt;Currie, Kate&lt;/author&gt;&lt;author&gt;Wolfgang, Rebecca&lt;/author&gt;&lt;/authors&gt;&lt;/contributors&gt;&lt;titles&gt;&lt;title&gt;The lived experience of receiving services as a National Disability Insurance Scheme participant in a rural area: Challenges of choice and control&lt;/title&gt;&lt;secondary-title&gt;Australian Journal of Rural Health&lt;/secondary-title&gt;&lt;/titles&gt;&lt;periodical&gt;&lt;full-title&gt;Australian Journal of Rural Health&lt;/full-title&gt;&lt;abbr-1&gt;Austr. J. Rural Health&lt;/abbr-1&gt;&lt;/periodical&gt;&lt;pages&gt;648-658&lt;/pages&gt;&lt;volume&gt;31&lt;/volume&gt;&lt;number&gt;4&lt;/number&gt;&lt;dates&gt;&lt;year&gt;2023&lt;/year&gt;&lt;/dates&gt;&lt;pub-location&gt;Malden, Massachusetts&lt;/pub-location&gt;&lt;publisher&gt;Wiley-Blackwell&lt;/publisher&gt;&lt;urls&gt;&lt;related-urls&gt;&lt;url&gt;https://search.ebscohost.com/login.aspx?direct=true&amp;amp;AuthType=shib&amp;amp;db=ccm&amp;amp;AN=169783454&amp;amp;site=ehost-live&amp;amp;custid=s3382554&lt;/url&gt;&lt;/related-urls&gt;&lt;/urls&gt;&lt;electronic-resource-num&gt;10.1111/ajr.13000&lt;/electronic-resource-num&gt;&lt;/record&gt;&lt;/Cite&gt;&lt;/EndNote&gt;</w:instrText>
            </w:r>
            <w:r>
              <w:rPr>
                <w:rFonts w:ascii="Aptos Narrow" w:eastAsia="Times New Roman" w:hAnsi="Aptos Narrow" w:cs="Times New Roman"/>
                <w:color w:val="000000"/>
                <w:lang w:eastAsia="en-AU"/>
                <w14:ligatures w14:val="none"/>
              </w:rPr>
              <w:fldChar w:fldCharType="separate"/>
            </w:r>
            <w:r>
              <w:rPr>
                <w:rFonts w:ascii="Aptos Narrow" w:eastAsia="Times New Roman" w:hAnsi="Aptos Narrow" w:cs="Times New Roman"/>
                <w:noProof/>
                <w:color w:val="000000"/>
                <w:lang w:eastAsia="en-AU"/>
                <w14:ligatures w14:val="none"/>
              </w:rPr>
              <w:t>(Wakely et al., 2023)</w:t>
            </w:r>
            <w:r>
              <w:rPr>
                <w:rFonts w:ascii="Aptos Narrow" w:eastAsia="Times New Roman" w:hAnsi="Aptos Narrow" w:cs="Times New Roman"/>
                <w:color w:val="000000"/>
                <w:lang w:eastAsia="en-AU"/>
                <w14:ligatures w14:val="none"/>
              </w:rPr>
              <w:fldChar w:fldCharType="end"/>
            </w:r>
          </w:p>
        </w:tc>
        <w:tc>
          <w:tcPr>
            <w:tcW w:w="1431" w:type="dxa"/>
            <w:shd w:val="clear" w:color="auto" w:fill="auto"/>
            <w:noWrap/>
            <w:vAlign w:val="bottom"/>
            <w:hideMark/>
          </w:tcPr>
          <w:p w14:paraId="1C5200DC" w14:textId="78A5AE1F"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NSW</w:t>
            </w:r>
          </w:p>
        </w:tc>
        <w:tc>
          <w:tcPr>
            <w:tcW w:w="1349" w:type="dxa"/>
            <w:shd w:val="clear" w:color="auto" w:fill="auto"/>
            <w:noWrap/>
            <w:vAlign w:val="bottom"/>
            <w:hideMark/>
          </w:tcPr>
          <w:p w14:paraId="10F7C3FA"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Qualitative</w:t>
            </w:r>
          </w:p>
        </w:tc>
        <w:tc>
          <w:tcPr>
            <w:tcW w:w="1553" w:type="dxa"/>
            <w:shd w:val="clear" w:color="auto" w:fill="auto"/>
            <w:noWrap/>
            <w:vAlign w:val="bottom"/>
            <w:hideMark/>
          </w:tcPr>
          <w:p w14:paraId="0C260F50"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xml:space="preserve">Physical </w:t>
            </w:r>
          </w:p>
        </w:tc>
        <w:tc>
          <w:tcPr>
            <w:tcW w:w="1479" w:type="dxa"/>
            <w:shd w:val="clear" w:color="auto" w:fill="auto"/>
            <w:noWrap/>
            <w:vAlign w:val="bottom"/>
            <w:hideMark/>
          </w:tcPr>
          <w:p w14:paraId="6FC40719"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proofErr w:type="spellStart"/>
            <w:r w:rsidRPr="00D21EBF">
              <w:rPr>
                <w:rFonts w:ascii="Aptos Narrow" w:eastAsia="Times New Roman" w:hAnsi="Aptos Narrow" w:cs="Times New Roman"/>
                <w:color w:val="000000"/>
                <w:lang w:eastAsia="en-AU"/>
                <w14:ligatures w14:val="none"/>
              </w:rPr>
              <w:t>PwD</w:t>
            </w:r>
            <w:proofErr w:type="spellEnd"/>
          </w:p>
        </w:tc>
        <w:tc>
          <w:tcPr>
            <w:tcW w:w="1634" w:type="dxa"/>
            <w:shd w:val="clear" w:color="auto" w:fill="auto"/>
            <w:vAlign w:val="bottom"/>
            <w:hideMark/>
          </w:tcPr>
          <w:p w14:paraId="1CDE43D3" w14:textId="77777777" w:rsidR="00E82A9A" w:rsidRPr="00D21EBF" w:rsidRDefault="00E82A9A" w:rsidP="00E82A9A">
            <w:pPr>
              <w:spacing w:after="0" w:line="240" w:lineRule="auto"/>
              <w:rPr>
                <w:rFonts w:ascii="Aptos Narrow" w:eastAsia="Times New Roman" w:hAnsi="Aptos Narrow" w:cs="Times New Roman"/>
                <w:color w:val="000000" w:themeColor="text1"/>
                <w:lang w:eastAsia="en-AU"/>
                <w14:ligatures w14:val="none"/>
              </w:rPr>
            </w:pPr>
            <w:r w:rsidRPr="00D21EBF">
              <w:rPr>
                <w:rFonts w:ascii="Aptos Narrow" w:eastAsia="Times New Roman" w:hAnsi="Aptos Narrow" w:cs="Times New Roman"/>
                <w:color w:val="000000" w:themeColor="text1"/>
                <w:lang w:eastAsia="en-AU"/>
                <w14:ligatures w14:val="none"/>
              </w:rPr>
              <w:t>Rural (remote)</w:t>
            </w:r>
          </w:p>
        </w:tc>
        <w:tc>
          <w:tcPr>
            <w:tcW w:w="1439" w:type="dxa"/>
            <w:shd w:val="clear" w:color="auto" w:fill="auto"/>
            <w:vAlign w:val="bottom"/>
            <w:hideMark/>
          </w:tcPr>
          <w:p w14:paraId="15DCB7BE"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1670" w:type="dxa"/>
            <w:shd w:val="clear" w:color="auto" w:fill="auto"/>
            <w:vAlign w:val="bottom"/>
            <w:hideMark/>
          </w:tcPr>
          <w:p w14:paraId="4F81AF71"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NDIS services</w:t>
            </w:r>
          </w:p>
        </w:tc>
        <w:tc>
          <w:tcPr>
            <w:tcW w:w="447" w:type="dxa"/>
            <w:shd w:val="clear" w:color="auto" w:fill="auto"/>
            <w:noWrap/>
            <w:vAlign w:val="bottom"/>
            <w:hideMark/>
          </w:tcPr>
          <w:p w14:paraId="3D345D77"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390" w:type="dxa"/>
            <w:shd w:val="clear" w:color="auto" w:fill="auto"/>
            <w:noWrap/>
            <w:vAlign w:val="bottom"/>
            <w:hideMark/>
          </w:tcPr>
          <w:p w14:paraId="1CF268C9"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x</w:t>
            </w:r>
          </w:p>
        </w:tc>
        <w:tc>
          <w:tcPr>
            <w:tcW w:w="442" w:type="dxa"/>
            <w:shd w:val="clear" w:color="auto" w:fill="auto"/>
            <w:noWrap/>
            <w:vAlign w:val="bottom"/>
            <w:hideMark/>
          </w:tcPr>
          <w:p w14:paraId="1AAAB699"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692" w:type="dxa"/>
            <w:shd w:val="clear" w:color="auto" w:fill="auto"/>
            <w:noWrap/>
            <w:vAlign w:val="bottom"/>
            <w:hideMark/>
          </w:tcPr>
          <w:p w14:paraId="222BBB50"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77" w:type="dxa"/>
            <w:shd w:val="clear" w:color="auto" w:fill="auto"/>
            <w:noWrap/>
            <w:vAlign w:val="bottom"/>
            <w:hideMark/>
          </w:tcPr>
          <w:p w14:paraId="02BDBA97"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c>
          <w:tcPr>
            <w:tcW w:w="505" w:type="dxa"/>
            <w:shd w:val="clear" w:color="auto" w:fill="auto"/>
            <w:noWrap/>
            <w:vAlign w:val="bottom"/>
            <w:hideMark/>
          </w:tcPr>
          <w:p w14:paraId="43ABF41E" w14:textId="77777777" w:rsidR="00E82A9A" w:rsidRPr="00D21EBF" w:rsidRDefault="00E82A9A" w:rsidP="00E82A9A">
            <w:pPr>
              <w:spacing w:after="0" w:line="240" w:lineRule="auto"/>
              <w:rPr>
                <w:rFonts w:ascii="Aptos Narrow" w:eastAsia="Times New Roman" w:hAnsi="Aptos Narrow" w:cs="Times New Roman"/>
                <w:color w:val="000000"/>
                <w:lang w:eastAsia="en-AU"/>
                <w14:ligatures w14:val="none"/>
              </w:rPr>
            </w:pPr>
            <w:r w:rsidRPr="00D21EBF">
              <w:rPr>
                <w:rFonts w:ascii="Aptos Narrow" w:eastAsia="Times New Roman" w:hAnsi="Aptos Narrow" w:cs="Times New Roman"/>
                <w:color w:val="000000"/>
                <w:lang w:eastAsia="en-AU"/>
                <w14:ligatures w14:val="none"/>
              </w:rPr>
              <w:t> </w:t>
            </w:r>
          </w:p>
        </w:tc>
      </w:tr>
      <w:bookmarkEnd w:id="0"/>
    </w:tbl>
    <w:p w14:paraId="6C858959" w14:textId="77777777" w:rsidR="00D21EBF" w:rsidRDefault="00D21EBF" w:rsidP="00D21EBF"/>
    <w:p w14:paraId="5963C2C4" w14:textId="77777777" w:rsidR="00D21EBF" w:rsidRDefault="00D21EBF" w:rsidP="00D21EBF"/>
    <w:p w14:paraId="77EB4F83" w14:textId="77777777" w:rsidR="000868A2" w:rsidRDefault="000868A2" w:rsidP="00D21EBF"/>
    <w:p w14:paraId="2E0BE04D" w14:textId="77777777" w:rsidR="00AB232A" w:rsidRDefault="00AB232A" w:rsidP="00D21EBF"/>
    <w:p w14:paraId="5D564614" w14:textId="70A63B2D" w:rsidR="00E82A9A" w:rsidRPr="002E3813" w:rsidRDefault="00E82A9A" w:rsidP="00E82A9A">
      <w:pPr>
        <w:spacing w:after="120"/>
        <w:rPr>
          <w:rFonts w:ascii="Aptos" w:hAnsi="Aptos"/>
          <w:i/>
          <w:iCs/>
          <w:sz w:val="20"/>
          <w:szCs w:val="20"/>
        </w:rPr>
      </w:pPr>
      <w:r w:rsidRPr="002E3813">
        <w:rPr>
          <w:rFonts w:ascii="Aptos" w:hAnsi="Aptos"/>
          <w:b/>
          <w:bCs/>
          <w:i/>
          <w:iCs/>
          <w:sz w:val="20"/>
          <w:szCs w:val="20"/>
          <w:vertAlign w:val="superscript"/>
        </w:rPr>
        <w:t xml:space="preserve">1 </w:t>
      </w:r>
      <w:r w:rsidRPr="002E3813">
        <w:rPr>
          <w:rFonts w:ascii="Aptos" w:hAnsi="Aptos"/>
          <w:b/>
          <w:bCs/>
          <w:i/>
          <w:iCs/>
          <w:sz w:val="20"/>
          <w:szCs w:val="20"/>
        </w:rPr>
        <w:t xml:space="preserve">Disability: </w:t>
      </w:r>
      <w:r w:rsidRPr="002E3813">
        <w:rPr>
          <w:rFonts w:ascii="Aptos" w:hAnsi="Aptos"/>
          <w:i/>
          <w:iCs/>
          <w:sz w:val="20"/>
          <w:szCs w:val="20"/>
        </w:rPr>
        <w:t>we will use disability classification aligned with the United Nations Convention on the Rights of Persons with Disabilities (</w:t>
      </w:r>
      <w:r w:rsidRPr="002E3813">
        <w:rPr>
          <w:rFonts w:ascii="Aptos" w:hAnsi="Aptos"/>
          <w:i/>
          <w:iCs/>
        </w:rPr>
        <w:t>UNCRPD</w:t>
      </w:r>
      <w:r w:rsidRPr="002E3813">
        <w:rPr>
          <w:rFonts w:ascii="Aptos" w:hAnsi="Aptos"/>
          <w:i/>
          <w:iCs/>
          <w:sz w:val="20"/>
          <w:szCs w:val="20"/>
        </w:rPr>
        <w:t xml:space="preserve">): (1) Physical; (2) Psychosocial; (3) Intellectual; and (4) Sensory.: (1) Physical; (2) Psychosocial; (3) Intellectual; and (4) Sensory. </w:t>
      </w:r>
      <w:r w:rsidRPr="002E3813">
        <w:rPr>
          <w:rFonts w:ascii="Aptos" w:hAnsi="Aptos"/>
          <w:i/>
          <w:iCs/>
          <w:sz w:val="20"/>
          <w:szCs w:val="20"/>
        </w:rPr>
        <w:fldChar w:fldCharType="begin"/>
      </w:r>
      <w:r w:rsidRPr="002E3813">
        <w:rPr>
          <w:rFonts w:ascii="Aptos" w:hAnsi="Aptos"/>
          <w:i/>
          <w:iCs/>
          <w:sz w:val="20"/>
          <w:szCs w:val="20"/>
        </w:rPr>
        <w:instrText xml:space="preserve"> ADDIN EN.CITE &lt;EndNote&gt;&lt;Cite&gt;&lt;Author&gt;UNDESA&lt;/Author&gt;&lt;Year&gt;2023&lt;/Year&gt;&lt;RecNum&gt;240&lt;/RecNum&gt;&lt;DisplayText&gt;(UNDESA, 2023)&lt;/DisplayText&gt;&lt;record&gt;&lt;rec-number&gt;240&lt;/rec-number&gt;&lt;foreign-keys&gt;&lt;key app="EN" db-id="2rrxzzt0zedewtewdawv5207rwwwarazeep2" timestamp="1693390554"&gt;240&lt;/key&gt;&lt;/foreign-keys&gt;&lt;ref-type name="Journal Article"&gt;17&lt;/ref-type&gt;&lt;contributors&gt;&lt;authors&gt;&lt;author&gt;UNDESA&lt;/author&gt;&lt;/authors&gt;&lt;/contributors&gt;&lt;titles&gt;&lt;title&gt;UNDESA’s description of the Convention on the Rights of Persons with Disabilities (CRPD)&lt;/title&gt;&lt;/titles&gt;&lt;dates&gt;&lt;year&gt;2023&lt;/year&gt;&lt;/dates&gt;&lt;urls&gt;&lt;related-urls&gt;&lt;url&gt;https://www.un.org/development/desa/disabilities/convention-on-the-rights-of-persons-with-disabilities/article-1-purpose.html&lt;/url&gt;&lt;/related-urls&gt;&lt;/urls&gt;&lt;/record&gt;&lt;/Cite&gt;&lt;/EndNote&gt;</w:instrText>
      </w:r>
      <w:r w:rsidRPr="002E3813">
        <w:rPr>
          <w:rFonts w:ascii="Aptos" w:hAnsi="Aptos"/>
          <w:i/>
          <w:iCs/>
          <w:sz w:val="20"/>
          <w:szCs w:val="20"/>
        </w:rPr>
        <w:fldChar w:fldCharType="separate"/>
      </w:r>
      <w:r w:rsidRPr="002E3813">
        <w:rPr>
          <w:rFonts w:ascii="Aptos" w:hAnsi="Aptos"/>
          <w:i/>
          <w:iCs/>
          <w:noProof/>
          <w:sz w:val="20"/>
          <w:szCs w:val="20"/>
        </w:rPr>
        <w:t>(UNDESA, 2023)</w:t>
      </w:r>
      <w:r w:rsidRPr="002E3813">
        <w:rPr>
          <w:rFonts w:ascii="Aptos" w:hAnsi="Aptos"/>
          <w:i/>
          <w:iCs/>
          <w:sz w:val="20"/>
          <w:szCs w:val="20"/>
        </w:rPr>
        <w:fldChar w:fldCharType="end"/>
      </w:r>
      <w:r w:rsidRPr="002E3813">
        <w:rPr>
          <w:rFonts w:ascii="Aptos" w:hAnsi="Aptos"/>
          <w:i/>
          <w:iCs/>
          <w:sz w:val="20"/>
          <w:szCs w:val="20"/>
        </w:rPr>
        <w:t>.</w:t>
      </w:r>
    </w:p>
    <w:p w14:paraId="51CB65D3" w14:textId="77777777" w:rsidR="00E82A9A" w:rsidRPr="002E3813" w:rsidRDefault="00E82A9A" w:rsidP="00E82A9A">
      <w:pPr>
        <w:spacing w:after="120"/>
        <w:rPr>
          <w:rFonts w:ascii="Aptos" w:hAnsi="Aptos"/>
          <w:i/>
          <w:iCs/>
          <w:sz w:val="20"/>
          <w:szCs w:val="20"/>
        </w:rPr>
      </w:pPr>
      <w:r w:rsidRPr="002E3813">
        <w:rPr>
          <w:rFonts w:ascii="Aptos" w:hAnsi="Aptos"/>
          <w:b/>
          <w:bCs/>
          <w:i/>
          <w:iCs/>
          <w:sz w:val="20"/>
          <w:szCs w:val="20"/>
          <w:vertAlign w:val="superscript"/>
        </w:rPr>
        <w:t xml:space="preserve">2 </w:t>
      </w:r>
      <w:r w:rsidRPr="002E3813">
        <w:rPr>
          <w:rFonts w:ascii="Aptos" w:hAnsi="Aptos"/>
          <w:b/>
          <w:bCs/>
          <w:i/>
          <w:iCs/>
          <w:sz w:val="20"/>
          <w:szCs w:val="20"/>
        </w:rPr>
        <w:t>Perspectives:</w:t>
      </w:r>
      <w:r w:rsidRPr="002E3813">
        <w:rPr>
          <w:rFonts w:ascii="Aptos" w:hAnsi="Aptos"/>
          <w:i/>
          <w:iCs/>
          <w:sz w:val="20"/>
          <w:szCs w:val="20"/>
        </w:rPr>
        <w:t xml:space="preserve"> This column indicates the profile of individuals and groups who reported the inequities in access to health or support services for persons with disabilities.</w:t>
      </w:r>
    </w:p>
    <w:p w14:paraId="030E3376" w14:textId="77777777" w:rsidR="00E82A9A" w:rsidRPr="002E3813" w:rsidRDefault="00E82A9A" w:rsidP="00E82A9A">
      <w:pPr>
        <w:pStyle w:val="FootnoteText"/>
        <w:rPr>
          <w:rFonts w:ascii="Aptos" w:hAnsi="Aptos"/>
          <w:i/>
          <w:iCs/>
        </w:rPr>
      </w:pPr>
      <w:r w:rsidRPr="002E3813">
        <w:rPr>
          <w:rFonts w:ascii="Aptos" w:hAnsi="Aptos"/>
          <w:b/>
          <w:bCs/>
          <w:i/>
          <w:iCs/>
          <w:vertAlign w:val="superscript"/>
        </w:rPr>
        <w:t xml:space="preserve">3 </w:t>
      </w:r>
      <w:r w:rsidRPr="002E3813">
        <w:rPr>
          <w:rFonts w:ascii="Aptos" w:hAnsi="Aptos"/>
          <w:b/>
          <w:bCs/>
          <w:i/>
          <w:iCs/>
        </w:rPr>
        <w:t>Intersectionality:</w:t>
      </w:r>
      <w:r w:rsidRPr="002E3813">
        <w:rPr>
          <w:rFonts w:ascii="Aptos" w:hAnsi="Aptos"/>
          <w:i/>
          <w:iCs/>
        </w:rPr>
        <w:t xml:space="preserve"> we will describe intersectional identities that can lead to unique health experiences and an increased risk of health disparities for certain groups of persons with disabilities. To extract information on intersectionality, we consulted the UN list of vulnerable groups (e.g., women, race, migrants, LGBTQI+) and complemented it with the multiple identities of persons with disabilities elaborated in the UNCRPD (e.g., children with disabilities). Most notably, this included children, women, the elderly, First Nations or immigrants with disabilities, or persons with disabilities with minoritized ethnic backgrounds or living in rural areas.</w:t>
      </w:r>
    </w:p>
    <w:p w14:paraId="52D8E73E" w14:textId="77777777" w:rsidR="00E82A9A" w:rsidRPr="002E3813" w:rsidRDefault="00E82A9A" w:rsidP="00E82A9A">
      <w:pPr>
        <w:pStyle w:val="FootnoteText"/>
        <w:rPr>
          <w:rFonts w:ascii="Aptos" w:hAnsi="Aptos"/>
          <w:i/>
          <w:iCs/>
        </w:rPr>
      </w:pPr>
    </w:p>
    <w:p w14:paraId="662C2A43" w14:textId="77777777" w:rsidR="00E82A9A" w:rsidRPr="002E3813" w:rsidRDefault="00E82A9A" w:rsidP="00E82A9A">
      <w:pPr>
        <w:spacing w:after="120"/>
        <w:rPr>
          <w:rFonts w:ascii="Aptos" w:hAnsi="Aptos"/>
          <w:i/>
          <w:iCs/>
          <w:sz w:val="20"/>
          <w:szCs w:val="20"/>
        </w:rPr>
      </w:pPr>
      <w:r w:rsidRPr="002E3813">
        <w:rPr>
          <w:rFonts w:ascii="Aptos" w:hAnsi="Aptos"/>
          <w:b/>
          <w:bCs/>
          <w:i/>
          <w:iCs/>
          <w:sz w:val="20"/>
          <w:szCs w:val="20"/>
          <w:vertAlign w:val="superscript"/>
        </w:rPr>
        <w:t xml:space="preserve">4 </w:t>
      </w:r>
      <w:r w:rsidRPr="002E3813">
        <w:rPr>
          <w:rFonts w:ascii="Aptos" w:hAnsi="Aptos"/>
          <w:b/>
          <w:bCs/>
          <w:i/>
          <w:iCs/>
          <w:sz w:val="20"/>
          <w:szCs w:val="20"/>
        </w:rPr>
        <w:t>Dimensions of inequity:</w:t>
      </w:r>
      <w:r w:rsidRPr="002E3813">
        <w:rPr>
          <w:rFonts w:ascii="Aptos" w:hAnsi="Aptos"/>
          <w:i/>
          <w:iCs/>
          <w:sz w:val="20"/>
          <w:szCs w:val="20"/>
        </w:rPr>
        <w:t xml:space="preserve"> The inequities are structured according to the WHO social determinants framework: </w:t>
      </w:r>
      <w:r w:rsidRPr="002E3813">
        <w:rPr>
          <w:rFonts w:ascii="Aptos" w:hAnsi="Aptos"/>
          <w:b/>
          <w:bCs/>
          <w:i/>
          <w:iCs/>
          <w:sz w:val="20"/>
          <w:szCs w:val="20"/>
        </w:rPr>
        <w:t xml:space="preserve">SP: socioeconomic and political context, G: Gender, Et: Ethnicity, In: Income, Ed: Education, </w:t>
      </w:r>
      <w:proofErr w:type="spellStart"/>
      <w:r w:rsidRPr="002E3813">
        <w:rPr>
          <w:rFonts w:ascii="Aptos" w:hAnsi="Aptos"/>
          <w:b/>
          <w:bCs/>
          <w:i/>
          <w:iCs/>
          <w:sz w:val="20"/>
          <w:szCs w:val="20"/>
        </w:rPr>
        <w:t>Oc</w:t>
      </w:r>
      <w:proofErr w:type="spellEnd"/>
      <w:r w:rsidRPr="002E3813">
        <w:rPr>
          <w:rFonts w:ascii="Aptos" w:hAnsi="Aptos"/>
          <w:b/>
          <w:bCs/>
          <w:i/>
          <w:iCs/>
          <w:sz w:val="20"/>
          <w:szCs w:val="20"/>
        </w:rPr>
        <w:t>: occupation,</w:t>
      </w:r>
      <w:r w:rsidRPr="002E3813">
        <w:rPr>
          <w:rFonts w:ascii="Aptos" w:hAnsi="Aptos"/>
          <w:i/>
          <w:iCs/>
          <w:sz w:val="20"/>
          <w:szCs w:val="20"/>
        </w:rPr>
        <w:t>).</w:t>
      </w:r>
    </w:p>
    <w:p w14:paraId="1DBB1B9E" w14:textId="4F0C506D" w:rsidR="000868A2" w:rsidRPr="002E3813" w:rsidRDefault="00B11E7B" w:rsidP="00D21EBF">
      <w:pPr>
        <w:rPr>
          <w:sz w:val="36"/>
          <w:szCs w:val="36"/>
        </w:rPr>
      </w:pPr>
      <w:r w:rsidRPr="002E3813">
        <w:rPr>
          <w:i/>
          <w:iCs/>
        </w:rPr>
        <w:t>Legend: An “x” indicates that evidence for this category of barriers was found and extracted from the article. Categories are left blank where no relevant evidence was identified or extracted.</w:t>
      </w:r>
    </w:p>
    <w:p w14:paraId="6D3AB95F" w14:textId="638FD49E" w:rsidR="00AB232A" w:rsidRDefault="00AB232A" w:rsidP="000868A2">
      <w:pPr>
        <w:pStyle w:val="EndNoteBibliography"/>
        <w:spacing w:after="0"/>
        <w:ind w:left="720" w:hanging="720"/>
      </w:pPr>
      <w:r>
        <w:br w:type="column"/>
      </w:r>
      <w:r>
        <w:lastRenderedPageBreak/>
        <w:t xml:space="preserve">References </w:t>
      </w:r>
    </w:p>
    <w:p w14:paraId="6BF5E7E6" w14:textId="77777777" w:rsidR="00AB232A" w:rsidRDefault="00AB232A" w:rsidP="000868A2">
      <w:pPr>
        <w:pStyle w:val="EndNoteBibliography"/>
        <w:spacing w:after="0"/>
        <w:ind w:left="720" w:hanging="720"/>
      </w:pPr>
    </w:p>
    <w:p w14:paraId="2C674304" w14:textId="0472681D" w:rsidR="00E82A9A" w:rsidRPr="00E82A9A" w:rsidRDefault="00D21EBF" w:rsidP="00E82A9A">
      <w:pPr>
        <w:pStyle w:val="EndNoteBibliography"/>
        <w:spacing w:after="0"/>
        <w:ind w:left="720" w:hanging="720"/>
      </w:pPr>
      <w:r>
        <w:fldChar w:fldCharType="begin"/>
      </w:r>
      <w:r>
        <w:instrText xml:space="preserve"> ADDIN EN.REFLIST </w:instrText>
      </w:r>
      <w:r>
        <w:fldChar w:fldCharType="separate"/>
      </w:r>
      <w:r w:rsidR="00E82A9A" w:rsidRPr="00E82A9A">
        <w:t xml:space="preserve">Aitken, Z., Baker, E., Badland, H., Mason, K., Bentley, R., Beer, A., &amp; Kavanagh, A. M. (2019). Precariously placed: housing affordability, quality and satisfaction of Australians with disabilities. </w:t>
      </w:r>
      <w:r w:rsidR="00E82A9A" w:rsidRPr="00E82A9A">
        <w:rPr>
          <w:i/>
        </w:rPr>
        <w:t>Disability &amp; Society</w:t>
      </w:r>
      <w:r w:rsidR="00E82A9A" w:rsidRPr="00E82A9A">
        <w:t>,</w:t>
      </w:r>
      <w:r w:rsidR="00E82A9A" w:rsidRPr="00E82A9A">
        <w:rPr>
          <w:i/>
        </w:rPr>
        <w:t xml:space="preserve"> 34</w:t>
      </w:r>
      <w:r w:rsidR="00E82A9A" w:rsidRPr="00E82A9A">
        <w:t xml:space="preserve">(1), 121-142. </w:t>
      </w:r>
      <w:hyperlink r:id="rId4" w:history="1">
        <w:r w:rsidR="00E82A9A" w:rsidRPr="00E82A9A">
          <w:rPr>
            <w:rStyle w:val="Hyperlink"/>
          </w:rPr>
          <w:t>https://doi.org/10.1080/09687599.2018.1521333</w:t>
        </w:r>
      </w:hyperlink>
      <w:r w:rsidR="00E82A9A" w:rsidRPr="00E82A9A">
        <w:t xml:space="preserve"> </w:t>
      </w:r>
    </w:p>
    <w:p w14:paraId="6A972AB4" w14:textId="5AB3C9C1" w:rsidR="00E82A9A" w:rsidRPr="00E82A9A" w:rsidRDefault="00E82A9A" w:rsidP="00E82A9A">
      <w:pPr>
        <w:pStyle w:val="EndNoteBibliography"/>
        <w:spacing w:after="0"/>
        <w:ind w:left="720" w:hanging="720"/>
      </w:pPr>
      <w:r w:rsidRPr="00E82A9A">
        <w:t xml:space="preserve">Ali, M. A., Alam, K., &amp; Taylor, B. (2020). Determinants of ICT usage for healthcare among people with disabilities: The moderating role of technological and behavioural constraints. </w:t>
      </w:r>
      <w:r w:rsidRPr="00E82A9A">
        <w:rPr>
          <w:i/>
        </w:rPr>
        <w:t>Journal of Biomedical Informatics</w:t>
      </w:r>
      <w:r w:rsidRPr="00E82A9A">
        <w:t>,</w:t>
      </w:r>
      <w:r w:rsidRPr="00E82A9A">
        <w:rPr>
          <w:i/>
        </w:rPr>
        <w:t xml:space="preserve"> 108</w:t>
      </w:r>
      <w:r w:rsidRPr="00E82A9A">
        <w:t xml:space="preserve">, N.PAG-N.PAG. </w:t>
      </w:r>
      <w:hyperlink r:id="rId5" w:history="1">
        <w:r w:rsidRPr="00E82A9A">
          <w:rPr>
            <w:rStyle w:val="Hyperlink"/>
          </w:rPr>
          <w:t>https://doi.org/10.1016/j.jbi.2020.103480</w:t>
        </w:r>
      </w:hyperlink>
      <w:r w:rsidRPr="00E82A9A">
        <w:t xml:space="preserve"> </w:t>
      </w:r>
    </w:p>
    <w:p w14:paraId="50F18C39" w14:textId="5EC56772" w:rsidR="00E82A9A" w:rsidRPr="00E82A9A" w:rsidRDefault="00E82A9A" w:rsidP="00E82A9A">
      <w:pPr>
        <w:pStyle w:val="EndNoteBibliography"/>
        <w:spacing w:after="0"/>
        <w:ind w:left="720" w:hanging="720"/>
      </w:pPr>
      <w:r w:rsidRPr="00E82A9A">
        <w:t xml:space="preserve">Amos, A., Coleman, M., Spring Walsh, B., &amp; Gardiner, F. W. (2023). Remoteness and socioeconomic status reduce access to specialist mental health care across Australia. </w:t>
      </w:r>
      <w:r w:rsidRPr="00E82A9A">
        <w:rPr>
          <w:i/>
        </w:rPr>
        <w:t>Australasian Psychiatry</w:t>
      </w:r>
      <w:r w:rsidRPr="00E82A9A">
        <w:t>,</w:t>
      </w:r>
      <w:r w:rsidRPr="00E82A9A">
        <w:rPr>
          <w:i/>
        </w:rPr>
        <w:t xml:space="preserve"> 31</w:t>
      </w:r>
      <w:r w:rsidRPr="00E82A9A">
        <w:t xml:space="preserve">(1), 19-26. </w:t>
      </w:r>
      <w:hyperlink r:id="rId6" w:history="1">
        <w:r w:rsidRPr="00E82A9A">
          <w:rPr>
            <w:rStyle w:val="Hyperlink"/>
          </w:rPr>
          <w:t>https://doi.org/https://dx.doi.org/10.1177/10398562221139129</w:t>
        </w:r>
      </w:hyperlink>
      <w:r w:rsidRPr="00E82A9A">
        <w:t xml:space="preserve"> </w:t>
      </w:r>
    </w:p>
    <w:p w14:paraId="77B32AA5" w14:textId="77777777" w:rsidR="00E82A9A" w:rsidRPr="00E82A9A" w:rsidRDefault="00E82A9A" w:rsidP="00E82A9A">
      <w:pPr>
        <w:pStyle w:val="EndNoteBibliography"/>
        <w:spacing w:after="0"/>
        <w:ind w:left="720" w:hanging="720"/>
      </w:pPr>
      <w:r w:rsidRPr="00E82A9A">
        <w:t xml:space="preserve">Baldry, E., Spring, J., Greiner, K., Warrilow, P., Ageing, N. S. W., &amp; Disability, C. (2023). Housing issues for people with disability, older people and carers in NSW. </w:t>
      </w:r>
    </w:p>
    <w:p w14:paraId="12CD9F8C" w14:textId="2DEEBD8F" w:rsidR="00E82A9A" w:rsidRPr="00E82A9A" w:rsidRDefault="00E82A9A" w:rsidP="00E82A9A">
      <w:pPr>
        <w:pStyle w:val="EndNoteBibliography"/>
        <w:spacing w:after="0"/>
        <w:ind w:left="720" w:hanging="720"/>
      </w:pPr>
      <w:r w:rsidRPr="00E82A9A">
        <w:t xml:space="preserve">Barr, M., Dally, K., &amp; Duncan, J. (2020). Services for children with hearing loss in urban and rural Australia. </w:t>
      </w:r>
      <w:r w:rsidRPr="00E82A9A">
        <w:rPr>
          <w:i/>
        </w:rPr>
        <w:t>Aust J Rural Health</w:t>
      </w:r>
      <w:r w:rsidRPr="00E82A9A">
        <w:t>,</w:t>
      </w:r>
      <w:r w:rsidRPr="00E82A9A">
        <w:rPr>
          <w:i/>
        </w:rPr>
        <w:t xml:space="preserve"> 28</w:t>
      </w:r>
      <w:r w:rsidRPr="00E82A9A">
        <w:t xml:space="preserve">(3), 281-291. </w:t>
      </w:r>
      <w:hyperlink r:id="rId7" w:history="1">
        <w:r w:rsidRPr="00E82A9A">
          <w:rPr>
            <w:rStyle w:val="Hyperlink"/>
          </w:rPr>
          <w:t>https://doi.org/https://dx.doi.org/10.1111/ajr.12613</w:t>
        </w:r>
      </w:hyperlink>
      <w:r w:rsidRPr="00E82A9A">
        <w:t xml:space="preserve"> </w:t>
      </w:r>
    </w:p>
    <w:p w14:paraId="196D7E1D" w14:textId="4BD8DAB8" w:rsidR="00E82A9A" w:rsidRPr="00E82A9A" w:rsidRDefault="00E82A9A" w:rsidP="00E82A9A">
      <w:pPr>
        <w:pStyle w:val="EndNoteBibliography"/>
        <w:spacing w:after="0"/>
        <w:ind w:left="720" w:hanging="720"/>
      </w:pPr>
      <w:r w:rsidRPr="00E82A9A">
        <w:t xml:space="preserve">Barr, M., Duncan, J., &amp; Dally, K. (2018). A Systematic Review of Services to DHH Children in Rural and Remote Regions. </w:t>
      </w:r>
      <w:r w:rsidRPr="00E82A9A">
        <w:rPr>
          <w:i/>
        </w:rPr>
        <w:t>Journal of Deaf Studies &amp; Deaf Education</w:t>
      </w:r>
      <w:r w:rsidRPr="00E82A9A">
        <w:t>,</w:t>
      </w:r>
      <w:r w:rsidRPr="00E82A9A">
        <w:rPr>
          <w:i/>
        </w:rPr>
        <w:t xml:space="preserve"> 23</w:t>
      </w:r>
      <w:r w:rsidRPr="00E82A9A">
        <w:t xml:space="preserve">(2), 118-130. </w:t>
      </w:r>
      <w:hyperlink r:id="rId8" w:history="1">
        <w:r w:rsidRPr="00E82A9A">
          <w:rPr>
            <w:rStyle w:val="Hyperlink"/>
          </w:rPr>
          <w:t>https://doi.org/10.1093/deafed/enx059</w:t>
        </w:r>
      </w:hyperlink>
      <w:r w:rsidRPr="00E82A9A">
        <w:t xml:space="preserve"> </w:t>
      </w:r>
    </w:p>
    <w:p w14:paraId="57246CCA" w14:textId="6898797B" w:rsidR="00E82A9A" w:rsidRPr="00E82A9A" w:rsidRDefault="00E82A9A" w:rsidP="00E82A9A">
      <w:pPr>
        <w:pStyle w:val="EndNoteBibliography"/>
        <w:spacing w:after="0"/>
        <w:ind w:left="720" w:hanging="720"/>
      </w:pPr>
      <w:r w:rsidRPr="00E82A9A">
        <w:t xml:space="preserve">Barr, M., Duncan, J., &amp; Dally, K. (2021). Parent experience of the national disability insurance scheme (NDIS) for children with hearing loss in Australia. </w:t>
      </w:r>
      <w:r w:rsidRPr="00E82A9A">
        <w:rPr>
          <w:i/>
        </w:rPr>
        <w:t>Disability and Society</w:t>
      </w:r>
      <w:r w:rsidRPr="00E82A9A">
        <w:t>,</w:t>
      </w:r>
      <w:r w:rsidRPr="00E82A9A">
        <w:rPr>
          <w:i/>
        </w:rPr>
        <w:t xml:space="preserve"> 36</w:t>
      </w:r>
      <w:r w:rsidRPr="00E82A9A">
        <w:t xml:space="preserve">(10), 1663-1687. </w:t>
      </w:r>
      <w:hyperlink r:id="rId9" w:history="1">
        <w:r w:rsidRPr="00E82A9A">
          <w:rPr>
            <w:rStyle w:val="Hyperlink"/>
          </w:rPr>
          <w:t>https://doi.org/10.1080/09687599.2020.1816906</w:t>
        </w:r>
      </w:hyperlink>
      <w:r w:rsidRPr="00E82A9A">
        <w:t xml:space="preserve"> </w:t>
      </w:r>
    </w:p>
    <w:p w14:paraId="7576A352" w14:textId="07872FDB" w:rsidR="00E82A9A" w:rsidRPr="00E82A9A" w:rsidRDefault="00E82A9A" w:rsidP="00E82A9A">
      <w:pPr>
        <w:pStyle w:val="EndNoteBibliography"/>
        <w:spacing w:after="0"/>
        <w:ind w:left="720" w:hanging="720"/>
      </w:pPr>
      <w:r w:rsidRPr="00E82A9A">
        <w:t xml:space="preserve">Beer, A., Daniel, L., Baker, E., &amp; Lester, L. (2020). The Shifting Risk of Homelessness among Persons with a Disability: Insights from a National Policy Intervention. </w:t>
      </w:r>
      <w:r w:rsidRPr="00E82A9A">
        <w:rPr>
          <w:i/>
        </w:rPr>
        <w:t>International Journal of Environmental Research and Public Health</w:t>
      </w:r>
      <w:r w:rsidRPr="00E82A9A">
        <w:t>,</w:t>
      </w:r>
      <w:r w:rsidRPr="00E82A9A">
        <w:rPr>
          <w:i/>
        </w:rPr>
        <w:t xml:space="preserve"> 17</w:t>
      </w:r>
      <w:r w:rsidRPr="00E82A9A">
        <w:t xml:space="preserve">(18). </w:t>
      </w:r>
      <w:hyperlink r:id="rId10" w:history="1">
        <w:r w:rsidRPr="00E82A9A">
          <w:rPr>
            <w:rStyle w:val="Hyperlink"/>
          </w:rPr>
          <w:t>https://doi.org/https://dx.doi.org/10.3390/ijerph17186512</w:t>
        </w:r>
      </w:hyperlink>
      <w:r w:rsidRPr="00E82A9A">
        <w:t xml:space="preserve"> </w:t>
      </w:r>
    </w:p>
    <w:p w14:paraId="78DE6051" w14:textId="5D628C9B" w:rsidR="00E82A9A" w:rsidRPr="00E82A9A" w:rsidRDefault="00E82A9A" w:rsidP="00E82A9A">
      <w:pPr>
        <w:pStyle w:val="EndNoteBibliography"/>
        <w:spacing w:after="0"/>
        <w:ind w:left="720" w:hanging="720"/>
      </w:pPr>
      <w:r w:rsidRPr="00E82A9A">
        <w:t xml:space="preserve">Carey, G., Malbon, E., Reeders, D., Kavanagh, A., &amp; Llewellyn, G. (2017). Redressing or entrenching social and health inequities through policy implementation? Examining personalised budgets through the Australian National Disability Insurance Scheme. </w:t>
      </w:r>
      <w:r w:rsidRPr="00E82A9A">
        <w:rPr>
          <w:i/>
        </w:rPr>
        <w:t>International Journal for Equity in Health</w:t>
      </w:r>
      <w:r w:rsidRPr="00E82A9A">
        <w:t>,</w:t>
      </w:r>
      <w:r w:rsidRPr="00E82A9A">
        <w:rPr>
          <w:i/>
        </w:rPr>
        <w:t xml:space="preserve"> 16</w:t>
      </w:r>
      <w:r w:rsidRPr="00E82A9A">
        <w:t xml:space="preserve">, 1-12. </w:t>
      </w:r>
      <w:hyperlink r:id="rId11" w:history="1">
        <w:r w:rsidRPr="00E82A9A">
          <w:rPr>
            <w:rStyle w:val="Hyperlink"/>
          </w:rPr>
          <w:t>https://doi.org/10.1186/s12939-017-0682-z</w:t>
        </w:r>
      </w:hyperlink>
      <w:r w:rsidRPr="00E82A9A">
        <w:t xml:space="preserve"> </w:t>
      </w:r>
    </w:p>
    <w:p w14:paraId="63425A07" w14:textId="22E19340" w:rsidR="00E82A9A" w:rsidRPr="00E82A9A" w:rsidRDefault="00E82A9A" w:rsidP="00E82A9A">
      <w:pPr>
        <w:pStyle w:val="EndNoteBibliography"/>
        <w:spacing w:after="0"/>
        <w:ind w:left="720" w:hanging="720"/>
      </w:pPr>
      <w:r w:rsidRPr="00E82A9A">
        <w:t xml:space="preserve">Corscadden, L., Callander, E. J., &amp; Topp, S. M. (2019). Disparities in access to health care in Australia for people with mental health conditions. </w:t>
      </w:r>
      <w:r w:rsidRPr="00E82A9A">
        <w:rPr>
          <w:i/>
        </w:rPr>
        <w:t>Australian Health Review</w:t>
      </w:r>
      <w:r w:rsidRPr="00E82A9A">
        <w:t>,</w:t>
      </w:r>
      <w:r w:rsidRPr="00E82A9A">
        <w:rPr>
          <w:i/>
        </w:rPr>
        <w:t xml:space="preserve"> 43</w:t>
      </w:r>
      <w:r w:rsidRPr="00E82A9A">
        <w:t xml:space="preserve">(6), 619-627. </w:t>
      </w:r>
      <w:hyperlink r:id="rId12" w:history="1">
        <w:r w:rsidRPr="00E82A9A">
          <w:rPr>
            <w:rStyle w:val="Hyperlink"/>
          </w:rPr>
          <w:t>https://doi.org/10.1071/AH17259</w:t>
        </w:r>
      </w:hyperlink>
      <w:r w:rsidRPr="00E82A9A">
        <w:t xml:space="preserve"> </w:t>
      </w:r>
    </w:p>
    <w:p w14:paraId="35B17A50" w14:textId="33FF6BF4" w:rsidR="00E82A9A" w:rsidRPr="00E82A9A" w:rsidRDefault="00E82A9A" w:rsidP="00E82A9A">
      <w:pPr>
        <w:pStyle w:val="EndNoteBibliography"/>
        <w:spacing w:after="0"/>
        <w:ind w:left="720" w:hanging="720"/>
      </w:pPr>
      <w:r w:rsidRPr="00E82A9A">
        <w:t xml:space="preserve">Cortese, C., Truscott, F., Nikidehaghani, M., &amp; Chapple, S. (2021). Hard-to-reach: the NDIS, disability, and socio-economic disadvantage. </w:t>
      </w:r>
      <w:r w:rsidRPr="00E82A9A">
        <w:rPr>
          <w:i/>
        </w:rPr>
        <w:t>Disability &amp; Society</w:t>
      </w:r>
      <w:r w:rsidRPr="00E82A9A">
        <w:t>,</w:t>
      </w:r>
      <w:r w:rsidRPr="00E82A9A">
        <w:rPr>
          <w:i/>
        </w:rPr>
        <w:t xml:space="preserve"> 36</w:t>
      </w:r>
      <w:r w:rsidRPr="00E82A9A">
        <w:t xml:space="preserve">(6), 883-903. </w:t>
      </w:r>
      <w:hyperlink r:id="rId13" w:history="1">
        <w:r w:rsidRPr="00E82A9A">
          <w:rPr>
            <w:rStyle w:val="Hyperlink"/>
          </w:rPr>
          <w:t>https://doi.org/10.1080/09687599.2020.1782173</w:t>
        </w:r>
      </w:hyperlink>
      <w:r w:rsidRPr="00E82A9A">
        <w:t xml:space="preserve"> </w:t>
      </w:r>
    </w:p>
    <w:p w14:paraId="60F2AAC4" w14:textId="77777777" w:rsidR="00E82A9A" w:rsidRPr="00E82A9A" w:rsidRDefault="00E82A9A" w:rsidP="00E82A9A">
      <w:pPr>
        <w:pStyle w:val="EndNoteBibliography"/>
        <w:spacing w:after="0"/>
        <w:ind w:left="720" w:hanging="720"/>
      </w:pPr>
      <w:r w:rsidRPr="00E82A9A">
        <w:t xml:space="preserve">Devine, A., Dickinson, H., Rangi, M., Huska, M., Disney, G., Yang, Y., Barney, J., Kavanagh, A., Bonyhady, B., &amp; Deane, K. (2022). ‘Nearly gave up on it to be honest’: Utilisation of individualised budgets by people with psychosocial disability within Australia's National Disability Insurance Scheme. </w:t>
      </w:r>
      <w:r w:rsidRPr="00E82A9A">
        <w:rPr>
          <w:i/>
        </w:rPr>
        <w:t>Social Policy &amp; Administration</w:t>
      </w:r>
      <w:r w:rsidRPr="00E82A9A">
        <w:t>,</w:t>
      </w:r>
      <w:r w:rsidRPr="00E82A9A">
        <w:rPr>
          <w:i/>
        </w:rPr>
        <w:t xml:space="preserve"> 56</w:t>
      </w:r>
      <w:r w:rsidRPr="00E82A9A">
        <w:t xml:space="preserve">(7), 1056-1073. </w:t>
      </w:r>
    </w:p>
    <w:p w14:paraId="72E7557A" w14:textId="69F68784" w:rsidR="00E82A9A" w:rsidRPr="00E82A9A" w:rsidRDefault="00E82A9A" w:rsidP="00E82A9A">
      <w:pPr>
        <w:pStyle w:val="EndNoteBibliography"/>
        <w:spacing w:after="0"/>
        <w:ind w:left="720" w:hanging="720"/>
      </w:pPr>
      <w:r w:rsidRPr="00E82A9A">
        <w:t xml:space="preserve">Devine, A., Shields, M., Dimov, S., Dickinson, H., Vaughan, C., Bentley, R., Lamontagne, A. D., &amp; Kavanagh, A. (2021). Australia's disability employment services program: Participant perspectives on factors influencing access to work. </w:t>
      </w:r>
      <w:r w:rsidRPr="00E82A9A">
        <w:rPr>
          <w:i/>
        </w:rPr>
        <w:t>International Journal of Environmental Research and Public Health</w:t>
      </w:r>
      <w:r w:rsidRPr="00E82A9A">
        <w:t>,</w:t>
      </w:r>
      <w:r w:rsidRPr="00E82A9A">
        <w:rPr>
          <w:i/>
        </w:rPr>
        <w:t xml:space="preserve"> 18</w:t>
      </w:r>
      <w:r w:rsidRPr="00E82A9A">
        <w:t xml:space="preserve">(21), 11485. </w:t>
      </w:r>
      <w:hyperlink r:id="rId14" w:history="1">
        <w:r w:rsidRPr="00E82A9A">
          <w:rPr>
            <w:rStyle w:val="Hyperlink"/>
          </w:rPr>
          <w:t>https://doi.org/https://dx.doi.org/10.3390/ijerph182111485</w:t>
        </w:r>
      </w:hyperlink>
      <w:r w:rsidRPr="00E82A9A">
        <w:t xml:space="preserve"> </w:t>
      </w:r>
    </w:p>
    <w:p w14:paraId="72787D9C" w14:textId="7C9644E1" w:rsidR="00E82A9A" w:rsidRPr="00E82A9A" w:rsidRDefault="00E82A9A" w:rsidP="00E82A9A">
      <w:pPr>
        <w:pStyle w:val="EndNoteBibliography"/>
        <w:spacing w:after="0"/>
        <w:ind w:left="720" w:hanging="720"/>
      </w:pPr>
      <w:r w:rsidRPr="00E82A9A">
        <w:lastRenderedPageBreak/>
        <w:t xml:space="preserve">Devine, A., Vaughan, C., &amp; Kavanagh, A. (2020). If I had stable housing I would be a bit more receptive to having a job. Factors influencing the effectiveness of Disability Employment Services reform. </w:t>
      </w:r>
      <w:r w:rsidRPr="00E82A9A">
        <w:rPr>
          <w:i/>
        </w:rPr>
        <w:t>Work: Journal of Prevention, Assessment &amp; Rehabilitation</w:t>
      </w:r>
      <w:r w:rsidRPr="00E82A9A">
        <w:t>,</w:t>
      </w:r>
      <w:r w:rsidRPr="00E82A9A">
        <w:rPr>
          <w:i/>
        </w:rPr>
        <w:t xml:space="preserve"> 65</w:t>
      </w:r>
      <w:r w:rsidRPr="00E82A9A">
        <w:t xml:space="preserve">(4), 775-787. </w:t>
      </w:r>
      <w:hyperlink r:id="rId15" w:history="1">
        <w:r w:rsidRPr="00E82A9A">
          <w:rPr>
            <w:rStyle w:val="Hyperlink"/>
          </w:rPr>
          <w:t>https://doi.org/https://dx.doi.org/10.3233/WOR-203130</w:t>
        </w:r>
      </w:hyperlink>
      <w:r w:rsidRPr="00E82A9A">
        <w:t xml:space="preserve"> </w:t>
      </w:r>
    </w:p>
    <w:p w14:paraId="36D80032" w14:textId="23E335AF" w:rsidR="00E82A9A" w:rsidRPr="00E82A9A" w:rsidRDefault="00E82A9A" w:rsidP="00E82A9A">
      <w:pPr>
        <w:pStyle w:val="EndNoteBibliography"/>
        <w:spacing w:after="0"/>
        <w:ind w:left="720" w:hanging="720"/>
      </w:pPr>
      <w:r w:rsidRPr="00E82A9A">
        <w:t xml:space="preserve">Dew, A., Bulkeley, K., Veitch, C., Bundy, A., Gallego, G., Lincoln, M., Brentnall, J., &amp; Griffiths, S. (2013). Addressing the barriers to accessing therapy services in rural and remote areas. </w:t>
      </w:r>
      <w:r w:rsidRPr="00E82A9A">
        <w:rPr>
          <w:i/>
        </w:rPr>
        <w:t>Disabil Rehabil</w:t>
      </w:r>
      <w:r w:rsidRPr="00E82A9A">
        <w:t>,</w:t>
      </w:r>
      <w:r w:rsidRPr="00E82A9A">
        <w:rPr>
          <w:i/>
        </w:rPr>
        <w:t xml:space="preserve"> 35</w:t>
      </w:r>
      <w:r w:rsidRPr="00E82A9A">
        <w:t xml:space="preserve">(18), 1564-1570. </w:t>
      </w:r>
      <w:hyperlink r:id="rId16" w:history="1">
        <w:r w:rsidRPr="00E82A9A">
          <w:rPr>
            <w:rStyle w:val="Hyperlink"/>
          </w:rPr>
          <w:t>https://doi.org/https://dx.doi.org/10.3109/09638288.2012.720346</w:t>
        </w:r>
      </w:hyperlink>
      <w:r w:rsidRPr="00E82A9A">
        <w:t xml:space="preserve"> </w:t>
      </w:r>
    </w:p>
    <w:p w14:paraId="2E0C8922" w14:textId="0089A5A5" w:rsidR="00E82A9A" w:rsidRPr="00E82A9A" w:rsidRDefault="00E82A9A" w:rsidP="00E82A9A">
      <w:pPr>
        <w:pStyle w:val="EndNoteBibliography"/>
        <w:spacing w:after="0"/>
        <w:ind w:left="720" w:hanging="720"/>
      </w:pPr>
      <w:r w:rsidRPr="00E82A9A">
        <w:t xml:space="preserve">DiGiacomo, M., Davidson, P. M., Abbott, P., Delaney, P., Dharmendra, T., McGrath, S. J., Delaney, J., &amp; Vincent, F. (2013). Childhood disability in Aboriginal and Torres Strait Islander peoples: a literature review. </w:t>
      </w:r>
      <w:r w:rsidRPr="00E82A9A">
        <w:rPr>
          <w:i/>
        </w:rPr>
        <w:t>International Journal for Equity in Health</w:t>
      </w:r>
      <w:r w:rsidRPr="00E82A9A">
        <w:t>,</w:t>
      </w:r>
      <w:r w:rsidRPr="00E82A9A">
        <w:rPr>
          <w:i/>
        </w:rPr>
        <w:t xml:space="preserve"> 12</w:t>
      </w:r>
      <w:r w:rsidRPr="00E82A9A">
        <w:t xml:space="preserve">(1), 7-24. </w:t>
      </w:r>
      <w:hyperlink r:id="rId17" w:history="1">
        <w:r w:rsidRPr="00E82A9A">
          <w:rPr>
            <w:rStyle w:val="Hyperlink"/>
          </w:rPr>
          <w:t>https://doi.org/10.1186/1475-9276-12-7</w:t>
        </w:r>
      </w:hyperlink>
      <w:r w:rsidRPr="00E82A9A">
        <w:t xml:space="preserve"> </w:t>
      </w:r>
    </w:p>
    <w:p w14:paraId="4DF48AB8" w14:textId="340AC8D6" w:rsidR="00E82A9A" w:rsidRPr="00E82A9A" w:rsidRDefault="00E82A9A" w:rsidP="00E82A9A">
      <w:pPr>
        <w:pStyle w:val="EndNoteBibliography"/>
        <w:spacing w:after="0"/>
        <w:ind w:left="720" w:hanging="720"/>
      </w:pPr>
      <w:r w:rsidRPr="00E82A9A">
        <w:t xml:space="preserve">DiGiacomo, M., Green, A., Delaney, P., Delaney, J., Patradoon-Ho, P., Davidson, P. M., &amp; Abbott, P. (2017). Experiences and needs of carers of Aboriginal children with a disability: a qualitative study. </w:t>
      </w:r>
      <w:r w:rsidRPr="00E82A9A">
        <w:rPr>
          <w:i/>
        </w:rPr>
        <w:t>BMC Fam Pract</w:t>
      </w:r>
      <w:r w:rsidRPr="00E82A9A">
        <w:t>,</w:t>
      </w:r>
      <w:r w:rsidRPr="00E82A9A">
        <w:rPr>
          <w:i/>
        </w:rPr>
        <w:t xml:space="preserve"> 18</w:t>
      </w:r>
      <w:r w:rsidRPr="00E82A9A">
        <w:t xml:space="preserve">(1), 96. </w:t>
      </w:r>
      <w:hyperlink r:id="rId18" w:history="1">
        <w:r w:rsidRPr="00E82A9A">
          <w:rPr>
            <w:rStyle w:val="Hyperlink"/>
          </w:rPr>
          <w:t>https://doi.org/https://dx.doi.org/10.1186/s12875-017-0668-3</w:t>
        </w:r>
      </w:hyperlink>
      <w:r w:rsidRPr="00E82A9A">
        <w:t xml:space="preserve"> </w:t>
      </w:r>
    </w:p>
    <w:p w14:paraId="1B215B1A" w14:textId="77777777" w:rsidR="00E82A9A" w:rsidRPr="00E82A9A" w:rsidRDefault="00E82A9A" w:rsidP="00E82A9A">
      <w:pPr>
        <w:pStyle w:val="EndNoteBibliography"/>
        <w:spacing w:after="0"/>
        <w:ind w:left="720" w:hanging="720"/>
      </w:pPr>
      <w:r w:rsidRPr="00E82A9A">
        <w:t>Disney, G., Yang, Y., &amp; Summers, P. NDIS Utilisation Project: describing, understanding and explaining inequalities in plan utilisation. Melbourne: Melbourne Disability Institute, 2021. In.</w:t>
      </w:r>
    </w:p>
    <w:p w14:paraId="656FF744" w14:textId="6FD94D42" w:rsidR="00E82A9A" w:rsidRPr="00E82A9A" w:rsidRDefault="00E82A9A" w:rsidP="00E82A9A">
      <w:pPr>
        <w:pStyle w:val="EndNoteBibliography"/>
        <w:spacing w:after="0"/>
        <w:ind w:left="720" w:hanging="720"/>
      </w:pPr>
      <w:r w:rsidRPr="00E82A9A">
        <w:t xml:space="preserve">Edirippulige, S., Reyno, J., Armfield, N. R., Bambling, M., Lloyd, O., &amp; McNevin, E. (2016). Availability, spatial accessibility, utilisation and the role of telehealth for multi-disciplinary paediatric cerebral palsy services in Queensland. </w:t>
      </w:r>
      <w:r w:rsidRPr="00E82A9A">
        <w:rPr>
          <w:i/>
        </w:rPr>
        <w:t>J Telemed Telecare</w:t>
      </w:r>
      <w:r w:rsidRPr="00E82A9A">
        <w:t>,</w:t>
      </w:r>
      <w:r w:rsidRPr="00E82A9A">
        <w:rPr>
          <w:i/>
        </w:rPr>
        <w:t xml:space="preserve"> 22</w:t>
      </w:r>
      <w:r w:rsidRPr="00E82A9A">
        <w:t xml:space="preserve">(7), 391-396. </w:t>
      </w:r>
      <w:hyperlink r:id="rId19" w:history="1">
        <w:r w:rsidRPr="00E82A9A">
          <w:rPr>
            <w:rStyle w:val="Hyperlink"/>
          </w:rPr>
          <w:t>https://doi.org/https://dx.doi.org/10.1177/1357633X15610720</w:t>
        </w:r>
      </w:hyperlink>
      <w:r w:rsidRPr="00E82A9A">
        <w:t xml:space="preserve"> </w:t>
      </w:r>
    </w:p>
    <w:p w14:paraId="4532D770" w14:textId="58873CAB" w:rsidR="00E82A9A" w:rsidRPr="00E82A9A" w:rsidRDefault="00E82A9A" w:rsidP="00E82A9A">
      <w:pPr>
        <w:pStyle w:val="EndNoteBibliography"/>
        <w:spacing w:after="0"/>
        <w:ind w:left="720" w:hanging="720"/>
      </w:pPr>
      <w:r w:rsidRPr="00E82A9A">
        <w:t xml:space="preserve">Ferdinand, A., Massey, L., Cullen, J., Temple, J., Meiselbach, K., Paradies, Y., Baynam, G., Savarirayan, R., &amp; Kelaher, M. (2021). Culturally competent communication in Indigenous disability assessment: a qualitative study. </w:t>
      </w:r>
      <w:r w:rsidRPr="00E82A9A">
        <w:rPr>
          <w:i/>
        </w:rPr>
        <w:t>International Journal for Equity in Health</w:t>
      </w:r>
      <w:r w:rsidRPr="00E82A9A">
        <w:t>,</w:t>
      </w:r>
      <w:r w:rsidRPr="00E82A9A">
        <w:rPr>
          <w:i/>
        </w:rPr>
        <w:t xml:space="preserve"> 20</w:t>
      </w:r>
      <w:r w:rsidRPr="00E82A9A">
        <w:t xml:space="preserve">(1), 68. </w:t>
      </w:r>
      <w:hyperlink r:id="rId20" w:history="1">
        <w:r w:rsidRPr="00E82A9A">
          <w:rPr>
            <w:rStyle w:val="Hyperlink"/>
          </w:rPr>
          <w:t>https://doi.org/https://dx.doi.org/10.1186/s12939-021-01402-9</w:t>
        </w:r>
      </w:hyperlink>
      <w:r w:rsidRPr="00E82A9A">
        <w:t xml:space="preserve"> </w:t>
      </w:r>
    </w:p>
    <w:p w14:paraId="71959494" w14:textId="046062DA" w:rsidR="00E82A9A" w:rsidRPr="00E82A9A" w:rsidRDefault="00E82A9A" w:rsidP="00E82A9A">
      <w:pPr>
        <w:pStyle w:val="EndNoteBibliography"/>
        <w:spacing w:after="0"/>
        <w:ind w:left="720" w:hanging="720"/>
      </w:pPr>
      <w:r w:rsidRPr="00E82A9A">
        <w:t xml:space="preserve">Fitts, M., &amp; Soldatic, K. (2024). Temporalities of emergency: the experiences of Indigenous women with traumatic brain injury from violence waiting for healthcare and service support in Australia. </w:t>
      </w:r>
      <w:r w:rsidRPr="00E82A9A">
        <w:rPr>
          <w:i/>
        </w:rPr>
        <w:t>Health sociology review : the journal of the Health Section of the Australian Sociological Association</w:t>
      </w:r>
      <w:r w:rsidRPr="00E82A9A">
        <w:t>,</w:t>
      </w:r>
      <w:r w:rsidRPr="00E82A9A">
        <w:rPr>
          <w:i/>
        </w:rPr>
        <w:t xml:space="preserve"> 33</w:t>
      </w:r>
      <w:r w:rsidRPr="00E82A9A">
        <w:t xml:space="preserve">(2), 160-174. </w:t>
      </w:r>
      <w:hyperlink r:id="rId21" w:history="1">
        <w:r w:rsidRPr="00E82A9A">
          <w:rPr>
            <w:rStyle w:val="Hyperlink"/>
          </w:rPr>
          <w:t>https://doi.org/https://dx.doi.org/10.1080/14461242.2024.2345596</w:t>
        </w:r>
      </w:hyperlink>
      <w:r w:rsidRPr="00E82A9A">
        <w:t xml:space="preserve"> </w:t>
      </w:r>
    </w:p>
    <w:p w14:paraId="0BFB0C18" w14:textId="66AF8053" w:rsidR="00E82A9A" w:rsidRPr="00E82A9A" w:rsidRDefault="00E82A9A" w:rsidP="00E82A9A">
      <w:pPr>
        <w:pStyle w:val="EndNoteBibliography"/>
        <w:spacing w:after="0"/>
        <w:ind w:left="720" w:hanging="720"/>
      </w:pPr>
      <w:r w:rsidRPr="00E82A9A">
        <w:t xml:space="preserve">Gao, F., Foster, M., &amp; Liu, Y. (2019). Disability concentration and access to rehabilitation services: a pilot spatial assessment applying geographic information system analysis. </w:t>
      </w:r>
      <w:r w:rsidRPr="00E82A9A">
        <w:rPr>
          <w:i/>
        </w:rPr>
        <w:t>Disability &amp; Rehabilitation</w:t>
      </w:r>
      <w:r w:rsidRPr="00E82A9A">
        <w:t>,</w:t>
      </w:r>
      <w:r w:rsidRPr="00E82A9A">
        <w:rPr>
          <w:i/>
        </w:rPr>
        <w:t xml:space="preserve"> 41</w:t>
      </w:r>
      <w:r w:rsidRPr="00E82A9A">
        <w:t xml:space="preserve">(20), 2468-2476. </w:t>
      </w:r>
      <w:hyperlink r:id="rId22" w:history="1">
        <w:r w:rsidRPr="00E82A9A">
          <w:rPr>
            <w:rStyle w:val="Hyperlink"/>
          </w:rPr>
          <w:t>https://doi.org/10.1080/09638288.2018.1468931</w:t>
        </w:r>
      </w:hyperlink>
      <w:r w:rsidRPr="00E82A9A">
        <w:t xml:space="preserve"> </w:t>
      </w:r>
    </w:p>
    <w:p w14:paraId="63B66339" w14:textId="4F87E363" w:rsidR="00E82A9A" w:rsidRPr="00E82A9A" w:rsidRDefault="00E82A9A" w:rsidP="00E82A9A">
      <w:pPr>
        <w:pStyle w:val="EndNoteBibliography"/>
        <w:spacing w:after="0"/>
        <w:ind w:left="720" w:hanging="720"/>
      </w:pPr>
      <w:r w:rsidRPr="00E82A9A">
        <w:t xml:space="preserve">Gilroy, J., Dew, A., Barton, R., Ryall, L., Lincoln, M., Taylor, K., Jensen, H., Flood, V., &amp; McRae, K. (2021). Environmental and systemic challenges to delivering services for Aboriginal adults with a disability in Central Australia. </w:t>
      </w:r>
      <w:r w:rsidRPr="00E82A9A">
        <w:rPr>
          <w:i/>
        </w:rPr>
        <w:t>Disability &amp; Rehabilitation</w:t>
      </w:r>
      <w:r w:rsidRPr="00E82A9A">
        <w:t>,</w:t>
      </w:r>
      <w:r w:rsidRPr="00E82A9A">
        <w:rPr>
          <w:i/>
        </w:rPr>
        <w:t xml:space="preserve"> 43</w:t>
      </w:r>
      <w:r w:rsidRPr="00E82A9A">
        <w:t xml:space="preserve">(20), 2919-2929. </w:t>
      </w:r>
      <w:hyperlink r:id="rId23" w:history="1">
        <w:r w:rsidRPr="00E82A9A">
          <w:rPr>
            <w:rStyle w:val="Hyperlink"/>
          </w:rPr>
          <w:t>https://doi.org/10.1080/09638288.2020.1725654</w:t>
        </w:r>
      </w:hyperlink>
      <w:r w:rsidRPr="00E82A9A">
        <w:t xml:space="preserve"> </w:t>
      </w:r>
    </w:p>
    <w:p w14:paraId="21C99396" w14:textId="136D52A4" w:rsidR="00E82A9A" w:rsidRPr="00E82A9A" w:rsidRDefault="00E82A9A" w:rsidP="00E82A9A">
      <w:pPr>
        <w:pStyle w:val="EndNoteBibliography"/>
        <w:spacing w:after="0"/>
        <w:ind w:left="720" w:hanging="720"/>
      </w:pPr>
      <w:r w:rsidRPr="00E82A9A">
        <w:t xml:space="preserve">Green, A., Abbott, P., Davidson, P. M., Delaney, P., Delaney, J., Patradoon-Ho, P., &amp; DiGiacomo, M. (2018). Interacting With Providers: An Intersectional Exploration of the Experiences of Carers of Aboriginal Children With a Disability. </w:t>
      </w:r>
      <w:r w:rsidRPr="00E82A9A">
        <w:rPr>
          <w:i/>
        </w:rPr>
        <w:t>Qualitative Health Research</w:t>
      </w:r>
      <w:r w:rsidRPr="00E82A9A">
        <w:t>,</w:t>
      </w:r>
      <w:r w:rsidRPr="00E82A9A">
        <w:rPr>
          <w:i/>
        </w:rPr>
        <w:t xml:space="preserve"> 28</w:t>
      </w:r>
      <w:r w:rsidRPr="00E82A9A">
        <w:t xml:space="preserve">(12), 1923-1932. </w:t>
      </w:r>
      <w:hyperlink r:id="rId24" w:history="1">
        <w:r w:rsidRPr="00E82A9A">
          <w:rPr>
            <w:rStyle w:val="Hyperlink"/>
          </w:rPr>
          <w:t>https://doi.org/https://dx.doi.org/10.1177/1049732318793416</w:t>
        </w:r>
      </w:hyperlink>
      <w:r w:rsidRPr="00E82A9A">
        <w:t xml:space="preserve"> </w:t>
      </w:r>
    </w:p>
    <w:p w14:paraId="7E039239" w14:textId="44E28870" w:rsidR="00E82A9A" w:rsidRPr="00E82A9A" w:rsidRDefault="00E82A9A" w:rsidP="00E82A9A">
      <w:pPr>
        <w:pStyle w:val="EndNoteBibliography"/>
        <w:spacing w:after="0"/>
        <w:ind w:left="720" w:hanging="720"/>
      </w:pPr>
      <w:r w:rsidRPr="00E82A9A">
        <w:t xml:space="preserve">Green, A., Abbott, P., Delaney, P., Patradoon-Ho, P., Delaney, J., Davidson, P. M., &amp; DiGiacomo, M. (2016). Navigating the journey of Aboriginal childhood disability: a qualitative study of carers' interface with services. </w:t>
      </w:r>
      <w:r w:rsidRPr="00E82A9A">
        <w:rPr>
          <w:i/>
        </w:rPr>
        <w:t>BMC health services research</w:t>
      </w:r>
      <w:r w:rsidRPr="00E82A9A">
        <w:t>,</w:t>
      </w:r>
      <w:r w:rsidRPr="00E82A9A">
        <w:rPr>
          <w:i/>
        </w:rPr>
        <w:t xml:space="preserve"> 16</w:t>
      </w:r>
      <w:r w:rsidRPr="00E82A9A">
        <w:t xml:space="preserve">, 680-680. </w:t>
      </w:r>
      <w:hyperlink r:id="rId25" w:history="1">
        <w:r w:rsidRPr="00E82A9A">
          <w:rPr>
            <w:rStyle w:val="Hyperlink"/>
          </w:rPr>
          <w:t>https://doi.org/10.1186/s12913-016-1926-0</w:t>
        </w:r>
      </w:hyperlink>
      <w:r w:rsidRPr="00E82A9A">
        <w:t xml:space="preserve"> </w:t>
      </w:r>
    </w:p>
    <w:p w14:paraId="190BA0E5" w14:textId="408AD08E" w:rsidR="00E82A9A" w:rsidRPr="00E82A9A" w:rsidRDefault="00E82A9A" w:rsidP="00E82A9A">
      <w:pPr>
        <w:pStyle w:val="EndNoteBibliography"/>
        <w:spacing w:after="0"/>
        <w:ind w:left="720" w:hanging="720"/>
      </w:pPr>
      <w:r w:rsidRPr="00E82A9A">
        <w:lastRenderedPageBreak/>
        <w:t xml:space="preserve">Green, C., Dickinson, H., Carey, G., &amp; Joyce, A. (2022). Barriers to policy action on social determinants of health for people with disability in Australia. </w:t>
      </w:r>
      <w:r w:rsidRPr="00E82A9A">
        <w:rPr>
          <w:i/>
        </w:rPr>
        <w:t>Disability &amp; Society</w:t>
      </w:r>
      <w:r w:rsidRPr="00E82A9A">
        <w:t>,</w:t>
      </w:r>
      <w:r w:rsidRPr="00E82A9A">
        <w:rPr>
          <w:i/>
        </w:rPr>
        <w:t xml:space="preserve"> 37</w:t>
      </w:r>
      <w:r w:rsidRPr="00E82A9A">
        <w:t xml:space="preserve">(2), 206-230. </w:t>
      </w:r>
      <w:hyperlink r:id="rId26" w:history="1">
        <w:r w:rsidRPr="00E82A9A">
          <w:rPr>
            <w:rStyle w:val="Hyperlink"/>
          </w:rPr>
          <w:t>https://doi.org/10.1080/09687599.2020.1815523</w:t>
        </w:r>
      </w:hyperlink>
      <w:r w:rsidRPr="00E82A9A">
        <w:t xml:space="preserve"> </w:t>
      </w:r>
    </w:p>
    <w:p w14:paraId="0510F57E" w14:textId="352EB8C0" w:rsidR="00E82A9A" w:rsidRPr="00E82A9A" w:rsidRDefault="00E82A9A" w:rsidP="00E82A9A">
      <w:pPr>
        <w:pStyle w:val="EndNoteBibliography"/>
        <w:spacing w:after="0"/>
        <w:ind w:left="720" w:hanging="720"/>
      </w:pPr>
      <w:r w:rsidRPr="00E82A9A">
        <w:t xml:space="preserve">Harvey, C., Brophy, L., Parsons, S., Moeller-Saxone, K., Grigg, M., &amp; Siskind, D. (2016). People living with psychosocial disability: Rehabilitation and recovery-informed service provision within the second Australian national survey of psychosis. </w:t>
      </w:r>
      <w:r w:rsidRPr="00E82A9A">
        <w:rPr>
          <w:i/>
        </w:rPr>
        <w:t>Australian and New Zealand Journal of Psychiatry</w:t>
      </w:r>
      <w:r w:rsidRPr="00E82A9A">
        <w:t>,</w:t>
      </w:r>
      <w:r w:rsidRPr="00E82A9A">
        <w:rPr>
          <w:i/>
        </w:rPr>
        <w:t xml:space="preserve"> 50</w:t>
      </w:r>
      <w:r w:rsidRPr="00E82A9A">
        <w:t xml:space="preserve">(6), 534-547. </w:t>
      </w:r>
      <w:hyperlink r:id="rId27" w:history="1">
        <w:r w:rsidRPr="00E82A9A">
          <w:rPr>
            <w:rStyle w:val="Hyperlink"/>
          </w:rPr>
          <w:t>https://doi.org/https://dx.doi.org/10.1177/0004867415610437</w:t>
        </w:r>
      </w:hyperlink>
      <w:r w:rsidRPr="00E82A9A">
        <w:t xml:space="preserve"> </w:t>
      </w:r>
    </w:p>
    <w:p w14:paraId="4355F4E0" w14:textId="77777777" w:rsidR="00E82A9A" w:rsidRPr="00E82A9A" w:rsidRDefault="00E82A9A" w:rsidP="00E82A9A">
      <w:pPr>
        <w:pStyle w:val="EndNoteBibliography"/>
        <w:spacing w:after="0"/>
        <w:ind w:left="720" w:hanging="720"/>
      </w:pPr>
      <w:r w:rsidRPr="00E82A9A">
        <w:t xml:space="preserve">Hui, F., Cortese, C., Nikidehaghani, M., Chapple, S., &amp; McCombie, K. (2018). Hard to reach: examining the National Disability Insurance Scheme Experience a Case study in Wollongong. </w:t>
      </w:r>
      <w:r w:rsidRPr="00E82A9A">
        <w:rPr>
          <w:i/>
        </w:rPr>
        <w:t>Retrieved from University of Woollongong website: business. uow. edu. au/research/crop/ndis-research</w:t>
      </w:r>
      <w:r w:rsidRPr="00E82A9A">
        <w:t xml:space="preserve">. </w:t>
      </w:r>
    </w:p>
    <w:p w14:paraId="30F7304D" w14:textId="613A18F9" w:rsidR="00E82A9A" w:rsidRPr="00E82A9A" w:rsidRDefault="00E82A9A" w:rsidP="00E82A9A">
      <w:pPr>
        <w:pStyle w:val="EndNoteBibliography"/>
        <w:spacing w:after="0"/>
        <w:ind w:left="720" w:hanging="720"/>
      </w:pPr>
      <w:r w:rsidRPr="00E82A9A">
        <w:t xml:space="preserve">James, M. H., Prokopiv, V., Barbagallo, M. S., Porter, J. E., Johnson, N., Jones, J., &amp; Smitherson, T. (2024). Indigenous experiences and underutilisation of disability support services in Australia: A qualitative meta-synthesis. </w:t>
      </w:r>
      <w:r w:rsidRPr="00E82A9A">
        <w:rPr>
          <w:i/>
        </w:rPr>
        <w:t>Disability and Rehabilitation: An International, Multidisciplinary Journal</w:t>
      </w:r>
      <w:r w:rsidRPr="00E82A9A">
        <w:t>,</w:t>
      </w:r>
      <w:r w:rsidRPr="00E82A9A">
        <w:rPr>
          <w:i/>
        </w:rPr>
        <w:t xml:space="preserve"> 46</w:t>
      </w:r>
      <w:r w:rsidRPr="00E82A9A">
        <w:t xml:space="preserve">(8), 1438-1449. </w:t>
      </w:r>
      <w:hyperlink r:id="rId28" w:history="1">
        <w:r w:rsidRPr="00E82A9A">
          <w:rPr>
            <w:rStyle w:val="Hyperlink"/>
          </w:rPr>
          <w:t>https://doi.org/https://dx.doi.org/10.1080/09638288.2023.2194681</w:t>
        </w:r>
      </w:hyperlink>
      <w:r w:rsidRPr="00E82A9A">
        <w:t xml:space="preserve"> </w:t>
      </w:r>
    </w:p>
    <w:p w14:paraId="0B09C149" w14:textId="07E3F6A2" w:rsidR="00E82A9A" w:rsidRPr="00E82A9A" w:rsidRDefault="00E82A9A" w:rsidP="00E82A9A">
      <w:pPr>
        <w:pStyle w:val="EndNoteBibliography"/>
        <w:spacing w:after="0"/>
        <w:ind w:left="720" w:hanging="720"/>
      </w:pPr>
      <w:r w:rsidRPr="00E82A9A">
        <w:t xml:space="preserve">Lai, F. Y., Serraglio, C., &amp; Martin, J. A. (2014). Examining potential barriers to early intervention access in Australian hearing impaired children. </w:t>
      </w:r>
      <w:r w:rsidRPr="00E82A9A">
        <w:rPr>
          <w:i/>
        </w:rPr>
        <w:t>Int J Pediatr Otorhinolaryngol</w:t>
      </w:r>
      <w:r w:rsidRPr="00E82A9A">
        <w:t>,</w:t>
      </w:r>
      <w:r w:rsidRPr="00E82A9A">
        <w:rPr>
          <w:i/>
        </w:rPr>
        <w:t xml:space="preserve"> 78</w:t>
      </w:r>
      <w:r w:rsidRPr="00E82A9A">
        <w:t xml:space="preserve">(3), 507-512. </w:t>
      </w:r>
      <w:hyperlink r:id="rId29" w:history="1">
        <w:r w:rsidRPr="00E82A9A">
          <w:rPr>
            <w:rStyle w:val="Hyperlink"/>
          </w:rPr>
          <w:t>https://doi.org/https://dx.doi.org/10.1016/j.ijporl.2013.12.032</w:t>
        </w:r>
      </w:hyperlink>
      <w:r w:rsidRPr="00E82A9A">
        <w:t xml:space="preserve"> </w:t>
      </w:r>
    </w:p>
    <w:p w14:paraId="7FD53FE5" w14:textId="4C6B2FDD" w:rsidR="00E82A9A" w:rsidRPr="00E82A9A" w:rsidRDefault="00E82A9A" w:rsidP="00E82A9A">
      <w:pPr>
        <w:pStyle w:val="EndNoteBibliography"/>
        <w:spacing w:after="0"/>
        <w:ind w:left="720" w:hanging="720"/>
      </w:pPr>
      <w:r w:rsidRPr="00E82A9A">
        <w:t xml:space="preserve">Lambeth, C., Burgess, P., Curtis, J., Currow, D., &amp; Sara, G. (2024). Breast cancer screening participation in women using mental health services in NSW, Australia: A population study. </w:t>
      </w:r>
      <w:r w:rsidRPr="00E82A9A">
        <w:rPr>
          <w:i/>
        </w:rPr>
        <w:t>Social Psychiatry and Psychiatric Epidemiology: The International Journal for Research in Social and Genetic Epidemiology and Mental Health Services</w:t>
      </w:r>
      <w:r w:rsidRPr="00E82A9A">
        <w:t>,</w:t>
      </w:r>
      <w:r w:rsidRPr="00E82A9A">
        <w:rPr>
          <w:i/>
        </w:rPr>
        <w:t xml:space="preserve"> 59</w:t>
      </w:r>
      <w:r w:rsidRPr="00E82A9A">
        <w:t xml:space="preserve">(5), 839-846. </w:t>
      </w:r>
      <w:hyperlink r:id="rId30" w:history="1">
        <w:r w:rsidRPr="00E82A9A">
          <w:rPr>
            <w:rStyle w:val="Hyperlink"/>
          </w:rPr>
          <w:t>https://doi.org/https://dx.doi.org/10.1007/s00127-023-02509-w</w:t>
        </w:r>
      </w:hyperlink>
      <w:r w:rsidRPr="00E82A9A">
        <w:t xml:space="preserve"> </w:t>
      </w:r>
    </w:p>
    <w:p w14:paraId="229022A7" w14:textId="46160FA5" w:rsidR="00E82A9A" w:rsidRPr="00E82A9A" w:rsidRDefault="00E82A9A" w:rsidP="00E82A9A">
      <w:pPr>
        <w:pStyle w:val="EndNoteBibliography"/>
        <w:spacing w:after="0"/>
        <w:ind w:left="720" w:hanging="720"/>
      </w:pPr>
      <w:r w:rsidRPr="00E82A9A">
        <w:t xml:space="preserve">Lawn, S., &amp; McMahon, J. (2015a). Experiences of care by Australians with a diagnosis of borderline personality disorder. </w:t>
      </w:r>
      <w:r w:rsidRPr="00E82A9A">
        <w:rPr>
          <w:i/>
        </w:rPr>
        <w:t>Journal of psychiatric and mental health nursing</w:t>
      </w:r>
      <w:r w:rsidRPr="00E82A9A">
        <w:t>,</w:t>
      </w:r>
      <w:r w:rsidRPr="00E82A9A">
        <w:rPr>
          <w:i/>
        </w:rPr>
        <w:t xml:space="preserve"> 22</w:t>
      </w:r>
      <w:r w:rsidRPr="00E82A9A">
        <w:t xml:space="preserve">(7), 510-521. </w:t>
      </w:r>
      <w:hyperlink r:id="rId31" w:history="1">
        <w:r w:rsidRPr="00E82A9A">
          <w:rPr>
            <w:rStyle w:val="Hyperlink"/>
          </w:rPr>
          <w:t>https://doi.org/https://dx.doi.org/10.1111/jpm.12226</w:t>
        </w:r>
      </w:hyperlink>
      <w:r w:rsidRPr="00E82A9A">
        <w:t xml:space="preserve"> </w:t>
      </w:r>
    </w:p>
    <w:p w14:paraId="009E27F5" w14:textId="063ECEF0" w:rsidR="00E82A9A" w:rsidRPr="00E82A9A" w:rsidRDefault="00E82A9A" w:rsidP="00E82A9A">
      <w:pPr>
        <w:pStyle w:val="EndNoteBibliography"/>
        <w:spacing w:after="0"/>
        <w:ind w:left="720" w:hanging="720"/>
      </w:pPr>
      <w:r w:rsidRPr="00E82A9A">
        <w:t xml:space="preserve">Lawn, S., &amp; McMahon, J. (2015b). Experiences of family carers of people diagnosed with borderline personality disorder. </w:t>
      </w:r>
      <w:r w:rsidRPr="00E82A9A">
        <w:rPr>
          <w:i/>
        </w:rPr>
        <w:t>Journal of psychiatric and mental health nursing</w:t>
      </w:r>
      <w:r w:rsidRPr="00E82A9A">
        <w:t>,</w:t>
      </w:r>
      <w:r w:rsidRPr="00E82A9A">
        <w:rPr>
          <w:i/>
        </w:rPr>
        <w:t xml:space="preserve"> 22</w:t>
      </w:r>
      <w:r w:rsidRPr="00E82A9A">
        <w:t xml:space="preserve">(4), 234-243. </w:t>
      </w:r>
      <w:hyperlink r:id="rId32" w:history="1">
        <w:r w:rsidRPr="00E82A9A">
          <w:rPr>
            <w:rStyle w:val="Hyperlink"/>
          </w:rPr>
          <w:t>https://doi.org/https://dx.doi.org/10.1111/jpm.12193</w:t>
        </w:r>
      </w:hyperlink>
      <w:r w:rsidRPr="00E82A9A">
        <w:t xml:space="preserve"> </w:t>
      </w:r>
    </w:p>
    <w:p w14:paraId="2D418877" w14:textId="76A49485" w:rsidR="00E82A9A" w:rsidRPr="00E82A9A" w:rsidRDefault="00E82A9A" w:rsidP="00E82A9A">
      <w:pPr>
        <w:pStyle w:val="EndNoteBibliography"/>
        <w:spacing w:after="0"/>
        <w:ind w:left="720" w:hanging="720"/>
      </w:pPr>
      <w:r w:rsidRPr="00E82A9A">
        <w:t xml:space="preserve">Malbon, E., Carey, G., &amp; Meltzer, A. (2019). Personalisation schemes in social care: are they growing social and health inequalities? </w:t>
      </w:r>
      <w:r w:rsidRPr="00E82A9A">
        <w:rPr>
          <w:i/>
        </w:rPr>
        <w:t>BMC Public Health</w:t>
      </w:r>
      <w:r w:rsidRPr="00E82A9A">
        <w:t>,</w:t>
      </w:r>
      <w:r w:rsidRPr="00E82A9A">
        <w:rPr>
          <w:i/>
        </w:rPr>
        <w:t xml:space="preserve"> 19</w:t>
      </w:r>
      <w:r w:rsidRPr="00E82A9A">
        <w:t xml:space="preserve">(1), 1-12. </w:t>
      </w:r>
      <w:hyperlink r:id="rId33" w:history="1">
        <w:r w:rsidRPr="00E82A9A">
          <w:rPr>
            <w:rStyle w:val="Hyperlink"/>
          </w:rPr>
          <w:t>https://doi.org/10.1186/s12889-019-7168-4</w:t>
        </w:r>
      </w:hyperlink>
      <w:r w:rsidRPr="00E82A9A">
        <w:t xml:space="preserve"> </w:t>
      </w:r>
    </w:p>
    <w:p w14:paraId="74FBBE79" w14:textId="407C1260" w:rsidR="00E82A9A" w:rsidRPr="00E82A9A" w:rsidRDefault="00E82A9A" w:rsidP="00E82A9A">
      <w:pPr>
        <w:pStyle w:val="EndNoteBibliography"/>
        <w:spacing w:after="0"/>
        <w:ind w:left="720" w:hanging="720"/>
      </w:pPr>
      <w:r w:rsidRPr="00E82A9A">
        <w:t xml:space="preserve">Malbon, E., Weier, M., Carey, G., &amp; Writer, T. (2022). How personalisation programs can exacerbate socio-economic inequities: findings from budget utilisation in the Australian National Disability Insurance Scheme. </w:t>
      </w:r>
      <w:r w:rsidRPr="00E82A9A">
        <w:rPr>
          <w:i/>
        </w:rPr>
        <w:t>BMC Public Health</w:t>
      </w:r>
      <w:r w:rsidRPr="00E82A9A">
        <w:t>,</w:t>
      </w:r>
      <w:r w:rsidRPr="00E82A9A">
        <w:rPr>
          <w:i/>
        </w:rPr>
        <w:t xml:space="preserve"> 22</w:t>
      </w:r>
      <w:r w:rsidRPr="00E82A9A">
        <w:t xml:space="preserve">(1), 878. </w:t>
      </w:r>
      <w:hyperlink r:id="rId34" w:history="1">
        <w:r w:rsidRPr="00E82A9A">
          <w:rPr>
            <w:rStyle w:val="Hyperlink"/>
          </w:rPr>
          <w:t>https://doi.org/https://dx.doi.org/10.1186/s12889-022-13301-x</w:t>
        </w:r>
      </w:hyperlink>
      <w:r w:rsidRPr="00E82A9A">
        <w:t xml:space="preserve"> </w:t>
      </w:r>
    </w:p>
    <w:p w14:paraId="0A6829B6" w14:textId="2498D3B8" w:rsidR="00E82A9A" w:rsidRPr="00E82A9A" w:rsidRDefault="00E82A9A" w:rsidP="00E82A9A">
      <w:pPr>
        <w:pStyle w:val="EndNoteBibliography"/>
        <w:spacing w:after="0"/>
        <w:ind w:left="720" w:hanging="720"/>
      </w:pPr>
      <w:r w:rsidRPr="00E82A9A">
        <w:t xml:space="preserve">McNamara, B., Same, A., Rosenwax, L., &amp; Kelly, B. (2018). Palliative care for people with schizophrenia: a qualitative study of an under-serviced group in need. </w:t>
      </w:r>
      <w:r w:rsidRPr="00E82A9A">
        <w:rPr>
          <w:i/>
        </w:rPr>
        <w:t>BMC palliative care</w:t>
      </w:r>
      <w:r w:rsidRPr="00E82A9A">
        <w:t>,</w:t>
      </w:r>
      <w:r w:rsidRPr="00E82A9A">
        <w:rPr>
          <w:i/>
        </w:rPr>
        <w:t xml:space="preserve"> 17</w:t>
      </w:r>
      <w:r w:rsidRPr="00E82A9A">
        <w:t xml:space="preserve">(1), 53. </w:t>
      </w:r>
      <w:hyperlink r:id="rId35" w:history="1">
        <w:r w:rsidRPr="00E82A9A">
          <w:rPr>
            <w:rStyle w:val="Hyperlink"/>
          </w:rPr>
          <w:t>https://doi.org/https://dx.doi.org/10.1186/s12904-018-0309-1</w:t>
        </w:r>
      </w:hyperlink>
      <w:r w:rsidRPr="00E82A9A">
        <w:t xml:space="preserve"> </w:t>
      </w:r>
    </w:p>
    <w:p w14:paraId="13751ED2" w14:textId="77777777" w:rsidR="00E82A9A" w:rsidRPr="00E82A9A" w:rsidRDefault="00E82A9A" w:rsidP="00E82A9A">
      <w:pPr>
        <w:pStyle w:val="EndNoteBibliography"/>
        <w:spacing w:after="0"/>
        <w:ind w:left="720" w:hanging="720"/>
      </w:pPr>
      <w:r w:rsidRPr="00E82A9A">
        <w:t xml:space="preserve">Mellifont, D., Hancock, N., Scanlan, J. N., &amp; Hamilton, D. (2023). Barriers to applying to the NDIS for Australians with psychosocial disability: A scoping review. </w:t>
      </w:r>
      <w:r w:rsidRPr="00E82A9A">
        <w:rPr>
          <w:i/>
        </w:rPr>
        <w:t>Australian Journal of Social Issues</w:t>
      </w:r>
      <w:r w:rsidRPr="00E82A9A">
        <w:t>,</w:t>
      </w:r>
      <w:r w:rsidRPr="00E82A9A">
        <w:rPr>
          <w:i/>
        </w:rPr>
        <w:t xml:space="preserve"> 58</w:t>
      </w:r>
      <w:r w:rsidRPr="00E82A9A">
        <w:t xml:space="preserve">(2), 262-278. </w:t>
      </w:r>
    </w:p>
    <w:p w14:paraId="0ABDD44E" w14:textId="77777777" w:rsidR="00E82A9A" w:rsidRPr="00E82A9A" w:rsidRDefault="00E82A9A" w:rsidP="00E82A9A">
      <w:pPr>
        <w:pStyle w:val="EndNoteBibliography"/>
        <w:spacing w:after="0"/>
        <w:ind w:left="720" w:hanging="720"/>
      </w:pPr>
      <w:r w:rsidRPr="00E82A9A">
        <w:t>Mellifont, D., Smith</w:t>
      </w:r>
      <w:r w:rsidRPr="00E82A9A">
        <w:rPr>
          <w:rFonts w:ascii="Cambria Math" w:hAnsi="Cambria Math" w:cs="Cambria Math"/>
        </w:rPr>
        <w:t>‐</w:t>
      </w:r>
      <w:r w:rsidRPr="00E82A9A">
        <w:t xml:space="preserve">Merry, J., &amp; Bulkeley, K. (2023). The employment of people with lived experience of disability in Australian disability services. </w:t>
      </w:r>
      <w:r w:rsidRPr="00E82A9A">
        <w:rPr>
          <w:i/>
        </w:rPr>
        <w:t>Social Policy &amp; Administration</w:t>
      </w:r>
      <w:r w:rsidRPr="00E82A9A">
        <w:t>,</w:t>
      </w:r>
      <w:r w:rsidRPr="00E82A9A">
        <w:rPr>
          <w:i/>
        </w:rPr>
        <w:t xml:space="preserve"> 57</w:t>
      </w:r>
      <w:r w:rsidRPr="00E82A9A">
        <w:t xml:space="preserve">(5), 642-655. </w:t>
      </w:r>
    </w:p>
    <w:p w14:paraId="7486DCCD" w14:textId="7F329E8E" w:rsidR="00E82A9A" w:rsidRPr="00E82A9A" w:rsidRDefault="00E82A9A" w:rsidP="00E82A9A">
      <w:pPr>
        <w:pStyle w:val="EndNoteBibliography"/>
        <w:spacing w:after="0"/>
        <w:ind w:left="720" w:hanging="720"/>
      </w:pPr>
      <w:r w:rsidRPr="00E82A9A">
        <w:t xml:space="preserve">Mimmo, L., Harrison, R., Travaglia, J., Hu, N., &amp; Woolfenden, S. (2022). Inequities in quality and safety outcomes for hospitalized children with intellectual disability. </w:t>
      </w:r>
      <w:r w:rsidRPr="00E82A9A">
        <w:rPr>
          <w:i/>
        </w:rPr>
        <w:t>Dev Med Child Neurol</w:t>
      </w:r>
      <w:r w:rsidRPr="00E82A9A">
        <w:t>,</w:t>
      </w:r>
      <w:r w:rsidRPr="00E82A9A">
        <w:rPr>
          <w:i/>
        </w:rPr>
        <w:t xml:space="preserve"> 64</w:t>
      </w:r>
      <w:r w:rsidRPr="00E82A9A">
        <w:t xml:space="preserve">(3), 314-322. </w:t>
      </w:r>
      <w:hyperlink r:id="rId36" w:history="1">
        <w:r w:rsidRPr="00E82A9A">
          <w:rPr>
            <w:rStyle w:val="Hyperlink"/>
          </w:rPr>
          <w:t>https://doi.org/https://dx.doi.org/10.1111/dmcn.15066</w:t>
        </w:r>
      </w:hyperlink>
      <w:r w:rsidRPr="00E82A9A">
        <w:t xml:space="preserve"> </w:t>
      </w:r>
    </w:p>
    <w:p w14:paraId="58B8D7C3" w14:textId="3B1D3D38" w:rsidR="00E82A9A" w:rsidRPr="00E82A9A" w:rsidRDefault="00E82A9A" w:rsidP="00E82A9A">
      <w:pPr>
        <w:pStyle w:val="EndNoteBibliography"/>
        <w:spacing w:after="0"/>
        <w:ind w:left="720" w:hanging="720"/>
      </w:pPr>
      <w:r w:rsidRPr="00E82A9A">
        <w:lastRenderedPageBreak/>
        <w:t xml:space="preserve">Mithen, J., Aitken, Z., Ziersch, A., &amp; Kavanagh, A. M. (2015). Inequalities in social capital and health between people with and without disabilities. </w:t>
      </w:r>
      <w:r w:rsidRPr="00E82A9A">
        <w:rPr>
          <w:i/>
        </w:rPr>
        <w:t>Social science &amp; medicine</w:t>
      </w:r>
      <w:r w:rsidRPr="00E82A9A">
        <w:t>,</w:t>
      </w:r>
      <w:r w:rsidRPr="00E82A9A">
        <w:rPr>
          <w:i/>
        </w:rPr>
        <w:t xml:space="preserve"> 126</w:t>
      </w:r>
      <w:r w:rsidRPr="00E82A9A">
        <w:t xml:space="preserve">(ABS. (2006). Statistical Geography. Australian Standard Geographical Classification (1216.0), vol. 1. ABS.ABS. (2009). Frequently Asked Questions - Tips for Using CURFs - How Do I Use Replicate Weights in STATA? Australian Bureau of Statistics.ABS. (2010)), 26-35. </w:t>
      </w:r>
      <w:hyperlink r:id="rId37" w:history="1">
        <w:r w:rsidRPr="00E82A9A">
          <w:rPr>
            <w:rStyle w:val="Hyperlink"/>
          </w:rPr>
          <w:t>https://doi.org/https://dx.doi.org/10.1016/j.socscimed.2014.12.009</w:t>
        </w:r>
      </w:hyperlink>
      <w:r w:rsidRPr="00E82A9A">
        <w:t xml:space="preserve"> </w:t>
      </w:r>
    </w:p>
    <w:p w14:paraId="5F8889BE" w14:textId="77777777" w:rsidR="00E82A9A" w:rsidRPr="00E82A9A" w:rsidRDefault="00E82A9A" w:rsidP="00E82A9A">
      <w:pPr>
        <w:pStyle w:val="EndNoteBibliography"/>
        <w:spacing w:after="0"/>
        <w:ind w:left="720" w:hanging="720"/>
      </w:pPr>
      <w:r w:rsidRPr="00E82A9A">
        <w:t xml:space="preserve">Moskos, M., Isherwood, L., Smith, L., Sutton, Z., Walton, H., &amp; Mavromaras, K. (2021). NDIS Utilisation Project: Understanding Drivers of Plan Utilisation from the point of view of Participants. </w:t>
      </w:r>
    </w:p>
    <w:p w14:paraId="2F0BA0E7" w14:textId="123CA4E9" w:rsidR="00E82A9A" w:rsidRPr="00E82A9A" w:rsidRDefault="00E82A9A" w:rsidP="00E82A9A">
      <w:pPr>
        <w:pStyle w:val="EndNoteBibliography"/>
        <w:spacing w:after="0"/>
        <w:ind w:left="720" w:hanging="720"/>
      </w:pPr>
      <w:r w:rsidRPr="00E82A9A">
        <w:t xml:space="preserve">Murphy, S., Flower, R. L., &amp; Jellett, R. (2023). Women seeking an autism diagnosis in Australia: A qualitative exploration of factors that help and hinder. </w:t>
      </w:r>
      <w:r w:rsidRPr="00E82A9A">
        <w:rPr>
          <w:i/>
        </w:rPr>
        <w:t>Autism</w:t>
      </w:r>
      <w:r w:rsidRPr="00E82A9A">
        <w:t>,</w:t>
      </w:r>
      <w:r w:rsidRPr="00E82A9A">
        <w:rPr>
          <w:i/>
        </w:rPr>
        <w:t xml:space="preserve"> 27</w:t>
      </w:r>
      <w:r w:rsidRPr="00E82A9A">
        <w:t xml:space="preserve">(3), 808-821. </w:t>
      </w:r>
      <w:hyperlink r:id="rId38" w:history="1">
        <w:r w:rsidRPr="00E82A9A">
          <w:rPr>
            <w:rStyle w:val="Hyperlink"/>
          </w:rPr>
          <w:t>https://doi.org/https://dx.doi.org/10.1177/13623613221117911</w:t>
        </w:r>
      </w:hyperlink>
      <w:r w:rsidRPr="00E82A9A">
        <w:t xml:space="preserve"> </w:t>
      </w:r>
    </w:p>
    <w:p w14:paraId="7B3D29B4" w14:textId="68D7884E" w:rsidR="00E82A9A" w:rsidRPr="00E82A9A" w:rsidRDefault="00E82A9A" w:rsidP="00E82A9A">
      <w:pPr>
        <w:pStyle w:val="EndNoteBibliography"/>
        <w:spacing w:after="0"/>
        <w:ind w:left="720" w:hanging="720"/>
      </w:pPr>
      <w:r w:rsidRPr="00E82A9A">
        <w:t xml:space="preserve">Netto, J. A., Polly, Y., Cocks, E., &amp; McNamara, B. (2016). Facilitators and barriers to employment for people with mental illness: A qualitative study. </w:t>
      </w:r>
      <w:r w:rsidRPr="00E82A9A">
        <w:rPr>
          <w:i/>
        </w:rPr>
        <w:t>Journal of Vocational Rehabilitation</w:t>
      </w:r>
      <w:r w:rsidRPr="00E82A9A">
        <w:t>,</w:t>
      </w:r>
      <w:r w:rsidRPr="00E82A9A">
        <w:rPr>
          <w:i/>
        </w:rPr>
        <w:t xml:space="preserve"> 44</w:t>
      </w:r>
      <w:r w:rsidRPr="00E82A9A">
        <w:t xml:space="preserve">(1), 61-72. </w:t>
      </w:r>
      <w:hyperlink r:id="rId39" w:history="1">
        <w:r w:rsidRPr="00E82A9A">
          <w:rPr>
            <w:rStyle w:val="Hyperlink"/>
          </w:rPr>
          <w:t>https://doi.org/10.3233/JVR-150780</w:t>
        </w:r>
      </w:hyperlink>
      <w:r w:rsidRPr="00E82A9A">
        <w:t xml:space="preserve"> </w:t>
      </w:r>
    </w:p>
    <w:p w14:paraId="0A2BEE16" w14:textId="38723C71" w:rsidR="00E82A9A" w:rsidRPr="00E82A9A" w:rsidRDefault="00E82A9A" w:rsidP="00E82A9A">
      <w:pPr>
        <w:pStyle w:val="EndNoteBibliography"/>
        <w:spacing w:after="0"/>
        <w:ind w:left="720" w:hanging="720"/>
      </w:pPr>
      <w:r w:rsidRPr="00E82A9A">
        <w:t xml:space="preserve">O'Shea, A., Latham, J. R., McNair, R., Despott, N., Rose, M., Mountford, R., &amp; Frawley, P. (2020). Experiences of LGBTIQA+ People with Disability in Healthcare and Community Services: Towards Embracing Multiple Identities. </w:t>
      </w:r>
      <w:r w:rsidRPr="00E82A9A">
        <w:rPr>
          <w:i/>
        </w:rPr>
        <w:t>International Journal of Environmental Research and Public Health</w:t>
      </w:r>
      <w:r w:rsidRPr="00E82A9A">
        <w:t>,</w:t>
      </w:r>
      <w:r w:rsidRPr="00E82A9A">
        <w:rPr>
          <w:i/>
        </w:rPr>
        <w:t xml:space="preserve"> 17</w:t>
      </w:r>
      <w:r w:rsidRPr="00E82A9A">
        <w:t xml:space="preserve">(21). </w:t>
      </w:r>
      <w:hyperlink r:id="rId40" w:history="1">
        <w:r w:rsidRPr="00E82A9A">
          <w:rPr>
            <w:rStyle w:val="Hyperlink"/>
          </w:rPr>
          <w:t>https://doi.org/https://dx.doi.org/10.3390/ijerph17218080</w:t>
        </w:r>
      </w:hyperlink>
      <w:r w:rsidRPr="00E82A9A">
        <w:t xml:space="preserve"> </w:t>
      </w:r>
    </w:p>
    <w:p w14:paraId="6E2A6F26" w14:textId="57785A10" w:rsidR="00E82A9A" w:rsidRPr="00E82A9A" w:rsidRDefault="00E82A9A" w:rsidP="00E82A9A">
      <w:pPr>
        <w:pStyle w:val="EndNoteBibliography"/>
        <w:spacing w:after="0"/>
        <w:ind w:left="720" w:hanging="720"/>
      </w:pPr>
      <w:r w:rsidRPr="00E82A9A">
        <w:t xml:space="preserve">Paget, S. P., McIntyre, S., Goldsmith, S., Ostojic, K., Shrapnel, J., Schneuer, F., Waugh, M. C., Kyriagis, M., &amp; Nassar, N. (2022). Non-attendance at outpatient clinic appointments by children with cerebral palsy. </w:t>
      </w:r>
      <w:r w:rsidRPr="00E82A9A">
        <w:rPr>
          <w:i/>
        </w:rPr>
        <w:t>Dev. Med. Child Neurol.</w:t>
      </w:r>
      <w:r w:rsidRPr="00E82A9A">
        <w:t>,</w:t>
      </w:r>
      <w:r w:rsidRPr="00E82A9A">
        <w:rPr>
          <w:i/>
        </w:rPr>
        <w:t xml:space="preserve"> 64</w:t>
      </w:r>
      <w:r w:rsidRPr="00E82A9A">
        <w:t xml:space="preserve">(9), 1106-1113. </w:t>
      </w:r>
      <w:hyperlink r:id="rId41" w:history="1">
        <w:r w:rsidRPr="00E82A9A">
          <w:rPr>
            <w:rStyle w:val="Hyperlink"/>
          </w:rPr>
          <w:t>https://doi.org/10.1111/dmcn.15197</w:t>
        </w:r>
      </w:hyperlink>
      <w:r w:rsidRPr="00E82A9A">
        <w:t xml:space="preserve"> </w:t>
      </w:r>
    </w:p>
    <w:p w14:paraId="0B92B671" w14:textId="72BEBBFC" w:rsidR="00E82A9A" w:rsidRPr="00E82A9A" w:rsidRDefault="00E82A9A" w:rsidP="00E82A9A">
      <w:pPr>
        <w:pStyle w:val="EndNoteBibliography"/>
        <w:spacing w:after="0"/>
        <w:ind w:left="720" w:hanging="720"/>
      </w:pPr>
      <w:r w:rsidRPr="00E82A9A">
        <w:t xml:space="preserve">Shea, B., Bailie, J., Dykgraaf, S. H., Fortune, N., Lennox, N., &amp; Bailie, R. (2022). Access to general practice for people with intellectual disability in Australia: a systematic scoping review. </w:t>
      </w:r>
      <w:r w:rsidRPr="00E82A9A">
        <w:rPr>
          <w:i/>
        </w:rPr>
        <w:t>BMC Primary Care</w:t>
      </w:r>
      <w:r w:rsidRPr="00E82A9A">
        <w:t>,</w:t>
      </w:r>
      <w:r w:rsidRPr="00E82A9A">
        <w:rPr>
          <w:i/>
        </w:rPr>
        <w:t xml:space="preserve"> 23</w:t>
      </w:r>
      <w:r w:rsidRPr="00E82A9A">
        <w:t xml:space="preserve">(1), 306. </w:t>
      </w:r>
      <w:hyperlink r:id="rId42" w:history="1">
        <w:r w:rsidRPr="00E82A9A">
          <w:rPr>
            <w:rStyle w:val="Hyperlink"/>
          </w:rPr>
          <w:t>https://doi.org/https://dx.doi.org/10.1186/s12875-022-01917-2</w:t>
        </w:r>
      </w:hyperlink>
      <w:r w:rsidRPr="00E82A9A">
        <w:t xml:space="preserve"> </w:t>
      </w:r>
    </w:p>
    <w:p w14:paraId="52B61516" w14:textId="1FC46460" w:rsidR="00E82A9A" w:rsidRPr="00E82A9A" w:rsidRDefault="00E82A9A" w:rsidP="00E82A9A">
      <w:pPr>
        <w:pStyle w:val="EndNoteBibliography"/>
        <w:spacing w:after="0"/>
        <w:ind w:left="720" w:hanging="720"/>
      </w:pPr>
      <w:r w:rsidRPr="00E82A9A">
        <w:t xml:space="preserve">Skinner, M., Quinn, R., Nance, J., Wright, S., &amp; Kendall, M. (2023). A case study approach to understanding the pathway to individualised funded supports under the National Disability Insurance Scheme for community-dwelling individuals with acquired brain injury. </w:t>
      </w:r>
      <w:r w:rsidRPr="00E82A9A">
        <w:rPr>
          <w:i/>
        </w:rPr>
        <w:t>Brain Impairment</w:t>
      </w:r>
      <w:r w:rsidRPr="00E82A9A">
        <w:t>,</w:t>
      </w:r>
      <w:r w:rsidRPr="00E82A9A">
        <w:rPr>
          <w:i/>
        </w:rPr>
        <w:t xml:space="preserve"> 24</w:t>
      </w:r>
      <w:r w:rsidRPr="00E82A9A">
        <w:t xml:space="preserve">(3), 489-507. </w:t>
      </w:r>
      <w:hyperlink r:id="rId43" w:history="1">
        <w:r w:rsidRPr="00E82A9A">
          <w:rPr>
            <w:rStyle w:val="Hyperlink"/>
          </w:rPr>
          <w:t>https://doi.org/https://dx.doi.org/10.1017/BrImp.2022.21</w:t>
        </w:r>
      </w:hyperlink>
      <w:r w:rsidRPr="00E82A9A">
        <w:t xml:space="preserve"> </w:t>
      </w:r>
    </w:p>
    <w:p w14:paraId="32BF1629" w14:textId="77777777" w:rsidR="00E82A9A" w:rsidRPr="00E82A9A" w:rsidRDefault="00E82A9A" w:rsidP="00E82A9A">
      <w:pPr>
        <w:pStyle w:val="EndNoteBibliography"/>
        <w:spacing w:after="0"/>
        <w:ind w:left="720" w:hanging="720"/>
      </w:pPr>
      <w:r w:rsidRPr="00E82A9A">
        <w:t xml:space="preserve">Smith-Merry, J., Hancock, N., Gilroy, J., Llewellyn, G., &amp; Yen, I. (2018). Mind the gap: the national disability insurance scheme and psychosocial disability. </w:t>
      </w:r>
    </w:p>
    <w:p w14:paraId="17D00C8F" w14:textId="24A7C85A" w:rsidR="00E82A9A" w:rsidRPr="00E82A9A" w:rsidRDefault="00E82A9A" w:rsidP="00E82A9A">
      <w:pPr>
        <w:pStyle w:val="EndNoteBibliography"/>
        <w:spacing w:after="0"/>
        <w:ind w:left="720" w:hanging="720"/>
      </w:pPr>
      <w:r w:rsidRPr="00E82A9A">
        <w:t xml:space="preserve">UNDESA. (2023). UNDESA’s description of the Convention on the Rights of Persons with Disabilities (CRPD). </w:t>
      </w:r>
      <w:hyperlink r:id="rId44" w:history="1">
        <w:r w:rsidRPr="00E82A9A">
          <w:rPr>
            <w:rStyle w:val="Hyperlink"/>
          </w:rPr>
          <w:t>https://www.un.org/development/desa/disabilities/convention-on-the-rights-of-persons-with-disabilities/article-1-purpose.html</w:t>
        </w:r>
      </w:hyperlink>
      <w:r w:rsidRPr="00E82A9A">
        <w:t xml:space="preserve"> </w:t>
      </w:r>
    </w:p>
    <w:p w14:paraId="3D57C4EC" w14:textId="77777777" w:rsidR="00E82A9A" w:rsidRPr="00E82A9A" w:rsidRDefault="00E82A9A" w:rsidP="00E82A9A">
      <w:pPr>
        <w:pStyle w:val="EndNoteBibliography"/>
        <w:spacing w:after="0"/>
        <w:ind w:left="720" w:hanging="720"/>
      </w:pPr>
      <w:r w:rsidRPr="00E82A9A">
        <w:t>Veli</w:t>
      </w:r>
      <w:r w:rsidRPr="00E82A9A">
        <w:rPr>
          <w:rFonts w:ascii="Cambria Math" w:hAnsi="Cambria Math" w:cs="Cambria Math"/>
        </w:rPr>
        <w:t>‐</w:t>
      </w:r>
      <w:r w:rsidRPr="00E82A9A">
        <w:t xml:space="preserve">Gold, S., Gilroy, J., Wright, W., Bulkeley, K., Jensen, H., Dew, A., &amp; Lincoln, M. (2023). The experiences of people with disability and their families/carers navigating the NDIS planning process in regional, rural and remote regions of Australia: Scoping review. </w:t>
      </w:r>
      <w:r w:rsidRPr="00E82A9A">
        <w:rPr>
          <w:i/>
        </w:rPr>
        <w:t>Australian Journal of Rural Health</w:t>
      </w:r>
      <w:r w:rsidRPr="00E82A9A">
        <w:t>,</w:t>
      </w:r>
      <w:r w:rsidRPr="00E82A9A">
        <w:rPr>
          <w:i/>
        </w:rPr>
        <w:t xml:space="preserve"> 31</w:t>
      </w:r>
      <w:r w:rsidRPr="00E82A9A">
        <w:t xml:space="preserve">(4), 631-647. </w:t>
      </w:r>
    </w:p>
    <w:p w14:paraId="72F036A1" w14:textId="6C0034A8" w:rsidR="00E82A9A" w:rsidRPr="00E82A9A" w:rsidRDefault="00E82A9A" w:rsidP="00E82A9A">
      <w:pPr>
        <w:pStyle w:val="EndNoteBibliography"/>
        <w:spacing w:after="0"/>
        <w:ind w:left="720" w:hanging="720"/>
      </w:pPr>
      <w:r w:rsidRPr="00E82A9A">
        <w:t xml:space="preserve">Wakely, L., Green, E., Little, A., Fisher, K., Wakely, K., Currie, K., &amp; Wolfgang, R. (2023). The lived experience of receiving services as a National Disability Insurance Scheme participant in a rural area: Challenges of choice and control. </w:t>
      </w:r>
      <w:r w:rsidRPr="00E82A9A">
        <w:rPr>
          <w:i/>
        </w:rPr>
        <w:t>Australian Journal of Rural Health</w:t>
      </w:r>
      <w:r w:rsidRPr="00E82A9A">
        <w:t>,</w:t>
      </w:r>
      <w:r w:rsidRPr="00E82A9A">
        <w:rPr>
          <w:i/>
        </w:rPr>
        <w:t xml:space="preserve"> 31</w:t>
      </w:r>
      <w:r w:rsidRPr="00E82A9A">
        <w:t xml:space="preserve">(4), 648-658. </w:t>
      </w:r>
      <w:hyperlink r:id="rId45" w:history="1">
        <w:r w:rsidRPr="00E82A9A">
          <w:rPr>
            <w:rStyle w:val="Hyperlink"/>
          </w:rPr>
          <w:t>https://doi.org/10.1111/ajr.13000</w:t>
        </w:r>
      </w:hyperlink>
      <w:r w:rsidRPr="00E82A9A">
        <w:t xml:space="preserve"> </w:t>
      </w:r>
    </w:p>
    <w:p w14:paraId="3D4E1A23" w14:textId="0980D084" w:rsidR="00E82A9A" w:rsidRPr="00E82A9A" w:rsidRDefault="00E82A9A" w:rsidP="00E82A9A">
      <w:pPr>
        <w:pStyle w:val="EndNoteBibliography"/>
        <w:spacing w:after="0"/>
        <w:ind w:left="720" w:hanging="720"/>
      </w:pPr>
      <w:r w:rsidRPr="00E82A9A">
        <w:lastRenderedPageBreak/>
        <w:t xml:space="preserve">Yates, S., Carey, G., Hargrave, J., Malbon, E., &amp; Green, C. (2021). Women's experiences of accessing individualized disability supports: gender inequality and Australia's National Disability Insurance Scheme. </w:t>
      </w:r>
      <w:r w:rsidRPr="00E82A9A">
        <w:rPr>
          <w:i/>
        </w:rPr>
        <w:t>International Journal for Equity in Health</w:t>
      </w:r>
      <w:r w:rsidRPr="00E82A9A">
        <w:t>,</w:t>
      </w:r>
      <w:r w:rsidRPr="00E82A9A">
        <w:rPr>
          <w:i/>
        </w:rPr>
        <w:t xml:space="preserve"> 20</w:t>
      </w:r>
      <w:r w:rsidRPr="00E82A9A">
        <w:t xml:space="preserve">(1), 243. </w:t>
      </w:r>
      <w:hyperlink r:id="rId46" w:history="1">
        <w:r w:rsidRPr="00E82A9A">
          <w:rPr>
            <w:rStyle w:val="Hyperlink"/>
          </w:rPr>
          <w:t>https://doi.org/https://dx.doi.org/10.1186/s12939-021-01571-7</w:t>
        </w:r>
      </w:hyperlink>
      <w:r w:rsidRPr="00E82A9A">
        <w:t xml:space="preserve"> </w:t>
      </w:r>
    </w:p>
    <w:p w14:paraId="1C339517" w14:textId="5C3A61A2" w:rsidR="00E82A9A" w:rsidRPr="00E82A9A" w:rsidRDefault="00E82A9A" w:rsidP="00E82A9A">
      <w:pPr>
        <w:pStyle w:val="EndNoteBibliography"/>
        <w:ind w:left="720" w:hanging="720"/>
      </w:pPr>
      <w:r w:rsidRPr="00E82A9A">
        <w:t xml:space="preserve">Zhou, Q. (2016). Accessing disability services by people from culturally and linguistically diverse backgrounds in Australia. </w:t>
      </w:r>
      <w:r w:rsidRPr="00E82A9A">
        <w:rPr>
          <w:i/>
        </w:rPr>
        <w:t>Disability &amp; Rehabilitation</w:t>
      </w:r>
      <w:r w:rsidRPr="00E82A9A">
        <w:t>,</w:t>
      </w:r>
      <w:r w:rsidRPr="00E82A9A">
        <w:rPr>
          <w:i/>
        </w:rPr>
        <w:t xml:space="preserve"> 38</w:t>
      </w:r>
      <w:r w:rsidRPr="00E82A9A">
        <w:t xml:space="preserve">(9), 844-852. </w:t>
      </w:r>
      <w:hyperlink r:id="rId47" w:history="1">
        <w:r w:rsidRPr="00E82A9A">
          <w:rPr>
            <w:rStyle w:val="Hyperlink"/>
          </w:rPr>
          <w:t>https://doi.org/10.3109/09638288.2015.1062925</w:t>
        </w:r>
      </w:hyperlink>
      <w:r w:rsidRPr="00E82A9A">
        <w:t xml:space="preserve"> </w:t>
      </w:r>
    </w:p>
    <w:p w14:paraId="486FC5B2" w14:textId="521F7761" w:rsidR="00FA74BA" w:rsidRPr="00D21EBF" w:rsidRDefault="00D21EBF" w:rsidP="00D21EBF">
      <w:r>
        <w:fldChar w:fldCharType="end"/>
      </w:r>
    </w:p>
    <w:sectPr w:rsidR="00FA74BA" w:rsidRPr="00D21EBF" w:rsidSect="00E82A9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Narrow">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eav29prs929zneaprxvex2z55wwe0dtx9rf&quot;&gt;My EndNote Library exp&lt;record-ids&gt;&lt;item&gt;50150&lt;/item&gt;&lt;item&gt;50151&lt;/item&gt;&lt;item&gt;50152&lt;/item&gt;&lt;item&gt;50153&lt;/item&gt;&lt;item&gt;50155&lt;/item&gt;&lt;item&gt;50156&lt;/item&gt;&lt;item&gt;50157&lt;/item&gt;&lt;item&gt;50158&lt;/item&gt;&lt;item&gt;50159&lt;/item&gt;&lt;item&gt;50160&lt;/item&gt;&lt;item&gt;50161&lt;/item&gt;&lt;item&gt;50162&lt;/item&gt;&lt;item&gt;50163&lt;/item&gt;&lt;item&gt;50164&lt;/item&gt;&lt;item&gt;50165&lt;/item&gt;&lt;item&gt;50166&lt;/item&gt;&lt;item&gt;50167&lt;/item&gt;&lt;item&gt;50169&lt;/item&gt;&lt;item&gt;50170&lt;/item&gt;&lt;item&gt;50171&lt;/item&gt;&lt;item&gt;50173&lt;/item&gt;&lt;item&gt;50174&lt;/item&gt;&lt;item&gt;50175&lt;/item&gt;&lt;item&gt;50177&lt;/item&gt;&lt;item&gt;50178&lt;/item&gt;&lt;item&gt;50179&lt;/item&gt;&lt;item&gt;50180&lt;/item&gt;&lt;item&gt;50181&lt;/item&gt;&lt;item&gt;50182&lt;/item&gt;&lt;item&gt;50183&lt;/item&gt;&lt;item&gt;50184&lt;/item&gt;&lt;item&gt;50185&lt;/item&gt;&lt;item&gt;50186&lt;/item&gt;&lt;item&gt;50187&lt;/item&gt;&lt;item&gt;50189&lt;/item&gt;&lt;item&gt;50191&lt;/item&gt;&lt;item&gt;50192&lt;/item&gt;&lt;item&gt;50193&lt;/item&gt;&lt;item&gt;50194&lt;/item&gt;&lt;item&gt;50195&lt;/item&gt;&lt;item&gt;50196&lt;/item&gt;&lt;item&gt;50197&lt;/item&gt;&lt;item&gt;50198&lt;/item&gt;&lt;item&gt;50199&lt;/item&gt;&lt;item&gt;50200&lt;/item&gt;&lt;item&gt;50201&lt;/item&gt;&lt;item&gt;50202&lt;/item&gt;&lt;item&gt;50203&lt;/item&gt;&lt;item&gt;50204&lt;/item&gt;&lt;item&gt;50205&lt;/item&gt;&lt;item&gt;50206&lt;/item&gt;&lt;item&gt;50207&lt;/item&gt;&lt;/record-ids&gt;&lt;/item&gt;&lt;/Libraries&gt;"/>
  </w:docVars>
  <w:rsids>
    <w:rsidRoot w:val="00FA74BA"/>
    <w:rsid w:val="00017C60"/>
    <w:rsid w:val="000868A2"/>
    <w:rsid w:val="002E3813"/>
    <w:rsid w:val="003538E1"/>
    <w:rsid w:val="00364E3B"/>
    <w:rsid w:val="00370B4B"/>
    <w:rsid w:val="003F251E"/>
    <w:rsid w:val="0044441C"/>
    <w:rsid w:val="005B32AC"/>
    <w:rsid w:val="006272B5"/>
    <w:rsid w:val="006A388C"/>
    <w:rsid w:val="007A5281"/>
    <w:rsid w:val="007E64F8"/>
    <w:rsid w:val="00A938F1"/>
    <w:rsid w:val="00AB232A"/>
    <w:rsid w:val="00B11E7B"/>
    <w:rsid w:val="00B17FAE"/>
    <w:rsid w:val="00B7711C"/>
    <w:rsid w:val="00D21EBF"/>
    <w:rsid w:val="00D30796"/>
    <w:rsid w:val="00E72A2F"/>
    <w:rsid w:val="00E82A9A"/>
    <w:rsid w:val="00FA74BA"/>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15778"/>
  <w15:chartTrackingRefBased/>
  <w15:docId w15:val="{9D433BCA-F9CD-4486-B11E-B8A83D2C7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74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74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74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74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74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74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74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74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74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74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74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74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74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74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74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74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74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74BA"/>
    <w:rPr>
      <w:rFonts w:eastAsiaTheme="majorEastAsia" w:cstheme="majorBidi"/>
      <w:color w:val="272727" w:themeColor="text1" w:themeTint="D8"/>
    </w:rPr>
  </w:style>
  <w:style w:type="paragraph" w:styleId="Title">
    <w:name w:val="Title"/>
    <w:basedOn w:val="Normal"/>
    <w:next w:val="Normal"/>
    <w:link w:val="TitleChar"/>
    <w:uiPriority w:val="10"/>
    <w:qFormat/>
    <w:rsid w:val="00FA74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74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74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74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74BA"/>
    <w:pPr>
      <w:spacing w:before="160"/>
      <w:jc w:val="center"/>
    </w:pPr>
    <w:rPr>
      <w:i/>
      <w:iCs/>
      <w:color w:val="404040" w:themeColor="text1" w:themeTint="BF"/>
    </w:rPr>
  </w:style>
  <w:style w:type="character" w:customStyle="1" w:styleId="QuoteChar">
    <w:name w:val="Quote Char"/>
    <w:basedOn w:val="DefaultParagraphFont"/>
    <w:link w:val="Quote"/>
    <w:uiPriority w:val="29"/>
    <w:rsid w:val="00FA74BA"/>
    <w:rPr>
      <w:i/>
      <w:iCs/>
      <w:color w:val="404040" w:themeColor="text1" w:themeTint="BF"/>
    </w:rPr>
  </w:style>
  <w:style w:type="paragraph" w:styleId="ListParagraph">
    <w:name w:val="List Paragraph"/>
    <w:basedOn w:val="Normal"/>
    <w:uiPriority w:val="34"/>
    <w:qFormat/>
    <w:rsid w:val="00FA74BA"/>
    <w:pPr>
      <w:ind w:left="720"/>
      <w:contextualSpacing/>
    </w:pPr>
  </w:style>
  <w:style w:type="character" w:styleId="IntenseEmphasis">
    <w:name w:val="Intense Emphasis"/>
    <w:basedOn w:val="DefaultParagraphFont"/>
    <w:uiPriority w:val="21"/>
    <w:qFormat/>
    <w:rsid w:val="00FA74BA"/>
    <w:rPr>
      <w:i/>
      <w:iCs/>
      <w:color w:val="0F4761" w:themeColor="accent1" w:themeShade="BF"/>
    </w:rPr>
  </w:style>
  <w:style w:type="paragraph" w:styleId="IntenseQuote">
    <w:name w:val="Intense Quote"/>
    <w:basedOn w:val="Normal"/>
    <w:next w:val="Normal"/>
    <w:link w:val="IntenseQuoteChar"/>
    <w:uiPriority w:val="30"/>
    <w:qFormat/>
    <w:rsid w:val="00FA74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74BA"/>
    <w:rPr>
      <w:i/>
      <w:iCs/>
      <w:color w:val="0F4761" w:themeColor="accent1" w:themeShade="BF"/>
    </w:rPr>
  </w:style>
  <w:style w:type="character" w:styleId="IntenseReference">
    <w:name w:val="Intense Reference"/>
    <w:basedOn w:val="DefaultParagraphFont"/>
    <w:uiPriority w:val="32"/>
    <w:qFormat/>
    <w:rsid w:val="00FA74BA"/>
    <w:rPr>
      <w:b/>
      <w:bCs/>
      <w:smallCaps/>
      <w:color w:val="0F4761" w:themeColor="accent1" w:themeShade="BF"/>
      <w:spacing w:val="5"/>
    </w:rPr>
  </w:style>
  <w:style w:type="character" w:styleId="Hyperlink">
    <w:name w:val="Hyperlink"/>
    <w:basedOn w:val="DefaultParagraphFont"/>
    <w:uiPriority w:val="99"/>
    <w:unhideWhenUsed/>
    <w:rsid w:val="00D21EBF"/>
    <w:rPr>
      <w:color w:val="467886"/>
      <w:u w:val="single"/>
    </w:rPr>
  </w:style>
  <w:style w:type="character" w:styleId="FollowedHyperlink">
    <w:name w:val="FollowedHyperlink"/>
    <w:basedOn w:val="DefaultParagraphFont"/>
    <w:uiPriority w:val="99"/>
    <w:semiHidden/>
    <w:unhideWhenUsed/>
    <w:rsid w:val="00D21EBF"/>
    <w:rPr>
      <w:color w:val="96607D"/>
      <w:u w:val="single"/>
    </w:rPr>
  </w:style>
  <w:style w:type="paragraph" w:customStyle="1" w:styleId="msonormal0">
    <w:name w:val="msonormal"/>
    <w:basedOn w:val="Normal"/>
    <w:rsid w:val="00D21EBF"/>
    <w:pPr>
      <w:spacing w:before="100" w:beforeAutospacing="1" w:after="100" w:afterAutospacing="1" w:line="240" w:lineRule="auto"/>
    </w:pPr>
    <w:rPr>
      <w:rFonts w:ascii="Times New Roman" w:eastAsia="Times New Roman" w:hAnsi="Times New Roman" w:cs="Times New Roman"/>
      <w:sz w:val="24"/>
      <w:szCs w:val="24"/>
      <w:lang w:eastAsia="en-AU"/>
      <w14:ligatures w14:val="none"/>
    </w:rPr>
  </w:style>
  <w:style w:type="paragraph" w:customStyle="1" w:styleId="xl65">
    <w:name w:val="xl65"/>
    <w:basedOn w:val="Normal"/>
    <w:rsid w:val="00D21EBF"/>
    <w:pPr>
      <w:spacing w:before="100" w:beforeAutospacing="1" w:after="100" w:afterAutospacing="1" w:line="240" w:lineRule="auto"/>
    </w:pPr>
    <w:rPr>
      <w:rFonts w:ascii="Times New Roman" w:eastAsia="Times New Roman" w:hAnsi="Times New Roman" w:cs="Times New Roman"/>
      <w:sz w:val="24"/>
      <w:szCs w:val="24"/>
      <w:lang w:eastAsia="en-AU"/>
      <w14:ligatures w14:val="none"/>
    </w:rPr>
  </w:style>
  <w:style w:type="paragraph" w:customStyle="1" w:styleId="xl66">
    <w:name w:val="xl66"/>
    <w:basedOn w:val="Normal"/>
    <w:rsid w:val="00D21EBF"/>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en-AU"/>
      <w14:ligatures w14:val="none"/>
    </w:rPr>
  </w:style>
  <w:style w:type="paragraph" w:customStyle="1" w:styleId="xl67">
    <w:name w:val="xl67"/>
    <w:basedOn w:val="Normal"/>
    <w:rsid w:val="00D21EBF"/>
    <w:pPr>
      <w:shd w:val="clear" w:color="000000" w:fill="FF0000"/>
      <w:spacing w:before="100" w:beforeAutospacing="1" w:after="100" w:afterAutospacing="1" w:line="240" w:lineRule="auto"/>
    </w:pPr>
    <w:rPr>
      <w:rFonts w:ascii="Times New Roman" w:eastAsia="Times New Roman" w:hAnsi="Times New Roman" w:cs="Times New Roman"/>
      <w:b/>
      <w:bCs/>
      <w:sz w:val="24"/>
      <w:szCs w:val="24"/>
      <w:lang w:eastAsia="en-AU"/>
      <w14:ligatures w14:val="none"/>
    </w:rPr>
  </w:style>
  <w:style w:type="paragraph" w:customStyle="1" w:styleId="xl68">
    <w:name w:val="xl68"/>
    <w:basedOn w:val="Normal"/>
    <w:rsid w:val="00D21EBF"/>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en-AU"/>
      <w14:ligatures w14:val="none"/>
    </w:rPr>
  </w:style>
  <w:style w:type="paragraph" w:customStyle="1" w:styleId="xl69">
    <w:name w:val="xl69"/>
    <w:basedOn w:val="Normal"/>
    <w:rsid w:val="00D21EBF"/>
    <w:pPr>
      <w:shd w:val="clear" w:color="000000" w:fill="FF0000"/>
      <w:spacing w:before="100" w:beforeAutospacing="1" w:after="100" w:afterAutospacing="1" w:line="240" w:lineRule="auto"/>
    </w:pPr>
    <w:rPr>
      <w:rFonts w:ascii="Times New Roman" w:eastAsia="Times New Roman" w:hAnsi="Times New Roman" w:cs="Times New Roman"/>
      <w:b/>
      <w:bCs/>
      <w:sz w:val="24"/>
      <w:szCs w:val="24"/>
      <w:lang w:eastAsia="en-AU"/>
      <w14:ligatures w14:val="none"/>
    </w:rPr>
  </w:style>
  <w:style w:type="paragraph" w:customStyle="1" w:styleId="xl70">
    <w:name w:val="xl70"/>
    <w:basedOn w:val="Normal"/>
    <w:rsid w:val="00D21EBF"/>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AU"/>
      <w14:ligatures w14:val="none"/>
    </w:rPr>
  </w:style>
  <w:style w:type="paragraph" w:customStyle="1" w:styleId="xl71">
    <w:name w:val="xl71"/>
    <w:basedOn w:val="Normal"/>
    <w:rsid w:val="00D21EBF"/>
    <w:pPr>
      <w:shd w:val="clear" w:color="000000" w:fill="C1F0C8"/>
      <w:spacing w:before="100" w:beforeAutospacing="1" w:after="100" w:afterAutospacing="1" w:line="240" w:lineRule="auto"/>
    </w:pPr>
    <w:rPr>
      <w:rFonts w:ascii="Times New Roman" w:eastAsia="Times New Roman" w:hAnsi="Times New Roman" w:cs="Times New Roman"/>
      <w:sz w:val="24"/>
      <w:szCs w:val="24"/>
      <w:lang w:eastAsia="en-AU"/>
      <w14:ligatures w14:val="none"/>
    </w:rPr>
  </w:style>
  <w:style w:type="paragraph" w:customStyle="1" w:styleId="xl72">
    <w:name w:val="xl72"/>
    <w:basedOn w:val="Normal"/>
    <w:rsid w:val="00D21EBF"/>
    <w:pPr>
      <w:shd w:val="clear" w:color="000000" w:fill="C1F0C8"/>
      <w:spacing w:before="100" w:beforeAutospacing="1" w:after="100" w:afterAutospacing="1" w:line="240" w:lineRule="auto"/>
    </w:pPr>
    <w:rPr>
      <w:rFonts w:ascii="Times New Roman" w:eastAsia="Times New Roman" w:hAnsi="Times New Roman" w:cs="Times New Roman"/>
      <w:sz w:val="24"/>
      <w:szCs w:val="24"/>
      <w:lang w:eastAsia="en-AU"/>
      <w14:ligatures w14:val="none"/>
    </w:rPr>
  </w:style>
  <w:style w:type="paragraph" w:customStyle="1" w:styleId="xl73">
    <w:name w:val="xl73"/>
    <w:basedOn w:val="Normal"/>
    <w:rsid w:val="00D21EBF"/>
    <w:pPr>
      <w:shd w:val="clear" w:color="000000" w:fill="C1F0C8"/>
      <w:spacing w:before="100" w:beforeAutospacing="1" w:after="100" w:afterAutospacing="1" w:line="240" w:lineRule="auto"/>
    </w:pPr>
    <w:rPr>
      <w:rFonts w:ascii="Times New Roman" w:eastAsia="Times New Roman" w:hAnsi="Times New Roman" w:cs="Times New Roman"/>
      <w:sz w:val="24"/>
      <w:szCs w:val="24"/>
      <w:lang w:eastAsia="en-AU"/>
      <w14:ligatures w14:val="none"/>
    </w:rPr>
  </w:style>
  <w:style w:type="paragraph" w:customStyle="1" w:styleId="xl74">
    <w:name w:val="xl74"/>
    <w:basedOn w:val="Normal"/>
    <w:rsid w:val="00D21EBF"/>
    <w:pPr>
      <w:shd w:val="clear" w:color="000000" w:fill="C1F0C8"/>
      <w:spacing w:before="100" w:beforeAutospacing="1" w:after="100" w:afterAutospacing="1" w:line="240" w:lineRule="auto"/>
    </w:pPr>
    <w:rPr>
      <w:rFonts w:ascii="Times New Roman" w:eastAsia="Times New Roman" w:hAnsi="Times New Roman" w:cs="Times New Roman"/>
      <w:b/>
      <w:bCs/>
      <w:sz w:val="24"/>
      <w:szCs w:val="24"/>
      <w:lang w:eastAsia="en-AU"/>
      <w14:ligatures w14:val="none"/>
    </w:rPr>
  </w:style>
  <w:style w:type="paragraph" w:customStyle="1" w:styleId="xl75">
    <w:name w:val="xl75"/>
    <w:basedOn w:val="Normal"/>
    <w:rsid w:val="00D21EBF"/>
    <w:pPr>
      <w:spacing w:before="100" w:beforeAutospacing="1" w:after="100" w:afterAutospacing="1" w:line="240" w:lineRule="auto"/>
    </w:pPr>
    <w:rPr>
      <w:rFonts w:ascii="Times New Roman" w:eastAsia="Times New Roman" w:hAnsi="Times New Roman" w:cs="Times New Roman"/>
      <w:color w:val="FF0000"/>
      <w:sz w:val="24"/>
      <w:szCs w:val="24"/>
      <w:lang w:eastAsia="en-AU"/>
      <w14:ligatures w14:val="none"/>
    </w:rPr>
  </w:style>
  <w:style w:type="paragraph" w:customStyle="1" w:styleId="xl76">
    <w:name w:val="xl76"/>
    <w:basedOn w:val="Normal"/>
    <w:rsid w:val="00D21EBF"/>
    <w:pPr>
      <w:spacing w:before="100" w:beforeAutospacing="1" w:after="100" w:afterAutospacing="1" w:line="240" w:lineRule="auto"/>
    </w:pPr>
    <w:rPr>
      <w:rFonts w:ascii="Times New Roman" w:eastAsia="Times New Roman" w:hAnsi="Times New Roman" w:cs="Times New Roman"/>
      <w:color w:val="FF0000"/>
      <w:sz w:val="24"/>
      <w:szCs w:val="24"/>
      <w:lang w:eastAsia="en-AU"/>
      <w14:ligatures w14:val="none"/>
    </w:rPr>
  </w:style>
  <w:style w:type="paragraph" w:customStyle="1" w:styleId="xl77">
    <w:name w:val="xl77"/>
    <w:basedOn w:val="Normal"/>
    <w:rsid w:val="00D21EBF"/>
    <w:pPr>
      <w:shd w:val="clear" w:color="000000" w:fill="FFFF00"/>
      <w:spacing w:before="100" w:beforeAutospacing="1" w:after="100" w:afterAutospacing="1" w:line="240" w:lineRule="auto"/>
    </w:pPr>
    <w:rPr>
      <w:rFonts w:ascii="Times New Roman" w:eastAsia="Times New Roman" w:hAnsi="Times New Roman" w:cs="Times New Roman"/>
      <w:color w:val="FF0000"/>
      <w:sz w:val="24"/>
      <w:szCs w:val="24"/>
      <w:lang w:eastAsia="en-AU"/>
      <w14:ligatures w14:val="none"/>
    </w:rPr>
  </w:style>
  <w:style w:type="paragraph" w:customStyle="1" w:styleId="xl78">
    <w:name w:val="xl78"/>
    <w:basedOn w:val="Normal"/>
    <w:rsid w:val="00D21EBF"/>
    <w:pPr>
      <w:pBdr>
        <w:top w:val="single" w:sz="4" w:space="0" w:color="auto"/>
        <w:left w:val="single" w:sz="4" w:space="0" w:color="auto"/>
        <w:bottom w:val="single" w:sz="4" w:space="0" w:color="auto"/>
        <w:right w:val="single" w:sz="4" w:space="0" w:color="auto"/>
      </w:pBdr>
      <w:shd w:val="clear" w:color="000000" w:fill="D0D0D0"/>
      <w:spacing w:before="100" w:beforeAutospacing="1" w:after="100" w:afterAutospacing="1" w:line="240" w:lineRule="auto"/>
    </w:pPr>
    <w:rPr>
      <w:rFonts w:ascii="Times New Roman" w:eastAsia="Times New Roman" w:hAnsi="Times New Roman" w:cs="Times New Roman"/>
      <w:sz w:val="24"/>
      <w:szCs w:val="24"/>
      <w:lang w:eastAsia="en-AU"/>
      <w14:ligatures w14:val="none"/>
    </w:rPr>
  </w:style>
  <w:style w:type="paragraph" w:customStyle="1" w:styleId="xl79">
    <w:name w:val="xl79"/>
    <w:basedOn w:val="Normal"/>
    <w:rsid w:val="00D21EBF"/>
    <w:pPr>
      <w:pBdr>
        <w:top w:val="single" w:sz="4" w:space="0" w:color="auto"/>
        <w:left w:val="single" w:sz="4" w:space="0" w:color="auto"/>
        <w:bottom w:val="single" w:sz="4" w:space="0" w:color="auto"/>
        <w:right w:val="single" w:sz="4" w:space="0" w:color="auto"/>
      </w:pBdr>
      <w:shd w:val="clear" w:color="000000" w:fill="F2CEEF"/>
      <w:spacing w:before="100" w:beforeAutospacing="1" w:after="100" w:afterAutospacing="1" w:line="240" w:lineRule="auto"/>
    </w:pPr>
    <w:rPr>
      <w:rFonts w:ascii="Times New Roman" w:eastAsia="Times New Roman" w:hAnsi="Times New Roman" w:cs="Times New Roman"/>
      <w:sz w:val="24"/>
      <w:szCs w:val="24"/>
      <w:lang w:eastAsia="en-AU"/>
      <w14:ligatures w14:val="none"/>
    </w:rPr>
  </w:style>
  <w:style w:type="paragraph" w:customStyle="1" w:styleId="xl80">
    <w:name w:val="xl80"/>
    <w:basedOn w:val="Normal"/>
    <w:rsid w:val="00D21EBF"/>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pPr>
    <w:rPr>
      <w:rFonts w:ascii="Times New Roman" w:eastAsia="Times New Roman" w:hAnsi="Times New Roman" w:cs="Times New Roman"/>
      <w:sz w:val="24"/>
      <w:szCs w:val="24"/>
      <w:lang w:eastAsia="en-AU"/>
      <w14:ligatures w14:val="none"/>
    </w:rPr>
  </w:style>
  <w:style w:type="paragraph" w:customStyle="1" w:styleId="xl81">
    <w:name w:val="xl81"/>
    <w:basedOn w:val="Normal"/>
    <w:rsid w:val="00D21EBF"/>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pPr>
    <w:rPr>
      <w:rFonts w:ascii="Times New Roman" w:eastAsia="Times New Roman" w:hAnsi="Times New Roman" w:cs="Times New Roman"/>
      <w:sz w:val="24"/>
      <w:szCs w:val="24"/>
      <w:lang w:eastAsia="en-AU"/>
      <w14:ligatures w14:val="none"/>
    </w:rPr>
  </w:style>
  <w:style w:type="paragraph" w:customStyle="1" w:styleId="xl82">
    <w:name w:val="xl82"/>
    <w:basedOn w:val="Normal"/>
    <w:rsid w:val="00D21EBF"/>
    <w:pPr>
      <w:pBdr>
        <w:top w:val="single" w:sz="4" w:space="0" w:color="auto"/>
        <w:left w:val="single" w:sz="4" w:space="0" w:color="auto"/>
        <w:bottom w:val="single" w:sz="4" w:space="0" w:color="auto"/>
        <w:right w:val="single" w:sz="4" w:space="0" w:color="auto"/>
      </w:pBdr>
      <w:shd w:val="clear" w:color="000000" w:fill="C1F0C8"/>
      <w:spacing w:before="100" w:beforeAutospacing="1" w:after="100" w:afterAutospacing="1" w:line="240" w:lineRule="auto"/>
    </w:pPr>
    <w:rPr>
      <w:rFonts w:ascii="Times New Roman" w:eastAsia="Times New Roman" w:hAnsi="Times New Roman" w:cs="Times New Roman"/>
      <w:sz w:val="24"/>
      <w:szCs w:val="24"/>
      <w:lang w:eastAsia="en-AU"/>
      <w14:ligatures w14:val="none"/>
    </w:rPr>
  </w:style>
  <w:style w:type="paragraph" w:customStyle="1" w:styleId="xl83">
    <w:name w:val="xl83"/>
    <w:basedOn w:val="Normal"/>
    <w:rsid w:val="00D21EBF"/>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line="240" w:lineRule="auto"/>
    </w:pPr>
    <w:rPr>
      <w:rFonts w:ascii="Times New Roman" w:eastAsia="Times New Roman" w:hAnsi="Times New Roman" w:cs="Times New Roman"/>
      <w:sz w:val="24"/>
      <w:szCs w:val="24"/>
      <w:lang w:eastAsia="en-AU"/>
      <w14:ligatures w14:val="none"/>
    </w:rPr>
  </w:style>
  <w:style w:type="paragraph" w:customStyle="1" w:styleId="xl84">
    <w:name w:val="xl84"/>
    <w:basedOn w:val="Normal"/>
    <w:rsid w:val="00D21EBF"/>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line="240" w:lineRule="auto"/>
    </w:pPr>
    <w:rPr>
      <w:rFonts w:ascii="Wingdings" w:eastAsia="Times New Roman" w:hAnsi="Wingdings" w:cs="Times New Roman"/>
      <w:sz w:val="24"/>
      <w:szCs w:val="24"/>
      <w:lang w:eastAsia="en-AU"/>
      <w14:ligatures w14:val="none"/>
    </w:rPr>
  </w:style>
  <w:style w:type="paragraph" w:customStyle="1" w:styleId="xl85">
    <w:name w:val="xl85"/>
    <w:basedOn w:val="Normal"/>
    <w:rsid w:val="00D21EB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14:ligatures w14:val="none"/>
    </w:rPr>
  </w:style>
  <w:style w:type="paragraph" w:customStyle="1" w:styleId="xl86">
    <w:name w:val="xl86"/>
    <w:basedOn w:val="Normal"/>
    <w:rsid w:val="00D21EB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b/>
      <w:bCs/>
      <w:sz w:val="24"/>
      <w:szCs w:val="24"/>
      <w:lang w:eastAsia="en-AU"/>
      <w14:ligatures w14:val="none"/>
    </w:rPr>
  </w:style>
  <w:style w:type="paragraph" w:customStyle="1" w:styleId="EndNoteBibliographyTitle">
    <w:name w:val="EndNote Bibliography Title"/>
    <w:basedOn w:val="Normal"/>
    <w:link w:val="EndNoteBibliographyTitleChar"/>
    <w:rsid w:val="00D21EBF"/>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D21EBF"/>
    <w:rPr>
      <w:rFonts w:ascii="Aptos" w:hAnsi="Aptos"/>
      <w:noProof/>
      <w:lang w:val="en-US"/>
    </w:rPr>
  </w:style>
  <w:style w:type="paragraph" w:customStyle="1" w:styleId="EndNoteBibliography">
    <w:name w:val="EndNote Bibliography"/>
    <w:basedOn w:val="Normal"/>
    <w:link w:val="EndNoteBibliographyChar"/>
    <w:rsid w:val="00D21EBF"/>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D21EBF"/>
    <w:rPr>
      <w:rFonts w:ascii="Aptos" w:hAnsi="Aptos"/>
      <w:noProof/>
      <w:lang w:val="en-US"/>
    </w:rPr>
  </w:style>
  <w:style w:type="character" w:styleId="UnresolvedMention">
    <w:name w:val="Unresolved Mention"/>
    <w:basedOn w:val="DefaultParagraphFont"/>
    <w:uiPriority w:val="99"/>
    <w:semiHidden/>
    <w:unhideWhenUsed/>
    <w:rsid w:val="00B17FAE"/>
    <w:rPr>
      <w:color w:val="605E5C"/>
      <w:shd w:val="clear" w:color="auto" w:fill="E1DFDD"/>
    </w:rPr>
  </w:style>
  <w:style w:type="paragraph" w:styleId="FootnoteText">
    <w:name w:val="footnote text"/>
    <w:basedOn w:val="Normal"/>
    <w:link w:val="FootnoteTextChar"/>
    <w:uiPriority w:val="99"/>
    <w:unhideWhenUsed/>
    <w:rsid w:val="00E82A9A"/>
    <w:pPr>
      <w:spacing w:after="0" w:line="240" w:lineRule="auto"/>
    </w:pPr>
    <w:rPr>
      <w:rFonts w:ascii="Times New Roman" w:eastAsia="Times New Roman" w:hAnsi="Times New Roman" w:cs="Times New Roman"/>
      <w:sz w:val="20"/>
      <w:szCs w:val="20"/>
      <w:lang w:val="en-GB" w:eastAsia="en-GB"/>
      <w14:ligatures w14:val="none"/>
    </w:rPr>
  </w:style>
  <w:style w:type="character" w:customStyle="1" w:styleId="FootnoteTextChar">
    <w:name w:val="Footnote Text Char"/>
    <w:basedOn w:val="DefaultParagraphFont"/>
    <w:link w:val="FootnoteText"/>
    <w:uiPriority w:val="99"/>
    <w:rsid w:val="00E82A9A"/>
    <w:rPr>
      <w:rFonts w:ascii="Times New Roman" w:eastAsia="Times New Roman" w:hAnsi="Times New Roman" w:cs="Times New Roman"/>
      <w:sz w:val="20"/>
      <w:szCs w:val="20"/>
      <w:lang w:val="en-GB" w:eastAsia="en-GB"/>
      <w14:ligatures w14:val="none"/>
    </w:rPr>
  </w:style>
  <w:style w:type="character" w:styleId="CommentReference">
    <w:name w:val="annotation reference"/>
    <w:basedOn w:val="DefaultParagraphFont"/>
    <w:uiPriority w:val="99"/>
    <w:semiHidden/>
    <w:unhideWhenUsed/>
    <w:rsid w:val="00E82A9A"/>
    <w:rPr>
      <w:sz w:val="16"/>
      <w:szCs w:val="16"/>
    </w:rPr>
  </w:style>
  <w:style w:type="paragraph" w:styleId="CommentText">
    <w:name w:val="annotation text"/>
    <w:basedOn w:val="Normal"/>
    <w:link w:val="CommentTextChar"/>
    <w:uiPriority w:val="99"/>
    <w:unhideWhenUsed/>
    <w:rsid w:val="00E82A9A"/>
    <w:pPr>
      <w:spacing w:line="240" w:lineRule="auto"/>
    </w:pPr>
    <w:rPr>
      <w:sz w:val="20"/>
      <w:szCs w:val="20"/>
    </w:rPr>
  </w:style>
  <w:style w:type="character" w:customStyle="1" w:styleId="CommentTextChar">
    <w:name w:val="Comment Text Char"/>
    <w:basedOn w:val="DefaultParagraphFont"/>
    <w:link w:val="CommentText"/>
    <w:uiPriority w:val="99"/>
    <w:rsid w:val="00E82A9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214609">
      <w:bodyDiv w:val="1"/>
      <w:marLeft w:val="0"/>
      <w:marRight w:val="0"/>
      <w:marTop w:val="0"/>
      <w:marBottom w:val="0"/>
      <w:divBdr>
        <w:top w:val="none" w:sz="0" w:space="0" w:color="auto"/>
        <w:left w:val="none" w:sz="0" w:space="0" w:color="auto"/>
        <w:bottom w:val="none" w:sz="0" w:space="0" w:color="auto"/>
        <w:right w:val="none" w:sz="0" w:space="0" w:color="auto"/>
      </w:divBdr>
    </w:div>
    <w:div w:id="945427395">
      <w:bodyDiv w:val="1"/>
      <w:marLeft w:val="0"/>
      <w:marRight w:val="0"/>
      <w:marTop w:val="0"/>
      <w:marBottom w:val="0"/>
      <w:divBdr>
        <w:top w:val="none" w:sz="0" w:space="0" w:color="auto"/>
        <w:left w:val="none" w:sz="0" w:space="0" w:color="auto"/>
        <w:bottom w:val="none" w:sz="0" w:space="0" w:color="auto"/>
        <w:right w:val="none" w:sz="0" w:space="0" w:color="auto"/>
      </w:divBdr>
    </w:div>
    <w:div w:id="1221677075">
      <w:bodyDiv w:val="1"/>
      <w:marLeft w:val="0"/>
      <w:marRight w:val="0"/>
      <w:marTop w:val="0"/>
      <w:marBottom w:val="0"/>
      <w:divBdr>
        <w:top w:val="none" w:sz="0" w:space="0" w:color="auto"/>
        <w:left w:val="none" w:sz="0" w:space="0" w:color="auto"/>
        <w:bottom w:val="none" w:sz="0" w:space="0" w:color="auto"/>
        <w:right w:val="none" w:sz="0" w:space="0" w:color="auto"/>
      </w:divBdr>
    </w:div>
    <w:div w:id="1525245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80/09687599.2020.1782173" TargetMode="External"/><Relationship Id="rId18" Type="http://schemas.openxmlformats.org/officeDocument/2006/relationships/hyperlink" Target="https://doi.org/https://dx.doi.org/10.1186/s12875-017-0668-3" TargetMode="External"/><Relationship Id="rId26" Type="http://schemas.openxmlformats.org/officeDocument/2006/relationships/hyperlink" Target="https://doi.org/10.1080/09687599.2020.1815523" TargetMode="External"/><Relationship Id="rId39" Type="http://schemas.openxmlformats.org/officeDocument/2006/relationships/hyperlink" Target="https://doi.org/10.3233/JVR-150780" TargetMode="External"/><Relationship Id="rId21" Type="http://schemas.openxmlformats.org/officeDocument/2006/relationships/hyperlink" Target="https://doi.org/https://dx.doi.org/10.1080/14461242.2024.2345596" TargetMode="External"/><Relationship Id="rId34" Type="http://schemas.openxmlformats.org/officeDocument/2006/relationships/hyperlink" Target="https://doi.org/https://dx.doi.org/10.1186/s12889-022-13301-x" TargetMode="External"/><Relationship Id="rId42" Type="http://schemas.openxmlformats.org/officeDocument/2006/relationships/hyperlink" Target="https://doi.org/https://dx.doi.org/10.1186/s12875-022-01917-2" TargetMode="External"/><Relationship Id="rId47" Type="http://schemas.openxmlformats.org/officeDocument/2006/relationships/hyperlink" Target="https://doi.org/10.3109/09638288.2015.1062925" TargetMode="External"/><Relationship Id="rId7" Type="http://schemas.openxmlformats.org/officeDocument/2006/relationships/hyperlink" Target="https://doi.org/https://dx.doi.org/10.1111/ajr.12613" TargetMode="External"/><Relationship Id="rId2" Type="http://schemas.openxmlformats.org/officeDocument/2006/relationships/settings" Target="settings.xml"/><Relationship Id="rId16" Type="http://schemas.openxmlformats.org/officeDocument/2006/relationships/hyperlink" Target="https://doi.org/https://dx.doi.org/10.3109/09638288.2012.720346" TargetMode="External"/><Relationship Id="rId29" Type="http://schemas.openxmlformats.org/officeDocument/2006/relationships/hyperlink" Target="https://doi.org/https://dx.doi.org/10.1016/j.ijporl.2013.12.032" TargetMode="External"/><Relationship Id="rId11" Type="http://schemas.openxmlformats.org/officeDocument/2006/relationships/hyperlink" Target="https://doi.org/10.1186/s12939-017-0682-z" TargetMode="External"/><Relationship Id="rId24" Type="http://schemas.openxmlformats.org/officeDocument/2006/relationships/hyperlink" Target="https://doi.org/https://dx.doi.org/10.1177/1049732318793416" TargetMode="External"/><Relationship Id="rId32" Type="http://schemas.openxmlformats.org/officeDocument/2006/relationships/hyperlink" Target="https://doi.org/https://dx.doi.org/10.1111/jpm.12193" TargetMode="External"/><Relationship Id="rId37" Type="http://schemas.openxmlformats.org/officeDocument/2006/relationships/hyperlink" Target="https://doi.org/https://dx.doi.org/10.1016/j.socscimed.2014.12.009" TargetMode="External"/><Relationship Id="rId40" Type="http://schemas.openxmlformats.org/officeDocument/2006/relationships/hyperlink" Target="https://doi.org/https://dx.doi.org/10.3390/ijerph17218080" TargetMode="External"/><Relationship Id="rId45" Type="http://schemas.openxmlformats.org/officeDocument/2006/relationships/hyperlink" Target="https://doi.org/10.1111/ajr.13000" TargetMode="External"/><Relationship Id="rId5" Type="http://schemas.openxmlformats.org/officeDocument/2006/relationships/hyperlink" Target="https://doi.org/10.1016/j.jbi.2020.103480" TargetMode="External"/><Relationship Id="rId15" Type="http://schemas.openxmlformats.org/officeDocument/2006/relationships/hyperlink" Target="https://doi.org/https://dx.doi.org/10.3233/WOR-203130" TargetMode="External"/><Relationship Id="rId23" Type="http://schemas.openxmlformats.org/officeDocument/2006/relationships/hyperlink" Target="https://doi.org/10.1080/09638288.2020.1725654" TargetMode="External"/><Relationship Id="rId28" Type="http://schemas.openxmlformats.org/officeDocument/2006/relationships/hyperlink" Target="https://doi.org/https://dx.doi.org/10.1080/09638288.2023.2194681" TargetMode="External"/><Relationship Id="rId36" Type="http://schemas.openxmlformats.org/officeDocument/2006/relationships/hyperlink" Target="https://doi.org/https://dx.doi.org/10.1111/dmcn.15066" TargetMode="External"/><Relationship Id="rId49" Type="http://schemas.openxmlformats.org/officeDocument/2006/relationships/theme" Target="theme/theme1.xml"/><Relationship Id="rId10" Type="http://schemas.openxmlformats.org/officeDocument/2006/relationships/hyperlink" Target="https://doi.org/https://dx.doi.org/10.3390/ijerph17186512" TargetMode="External"/><Relationship Id="rId19" Type="http://schemas.openxmlformats.org/officeDocument/2006/relationships/hyperlink" Target="https://doi.org/https://dx.doi.org/10.1177/1357633X15610720" TargetMode="External"/><Relationship Id="rId31" Type="http://schemas.openxmlformats.org/officeDocument/2006/relationships/hyperlink" Target="https://doi.org/https://dx.doi.org/10.1111/jpm.12226" TargetMode="External"/><Relationship Id="rId44" Type="http://schemas.openxmlformats.org/officeDocument/2006/relationships/hyperlink" Target="https://www.un.org/development/desa/disabilities/convention-on-the-rights-of-persons-with-disabilities/article-1-purpose.html" TargetMode="External"/><Relationship Id="rId4" Type="http://schemas.openxmlformats.org/officeDocument/2006/relationships/hyperlink" Target="https://doi.org/10.1080/09687599.2018.1521333" TargetMode="External"/><Relationship Id="rId9" Type="http://schemas.openxmlformats.org/officeDocument/2006/relationships/hyperlink" Target="https://doi.org/10.1080/09687599.2020.1816906" TargetMode="External"/><Relationship Id="rId14" Type="http://schemas.openxmlformats.org/officeDocument/2006/relationships/hyperlink" Target="https://doi.org/https://dx.doi.org/10.3390/ijerph182111485" TargetMode="External"/><Relationship Id="rId22" Type="http://schemas.openxmlformats.org/officeDocument/2006/relationships/hyperlink" Target="https://doi.org/10.1080/09638288.2018.1468931" TargetMode="External"/><Relationship Id="rId27" Type="http://schemas.openxmlformats.org/officeDocument/2006/relationships/hyperlink" Target="https://doi.org/https://dx.doi.org/10.1177/0004867415610437" TargetMode="External"/><Relationship Id="rId30" Type="http://schemas.openxmlformats.org/officeDocument/2006/relationships/hyperlink" Target="https://doi.org/https://dx.doi.org/10.1007/s00127-023-02509-w" TargetMode="External"/><Relationship Id="rId35" Type="http://schemas.openxmlformats.org/officeDocument/2006/relationships/hyperlink" Target="https://doi.org/https://dx.doi.org/10.1186/s12904-018-0309-1" TargetMode="External"/><Relationship Id="rId43" Type="http://schemas.openxmlformats.org/officeDocument/2006/relationships/hyperlink" Target="https://doi.org/https://dx.doi.org/10.1017/BrImp.2022.21" TargetMode="External"/><Relationship Id="rId48" Type="http://schemas.openxmlformats.org/officeDocument/2006/relationships/fontTable" Target="fontTable.xml"/><Relationship Id="rId8" Type="http://schemas.openxmlformats.org/officeDocument/2006/relationships/hyperlink" Target="https://doi.org/10.1093/deafed/enx059" TargetMode="External"/><Relationship Id="rId3" Type="http://schemas.openxmlformats.org/officeDocument/2006/relationships/webSettings" Target="webSettings.xml"/><Relationship Id="rId12" Type="http://schemas.openxmlformats.org/officeDocument/2006/relationships/hyperlink" Target="https://doi.org/10.1071/AH17259" TargetMode="External"/><Relationship Id="rId17" Type="http://schemas.openxmlformats.org/officeDocument/2006/relationships/hyperlink" Target="https://doi.org/10.1186/1475-9276-12-7" TargetMode="External"/><Relationship Id="rId25" Type="http://schemas.openxmlformats.org/officeDocument/2006/relationships/hyperlink" Target="https://doi.org/10.1186/s12913-016-1926-0" TargetMode="External"/><Relationship Id="rId33" Type="http://schemas.openxmlformats.org/officeDocument/2006/relationships/hyperlink" Target="https://doi.org/10.1186/s12889-019-7168-4" TargetMode="External"/><Relationship Id="rId38" Type="http://schemas.openxmlformats.org/officeDocument/2006/relationships/hyperlink" Target="https://doi.org/https://dx.doi.org/10.1177/13623613221117911" TargetMode="External"/><Relationship Id="rId46" Type="http://schemas.openxmlformats.org/officeDocument/2006/relationships/hyperlink" Target="https://doi.org/https://dx.doi.org/10.1186/s12939-021-01571-7" TargetMode="External"/><Relationship Id="rId20" Type="http://schemas.openxmlformats.org/officeDocument/2006/relationships/hyperlink" Target="https://doi.org/https://dx.doi.org/10.1186/s12939-021-01402-9" TargetMode="External"/><Relationship Id="rId41" Type="http://schemas.openxmlformats.org/officeDocument/2006/relationships/hyperlink" Target="https://doi.org/10.1111/dmcn.15197" TargetMode="External"/><Relationship Id="rId1" Type="http://schemas.openxmlformats.org/officeDocument/2006/relationships/styles" Target="styles.xml"/><Relationship Id="rId6" Type="http://schemas.openxmlformats.org/officeDocument/2006/relationships/hyperlink" Target="https://doi.org/https://dx.doi.org/10.1177/103985622211391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1042</TotalTime>
  <Pages>10</Pages>
  <Words>13746</Words>
  <Characters>78357</Characters>
  <Application>Microsoft Office Word</Application>
  <DocSecurity>0</DocSecurity>
  <Lines>652</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Firew Bobo</dc:creator>
  <cp:keywords/>
  <dc:description/>
  <cp:lastModifiedBy>Firew Bobo</cp:lastModifiedBy>
  <cp:revision>7</cp:revision>
  <dcterms:created xsi:type="dcterms:W3CDTF">2025-05-13T05:53:00Z</dcterms:created>
  <dcterms:modified xsi:type="dcterms:W3CDTF">2025-07-02T23:50:00Z</dcterms:modified>
</cp:coreProperties>
</file>