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ED5" w:rsidRPr="00DD65B3" w:rsidRDefault="00F37ED5" w:rsidP="00F37ED5">
      <w:pPr>
        <w:spacing w:line="480" w:lineRule="auto"/>
        <w:jc w:val="center"/>
        <w:rPr>
          <w:rFonts w:asciiTheme="minorHAnsi" w:hAnsiTheme="minorHAnsi" w:cstheme="minorHAnsi"/>
          <w:b/>
          <w:bCs/>
        </w:rPr>
      </w:pPr>
      <w:r w:rsidRPr="00DD65B3">
        <w:rPr>
          <w:rFonts w:asciiTheme="minorHAnsi" w:hAnsiTheme="minorHAnsi" w:cstheme="minorHAnsi"/>
          <w:b/>
          <w:bCs/>
        </w:rPr>
        <w:t xml:space="preserve">Appendix </w:t>
      </w:r>
      <w:r w:rsidR="00E57C78">
        <w:rPr>
          <w:rFonts w:asciiTheme="minorHAnsi" w:hAnsiTheme="minorHAnsi" w:cstheme="minorHAnsi"/>
          <w:b/>
          <w:bCs/>
        </w:rPr>
        <w:t>2</w:t>
      </w:r>
      <w:r w:rsidRPr="00DD65B3">
        <w:rPr>
          <w:rFonts w:asciiTheme="minorHAnsi" w:hAnsiTheme="minorHAnsi" w:cstheme="minorHAnsi"/>
          <w:b/>
          <w:bCs/>
        </w:rPr>
        <w:t xml:space="preserve">– </w:t>
      </w:r>
      <w:r w:rsidR="00E57C78">
        <w:rPr>
          <w:rFonts w:asciiTheme="minorHAnsi" w:hAnsiTheme="minorHAnsi" w:cstheme="minorHAnsi"/>
          <w:b/>
          <w:bCs/>
        </w:rPr>
        <w:t>Alberta Quality Matrix for Health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DD65B3">
        <w:rPr>
          <w:rFonts w:asciiTheme="minorHAnsi" w:hAnsiTheme="minorHAnsi" w:cstheme="minorHAnsi"/>
          <w:lang w:val="en-US"/>
        </w:rPr>
        <w:t>Below are the Health Quality C</w:t>
      </w:r>
      <w:bookmarkStart w:id="0" w:name="_GoBack"/>
      <w:bookmarkEnd w:id="0"/>
      <w:r w:rsidRPr="00DD65B3">
        <w:rPr>
          <w:rFonts w:asciiTheme="minorHAnsi" w:hAnsiTheme="minorHAnsi" w:cstheme="minorHAnsi"/>
          <w:lang w:val="en-US"/>
        </w:rPr>
        <w:t>ouncil of Alberta’s definitions of the six dimensions of quality</w:t>
      </w:r>
      <w:r w:rsidRPr="00DD65B3">
        <w:rPr>
          <w:rStyle w:val="FootnoteReference"/>
          <w:rFonts w:asciiTheme="minorHAnsi" w:hAnsiTheme="minorHAnsi" w:cstheme="minorHAnsi"/>
          <w:lang w:val="en-US"/>
        </w:rPr>
        <w:footnoteReference w:customMarkFollows="1" w:id="1"/>
        <w:t>**</w:t>
      </w:r>
      <w:r w:rsidRPr="00DD65B3">
        <w:rPr>
          <w:rFonts w:asciiTheme="minorHAnsi" w:hAnsiTheme="minorHAnsi" w:cstheme="minorHAnsi"/>
          <w:lang w:val="en-US"/>
        </w:rPr>
        <w:t xml:space="preserve"> that compose its </w:t>
      </w:r>
      <w:r w:rsidR="00E57C78">
        <w:rPr>
          <w:rFonts w:asciiTheme="minorHAnsi" w:hAnsiTheme="minorHAnsi" w:cstheme="minorHAnsi"/>
          <w:lang w:val="en-US"/>
        </w:rPr>
        <w:t>q</w:t>
      </w:r>
      <w:r w:rsidRPr="00DD65B3">
        <w:rPr>
          <w:rFonts w:asciiTheme="minorHAnsi" w:hAnsiTheme="minorHAnsi" w:cstheme="minorHAnsi"/>
          <w:lang w:val="en-US"/>
        </w:rPr>
        <w:t>uality</w:t>
      </w:r>
      <w:r w:rsidR="00927A9F">
        <w:rPr>
          <w:rFonts w:asciiTheme="minorHAnsi" w:hAnsiTheme="minorHAnsi" w:cstheme="minorHAnsi"/>
          <w:lang w:val="en-US"/>
        </w:rPr>
        <w:t xml:space="preserve"> </w:t>
      </w:r>
      <w:r w:rsidR="00E57C78">
        <w:rPr>
          <w:rFonts w:asciiTheme="minorHAnsi" w:hAnsiTheme="minorHAnsi" w:cstheme="minorHAnsi"/>
          <w:lang w:val="en-US"/>
        </w:rPr>
        <w:t>m</w:t>
      </w:r>
      <w:r w:rsidRPr="00DD65B3">
        <w:rPr>
          <w:rFonts w:asciiTheme="minorHAnsi" w:hAnsiTheme="minorHAnsi" w:cstheme="minorHAnsi"/>
          <w:lang w:val="en-US"/>
        </w:rPr>
        <w:t>atrix.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DD65B3">
        <w:rPr>
          <w:rFonts w:asciiTheme="minorHAnsi" w:hAnsiTheme="minorHAnsi" w:cstheme="minorHAnsi"/>
          <w:b/>
          <w:bCs/>
          <w:lang w:val="en-US"/>
        </w:rPr>
        <w:t>Acceptability:</w:t>
      </w:r>
      <w:r w:rsidRPr="00DD65B3">
        <w:rPr>
          <w:rFonts w:asciiTheme="minorHAnsi" w:hAnsiTheme="minorHAnsi" w:cstheme="minorHAnsi"/>
          <w:lang w:val="en-US"/>
        </w:rPr>
        <w:t xml:space="preserve"> health services are respectful and responsive to user needs, preferences, and expectations.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DD65B3">
        <w:rPr>
          <w:rFonts w:asciiTheme="minorHAnsi" w:hAnsiTheme="minorHAnsi" w:cstheme="minorHAnsi"/>
          <w:b/>
          <w:bCs/>
          <w:lang w:val="en-US"/>
        </w:rPr>
        <w:t>Accessibility:</w:t>
      </w:r>
      <w:r w:rsidRPr="00DD65B3">
        <w:rPr>
          <w:rFonts w:asciiTheme="minorHAnsi" w:hAnsiTheme="minorHAnsi" w:cstheme="minorHAnsi"/>
          <w:lang w:val="en-US"/>
        </w:rPr>
        <w:t xml:space="preserve"> health services are obtained in the most suitable setting in a reasonable time and distance.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DD65B3">
        <w:rPr>
          <w:rFonts w:asciiTheme="minorHAnsi" w:hAnsiTheme="minorHAnsi" w:cstheme="minorHAnsi"/>
          <w:b/>
          <w:bCs/>
          <w:lang w:val="en-US"/>
        </w:rPr>
        <w:t xml:space="preserve">Appropriateness: </w:t>
      </w:r>
      <w:r w:rsidRPr="00DD65B3">
        <w:rPr>
          <w:rFonts w:asciiTheme="minorHAnsi" w:hAnsiTheme="minorHAnsi" w:cstheme="minorHAnsi"/>
          <w:lang w:val="en-US"/>
        </w:rPr>
        <w:t>health services are relevant to user needs and are based in accepted or evidence-based practice.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DD65B3">
        <w:rPr>
          <w:rFonts w:asciiTheme="minorHAnsi" w:hAnsiTheme="minorHAnsi" w:cstheme="minorHAnsi"/>
          <w:b/>
          <w:bCs/>
          <w:lang w:val="en-US"/>
        </w:rPr>
        <w:t>Effectiveness:</w:t>
      </w:r>
      <w:r w:rsidRPr="00DD65B3">
        <w:rPr>
          <w:rFonts w:asciiTheme="minorHAnsi" w:hAnsiTheme="minorHAnsi" w:cstheme="minorHAnsi"/>
          <w:lang w:val="en-US"/>
        </w:rPr>
        <w:t xml:space="preserve"> health services are based on scientific knowledge to achieve desired outcomes.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DD65B3">
        <w:rPr>
          <w:rFonts w:asciiTheme="minorHAnsi" w:hAnsiTheme="minorHAnsi" w:cstheme="minorHAnsi"/>
          <w:b/>
          <w:bCs/>
          <w:lang w:val="en-US"/>
        </w:rPr>
        <w:t>Efficiency:</w:t>
      </w:r>
      <w:r w:rsidRPr="00DD65B3">
        <w:rPr>
          <w:rFonts w:asciiTheme="minorHAnsi" w:hAnsiTheme="minorHAnsi" w:cstheme="minorHAnsi"/>
          <w:lang w:val="en-US"/>
        </w:rPr>
        <w:t xml:space="preserve"> resources are optimally used in achieving desired outcomes.</w:t>
      </w:r>
    </w:p>
    <w:p w:rsidR="00F37ED5" w:rsidRPr="00DD65B3" w:rsidRDefault="00F37ED5" w:rsidP="00F37ED5">
      <w:pPr>
        <w:spacing w:line="480" w:lineRule="auto"/>
        <w:jc w:val="both"/>
        <w:rPr>
          <w:rFonts w:asciiTheme="minorHAnsi" w:hAnsiTheme="minorHAnsi" w:cstheme="minorHAnsi"/>
        </w:rPr>
      </w:pPr>
      <w:r w:rsidRPr="00DD65B3">
        <w:rPr>
          <w:rFonts w:asciiTheme="minorHAnsi" w:hAnsiTheme="minorHAnsi" w:cstheme="minorHAnsi"/>
          <w:b/>
          <w:bCs/>
          <w:lang w:val="en-US"/>
        </w:rPr>
        <w:t>Safety:</w:t>
      </w:r>
      <w:r w:rsidRPr="00DD65B3">
        <w:rPr>
          <w:rFonts w:asciiTheme="minorHAnsi" w:hAnsiTheme="minorHAnsi" w:cstheme="minorHAnsi"/>
          <w:lang w:val="en-US"/>
        </w:rPr>
        <w:t xml:space="preserve"> mitigating risks to avoid unintended or harmful</w:t>
      </w:r>
    </w:p>
    <w:p w:rsidR="00206C8A" w:rsidRDefault="00206C8A"/>
    <w:sectPr w:rsidR="00206C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D26" w:rsidRDefault="00065D26" w:rsidP="00F37ED5">
      <w:pPr>
        <w:spacing w:line="240" w:lineRule="auto"/>
      </w:pPr>
      <w:r>
        <w:separator/>
      </w:r>
    </w:p>
  </w:endnote>
  <w:endnote w:type="continuationSeparator" w:id="0">
    <w:p w:rsidR="00065D26" w:rsidRDefault="00065D26" w:rsidP="00F37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_∏ÿµ'3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D26" w:rsidRDefault="00065D26" w:rsidP="00F37ED5">
      <w:pPr>
        <w:spacing w:line="240" w:lineRule="auto"/>
      </w:pPr>
      <w:r>
        <w:separator/>
      </w:r>
    </w:p>
  </w:footnote>
  <w:footnote w:type="continuationSeparator" w:id="0">
    <w:p w:rsidR="00065D26" w:rsidRDefault="00065D26" w:rsidP="00F37ED5">
      <w:pPr>
        <w:spacing w:line="240" w:lineRule="auto"/>
      </w:pPr>
      <w:r>
        <w:continuationSeparator/>
      </w:r>
    </w:p>
  </w:footnote>
  <w:footnote w:id="1">
    <w:p w:rsidR="00F37ED5" w:rsidRPr="00485E8D" w:rsidRDefault="00F37ED5" w:rsidP="00F37ED5">
      <w:pPr>
        <w:autoSpaceDE w:val="0"/>
        <w:autoSpaceDN w:val="0"/>
        <w:adjustRightInd w:val="0"/>
        <w:jc w:val="both"/>
        <w:rPr>
          <w:rFonts w:ascii="_∏ÿµ'3" w:hAnsi="_∏ÿµ'3" w:cs="_∏ÿµ'3"/>
          <w:color w:val="000000"/>
          <w:sz w:val="20"/>
          <w:szCs w:val="20"/>
        </w:rPr>
      </w:pPr>
      <w:r>
        <w:rPr>
          <w:rStyle w:val="FootnoteReference"/>
          <w:sz w:val="20"/>
          <w:szCs w:val="20"/>
        </w:rPr>
        <w:t>**</w:t>
      </w:r>
      <w:r w:rsidRPr="00485E8D">
        <w:rPr>
          <w:sz w:val="20"/>
          <w:szCs w:val="20"/>
        </w:rPr>
        <w:t xml:space="preserve"> </w:t>
      </w:r>
      <w:r w:rsidRPr="00485E8D">
        <w:rPr>
          <w:rFonts w:ascii="_∏ÿµ'3" w:hAnsi="_∏ÿµ'3" w:cs="_∏ÿµ'3"/>
          <w:color w:val="000000"/>
          <w:sz w:val="20"/>
          <w:szCs w:val="20"/>
        </w:rPr>
        <w:t>Health Quality Council of Alberta. Healthcare quality and safety management: a framework for Alberta [Internet]. Calgary (AB): Health Quality Council of Alberta;</w:t>
      </w:r>
      <w:r>
        <w:rPr>
          <w:rFonts w:ascii="_∏ÿµ'3" w:hAnsi="_∏ÿµ'3" w:cs="_∏ÿµ'3"/>
          <w:color w:val="000000"/>
          <w:sz w:val="20"/>
          <w:szCs w:val="20"/>
        </w:rPr>
        <w:t xml:space="preserve"> </w:t>
      </w:r>
      <w:r w:rsidRPr="00485E8D">
        <w:rPr>
          <w:rFonts w:ascii="_∏ÿµ'3" w:hAnsi="_∏ÿµ'3" w:cs="_∏ÿµ'3"/>
          <w:color w:val="000000"/>
          <w:sz w:val="20"/>
          <w:szCs w:val="20"/>
        </w:rPr>
        <w:t>July 2017 [cited 202</w:t>
      </w:r>
      <w:r>
        <w:rPr>
          <w:rFonts w:ascii="_∏ÿµ'3" w:hAnsi="_∏ÿµ'3" w:cs="_∏ÿµ'3"/>
          <w:color w:val="000000"/>
          <w:sz w:val="20"/>
          <w:szCs w:val="20"/>
        </w:rPr>
        <w:t>5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 </w:t>
      </w:r>
      <w:r>
        <w:rPr>
          <w:rFonts w:ascii="_∏ÿµ'3" w:hAnsi="_∏ÿµ'3" w:cs="_∏ÿµ'3"/>
          <w:color w:val="000000"/>
          <w:sz w:val="20"/>
          <w:szCs w:val="20"/>
        </w:rPr>
        <w:t>May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 </w:t>
      </w:r>
      <w:r>
        <w:rPr>
          <w:rFonts w:ascii="_∏ÿµ'3" w:hAnsi="_∏ÿµ'3" w:cs="_∏ÿµ'3"/>
          <w:color w:val="000000"/>
          <w:sz w:val="20"/>
          <w:szCs w:val="20"/>
        </w:rPr>
        <w:t>7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]. 52 p. Available from: </w:t>
      </w:r>
      <w:hyperlink r:id="rId1" w:history="1">
        <w:r w:rsidRPr="00485E8D">
          <w:rPr>
            <w:rStyle w:val="Hyperlink"/>
            <w:rFonts w:ascii="_∏ÿµ'3" w:hAnsi="_∏ÿµ'3" w:cs="_∏ÿµ'3"/>
            <w:sz w:val="20"/>
            <w:szCs w:val="20"/>
          </w:rPr>
          <w:t>https://hqca.ca/wp-content/uploads/2021/11/HQCA_HQSMFramework_R100217.pdf.</w:t>
        </w:r>
      </w:hyperlink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 </w:t>
      </w:r>
      <w:r>
        <w:rPr>
          <w:rFonts w:ascii="_∏ÿµ'3" w:hAnsi="_∏ÿµ'3" w:cs="_∏ÿµ'3"/>
          <w:color w:val="000000"/>
          <w:sz w:val="20"/>
          <w:szCs w:val="20"/>
        </w:rPr>
        <w:t>T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he Health Quality Council of Alberta </w:t>
      </w:r>
      <w:r>
        <w:rPr>
          <w:rFonts w:ascii="_∏ÿµ'3" w:hAnsi="_∏ÿµ'3" w:cs="_∏ÿµ'3"/>
          <w:color w:val="000000"/>
          <w:sz w:val="20"/>
          <w:szCs w:val="20"/>
        </w:rPr>
        <w:t>is in the process of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 </w:t>
      </w:r>
      <w:r>
        <w:rPr>
          <w:rFonts w:ascii="_∏ÿµ'3" w:hAnsi="_∏ÿµ'3" w:cs="_∏ÿµ'3"/>
          <w:color w:val="000000"/>
          <w:sz w:val="20"/>
          <w:szCs w:val="20"/>
        </w:rPr>
        <w:t>refreshing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 the definitions of the dimensions. </w:t>
      </w:r>
      <w:r>
        <w:rPr>
          <w:rFonts w:ascii="_∏ÿµ'3" w:hAnsi="_∏ÿµ'3" w:cs="_∏ÿµ'3"/>
          <w:color w:val="000000"/>
          <w:sz w:val="20"/>
          <w:szCs w:val="20"/>
        </w:rPr>
        <w:t xml:space="preserve">Interest-holder consultations have highlighted possible revisions to the definitions. The excerpts below have been taken from: </w:t>
      </w:r>
      <w:r w:rsidRPr="00485E8D">
        <w:rPr>
          <w:rFonts w:ascii="_∏ÿµ'3" w:hAnsi="_∏ÿµ'3" w:cs="_∏ÿµ'3"/>
          <w:color w:val="000000"/>
          <w:sz w:val="20"/>
          <w:szCs w:val="20"/>
        </w:rPr>
        <w:t>Appendix B of Health Quality Council of</w:t>
      </w:r>
      <w:r>
        <w:rPr>
          <w:rFonts w:ascii="_∏ÿµ'3" w:hAnsi="_∏ÿµ'3" w:cs="_∏ÿµ'3"/>
          <w:color w:val="000000"/>
          <w:sz w:val="20"/>
          <w:szCs w:val="20"/>
        </w:rPr>
        <w:t xml:space="preserve"> </w:t>
      </w:r>
      <w:r w:rsidRPr="00485E8D">
        <w:rPr>
          <w:rFonts w:ascii="_∏ÿµ'3" w:hAnsi="_∏ÿµ'3" w:cs="_∏ÿµ'3"/>
          <w:color w:val="000000"/>
          <w:sz w:val="20"/>
          <w:szCs w:val="20"/>
        </w:rPr>
        <w:t>Alberta. Quality matrix refresh: what we learned and heard (phase one) [Internet]. Calgary (AB): Health Quality Council of Alberta; 2022 December. [cited 202</w:t>
      </w:r>
      <w:r>
        <w:rPr>
          <w:rFonts w:ascii="_∏ÿµ'3" w:hAnsi="_∏ÿµ'3" w:cs="_∏ÿµ'3"/>
          <w:color w:val="000000"/>
          <w:sz w:val="20"/>
          <w:szCs w:val="20"/>
        </w:rPr>
        <w:t>5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 May</w:t>
      </w:r>
      <w:r>
        <w:rPr>
          <w:rFonts w:ascii="_∏ÿµ'3" w:hAnsi="_∏ÿµ'3" w:cs="_∏ÿµ'3"/>
          <w:color w:val="000000"/>
          <w:sz w:val="20"/>
          <w:szCs w:val="20"/>
        </w:rPr>
        <w:t xml:space="preserve"> 7</w:t>
      </w:r>
      <w:r w:rsidRPr="00485E8D">
        <w:rPr>
          <w:rFonts w:ascii="_∏ÿµ'3" w:hAnsi="_∏ÿµ'3" w:cs="_∏ÿµ'3"/>
          <w:color w:val="000000"/>
          <w:sz w:val="20"/>
          <w:szCs w:val="20"/>
        </w:rPr>
        <w:t xml:space="preserve">]. 8 p. Available from </w:t>
      </w:r>
      <w:hyperlink r:id="rId2" w:history="1">
        <w:r w:rsidRPr="002F1646">
          <w:rPr>
            <w:rStyle w:val="Hyperlink"/>
            <w:rFonts w:ascii="_∏ÿµ'3" w:hAnsi="_∏ÿµ'3" w:cs="_∏ÿµ'3"/>
            <w:sz w:val="20"/>
            <w:szCs w:val="20"/>
          </w:rPr>
          <w:t>https://hqca.ca/wp-content/uploads/2022/12/HQCA_QMR_What_We_Learned_and_Heard_2022-Dec-16.pdf</w:t>
        </w:r>
      </w:hyperlink>
    </w:p>
    <w:p w:rsidR="00F37ED5" w:rsidRPr="002F1646" w:rsidRDefault="00F37ED5" w:rsidP="00F3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_∏ÿµ'3" w:hAnsi="_∏ÿµ'3" w:cs="_∏ÿµ'3"/>
          <w:color w:val="000000"/>
          <w:kern w:val="0"/>
          <w:sz w:val="20"/>
          <w:szCs w:val="20"/>
        </w:rPr>
      </w:pPr>
      <w:r w:rsidRPr="002F1646">
        <w:rPr>
          <w:rFonts w:ascii="_∏ÿµ'3" w:hAnsi="_∏ÿµ'3" w:cs="_∏ÿµ'3"/>
          <w:b/>
          <w:bCs/>
          <w:color w:val="000000"/>
          <w:kern w:val="0"/>
          <w:sz w:val="20"/>
          <w:szCs w:val="20"/>
        </w:rPr>
        <w:t>Acceptability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: “respect” and “person-centred</w:t>
      </w:r>
    </w:p>
    <w:p w:rsidR="00F37ED5" w:rsidRPr="002F1646" w:rsidRDefault="00F37ED5" w:rsidP="00F3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_∏ÿµ'3" w:hAnsi="_∏ÿµ'3" w:cs="_∏ÿµ'3"/>
          <w:color w:val="000000"/>
          <w:kern w:val="0"/>
          <w:sz w:val="20"/>
          <w:szCs w:val="20"/>
        </w:rPr>
      </w:pPr>
      <w:r w:rsidRPr="002F1646">
        <w:rPr>
          <w:rFonts w:ascii="_∏ÿµ'3" w:hAnsi="_∏ÿµ'3" w:cs="_∏ÿµ'3"/>
          <w:b/>
          <w:bCs/>
          <w:color w:val="000000"/>
          <w:kern w:val="0"/>
          <w:sz w:val="20"/>
          <w:szCs w:val="20"/>
        </w:rPr>
        <w:t>Accessibility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: “…access to cultural safety/competency in the delivery of services” and consideration of the “…patient’s perspective on accessibility, such as access to financial/socio-economic resources that impact health”</w:t>
      </w:r>
    </w:p>
    <w:p w:rsidR="00F37ED5" w:rsidRPr="002F1646" w:rsidRDefault="00F37ED5" w:rsidP="00F3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_∏ÿµ'3" w:hAnsi="_∏ÿµ'3" w:cs="_∏ÿµ'3"/>
          <w:color w:val="000000"/>
          <w:kern w:val="0"/>
          <w:sz w:val="20"/>
          <w:szCs w:val="20"/>
        </w:rPr>
      </w:pPr>
      <w:r w:rsidRPr="002F1646">
        <w:rPr>
          <w:rFonts w:ascii="_∏ÿµ'3" w:hAnsi="_∏ÿµ'3" w:cs="_∏ÿµ'3"/>
          <w:b/>
          <w:bCs/>
          <w:color w:val="000000"/>
          <w:kern w:val="0"/>
          <w:sz w:val="20"/>
          <w:szCs w:val="20"/>
        </w:rPr>
        <w:t>Appropriateness: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 xml:space="preserve"> “…use of the term “right care” in the description may limit overlap with other interpretations of appropriateness” and considering “…from whose</w:t>
      </w:r>
      <w:r>
        <w:rPr>
          <w:rFonts w:ascii="_∏ÿµ'3" w:hAnsi="_∏ÿµ'3" w:cs="_∏ÿµ'3"/>
          <w:color w:val="000000"/>
          <w:kern w:val="0"/>
          <w:sz w:val="20"/>
          <w:szCs w:val="20"/>
        </w:rPr>
        <w:t xml:space="preserve"> 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perspective this dimension is being considered”</w:t>
      </w:r>
    </w:p>
    <w:p w:rsidR="00F37ED5" w:rsidRPr="002F1646" w:rsidRDefault="00F37ED5" w:rsidP="00F3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_∏ÿµ'3" w:hAnsi="_∏ÿµ'3" w:cs="_∏ÿµ'3"/>
          <w:color w:val="000000"/>
          <w:kern w:val="0"/>
          <w:sz w:val="20"/>
          <w:szCs w:val="20"/>
        </w:rPr>
      </w:pPr>
      <w:r w:rsidRPr="002F1646">
        <w:rPr>
          <w:rFonts w:ascii="_∏ÿµ'3" w:hAnsi="_∏ÿµ'3" w:cs="_∏ÿµ'3"/>
          <w:b/>
          <w:bCs/>
          <w:color w:val="000000"/>
          <w:kern w:val="0"/>
          <w:sz w:val="20"/>
          <w:szCs w:val="20"/>
        </w:rPr>
        <w:t>Effectiveness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: “…broaden the definition to include more strongly the perspective of value for money and evidence of impact on the patient” and “…privileges</w:t>
      </w:r>
      <w:r>
        <w:rPr>
          <w:rFonts w:ascii="_∏ÿµ'3" w:hAnsi="_∏ÿµ'3" w:cs="_∏ÿµ'3"/>
          <w:color w:val="000000"/>
          <w:kern w:val="0"/>
          <w:sz w:val="20"/>
          <w:szCs w:val="20"/>
        </w:rPr>
        <w:t xml:space="preserve"> 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scientific knowledge and needs to consider traditional/cultural health practices and perspectives, which are needed for some patients/populations to achieve</w:t>
      </w:r>
      <w:r>
        <w:rPr>
          <w:rFonts w:ascii="_∏ÿµ'3" w:hAnsi="_∏ÿµ'3" w:cs="_∏ÿµ'3"/>
          <w:color w:val="000000"/>
          <w:kern w:val="0"/>
          <w:sz w:val="20"/>
          <w:szCs w:val="20"/>
        </w:rPr>
        <w:t xml:space="preserve"> 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desired outcomes”</w:t>
      </w:r>
    </w:p>
    <w:p w:rsidR="00F37ED5" w:rsidRPr="002F1646" w:rsidRDefault="00F37ED5" w:rsidP="00F3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_∏ÿµ'3" w:hAnsi="_∏ÿµ'3" w:cs="_∏ÿµ'3"/>
          <w:color w:val="000000"/>
          <w:kern w:val="0"/>
          <w:sz w:val="20"/>
          <w:szCs w:val="20"/>
        </w:rPr>
      </w:pPr>
      <w:r w:rsidRPr="002F1646">
        <w:rPr>
          <w:rFonts w:ascii="_∏ÿµ'3" w:hAnsi="_∏ÿµ'3" w:cs="_∏ÿµ'3"/>
          <w:b/>
          <w:bCs/>
          <w:color w:val="000000"/>
          <w:kern w:val="0"/>
          <w:sz w:val="20"/>
          <w:szCs w:val="20"/>
        </w:rPr>
        <w:t>Efficiency</w:t>
      </w:r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 xml:space="preserve">: clarity “...about what efficiency refers to (time, materials, cost?), “Name of the definition highlights the system/providers’ view, but efficiency may be experienced and described differently by patients…”, and …renaming the dimension affordability, which captures better the interest of both the system </w:t>
      </w:r>
      <w:proofErr w:type="gramStart"/>
      <w:r w:rsidRPr="002F1646">
        <w:rPr>
          <w:rFonts w:ascii="_∏ÿµ'3" w:hAnsi="_∏ÿµ'3" w:cs="_∏ÿµ'3"/>
          <w:color w:val="000000"/>
          <w:kern w:val="0"/>
          <w:sz w:val="20"/>
          <w:szCs w:val="20"/>
        </w:rPr>
        <w:t>an</w:t>
      </w:r>
      <w:proofErr w:type="gramEnd"/>
      <w:r>
        <w:rPr>
          <w:rFonts w:ascii="_∏ÿµ'3" w:hAnsi="_∏ÿµ'3" w:cs="_∏ÿµ'3"/>
          <w:color w:val="000000"/>
          <w:kern w:val="0"/>
          <w:sz w:val="20"/>
          <w:szCs w:val="20"/>
        </w:rPr>
        <w:t xml:space="preserve"> </w:t>
      </w:r>
      <w:r w:rsidRPr="002F1646">
        <w:rPr>
          <w:rFonts w:ascii="_∏ÿµ'3" w:hAnsi="_∏ÿµ'3" w:cs="_∏ÿµ'3"/>
          <w:color w:val="000000"/>
          <w:kern w:val="0"/>
        </w:rPr>
        <w:t>patients.”</w:t>
      </w:r>
    </w:p>
    <w:p w:rsidR="00F37ED5" w:rsidRPr="002F1646" w:rsidRDefault="00F37ED5" w:rsidP="00F3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_∏ÿµ'3" w:hAnsi="_∏ÿµ'3" w:cs="_∏ÿµ'3"/>
          <w:color w:val="000000"/>
          <w:kern w:val="0"/>
          <w:sz w:val="20"/>
          <w:szCs w:val="20"/>
        </w:rPr>
      </w:pPr>
      <w:r>
        <w:rPr>
          <w:rFonts w:ascii="_∏ÿµ'3" w:hAnsi="_∏ÿµ'3" w:cs="_∏ÿµ'3"/>
          <w:b/>
          <w:bCs/>
          <w:color w:val="000000"/>
          <w:kern w:val="0"/>
          <w:sz w:val="20"/>
          <w:szCs w:val="20"/>
        </w:rPr>
        <w:t xml:space="preserve">Safety: </w:t>
      </w:r>
      <w:r>
        <w:rPr>
          <w:rFonts w:ascii="_∏ÿµ'3" w:hAnsi="_∏ÿµ'3" w:cs="_∏ÿµ'3"/>
          <w:color w:val="000000"/>
          <w:kern w:val="0"/>
          <w:sz w:val="20"/>
          <w:szCs w:val="20"/>
        </w:rPr>
        <w:t>“Must be more comprehensively interpreted to include physical, emotional, psychological, and cultural safety.”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F0779"/>
    <w:multiLevelType w:val="hybridMultilevel"/>
    <w:tmpl w:val="FDC058BC"/>
    <w:lvl w:ilvl="0" w:tplc="C2ACD5C8">
      <w:numFmt w:val="bullet"/>
      <w:lvlText w:val="•"/>
      <w:lvlJc w:val="left"/>
      <w:pPr>
        <w:ind w:left="720" w:hanging="360"/>
      </w:pPr>
      <w:rPr>
        <w:rFonts w:ascii="_∏ÿµ'3" w:eastAsiaTheme="minorHAnsi" w:hAnsi="_∏ÿµ'3" w:cs="_∏ÿµ'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xi Miciak">
    <w15:presenceInfo w15:providerId="None" w15:userId="Maxi Micia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ED5"/>
    <w:rsid w:val="0001627B"/>
    <w:rsid w:val="00065D26"/>
    <w:rsid w:val="000A5CFC"/>
    <w:rsid w:val="000F0535"/>
    <w:rsid w:val="001128B0"/>
    <w:rsid w:val="0011366D"/>
    <w:rsid w:val="0011543A"/>
    <w:rsid w:val="00146B41"/>
    <w:rsid w:val="00146B83"/>
    <w:rsid w:val="001B5305"/>
    <w:rsid w:val="001D12EE"/>
    <w:rsid w:val="001E2269"/>
    <w:rsid w:val="00206C8A"/>
    <w:rsid w:val="002124CC"/>
    <w:rsid w:val="00217868"/>
    <w:rsid w:val="00223F66"/>
    <w:rsid w:val="00231E97"/>
    <w:rsid w:val="00260C85"/>
    <w:rsid w:val="00264CD0"/>
    <w:rsid w:val="00282E52"/>
    <w:rsid w:val="002A064C"/>
    <w:rsid w:val="002A5CC0"/>
    <w:rsid w:val="003133BD"/>
    <w:rsid w:val="00336677"/>
    <w:rsid w:val="00346586"/>
    <w:rsid w:val="00350540"/>
    <w:rsid w:val="00367386"/>
    <w:rsid w:val="00391FB3"/>
    <w:rsid w:val="003940EC"/>
    <w:rsid w:val="003A6EDD"/>
    <w:rsid w:val="003E7718"/>
    <w:rsid w:val="00410E42"/>
    <w:rsid w:val="004346AF"/>
    <w:rsid w:val="00454CCF"/>
    <w:rsid w:val="00472E7B"/>
    <w:rsid w:val="00492652"/>
    <w:rsid w:val="004B5182"/>
    <w:rsid w:val="00511FED"/>
    <w:rsid w:val="0058611B"/>
    <w:rsid w:val="005B38FE"/>
    <w:rsid w:val="005F1908"/>
    <w:rsid w:val="00612F49"/>
    <w:rsid w:val="00624A50"/>
    <w:rsid w:val="006A75E1"/>
    <w:rsid w:val="007079A4"/>
    <w:rsid w:val="00767899"/>
    <w:rsid w:val="007762BC"/>
    <w:rsid w:val="007D2712"/>
    <w:rsid w:val="007E504D"/>
    <w:rsid w:val="00803EDB"/>
    <w:rsid w:val="00826AC8"/>
    <w:rsid w:val="00836BDF"/>
    <w:rsid w:val="00850685"/>
    <w:rsid w:val="00867313"/>
    <w:rsid w:val="00884E63"/>
    <w:rsid w:val="0090693B"/>
    <w:rsid w:val="00927A9F"/>
    <w:rsid w:val="009562B0"/>
    <w:rsid w:val="00977806"/>
    <w:rsid w:val="009A43AA"/>
    <w:rsid w:val="009F6FC8"/>
    <w:rsid w:val="00A22875"/>
    <w:rsid w:val="00A34B6E"/>
    <w:rsid w:val="00A422DE"/>
    <w:rsid w:val="00A51572"/>
    <w:rsid w:val="00A72233"/>
    <w:rsid w:val="00AC0521"/>
    <w:rsid w:val="00AC4175"/>
    <w:rsid w:val="00B14062"/>
    <w:rsid w:val="00B1543A"/>
    <w:rsid w:val="00B226AA"/>
    <w:rsid w:val="00B532C6"/>
    <w:rsid w:val="00B80F19"/>
    <w:rsid w:val="00C226BF"/>
    <w:rsid w:val="00C2321A"/>
    <w:rsid w:val="00C503AE"/>
    <w:rsid w:val="00C9426D"/>
    <w:rsid w:val="00D47AF9"/>
    <w:rsid w:val="00D766BA"/>
    <w:rsid w:val="00DF57AC"/>
    <w:rsid w:val="00E04EDC"/>
    <w:rsid w:val="00E23A58"/>
    <w:rsid w:val="00E34740"/>
    <w:rsid w:val="00E57C78"/>
    <w:rsid w:val="00F37ED5"/>
    <w:rsid w:val="00FA5221"/>
    <w:rsid w:val="00FD2A14"/>
    <w:rsid w:val="00FD63B7"/>
    <w:rsid w:val="00FF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ED5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F37E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37ED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7ED5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paragraph" w:styleId="Revision">
    <w:name w:val="Revision"/>
    <w:hidden/>
    <w:uiPriority w:val="99"/>
    <w:semiHidden/>
    <w:rsid w:val="00E57C7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57C7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ED5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F37E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37ED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7ED5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paragraph" w:styleId="Revision">
    <w:name w:val="Revision"/>
    <w:hidden/>
    <w:uiPriority w:val="99"/>
    <w:semiHidden/>
    <w:rsid w:val="00E57C7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57C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hqca.ca/wp-content/uploads/2022/12/HQCA_QMR_What_We_Learned_and_Heard_2022-Dec-16.pdf" TargetMode="External"/><Relationship Id="rId1" Type="http://schemas.openxmlformats.org/officeDocument/2006/relationships/hyperlink" Target="https://hqca.ca/wp-content/uploads/2021/11/HQCA_HQSMFramework_R1002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Brehon</dc:creator>
  <cp:keywords/>
  <dc:description/>
  <cp:lastModifiedBy>Nathiya Selvaraj (Integra)</cp:lastModifiedBy>
  <cp:revision>5</cp:revision>
  <dcterms:created xsi:type="dcterms:W3CDTF">2025-10-16T14:19:00Z</dcterms:created>
  <dcterms:modified xsi:type="dcterms:W3CDTF">2025-12-17T15:54:00Z</dcterms:modified>
</cp:coreProperties>
</file>