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06B3C">
      <w:pPr>
        <w:jc w:val="center"/>
        <w:rPr>
          <w:rFonts w:hint="default" w:ascii="Times New Roman" w:hAnsi="Times New Roman" w:cs="Times New Roman"/>
          <w:b/>
          <w:bCs/>
          <w:color w:val="000000"/>
          <w:sz w:val="22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2"/>
          <w:szCs w:val="28"/>
        </w:rPr>
        <w:t>Supplementary Table S1. Operationalization of Theoretical Frameworks into Questionnaire Items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676"/>
        <w:gridCol w:w="1714"/>
        <w:gridCol w:w="1585"/>
        <w:gridCol w:w="1978"/>
      </w:tblGrid>
      <w:tr w14:paraId="1CB68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162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top"/>
          </w:tcPr>
          <w:p w14:paraId="1CA046C0">
            <w:pPr>
              <w:jc w:val="both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0F546C3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Theoretical Framework</w:t>
            </w:r>
          </w:p>
        </w:tc>
        <w:tc>
          <w:tcPr>
            <w:tcW w:w="136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30B54710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488CE0BB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Core Construct / Dimension</w:t>
            </w:r>
          </w:p>
        </w:tc>
        <w:tc>
          <w:tcPr>
            <w:tcW w:w="191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18449116">
            <w:pPr>
              <w:jc w:val="center"/>
              <w:rPr>
                <w:rStyle w:val="9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</w:pPr>
          </w:p>
          <w:p w14:paraId="55ABBA5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Operationalization in the Survey</w:t>
            </w:r>
          </w:p>
        </w:tc>
        <w:tc>
          <w:tcPr>
            <w:tcW w:w="198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1DA5AE0F">
            <w:pPr>
              <w:jc w:val="center"/>
              <w:rPr>
                <w:rStyle w:val="9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</w:pPr>
          </w:p>
          <w:p w14:paraId="72C435A1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Corresponding Question(s)</w:t>
            </w:r>
          </w:p>
        </w:tc>
        <w:tc>
          <w:tcPr>
            <w:tcW w:w="13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33E7DDB7">
            <w:pPr>
              <w:jc w:val="center"/>
              <w:rPr>
                <w:rStyle w:val="9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</w:pPr>
          </w:p>
          <w:p w14:paraId="784576F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Constructed Service Dimension</w:t>
            </w:r>
          </w:p>
        </w:tc>
      </w:tr>
      <w:tr w14:paraId="716F4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8" w:hRule="atLeast"/>
        </w:trPr>
        <w:tc>
          <w:tcPr>
            <w:tcW w:w="1627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CB27C73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324D7A5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4F39127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18C4D9F8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7F4B1C4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1E188A1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02FB528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33DDDF1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4586729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1A704349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Maslow's Hierarchy of Needs</w:t>
            </w:r>
          </w:p>
          <w:p w14:paraId="05DC77B4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</w:tc>
        <w:tc>
          <w:tcPr>
            <w:tcW w:w="136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E4EEFB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6F004FA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tbl>
            <w:tblPr>
              <w:tblStyle w:val="6"/>
              <w:tblW w:w="0" w:type="auto"/>
              <w:tblInd w:w="-16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460"/>
            </w:tblGrid>
            <w:tr w14:paraId="21756F3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shd w:val="clear" w:color="auto" w:fill="FFFFFF"/>
                  <w:tcMar>
                    <w:top w:w="100" w:type="dxa"/>
                    <w:left w:w="160" w:type="dxa"/>
                    <w:bottom w:w="100" w:type="dxa"/>
                    <w:right w:w="160" w:type="dxa"/>
                  </w:tcMar>
                  <w:vAlign w:val="center"/>
                </w:tcPr>
                <w:p w14:paraId="5A3591F6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 w:ascii="Times New Roman" w:hAnsi="Times New Roman" w:eastAsia="var(--dsw-font-markdown-table)" w:cs="Times New Roman"/>
                      <w:b w:val="0"/>
                      <w:i w:val="0"/>
                      <w:iCs w:val="0"/>
                      <w:caps w:val="0"/>
                      <w:color w:val="000000"/>
                      <w:spacing w:val="0"/>
                      <w:sz w:val="18"/>
                      <w:szCs w:val="18"/>
                    </w:rPr>
                  </w:pPr>
                  <w:r>
                    <w:rPr>
                      <w:rFonts w:hint="default" w:ascii="Times New Roman" w:hAnsi="Times New Roman" w:eastAsia="var(--dsw-font-markdown-table)" w:cs="Times New Roman"/>
                      <w:b w:val="0"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18"/>
                      <w:szCs w:val="18"/>
                      <w:lang w:val="en-US" w:eastAsia="zh-CN" w:bidi="ar"/>
                    </w:rPr>
                    <w:br w:type="textWrapping"/>
                  </w:r>
                  <w:r>
                    <w:rPr>
                      <w:rStyle w:val="9"/>
                      <w:rFonts w:hint="default" w:ascii="Times New Roman" w:hAnsi="Times New Roman" w:eastAsia="var(--dsw-font-markdown-table)" w:cs="Times New Roman"/>
                      <w:b w:val="0"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18"/>
                      <w:szCs w:val="18"/>
                      <w:lang w:val="en-US" w:eastAsia="zh-CN" w:bidi="ar"/>
                    </w:rPr>
                    <w:t>Physiological Needs</w:t>
                  </w:r>
                </w:p>
              </w:tc>
            </w:tr>
          </w:tbl>
          <w:p w14:paraId="3600F4D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91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97DCAD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5D9F648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4AA0BC5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Quality of basic sustenance (food) during hospitalization.</w:t>
            </w:r>
          </w:p>
        </w:tc>
        <w:tc>
          <w:tcPr>
            <w:tcW w:w="198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EDF8A5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0024E31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26EE9A24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  <w:t>Q18</w:t>
            </w:r>
          </w:p>
        </w:tc>
        <w:tc>
          <w:tcPr>
            <w:tcW w:w="13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18D15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3EEE1A9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4886C23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Environment</w:t>
            </w:r>
          </w:p>
        </w:tc>
      </w:tr>
      <w:tr w14:paraId="5CDC7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A7E417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E3455A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10522D7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4FFFCA8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01DB920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5BD5CDB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Safety Needs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DE0573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55FC4E0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tbl>
            <w:tblPr>
              <w:tblStyle w:val="6"/>
              <w:tblW w:w="0" w:type="auto"/>
              <w:tblInd w:w="-16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498"/>
            </w:tblGrid>
            <w:tr w14:paraId="2996049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</w:tblPrEx>
              <w:tc>
                <w:tcPr>
                  <w:tcW w:w="0" w:type="auto"/>
                  <w:shd w:val="clear" w:color="auto" w:fill="FFFFFF"/>
                  <w:tcMar>
                    <w:top w:w="100" w:type="dxa"/>
                    <w:left w:w="160" w:type="dxa"/>
                    <w:bottom w:w="100" w:type="dxa"/>
                    <w:right w:w="160" w:type="dxa"/>
                  </w:tcMar>
                  <w:vAlign w:val="center"/>
                </w:tcPr>
                <w:p w14:paraId="090E1793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 w:ascii="Times New Roman" w:hAnsi="Times New Roman" w:eastAsia="var(--dsw-font-markdown-table)" w:cs="Times New Roman"/>
                      <w:b w:val="0"/>
                      <w:i w:val="0"/>
                      <w:iCs w:val="0"/>
                      <w:caps w:val="0"/>
                      <w:color w:val="000000"/>
                      <w:spacing w:val="0"/>
                      <w:sz w:val="18"/>
                      <w:szCs w:val="18"/>
                    </w:rPr>
                  </w:pPr>
                  <w:r>
                    <w:rPr>
                      <w:rFonts w:hint="default" w:ascii="Times New Roman" w:hAnsi="Times New Roman" w:eastAsia="var(--dsw-font-markdown-table)" w:cs="Times New Roman"/>
                      <w:b w:val="0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18"/>
                      <w:szCs w:val="18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eastAsia="var(--dsw-font-markdown-table)" w:cs="Times New Roman"/>
                      <w:b w:val="0"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18"/>
                      <w:szCs w:val="18"/>
                      <w:lang w:val="en-US" w:eastAsia="zh-CN" w:bidi="ar"/>
                    </w:rPr>
                    <w:t>Perceptions of a clean, safe, and orderly environment (hygiene, noise, queuing order).</w:t>
                  </w:r>
                </w:p>
              </w:tc>
            </w:tr>
          </w:tbl>
          <w:p w14:paraId="3ACC7EB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6691B94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0EFFE9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0296AD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4CA33EF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54503B0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  <w:t>Q19, Q20, Q25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009AA7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1F2C94C4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646963E3">
            <w:pPr>
              <w:jc w:val="center"/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</w:pPr>
          </w:p>
          <w:p w14:paraId="3C2E20B9">
            <w:pPr>
              <w:jc w:val="center"/>
              <w:rPr>
                <w:rStyle w:val="9"/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Environment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 w:eastAsia="zh-CN"/>
              </w:rPr>
              <w:t>,</w:t>
            </w:r>
          </w:p>
          <w:p w14:paraId="0E6EE33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Medical Processes</w:t>
            </w:r>
          </w:p>
        </w:tc>
      </w:tr>
      <w:tr w14:paraId="0B999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7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7B58013F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5BDE467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68051AE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tbl>
            <w:tblPr>
              <w:tblStyle w:val="6"/>
              <w:tblW w:w="0" w:type="auto"/>
              <w:tblInd w:w="-16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460"/>
            </w:tblGrid>
            <w:tr w14:paraId="50AC6D9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shd w:val="clear" w:color="auto" w:fill="FFFFFF"/>
                  <w:tcMar>
                    <w:top w:w="100" w:type="dxa"/>
                    <w:left w:w="160" w:type="dxa"/>
                    <w:bottom w:w="100" w:type="dxa"/>
                    <w:right w:w="160" w:type="dxa"/>
                  </w:tcMar>
                  <w:vAlign w:val="center"/>
                </w:tcPr>
                <w:p w14:paraId="48F0382C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 w:ascii="Times New Roman" w:hAnsi="Times New Roman" w:eastAsia="var(--dsw-font-markdown-table)" w:cs="Times New Roman"/>
                      <w:b w:val="0"/>
                      <w:i w:val="0"/>
                      <w:iCs w:val="0"/>
                      <w:caps w:val="0"/>
                      <w:color w:val="000000"/>
                      <w:spacing w:val="0"/>
                      <w:sz w:val="18"/>
                      <w:szCs w:val="18"/>
                    </w:rPr>
                  </w:pPr>
                  <w:r>
                    <w:rPr>
                      <w:rFonts w:hint="default" w:ascii="Times New Roman" w:hAnsi="Times New Roman" w:eastAsia="var(--dsw-font-markdown-table)" w:cs="Times New Roman"/>
                      <w:b w:val="0"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18"/>
                      <w:szCs w:val="18"/>
                      <w:lang w:val="en-US" w:eastAsia="zh-CN" w:bidi="ar"/>
                    </w:rPr>
                    <w:br w:type="textWrapping"/>
                  </w:r>
                  <w:r>
                    <w:rPr>
                      <w:rStyle w:val="9"/>
                      <w:rFonts w:hint="default" w:ascii="Times New Roman" w:hAnsi="Times New Roman" w:eastAsia="Segoe UI" w:cs="Times New Roman"/>
                      <w:b w:val="0"/>
                      <w:bCs/>
                      <w:i w:val="0"/>
                      <w:iCs w:val="0"/>
                      <w:caps w:val="0"/>
                      <w:color w:val="000000"/>
                      <w:spacing w:val="0"/>
                      <w:sz w:val="16"/>
                      <w:szCs w:val="16"/>
                      <w:shd w:val="clear" w:fill="FFFFFF"/>
                      <w:lang w:val="en-US" w:eastAsia="zh-CN"/>
                    </w:rPr>
                    <w:t>Love/Belonging &amp; Esteem Needs</w:t>
                  </w:r>
                </w:p>
              </w:tc>
            </w:tr>
          </w:tbl>
          <w:p w14:paraId="1B497AD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351C97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4951BFA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36FAF48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Feeling respected, heard, and involved in care decisions (empathy, communication, consideration).</w:t>
            </w: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1FC8888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655A54C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3E86063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  <w:t>Q12, Q13, Q14, Q15, Q16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1067487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CD09E8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2B7869B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DAEC4C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Doctor-Patient Communication</w:t>
            </w:r>
          </w:p>
        </w:tc>
      </w:tr>
      <w:tr w14:paraId="48D95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7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A0EF71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40BDCDF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0B8DE79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4892582F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32635E6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Three-Dimensional Quality Structure Model (Donabedian)</w:t>
            </w:r>
          </w:p>
          <w:p w14:paraId="7A4C8120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1076BA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2930902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223FFEB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Structure</w:t>
            </w:r>
          </w:p>
          <w:p w14:paraId="4D68F6D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537865C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9EE096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3B03151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Evaluation of tangible resources and facilities (equipment, signage, facilities).</w:t>
            </w:r>
          </w:p>
        </w:tc>
        <w:tc>
          <w:tcPr>
            <w:tcW w:w="19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0052F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4276DA1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E3FEE9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2F6A809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  <w:t>Q9, Q17, Q21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2C1765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DDBEAC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9DD792C">
            <w:pPr>
              <w:jc w:val="center"/>
              <w:rPr>
                <w:rStyle w:val="9"/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Medical Technology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 w:eastAsia="zh-CN"/>
              </w:rPr>
              <w:t>,</w:t>
            </w:r>
          </w:p>
          <w:p w14:paraId="1A35CC9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Environment</w:t>
            </w:r>
          </w:p>
        </w:tc>
      </w:tr>
      <w:tr w14:paraId="6F04F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19EB2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0C0131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01E6EF1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6624889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6164293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Process</w:t>
            </w:r>
          </w:p>
          <w:p w14:paraId="1D67A85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20F3B56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664513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5E98F1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54181F5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Evaluation of interactions and procedures during care delivery (expertise, communication, efficiency).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32BE1C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39B3F82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0CF27EA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19BBE6E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  <w:t>Q7, Q8, Q10, Q11, Q12-Q16, Q22-Q25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44824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1FC070E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036297C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Medical Technology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, </w:t>
            </w: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Doctor-Patient Communication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, </w:t>
            </w: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Medical Processes</w:t>
            </w:r>
          </w:p>
        </w:tc>
      </w:tr>
      <w:tr w14:paraId="6B9EF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7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6B0B9CCF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727FA40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11C1540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5CF396C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tbl>
            <w:tblPr>
              <w:tblStyle w:val="6"/>
              <w:tblW w:w="0" w:type="auto"/>
              <w:tblInd w:w="-16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907"/>
            </w:tblGrid>
            <w:tr w14:paraId="6B12A8B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shd w:val="clear" w:color="auto" w:fill="FFFFFF"/>
                  <w:tcMar>
                    <w:top w:w="100" w:type="dxa"/>
                    <w:left w:w="160" w:type="dxa"/>
                    <w:bottom w:w="100" w:type="dxa"/>
                    <w:right w:w="160" w:type="dxa"/>
                  </w:tcMar>
                  <w:vAlign w:val="center"/>
                </w:tcPr>
                <w:p w14:paraId="38B1F3BE">
                  <w:pPr>
                    <w:jc w:val="center"/>
                    <w:rPr>
                      <w:rFonts w:hint="default" w:ascii="Times New Roman" w:hAnsi="Times New Roman" w:eastAsia="Segoe UI" w:cs="Times New Roman"/>
                      <w:b w:val="0"/>
                      <w:i w:val="0"/>
                      <w:iCs w:val="0"/>
                      <w:caps w:val="0"/>
                      <w:color w:val="000000"/>
                      <w:spacing w:val="0"/>
                      <w:sz w:val="16"/>
                      <w:szCs w:val="16"/>
                      <w:shd w:val="clear" w:fill="FFFFFF"/>
                    </w:rPr>
                  </w:pPr>
                  <w:r>
                    <w:rPr>
                      <w:rFonts w:hint="default" w:ascii="Times New Roman" w:hAnsi="Times New Roman" w:eastAsia="Segoe UI" w:cs="Times New Roman"/>
                      <w:b w:val="0"/>
                      <w:i w:val="0"/>
                      <w:iCs w:val="0"/>
                      <w:caps w:val="0"/>
                      <w:color w:val="000000"/>
                      <w:spacing w:val="0"/>
                      <w:sz w:val="16"/>
                      <w:szCs w:val="16"/>
                      <w:shd w:val="clear" w:fill="FFFFFF"/>
                      <w:lang w:val="en-US" w:eastAsia="zh-CN"/>
                    </w:rPr>
                    <w:br w:type="textWrapping"/>
                  </w:r>
                  <w:r>
                    <w:rPr>
                      <w:rFonts w:hint="default" w:ascii="Times New Roman" w:hAnsi="Times New Roman" w:eastAsia="Segoe UI" w:cs="Times New Roman"/>
                      <w:b w:val="0"/>
                      <w:i w:val="0"/>
                      <w:iCs w:val="0"/>
                      <w:caps w:val="0"/>
                      <w:color w:val="000000"/>
                      <w:spacing w:val="0"/>
                      <w:sz w:val="16"/>
                      <w:szCs w:val="16"/>
                      <w:shd w:val="clear" w:fill="FFFFFF"/>
                      <w:lang w:val="en-US" w:eastAsia="zh-CN"/>
                    </w:rPr>
                    <w:t>Outcome</w:t>
                  </w:r>
                </w:p>
              </w:tc>
            </w:tr>
          </w:tbl>
          <w:p w14:paraId="434BF97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15245CB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7B2EA3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7FE8AD0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0248AAD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4E8CA872">
            <w:pPr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</w:pPr>
          </w:p>
          <w:p w14:paraId="56D840A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Overall assessment of the care experience and satisfaction.</w:t>
            </w: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59BEF98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1D09EEC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3E963BE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6C11D23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458F2E4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  <w:t>Q30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0A8469F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24725C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tbl>
            <w:tblPr>
              <w:tblStyle w:val="6"/>
              <w:tblW w:w="0" w:type="auto"/>
              <w:tblInd w:w="-16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762"/>
            </w:tblGrid>
            <w:tr w14:paraId="5097B90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</w:tblPrEx>
              <w:tc>
                <w:tcPr>
                  <w:tcW w:w="0" w:type="auto"/>
                  <w:shd w:val="clear" w:color="auto" w:fill="FFFFFF"/>
                  <w:tcMar>
                    <w:top w:w="100" w:type="dxa"/>
                    <w:left w:w="160" w:type="dxa"/>
                    <w:bottom w:w="100" w:type="dxa"/>
                    <w:right w:w="0" w:type="dxa"/>
                  </w:tcMar>
                  <w:vAlign w:val="center"/>
                </w:tcPr>
                <w:p w14:paraId="6A3EC878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 w:ascii="Times New Roman" w:hAnsi="Times New Roman" w:eastAsia="var(--dsw-font-markdown-table)" w:cs="Times New Roman"/>
                      <w:b w:val="0"/>
                      <w:i w:val="0"/>
                      <w:iCs w:val="0"/>
                      <w:caps w:val="0"/>
                      <w:color w:val="000000"/>
                      <w:spacing w:val="0"/>
                      <w:sz w:val="18"/>
                      <w:szCs w:val="18"/>
                    </w:rPr>
                  </w:pPr>
                  <w:r>
                    <w:rPr>
                      <w:rFonts w:hint="default" w:ascii="Times New Roman" w:hAnsi="Times New Roman" w:eastAsia="var(--dsw-font-markdown-table)" w:cs="Times New Roman"/>
                      <w:b w:val="0"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18"/>
                      <w:szCs w:val="18"/>
                      <w:lang w:val="en-US" w:eastAsia="zh-CN" w:bidi="ar"/>
                    </w:rPr>
                    <w:br w:type="textWrapping"/>
                  </w:r>
                  <w:r>
                    <w:rPr>
                      <w:rFonts w:hint="default" w:ascii="Times New Roman" w:hAnsi="Times New Roman" w:eastAsia="var(--dsw-font-markdown-table)" w:cs="Times New Roman"/>
                      <w:b w:val="0"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18"/>
                      <w:szCs w:val="18"/>
                      <w:lang w:val="en-US" w:eastAsia="zh-CN" w:bidi="ar"/>
                    </w:rPr>
                    <w:t xml:space="preserve">  </w:t>
                  </w:r>
                  <w:r>
                    <w:rPr>
                      <w:rStyle w:val="9"/>
                      <w:rFonts w:hint="default" w:ascii="Times New Roman" w:hAnsi="Times New Roman" w:eastAsia="Segoe UI" w:cs="Times New Roman"/>
                      <w:b w:val="0"/>
                      <w:bCs/>
                      <w:i w:val="0"/>
                      <w:iCs w:val="0"/>
                      <w:caps w:val="0"/>
                      <w:color w:val="000000"/>
                      <w:spacing w:val="0"/>
                      <w:sz w:val="16"/>
                      <w:szCs w:val="16"/>
                      <w:shd w:val="clear" w:fill="FFFFFF"/>
                      <w:lang w:val="en-US" w:eastAsia="zh-CN"/>
                    </w:rPr>
                    <w:t xml:space="preserve">Overall </w:t>
                  </w:r>
                  <w:r>
                    <w:rPr>
                      <w:rStyle w:val="9"/>
                      <w:rFonts w:hint="eastAsia" w:ascii="Times New Roman" w:hAnsi="Times New Roman" w:eastAsia="Segoe UI" w:cs="Times New Roman"/>
                      <w:b w:val="0"/>
                      <w:bCs/>
                      <w:i w:val="0"/>
                      <w:iCs w:val="0"/>
                      <w:caps w:val="0"/>
                      <w:color w:val="000000"/>
                      <w:spacing w:val="0"/>
                      <w:sz w:val="16"/>
                      <w:szCs w:val="16"/>
                      <w:shd w:val="clear" w:fill="FFFFFF"/>
                      <w:lang w:val="en-US" w:eastAsia="zh-CN"/>
                    </w:rPr>
                    <w:t xml:space="preserve">  </w:t>
                  </w:r>
                  <w:r>
                    <w:rPr>
                      <w:rStyle w:val="9"/>
                      <w:rFonts w:hint="default" w:ascii="Times New Roman" w:hAnsi="Times New Roman" w:eastAsia="Segoe UI" w:cs="Times New Roman"/>
                      <w:b w:val="0"/>
                      <w:bCs/>
                      <w:i w:val="0"/>
                      <w:iCs w:val="0"/>
                      <w:caps w:val="0"/>
                      <w:color w:val="000000"/>
                      <w:spacing w:val="0"/>
                      <w:sz w:val="16"/>
                      <w:szCs w:val="16"/>
                      <w:shd w:val="clear" w:fill="FFFFFF"/>
                      <w:lang w:val="en-US" w:eastAsia="zh-CN"/>
                    </w:rPr>
                    <w:t>Satisfaction</w:t>
                  </w:r>
                </w:p>
              </w:tc>
            </w:tr>
          </w:tbl>
          <w:p w14:paraId="2485967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</w:tc>
      </w:tr>
      <w:tr w14:paraId="02709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7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1FF3EF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7BA9BBE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50061E17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0E184DBC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6227FEC0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7F1A02A1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4C21CF5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3AEF3B83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4114F628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7F15CAB1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3B99938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2208EBA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Service Quality Theory (SERVQUAL)</w:t>
            </w:r>
          </w:p>
          <w:p w14:paraId="549D2748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18C403F9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68432031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92EE5C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6B399B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037561F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6E9C436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Tangibles</w:t>
            </w: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6D6AB9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0E85C1A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3C3ABA3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Appearance of physical facilities and equipment (equipment, signage, cleanliness, facilities).</w:t>
            </w:r>
          </w:p>
          <w:p w14:paraId="44EA417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73963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21D2F9F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496FD8B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3A8C93B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  <w:t>Q9, Q17, Q19, Q21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FFDFE0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06E96E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68AFB91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11B81D9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Medical Technology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, </w:t>
            </w: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Environment</w:t>
            </w:r>
          </w:p>
        </w:tc>
      </w:tr>
      <w:tr w14:paraId="7EBB7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4D6AD4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6207A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06E2608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61451B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Reliability</w:t>
            </w:r>
          </w:p>
          <w:p w14:paraId="328E7CA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00B6BC6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FA0096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1D5565D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Dependable and accurate service performance (expertise, pain management, treatment plans).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E1D2C4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3805FB2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4221916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125F42C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  <w:t>Q7, Q8, Q10, Q23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0202B0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45C19AD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39F4B2A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Medical Technology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, </w:t>
            </w: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Medical Processes</w:t>
            </w:r>
          </w:p>
        </w:tc>
      </w:tr>
      <w:tr w14:paraId="760C8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CD18CD4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C0DC74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12E4506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tbl>
            <w:tblPr>
              <w:tblStyle w:val="6"/>
              <w:tblW w:w="0" w:type="auto"/>
              <w:tblInd w:w="-16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460"/>
            </w:tblGrid>
            <w:tr w14:paraId="239330E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shd w:val="clear" w:color="auto" w:fill="FFFFFF"/>
                  <w:tcMar>
                    <w:top w:w="100" w:type="dxa"/>
                    <w:left w:w="160" w:type="dxa"/>
                    <w:bottom w:w="100" w:type="dxa"/>
                    <w:right w:w="160" w:type="dxa"/>
                  </w:tcMar>
                  <w:vAlign w:val="center"/>
                </w:tcPr>
                <w:p w14:paraId="41A22493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 w:ascii="Times New Roman" w:hAnsi="Times New Roman" w:eastAsia="var(--dsw-font-markdown-table)" w:cs="Times New Roman"/>
                      <w:b w:val="0"/>
                      <w:i w:val="0"/>
                      <w:iCs w:val="0"/>
                      <w:caps w:val="0"/>
                      <w:color w:val="000000"/>
                      <w:spacing w:val="0"/>
                      <w:sz w:val="18"/>
                      <w:szCs w:val="18"/>
                    </w:rPr>
                  </w:pPr>
                  <w:r>
                    <w:rPr>
                      <w:rFonts w:hint="default" w:ascii="Times New Roman" w:hAnsi="Times New Roman" w:eastAsia="var(--dsw-font-markdown-table)" w:cs="Times New Roman"/>
                      <w:b w:val="0"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18"/>
                      <w:szCs w:val="18"/>
                      <w:lang w:val="en-US" w:eastAsia="zh-CN" w:bidi="ar"/>
                    </w:rPr>
                    <w:br w:type="textWrapping"/>
                  </w:r>
                  <w:r>
                    <w:rPr>
                      <w:rStyle w:val="9"/>
                      <w:rFonts w:hint="default" w:ascii="Times New Roman" w:hAnsi="Times New Roman" w:eastAsia="var(--dsw-font-markdown-table)" w:cs="Times New Roman"/>
                      <w:b w:val="0"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18"/>
                      <w:szCs w:val="18"/>
                      <w:lang w:val="en-US" w:eastAsia="zh-CN" w:bidi="ar"/>
                    </w:rPr>
                    <w:t>Responsiveness</w:t>
                  </w:r>
                </w:p>
              </w:tc>
            </w:tr>
          </w:tbl>
          <w:p w14:paraId="662E58E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13AE8D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6AE5823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79ACDF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530F5D8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Willingness to help and provide prompt service (admission/discharge efficiency, waiting times).</w:t>
            </w: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3D3DDD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5E0EAC3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02C76CB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2CE4E1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  <w:t>Q22, Q24, Q25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036607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035C348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0FE01E9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54A13F0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Medical Processes</w:t>
            </w:r>
          </w:p>
        </w:tc>
      </w:tr>
      <w:tr w14:paraId="0BA53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698D428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1AC21B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4BD6A697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817AC5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69FFED1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Assurance</w:t>
            </w:r>
          </w:p>
          <w:p w14:paraId="1D212B1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0B0416A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52867B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6740B33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36C94EF9">
            <w:pPr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 xml:space="preserve">Knowledge, courtesy, and ability to inspire trust (expertise, clear </w:t>
            </w:r>
          </w:p>
          <w:p w14:paraId="2C41D014">
            <w:pPr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explanations, attitude).</w:t>
            </w:r>
          </w:p>
          <w:p w14:paraId="7DAB22E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5C4C3C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4AD8136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1E50D88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1347DBE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404287D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  <w:t>Q7, Q11, Q16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B01387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6FB7B464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2F13F2B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Medical Technology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, </w:t>
            </w: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Doctor-Patient Communication</w:t>
            </w:r>
          </w:p>
        </w:tc>
      </w:tr>
      <w:tr w14:paraId="48312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7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6CEC940A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7DCC9DB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F5E522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23C9DC3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C8A936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Empathy</w:t>
            </w:r>
          </w:p>
          <w:p w14:paraId="62DA817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365764D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5FA0A97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46EC96E9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1A0597C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6403146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5492FD3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Caring, individualized attention (empathy, plain language, listening, considering wishes).</w:t>
            </w: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611255E5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690C5D7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4EFECF8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4458984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2639EBC8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sz w:val="22"/>
                <w:szCs w:val="28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  <w:t>Q12, Q13, Q14, Q15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5E564C3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133A89B6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0EC8FFF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43EEC0CC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2FE1B7FF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Style w:val="9"/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Doctor-Patient Communication</w:t>
            </w:r>
          </w:p>
        </w:tc>
      </w:tr>
      <w:tr w14:paraId="47B0B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7" w:type="dxa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0A095F45">
            <w:pPr>
              <w:jc w:val="both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364BC06D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34C916A6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2E3E328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</w:p>
          <w:p w14:paraId="09260C48">
            <w:pPr>
              <w:jc w:val="both"/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2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2"/>
                <w:szCs w:val="28"/>
              </w:rPr>
              <w:t>N/A</w:t>
            </w:r>
          </w:p>
        </w:tc>
        <w:tc>
          <w:tcPr>
            <w:tcW w:w="1367" w:type="dxa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494B3B46">
            <w:pPr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1920EE8C">
            <w:pPr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tbl>
            <w:tblPr>
              <w:tblStyle w:val="6"/>
              <w:tblW w:w="0" w:type="auto"/>
              <w:tblInd w:w="-16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460"/>
            </w:tblGrid>
            <w:tr w14:paraId="2ED150D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shd w:val="clear" w:color="auto" w:fill="FFFFFF"/>
                  <w:tcMar>
                    <w:top w:w="100" w:type="dxa"/>
                    <w:left w:w="160" w:type="dxa"/>
                    <w:bottom w:w="100" w:type="dxa"/>
                    <w:right w:w="160" w:type="dxa"/>
                  </w:tcMar>
                  <w:vAlign w:val="center"/>
                </w:tcPr>
                <w:p w14:paraId="32D13284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 w:ascii="Times New Roman" w:hAnsi="Times New Roman" w:eastAsia="var(--dsw-font-markdown-table)" w:cs="Times New Roman"/>
                      <w:b w:val="0"/>
                      <w:i w:val="0"/>
                      <w:iCs w:val="0"/>
                      <w:caps w:val="0"/>
                      <w:color w:val="000000"/>
                      <w:spacing w:val="0"/>
                      <w:sz w:val="18"/>
                      <w:szCs w:val="18"/>
                    </w:rPr>
                  </w:pPr>
                  <w:r>
                    <w:rPr>
                      <w:rFonts w:hint="default" w:ascii="Times New Roman" w:hAnsi="Times New Roman" w:eastAsia="var(--dsw-font-markdown-table)" w:cs="Times New Roman"/>
                      <w:b w:val="0"/>
                      <w:bCs/>
                      <w:i w:val="0"/>
                      <w:iCs w:val="0"/>
                      <w:caps w:val="0"/>
                      <w:color w:val="000000"/>
                      <w:spacing w:val="0"/>
                      <w:kern w:val="0"/>
                      <w:sz w:val="18"/>
                      <w:szCs w:val="18"/>
                      <w:lang w:val="en-US" w:eastAsia="zh-CN" w:bidi="ar"/>
                    </w:rPr>
                    <w:br w:type="textWrapping"/>
                  </w:r>
                  <w:r>
                    <w:rPr>
                      <w:rStyle w:val="9"/>
                      <w:rFonts w:hint="default" w:ascii="Times New Roman" w:hAnsi="Times New Roman" w:eastAsia="Segoe UI" w:cs="Times New Roman"/>
                      <w:b w:val="0"/>
                      <w:bCs/>
                      <w:i w:val="0"/>
                      <w:iCs w:val="0"/>
                      <w:caps w:val="0"/>
                      <w:color w:val="000000"/>
                      <w:spacing w:val="0"/>
                      <w:sz w:val="16"/>
                      <w:szCs w:val="16"/>
                      <w:shd w:val="clear" w:fill="FFFFFF"/>
                      <w:lang w:val="en-US" w:eastAsia="zh-CN"/>
                    </w:rPr>
                    <w:t>Cost Transparency / Financial Fairness</w:t>
                  </w:r>
                </w:p>
              </w:tc>
            </w:tr>
          </w:tbl>
          <w:p w14:paraId="33957C7D">
            <w:pPr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914" w:type="dxa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05A60037">
            <w:pPr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66657458">
            <w:pPr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2954F65C">
            <w:pPr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</w:pPr>
          </w:p>
          <w:p w14:paraId="0671884D">
            <w:pPr>
              <w:jc w:val="both"/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Perceived fairness and clarity of medical expenses (an essential, context-specific dimension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 w:eastAsia="zh-CN"/>
              </w:rPr>
              <w:t xml:space="preserve"> </w:t>
            </w:r>
          </w:p>
          <w:p w14:paraId="642EC92A">
            <w:pPr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in healthcare).</w:t>
            </w:r>
          </w:p>
          <w:p w14:paraId="55FA4F7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52A3DC50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9DB1A11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4AF0285D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507C4BE4">
            <w:pPr>
              <w:ind w:left="218" w:leftChars="104" w:firstLine="0" w:firstLineChars="0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  <w:t xml:space="preserve">Q26,Q27, 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2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  <w:t>Q28, Q29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3B36369E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53CFFA6B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4DA16203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p w14:paraId="79236402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  <w:tbl>
            <w:tblPr>
              <w:tblStyle w:val="6"/>
              <w:tblW w:w="0" w:type="auto"/>
              <w:tblInd w:w="-16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245"/>
            </w:tblGrid>
            <w:tr w14:paraId="529AA13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shd w:val="clear" w:color="auto" w:fill="FFFFFF"/>
                  <w:tcMar>
                    <w:top w:w="100" w:type="dxa"/>
                    <w:left w:w="160" w:type="dxa"/>
                    <w:bottom w:w="100" w:type="dxa"/>
                    <w:right w:w="0" w:type="dxa"/>
                  </w:tcMar>
                  <w:vAlign w:val="center"/>
                </w:tcPr>
                <w:p w14:paraId="1D8212E2">
                  <w:pPr>
                    <w:jc w:val="both"/>
                    <w:rPr>
                      <w:rStyle w:val="9"/>
                      <w:rFonts w:hint="default" w:ascii="Times New Roman" w:hAnsi="Times New Roman" w:eastAsia="Segoe UI" w:cs="Times New Roman"/>
                      <w:b w:val="0"/>
                      <w:bCs/>
                      <w:i w:val="0"/>
                      <w:iCs w:val="0"/>
                      <w:caps w:val="0"/>
                      <w:color w:val="000000"/>
                      <w:spacing w:val="0"/>
                      <w:sz w:val="16"/>
                      <w:szCs w:val="16"/>
                      <w:shd w:val="clear" w:fill="FFFFFF"/>
                      <w:lang w:val="en-US" w:eastAsia="zh-CN"/>
                    </w:rPr>
                  </w:pPr>
                  <w:r>
                    <w:rPr>
                      <w:rStyle w:val="9"/>
                      <w:rFonts w:hint="eastAsia" w:ascii="Times New Roman" w:hAnsi="Times New Roman" w:eastAsia="Segoe UI" w:cs="Times New Roman"/>
                      <w:b w:val="0"/>
                      <w:bCs/>
                      <w:i w:val="0"/>
                      <w:iCs w:val="0"/>
                      <w:caps w:val="0"/>
                      <w:color w:val="000000"/>
                      <w:spacing w:val="0"/>
                      <w:sz w:val="16"/>
                      <w:szCs w:val="16"/>
                      <w:shd w:val="clear" w:fill="FFFFFF"/>
                      <w:lang w:val="en-US" w:eastAsia="zh-CN"/>
                    </w:rPr>
                    <w:t xml:space="preserve">      </w:t>
                  </w:r>
                  <w:r>
                    <w:rPr>
                      <w:rStyle w:val="9"/>
                      <w:rFonts w:hint="default" w:ascii="Times New Roman" w:hAnsi="Times New Roman" w:eastAsia="Segoe UI" w:cs="Times New Roman"/>
                      <w:b w:val="0"/>
                      <w:bCs/>
                      <w:i w:val="0"/>
                      <w:iCs w:val="0"/>
                      <w:caps w:val="0"/>
                      <w:color w:val="000000"/>
                      <w:spacing w:val="0"/>
                      <w:sz w:val="16"/>
                      <w:szCs w:val="16"/>
                      <w:shd w:val="clear" w:fill="FFFFFF"/>
                      <w:lang w:val="en-US" w:eastAsia="zh-CN"/>
                    </w:rPr>
                    <w:t xml:space="preserve">Medical </w:t>
                  </w:r>
                </w:p>
                <w:p w14:paraId="7FA53B26">
                  <w:pPr>
                    <w:jc w:val="center"/>
                    <w:rPr>
                      <w:rStyle w:val="9"/>
                      <w:rFonts w:hint="default" w:ascii="Times New Roman" w:hAnsi="Times New Roman" w:eastAsia="Segoe UI" w:cs="Times New Roman"/>
                      <w:b w:val="0"/>
                      <w:bCs/>
                      <w:i w:val="0"/>
                      <w:iCs w:val="0"/>
                      <w:caps w:val="0"/>
                      <w:color w:val="000000"/>
                      <w:spacing w:val="0"/>
                      <w:sz w:val="16"/>
                      <w:szCs w:val="16"/>
                      <w:shd w:val="clear" w:fill="FFFFFF"/>
                    </w:rPr>
                  </w:pPr>
                  <w:r>
                    <w:rPr>
                      <w:rStyle w:val="9"/>
                      <w:rFonts w:hint="eastAsia" w:ascii="Times New Roman" w:hAnsi="Times New Roman" w:eastAsia="Segoe UI" w:cs="Times New Roman"/>
                      <w:b w:val="0"/>
                      <w:bCs/>
                      <w:i w:val="0"/>
                      <w:iCs w:val="0"/>
                      <w:caps w:val="0"/>
                      <w:color w:val="000000"/>
                      <w:spacing w:val="0"/>
                      <w:sz w:val="16"/>
                      <w:szCs w:val="16"/>
                      <w:shd w:val="clear" w:fill="FFFFFF"/>
                      <w:lang w:val="en-US" w:eastAsia="zh-CN"/>
                    </w:rPr>
                    <w:t xml:space="preserve">      </w:t>
                  </w:r>
                  <w:r>
                    <w:rPr>
                      <w:rStyle w:val="9"/>
                      <w:rFonts w:hint="default" w:ascii="Times New Roman" w:hAnsi="Times New Roman" w:eastAsia="Segoe UI" w:cs="Times New Roman"/>
                      <w:b w:val="0"/>
                      <w:bCs/>
                      <w:i w:val="0"/>
                      <w:iCs w:val="0"/>
                      <w:caps w:val="0"/>
                      <w:color w:val="000000"/>
                      <w:spacing w:val="0"/>
                      <w:sz w:val="16"/>
                      <w:szCs w:val="16"/>
                      <w:shd w:val="clear" w:fill="FFFFFF"/>
                      <w:lang w:val="en-US" w:eastAsia="zh-CN"/>
                    </w:rPr>
                    <w:t>Expenses</w:t>
                  </w:r>
                </w:p>
              </w:tc>
            </w:tr>
          </w:tbl>
          <w:p w14:paraId="19DB3F3A">
            <w:pPr>
              <w:jc w:val="center"/>
              <w:rPr>
                <w:rFonts w:hint="default" w:ascii="Times New Roman" w:hAnsi="Times New Roman" w:cs="Times New Roman"/>
                <w:b w:val="0"/>
                <w:color w:val="000000"/>
                <w:sz w:val="22"/>
                <w:szCs w:val="28"/>
              </w:rPr>
            </w:pPr>
          </w:p>
        </w:tc>
      </w:tr>
    </w:tbl>
    <w:p w14:paraId="68F51C88">
      <w:pPr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var(--dsw-font-markdown-tabl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3C389F"/>
    <w:rsid w:val="05CC2A23"/>
    <w:rsid w:val="0D4B4161"/>
    <w:rsid w:val="127D1BE6"/>
    <w:rsid w:val="234C44CD"/>
    <w:rsid w:val="2BAC1E16"/>
    <w:rsid w:val="318A3E34"/>
    <w:rsid w:val="48F1161E"/>
    <w:rsid w:val="544E4ACF"/>
    <w:rsid w:val="623C389F"/>
    <w:rsid w:val="625B7C6C"/>
    <w:rsid w:val="62E214EA"/>
    <w:rsid w:val="6A0D3D09"/>
    <w:rsid w:val="6A5A7287"/>
    <w:rsid w:val="6A736F31"/>
    <w:rsid w:val="6DA63570"/>
    <w:rsid w:val="6EEB5D7F"/>
    <w:rsid w:val="72071D1F"/>
    <w:rsid w:val="79450D68"/>
    <w:rsid w:val="7C45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宋体" w:asciiTheme="minorAscii" w:hAnsiTheme="minorAscii"/>
      <w:kern w:val="44"/>
      <w:sz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宋体"/>
      <w:sz w:val="2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样式1"/>
    <w:basedOn w:val="2"/>
    <w:next w:val="1"/>
    <w:qFormat/>
    <w:uiPriority w:val="0"/>
    <w:rPr>
      <w:rFonts w:eastAsia="Microsoft YaHei UI" w:asciiTheme="majorAscii" w:hAnsiTheme="majorAscii" w:cstheme="majorBidi"/>
      <w:color w:val="4874CB" w:themeColor="accent1"/>
      <w:kern w:val="0"/>
      <w:sz w:val="36"/>
      <w:szCs w:val="36"/>
      <w:lang w:eastAsia="ja-JP"/>
      <w14:textFill>
        <w14:solidFill>
          <w14:schemeClr w14:val="accent1"/>
        </w14:solidFill>
      </w14:textFill>
    </w:rPr>
  </w:style>
  <w:style w:type="paragraph" w:customStyle="1" w:styleId="11">
    <w:name w:val="样式2"/>
    <w:basedOn w:val="3"/>
    <w:next w:val="1"/>
    <w:qFormat/>
    <w:uiPriority w:val="0"/>
    <w:rPr>
      <w:rFonts w:eastAsia="Microsoft YaHei UI" w:asciiTheme="minorAscii" w:hAnsiTheme="minorAscii"/>
      <w:bCs/>
      <w:color w:val="44546A" w:themeColor="text2"/>
      <w:kern w:val="0"/>
      <w:sz w:val="26"/>
      <w:szCs w:val="26"/>
      <w:lang w:eastAsia="ja-JP"/>
      <w14:textFill>
        <w14:solidFill>
          <w14:schemeClr w14:val="tx2"/>
        </w14:solidFill>
      </w14:textFill>
    </w:rPr>
  </w:style>
  <w:style w:type="paragraph" w:customStyle="1" w:styleId="12">
    <w:name w:val="样式3"/>
    <w:basedOn w:val="10"/>
    <w:qFormat/>
    <w:uiPriority w:val="0"/>
  </w:style>
  <w:style w:type="paragraph" w:customStyle="1" w:styleId="13">
    <w:name w:val="样式4"/>
    <w:basedOn w:val="11"/>
    <w:qFormat/>
    <w:uiPriority w:val="0"/>
  </w:style>
  <w:style w:type="paragraph" w:customStyle="1" w:styleId="14">
    <w:name w:val="报告标题1"/>
    <w:basedOn w:val="2"/>
    <w:next w:val="1"/>
    <w:qFormat/>
    <w:uiPriority w:val="0"/>
    <w:pPr>
      <w:spacing w:before="40" w:after="40"/>
    </w:pPr>
    <w:rPr>
      <w:rFonts w:ascii="黑体" w:hAnsi="黑体" w:eastAsia="黑体" w:cstheme="majorBidi"/>
      <w:bCs/>
      <w:color w:val="000000" w:themeColor="text1"/>
      <w:sz w:val="16"/>
      <w:szCs w:val="16"/>
      <w:u w:val="single" w:color="000000" w:themeColor="text1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256</Words>
  <Characters>1913</Characters>
  <Lines>0</Lines>
  <Paragraphs>0</Paragraphs>
  <TotalTime>41</TotalTime>
  <ScaleCrop>false</ScaleCrop>
  <LinksUpToDate>false</LinksUpToDate>
  <CharactersWithSpaces>2134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2025-12-11T08:43:00Z</dcterms:created>
  <dc:creator>项茹</dc:creator>
  <cp:lastModifiedBy>许</cp:lastModifiedBy>
  <dcterms:modified xsi:type="dcterms:W3CDTF">2025-12-29T06:37:57Z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87B7EF86B2BC4332A6E395FDFB2484D6_13</vt:lpwstr>
  </property>
  <property fmtid="{D5CDD505-2E9C-101B-9397-08002B2CF9AE}" pid="4" name="KSOTemplateDocerSaveRecord">
    <vt:lpwstr>eyJoZGlkIjoiNmIyMzNkZTlkYWQ5ZDRmZmVlNGRiZmM0MTYxYThmZGUiLCJ1c2VySWQiOiI0MTEyMTE1MjgifQ==</vt:lpwstr>
  </property>
</Properties>
</file>