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915CD" w14:textId="384C97E1" w:rsidR="00BB4160" w:rsidRDefault="2560CFE8" w:rsidP="34652B0A">
      <w:pPr>
        <w:spacing w:before="240" w:after="240"/>
        <w:rPr>
          <w:rFonts w:ascii="Times New Roman" w:eastAsia="Times New Roman" w:hAnsi="Times New Roman" w:cs="Times New Roman"/>
          <w:color w:val="000000" w:themeColor="text1"/>
        </w:rPr>
      </w:pPr>
      <w:r w:rsidRPr="34652B0A">
        <w:rPr>
          <w:rFonts w:ascii="Times New Roman" w:eastAsia="Times New Roman" w:hAnsi="Times New Roman" w:cs="Times New Roman"/>
          <w:b/>
          <w:bCs/>
          <w:color w:val="000000" w:themeColor="text1"/>
          <w:lang w:val="en-AU"/>
        </w:rPr>
        <w:t xml:space="preserve">Supplementary material 1. </w:t>
      </w:r>
      <w:r w:rsidRPr="34652B0A">
        <w:rPr>
          <w:rFonts w:ascii="Times New Roman" w:eastAsia="Times New Roman" w:hAnsi="Times New Roman" w:cs="Times New Roman"/>
          <w:color w:val="000000" w:themeColor="text1"/>
          <w:lang w:val="en-AU"/>
        </w:rPr>
        <w:t>Summary of newly published or updated international and Australian national guidelines for the management of Long COVID (2023–2025)</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755"/>
        <w:gridCol w:w="1695"/>
        <w:gridCol w:w="1500"/>
        <w:gridCol w:w="1530"/>
        <w:gridCol w:w="1830"/>
        <w:gridCol w:w="1485"/>
        <w:gridCol w:w="1575"/>
        <w:gridCol w:w="2520"/>
      </w:tblGrid>
      <w:tr w:rsidR="34652B0A" w14:paraId="002721C0" w14:textId="77777777" w:rsidTr="34652B0A">
        <w:trPr>
          <w:trHeight w:val="285"/>
        </w:trPr>
        <w:tc>
          <w:tcPr>
            <w:tcW w:w="1755" w:type="dxa"/>
            <w:tcBorders>
              <w:top w:val="single" w:sz="6" w:space="0" w:color="000000" w:themeColor="text1"/>
              <w:left w:val="single" w:sz="6" w:space="0" w:color="auto"/>
              <w:bottom w:val="single" w:sz="6" w:space="0" w:color="000000" w:themeColor="text1"/>
              <w:right w:val="single" w:sz="6" w:space="0" w:color="000000" w:themeColor="text1"/>
            </w:tcBorders>
          </w:tcPr>
          <w:p w14:paraId="4EF7D5F5" w14:textId="43EBCD30" w:rsidR="34652B0A" w:rsidRDefault="34652B0A" w:rsidP="34652B0A">
            <w:pPr>
              <w:spacing w:line="278" w:lineRule="auto"/>
              <w:rPr>
                <w:rFonts w:ascii="Times New Roman" w:eastAsia="Times New Roman" w:hAnsi="Times New Roman" w:cs="Times New Roman"/>
                <w:sz w:val="22"/>
                <w:szCs w:val="22"/>
              </w:rPr>
            </w:pPr>
            <w:r w:rsidRPr="34652B0A">
              <w:rPr>
                <w:rFonts w:ascii="Times New Roman" w:eastAsia="Times New Roman" w:hAnsi="Times New Roman" w:cs="Times New Roman"/>
                <w:b/>
                <w:bCs/>
                <w:sz w:val="22"/>
                <w:szCs w:val="22"/>
              </w:rPr>
              <w:t>References</w:t>
            </w:r>
            <w:r w:rsidRPr="34652B0A">
              <w:rPr>
                <w:rFonts w:ascii="Times New Roman" w:eastAsia="Times New Roman" w:hAnsi="Times New Roman" w:cs="Times New Roman"/>
                <w:sz w:val="22"/>
                <w:szCs w:val="22"/>
              </w:rPr>
              <w:t> </w:t>
            </w: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DAB73F5" w14:textId="78386326" w:rsidR="34652B0A" w:rsidRDefault="34652B0A" w:rsidP="34652B0A">
            <w:pPr>
              <w:spacing w:line="278" w:lineRule="auto"/>
              <w:rPr>
                <w:rFonts w:ascii="Times New Roman" w:eastAsia="Times New Roman" w:hAnsi="Times New Roman" w:cs="Times New Roman"/>
                <w:sz w:val="22"/>
                <w:szCs w:val="22"/>
              </w:rPr>
            </w:pPr>
            <w:r w:rsidRPr="34652B0A">
              <w:rPr>
                <w:rFonts w:ascii="Times New Roman" w:eastAsia="Times New Roman" w:hAnsi="Times New Roman" w:cs="Times New Roman"/>
                <w:b/>
                <w:bCs/>
                <w:sz w:val="22"/>
                <w:szCs w:val="22"/>
              </w:rPr>
              <w:t>Screening/</w:t>
            </w:r>
            <w:r w:rsidRPr="34652B0A">
              <w:rPr>
                <w:rFonts w:ascii="Times New Roman" w:eastAsia="Times New Roman" w:hAnsi="Times New Roman" w:cs="Times New Roman"/>
                <w:sz w:val="22"/>
                <w:szCs w:val="22"/>
              </w:rPr>
              <w:t> </w:t>
            </w:r>
          </w:p>
          <w:p w14:paraId="061FCC8D" w14:textId="05083CDD" w:rsidR="34652B0A" w:rsidRDefault="34652B0A" w:rsidP="34652B0A">
            <w:pPr>
              <w:spacing w:line="278" w:lineRule="auto"/>
              <w:rPr>
                <w:rFonts w:ascii="Times New Roman" w:eastAsia="Times New Roman" w:hAnsi="Times New Roman" w:cs="Times New Roman"/>
                <w:sz w:val="22"/>
                <w:szCs w:val="22"/>
              </w:rPr>
            </w:pPr>
            <w:r w:rsidRPr="34652B0A">
              <w:rPr>
                <w:rFonts w:ascii="Times New Roman" w:eastAsia="Times New Roman" w:hAnsi="Times New Roman" w:cs="Times New Roman"/>
                <w:b/>
                <w:bCs/>
                <w:sz w:val="22"/>
                <w:szCs w:val="22"/>
              </w:rPr>
              <w:t>Assessment</w:t>
            </w:r>
            <w:r w:rsidRPr="34652B0A">
              <w:rPr>
                <w:rFonts w:ascii="Times New Roman" w:eastAsia="Times New Roman" w:hAnsi="Times New Roman" w:cs="Times New Roman"/>
                <w:sz w:val="22"/>
                <w:szCs w:val="22"/>
              </w:rPr>
              <w:t> </w:t>
            </w:r>
          </w:p>
        </w:tc>
        <w:tc>
          <w:tcPr>
            <w:tcW w:w="1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BA39ED2" w14:textId="6D752A7A" w:rsidR="34652B0A" w:rsidRDefault="34652B0A" w:rsidP="34652B0A">
            <w:pPr>
              <w:spacing w:line="278" w:lineRule="auto"/>
              <w:rPr>
                <w:rFonts w:ascii="Times New Roman" w:eastAsia="Times New Roman" w:hAnsi="Times New Roman" w:cs="Times New Roman"/>
                <w:sz w:val="22"/>
                <w:szCs w:val="22"/>
              </w:rPr>
            </w:pPr>
            <w:r w:rsidRPr="34652B0A">
              <w:rPr>
                <w:rFonts w:ascii="Times New Roman" w:eastAsia="Times New Roman" w:hAnsi="Times New Roman" w:cs="Times New Roman"/>
                <w:b/>
                <w:bCs/>
                <w:sz w:val="22"/>
                <w:szCs w:val="22"/>
              </w:rPr>
              <w:t>Care principles</w:t>
            </w:r>
            <w:r w:rsidRPr="34652B0A">
              <w:rPr>
                <w:rFonts w:ascii="Times New Roman" w:eastAsia="Times New Roman" w:hAnsi="Times New Roman" w:cs="Times New Roman"/>
                <w:sz w:val="22"/>
                <w:szCs w:val="22"/>
              </w:rPr>
              <w:t>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8D26BD5" w14:textId="555066AD" w:rsidR="34652B0A" w:rsidRDefault="34652B0A" w:rsidP="34652B0A">
            <w:pPr>
              <w:spacing w:line="278" w:lineRule="auto"/>
              <w:rPr>
                <w:rFonts w:ascii="Times New Roman" w:eastAsia="Times New Roman" w:hAnsi="Times New Roman" w:cs="Times New Roman"/>
                <w:sz w:val="22"/>
                <w:szCs w:val="22"/>
              </w:rPr>
            </w:pPr>
            <w:r w:rsidRPr="34652B0A">
              <w:rPr>
                <w:rFonts w:ascii="Times New Roman" w:eastAsia="Times New Roman" w:hAnsi="Times New Roman" w:cs="Times New Roman"/>
                <w:b/>
                <w:bCs/>
                <w:sz w:val="22"/>
                <w:szCs w:val="22"/>
              </w:rPr>
              <w:t>Care models</w:t>
            </w:r>
            <w:r w:rsidRPr="34652B0A">
              <w:rPr>
                <w:rFonts w:ascii="Times New Roman" w:eastAsia="Times New Roman" w:hAnsi="Times New Roman" w:cs="Times New Roman"/>
                <w:sz w:val="22"/>
                <w:szCs w:val="22"/>
              </w:rPr>
              <w:t> </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43D06A9" w14:textId="6F3D096F" w:rsidR="34652B0A" w:rsidRDefault="34652B0A" w:rsidP="34652B0A">
            <w:pPr>
              <w:spacing w:line="278" w:lineRule="auto"/>
              <w:rPr>
                <w:rFonts w:ascii="Times New Roman" w:eastAsia="Times New Roman" w:hAnsi="Times New Roman" w:cs="Times New Roman"/>
                <w:sz w:val="22"/>
                <w:szCs w:val="22"/>
              </w:rPr>
            </w:pPr>
            <w:r w:rsidRPr="34652B0A">
              <w:rPr>
                <w:rFonts w:ascii="Times New Roman" w:eastAsia="Times New Roman" w:hAnsi="Times New Roman" w:cs="Times New Roman"/>
                <w:b/>
                <w:bCs/>
                <w:sz w:val="22"/>
                <w:szCs w:val="22"/>
              </w:rPr>
              <w:t>Rehabilitation team</w:t>
            </w:r>
            <w:r w:rsidRPr="34652B0A">
              <w:rPr>
                <w:rFonts w:ascii="Times New Roman" w:eastAsia="Times New Roman" w:hAnsi="Times New Roman" w:cs="Times New Roman"/>
                <w:sz w:val="22"/>
                <w:szCs w:val="22"/>
              </w:rPr>
              <w:t> </w:t>
            </w:r>
          </w:p>
        </w:tc>
        <w:tc>
          <w:tcPr>
            <w:tcW w:w="14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AA2F5D7" w14:textId="5559D36E" w:rsidR="34652B0A" w:rsidRDefault="34652B0A" w:rsidP="34652B0A">
            <w:pPr>
              <w:spacing w:line="278" w:lineRule="auto"/>
              <w:rPr>
                <w:rFonts w:ascii="Times New Roman" w:eastAsia="Times New Roman" w:hAnsi="Times New Roman" w:cs="Times New Roman"/>
                <w:sz w:val="22"/>
                <w:szCs w:val="22"/>
              </w:rPr>
            </w:pPr>
            <w:r w:rsidRPr="34652B0A">
              <w:rPr>
                <w:rFonts w:ascii="Times New Roman" w:eastAsia="Times New Roman" w:hAnsi="Times New Roman" w:cs="Times New Roman"/>
                <w:b/>
                <w:bCs/>
                <w:sz w:val="22"/>
                <w:szCs w:val="22"/>
              </w:rPr>
              <w:t>Patient education</w:t>
            </w:r>
            <w:r w:rsidRPr="34652B0A">
              <w:rPr>
                <w:rFonts w:ascii="Times New Roman" w:eastAsia="Times New Roman" w:hAnsi="Times New Roman" w:cs="Times New Roman"/>
                <w:sz w:val="22"/>
                <w:szCs w:val="22"/>
              </w:rPr>
              <w:t> </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C201059" w14:textId="543653DA" w:rsidR="34652B0A" w:rsidRDefault="34652B0A" w:rsidP="34652B0A">
            <w:pPr>
              <w:spacing w:line="278" w:lineRule="auto"/>
              <w:rPr>
                <w:rFonts w:ascii="Times New Roman" w:eastAsia="Times New Roman" w:hAnsi="Times New Roman" w:cs="Times New Roman"/>
                <w:sz w:val="22"/>
                <w:szCs w:val="22"/>
              </w:rPr>
            </w:pPr>
            <w:r w:rsidRPr="34652B0A">
              <w:rPr>
                <w:rFonts w:ascii="Times New Roman" w:eastAsia="Times New Roman" w:hAnsi="Times New Roman" w:cs="Times New Roman"/>
                <w:b/>
                <w:bCs/>
                <w:sz w:val="22"/>
                <w:szCs w:val="22"/>
              </w:rPr>
              <w:t>Red flags</w:t>
            </w:r>
            <w:r w:rsidRPr="34652B0A">
              <w:rPr>
                <w:rFonts w:ascii="Times New Roman" w:eastAsia="Times New Roman" w:hAnsi="Times New Roman" w:cs="Times New Roman"/>
                <w:sz w:val="22"/>
                <w:szCs w:val="22"/>
              </w:rPr>
              <w:t> </w:t>
            </w:r>
          </w:p>
        </w:tc>
        <w:tc>
          <w:tcPr>
            <w:tcW w:w="2520" w:type="dxa"/>
            <w:tcBorders>
              <w:top w:val="single" w:sz="6" w:space="0" w:color="000000" w:themeColor="text1"/>
              <w:left w:val="single" w:sz="6" w:space="0" w:color="000000" w:themeColor="text1"/>
              <w:bottom w:val="single" w:sz="6" w:space="0" w:color="000000" w:themeColor="text1"/>
              <w:right w:val="single" w:sz="6" w:space="0" w:color="auto"/>
            </w:tcBorders>
          </w:tcPr>
          <w:p w14:paraId="3A9E07E4" w14:textId="7E8D3E18" w:rsidR="34652B0A" w:rsidRDefault="34652B0A" w:rsidP="34652B0A">
            <w:pPr>
              <w:spacing w:line="278" w:lineRule="auto"/>
              <w:rPr>
                <w:rFonts w:ascii="Times New Roman" w:eastAsia="Times New Roman" w:hAnsi="Times New Roman" w:cs="Times New Roman"/>
                <w:sz w:val="22"/>
                <w:szCs w:val="22"/>
              </w:rPr>
            </w:pPr>
            <w:r w:rsidRPr="34652B0A">
              <w:rPr>
                <w:rFonts w:ascii="Times New Roman" w:eastAsia="Times New Roman" w:hAnsi="Times New Roman" w:cs="Times New Roman"/>
                <w:b/>
                <w:bCs/>
                <w:sz w:val="22"/>
                <w:szCs w:val="22"/>
              </w:rPr>
              <w:t>Comments</w:t>
            </w:r>
            <w:r w:rsidRPr="34652B0A">
              <w:rPr>
                <w:rFonts w:ascii="Times New Roman" w:eastAsia="Times New Roman" w:hAnsi="Times New Roman" w:cs="Times New Roman"/>
                <w:sz w:val="22"/>
                <w:szCs w:val="22"/>
              </w:rPr>
              <w:t> </w:t>
            </w:r>
          </w:p>
        </w:tc>
      </w:tr>
      <w:tr w:rsidR="34652B0A" w14:paraId="6B4F5A19" w14:textId="77777777" w:rsidTr="34652B0A">
        <w:trPr>
          <w:trHeight w:val="285"/>
        </w:trPr>
        <w:tc>
          <w:tcPr>
            <w:tcW w:w="1755" w:type="dxa"/>
            <w:tcBorders>
              <w:top w:val="single" w:sz="6" w:space="0" w:color="000000" w:themeColor="text1"/>
              <w:left w:val="single" w:sz="6" w:space="0" w:color="auto"/>
              <w:bottom w:val="single" w:sz="6" w:space="0" w:color="000000" w:themeColor="text1"/>
              <w:right w:val="single" w:sz="6" w:space="0" w:color="000000" w:themeColor="text1"/>
            </w:tcBorders>
          </w:tcPr>
          <w:p w14:paraId="63CF9924" w14:textId="1AAFB5F9"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Australia </w:t>
            </w:r>
          </w:p>
          <w:p w14:paraId="1924DF4B" w14:textId="5946FE8F" w:rsidR="34652B0A" w:rsidRPr="00B96B47" w:rsidRDefault="34652B0A" w:rsidP="34652B0A">
            <w:pPr>
              <w:spacing w:line="278" w:lineRule="auto"/>
              <w:rPr>
                <w:rFonts w:ascii="Times New Roman" w:eastAsia="Times New Roman" w:hAnsi="Times New Roman" w:cs="Times New Roman"/>
                <w:color w:val="000000" w:themeColor="text1"/>
                <w:sz w:val="20"/>
                <w:szCs w:val="20"/>
              </w:rPr>
            </w:pPr>
            <w:r w:rsidRPr="00B96B47">
              <w:rPr>
                <w:rFonts w:ascii="Times New Roman" w:eastAsia="Times New Roman" w:hAnsi="Times New Roman" w:cs="Times New Roman"/>
                <w:sz w:val="20"/>
                <w:szCs w:val="20"/>
              </w:rPr>
              <w:t xml:space="preserve">(NSW </w:t>
            </w:r>
            <w:r w:rsidRPr="00B96B47">
              <w:rPr>
                <w:rFonts w:ascii="Times New Roman" w:eastAsia="Times New Roman" w:hAnsi="Times New Roman" w:cs="Times New Roman"/>
                <w:color w:val="000000" w:themeColor="text1"/>
                <w:sz w:val="20"/>
                <w:szCs w:val="20"/>
                <w:lang w:val="en-AU"/>
              </w:rPr>
              <w:t>ACI)</w:t>
            </w:r>
          </w:p>
          <w:p w14:paraId="228D419B" w14:textId="00198430"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color w:val="000000" w:themeColor="text1"/>
                <w:sz w:val="20"/>
                <w:szCs w:val="20"/>
              </w:rPr>
              <w:t>(</w:t>
            </w:r>
            <w:r w:rsidR="00B96B47">
              <w:rPr>
                <w:rFonts w:ascii="Times New Roman" w:eastAsia="Times New Roman" w:hAnsi="Times New Roman" w:cs="Times New Roman"/>
                <w:color w:val="000000" w:themeColor="text1"/>
                <w:sz w:val="20"/>
                <w:szCs w:val="20"/>
              </w:rPr>
              <w:t>1,2</w:t>
            </w:r>
            <w:r w:rsidRPr="00B96B47">
              <w:rPr>
                <w:rFonts w:ascii="Times New Roman" w:eastAsia="Times New Roman" w:hAnsi="Times New Roman" w:cs="Times New Roman"/>
                <w:color w:val="000000" w:themeColor="text1"/>
                <w:sz w:val="20"/>
                <w:szCs w:val="20"/>
              </w:rPr>
              <w:t>)</w:t>
            </w:r>
            <w:r w:rsidRPr="00B96B47">
              <w:rPr>
                <w:rFonts w:ascii="Times New Roman" w:eastAsia="Times New Roman" w:hAnsi="Times New Roman" w:cs="Times New Roman"/>
                <w:sz w:val="20"/>
                <w:szCs w:val="20"/>
              </w:rPr>
              <w:t> </w:t>
            </w: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6820A3D" w14:textId="75A99470"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1. A comprehensive clinical history and appropriate examination </w:t>
            </w:r>
          </w:p>
          <w:p w14:paraId="0B510EC1" w14:textId="60B00C93"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2. Use validated screening tools (e.g. PCFS, C19-YRS) to assess symptom severity and functional impact. </w:t>
            </w:r>
          </w:p>
        </w:tc>
        <w:tc>
          <w:tcPr>
            <w:tcW w:w="1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1556134" w14:textId="6E6B6820"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Evidence-based care, </w:t>
            </w:r>
          </w:p>
          <w:p w14:paraId="3CDD1E63" w14:textId="0885B94E"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Collaborative care,  </w:t>
            </w:r>
          </w:p>
          <w:p w14:paraId="504D4DFB" w14:textId="03C22FF9"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Person-centred care, </w:t>
            </w:r>
          </w:p>
          <w:p w14:paraId="77AF670F" w14:textId="27A75BA3"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Equity of access to care, </w:t>
            </w:r>
          </w:p>
          <w:p w14:paraId="594BB611" w14:textId="7925FD21"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Value-based care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585AE09" w14:textId="5FB30768"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Self-management, </w:t>
            </w:r>
          </w:p>
          <w:p w14:paraId="392B6B68" w14:textId="6723FF70"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GP or AMS *</w:t>
            </w:r>
            <w:r w:rsidR="00B96B47">
              <w:rPr>
                <w:rFonts w:ascii="Times New Roman" w:eastAsia="Times New Roman" w:hAnsi="Times New Roman" w:cs="Times New Roman"/>
                <w:strike/>
                <w:color w:val="0078D4"/>
                <w:sz w:val="20"/>
                <w:szCs w:val="20"/>
              </w:rPr>
              <w:t xml:space="preserve"> </w:t>
            </w:r>
            <w:r w:rsidRPr="00B96B47">
              <w:rPr>
                <w:rFonts w:ascii="Times New Roman" w:eastAsia="Times New Roman" w:hAnsi="Times New Roman" w:cs="Times New Roman"/>
                <w:sz w:val="20"/>
                <w:szCs w:val="20"/>
              </w:rPr>
              <w:t>management, </w:t>
            </w:r>
          </w:p>
          <w:p w14:paraId="22E61D56" w14:textId="3109CA55"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Integrated care management,  </w:t>
            </w:r>
          </w:p>
          <w:p w14:paraId="7DB727DA" w14:textId="40EAE718"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Multidisciplinary specialised care. </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225D551" w14:textId="5C1FEE39"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 xml:space="preserve">Rehabilitation medicine physicians and Multidisciplinary rehabilitation services, Cardiac teams and cardiac rehabilitation services, Neurology teams, Gastroenterology teams, Endocrine teams, Mental health teams, Drug and alcohol services, Homeless health services, Geriatric teams, Community health services, Haematology teams, Immunology teams, Infectious diseases teams, </w:t>
            </w:r>
            <w:r w:rsidRPr="00B96B47">
              <w:rPr>
                <w:rFonts w:ascii="Times New Roman" w:eastAsia="Times New Roman" w:hAnsi="Times New Roman" w:cs="Times New Roman"/>
                <w:sz w:val="20"/>
                <w:szCs w:val="20"/>
              </w:rPr>
              <w:lastRenderedPageBreak/>
              <w:t>Aboriginal Health Services </w:t>
            </w:r>
          </w:p>
          <w:p w14:paraId="6568B8D7" w14:textId="410A9908"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 </w:t>
            </w:r>
          </w:p>
        </w:tc>
        <w:tc>
          <w:tcPr>
            <w:tcW w:w="14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29F4E10" w14:textId="53698866"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lastRenderedPageBreak/>
              <w:t>Existing resources from WHO, NHS and RACGP. </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1910AA6" w14:textId="093E2178"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Severe, new-onset or worsening breathlessness or hypoxia, Syncope, Unexplained chest pain, palpitations or arrythmias, Severe psychiatric symptoms including risk of self-harm or suicide, Delirium, Focal neurological signs or symptoms. </w:t>
            </w:r>
          </w:p>
          <w:p w14:paraId="5C64E81A" w14:textId="24F4A62F"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 </w:t>
            </w:r>
          </w:p>
        </w:tc>
        <w:tc>
          <w:tcPr>
            <w:tcW w:w="2520" w:type="dxa"/>
            <w:tcBorders>
              <w:top w:val="single" w:sz="6" w:space="0" w:color="000000" w:themeColor="text1"/>
              <w:left w:val="single" w:sz="6" w:space="0" w:color="000000" w:themeColor="text1"/>
              <w:bottom w:val="single" w:sz="6" w:space="0" w:color="000000" w:themeColor="text1"/>
              <w:right w:val="single" w:sz="6" w:space="0" w:color="auto"/>
            </w:tcBorders>
          </w:tcPr>
          <w:p w14:paraId="40B44DEF" w14:textId="312EB964"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The guideline adopts the WHO definition of Long COVID but clarifies that terms such as ‘post-acute COVID-19’ and ‘post-COVID-19 syndrome’ are not the same as Long COVID, as they may also refer to symptoms occurring in the immediate recovery phase following acute infection. </w:t>
            </w:r>
          </w:p>
          <w:p w14:paraId="5B7E2BF7" w14:textId="77886BD8"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 </w:t>
            </w:r>
          </w:p>
          <w:p w14:paraId="486770B8" w14:textId="4F3BB5C3"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This guideline presents a staged model of care, starting with self-management supported by community-based providers, followed by GP- or AMS-led* care, integrated care coordination, and access to multidisciplinary specialist services when needed. </w:t>
            </w:r>
          </w:p>
          <w:p w14:paraId="08BED79D" w14:textId="34BFC35B"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lastRenderedPageBreak/>
              <w:t> </w:t>
            </w:r>
          </w:p>
          <w:p w14:paraId="593500E0" w14:textId="5F67442F"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The guideline highlights the need to tailor education to match the health literacy levels of patients and their carers, enabling them to understand, access, and act on relevant information. </w:t>
            </w:r>
          </w:p>
        </w:tc>
      </w:tr>
      <w:tr w:rsidR="34652B0A" w14:paraId="3A09B6A3" w14:textId="77777777" w:rsidTr="34652B0A">
        <w:trPr>
          <w:trHeight w:val="285"/>
        </w:trPr>
        <w:tc>
          <w:tcPr>
            <w:tcW w:w="1755" w:type="dxa"/>
            <w:tcBorders>
              <w:top w:val="single" w:sz="6" w:space="0" w:color="000000" w:themeColor="text1"/>
              <w:left w:val="single" w:sz="6" w:space="0" w:color="auto"/>
              <w:bottom w:val="single" w:sz="6" w:space="0" w:color="000000" w:themeColor="text1"/>
              <w:right w:val="single" w:sz="6" w:space="0" w:color="000000" w:themeColor="text1"/>
            </w:tcBorders>
          </w:tcPr>
          <w:p w14:paraId="25B50AAA" w14:textId="3FA0E941"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color w:val="000000" w:themeColor="text1"/>
                <w:sz w:val="20"/>
                <w:szCs w:val="20"/>
                <w:lang w:val="en-AU"/>
              </w:rPr>
              <w:lastRenderedPageBreak/>
              <w:t>U.S.</w:t>
            </w:r>
            <w:r w:rsidRPr="00B96B47">
              <w:rPr>
                <w:rFonts w:ascii="Times New Roman" w:eastAsia="Times New Roman" w:hAnsi="Times New Roman" w:cs="Times New Roman"/>
                <w:sz w:val="20"/>
                <w:szCs w:val="20"/>
              </w:rPr>
              <w:t xml:space="preserve">  </w:t>
            </w:r>
          </w:p>
          <w:p w14:paraId="5DF89D37" w14:textId="083F80A9"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(CDC) </w:t>
            </w:r>
          </w:p>
          <w:p w14:paraId="58B57531" w14:textId="784E39CC"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color w:val="000000" w:themeColor="text1"/>
                <w:sz w:val="20"/>
                <w:szCs w:val="20"/>
              </w:rPr>
              <w:t>(</w:t>
            </w:r>
            <w:r w:rsidR="00B96B47">
              <w:rPr>
                <w:rFonts w:ascii="Times New Roman" w:eastAsia="Times New Roman" w:hAnsi="Times New Roman" w:cs="Times New Roman"/>
                <w:color w:val="000000" w:themeColor="text1"/>
                <w:sz w:val="20"/>
                <w:szCs w:val="20"/>
              </w:rPr>
              <w:t>3-5</w:t>
            </w:r>
            <w:r w:rsidRPr="00B96B47">
              <w:rPr>
                <w:rFonts w:ascii="Times New Roman" w:eastAsia="Times New Roman" w:hAnsi="Times New Roman" w:cs="Times New Roman"/>
                <w:color w:val="000000" w:themeColor="text1"/>
                <w:sz w:val="20"/>
                <w:szCs w:val="20"/>
              </w:rPr>
              <w:t>)</w:t>
            </w: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A08CA3D" w14:textId="6BE96A94"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1. Health history; 2. A diagnosis of COVID-19 by a positive test, symptoms, or exposure; </w:t>
            </w:r>
          </w:p>
          <w:p w14:paraId="02630D6A" w14:textId="544EAE9F"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3. A health examination. </w:t>
            </w:r>
          </w:p>
          <w:p w14:paraId="502373B0" w14:textId="758CBF1D"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 </w:t>
            </w:r>
          </w:p>
        </w:tc>
        <w:tc>
          <w:tcPr>
            <w:tcW w:w="1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314D83" w14:textId="7C49410B"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Patient-centred and goal-oriented care, </w:t>
            </w:r>
          </w:p>
          <w:p w14:paraId="0D25A475" w14:textId="55D651B3"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Symptom and impact validation, with supportive care, </w:t>
            </w:r>
          </w:p>
          <w:p w14:paraId="1E0A2479" w14:textId="651BF436"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Preventive care </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2CDC0F1" w14:textId="180E261A"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Use the **ICD-10 code for accurate public health surveillance, </w:t>
            </w:r>
          </w:p>
          <w:p w14:paraId="612336AA" w14:textId="25835ABC"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Surveillance and epidemiology, Prevention and mitigation, Addressing stigma, Communication and education, Clinical capacity building, Health equity. </w:t>
            </w:r>
          </w:p>
          <w:p w14:paraId="6766032E" w14:textId="6A2140F6"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 </w:t>
            </w:r>
          </w:p>
          <w:p w14:paraId="15168C4B" w14:textId="03007649"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 xml:space="preserve">Develop a personalised </w:t>
            </w:r>
            <w:r w:rsidRPr="00B96B47">
              <w:rPr>
                <w:rFonts w:ascii="Times New Roman" w:eastAsia="Times New Roman" w:hAnsi="Times New Roman" w:cs="Times New Roman"/>
                <w:sz w:val="20"/>
                <w:szCs w:val="20"/>
              </w:rPr>
              <w:lastRenderedPageBreak/>
              <w:t>rehabilitation plan,  </w:t>
            </w:r>
          </w:p>
          <w:p w14:paraId="157E0914" w14:textId="0FE3F4D3"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Optimise management of underlying or coexisting conditions, </w:t>
            </w:r>
          </w:p>
          <w:p w14:paraId="7F3D87E8" w14:textId="011749C9"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Encourage symptom diaries or calendars to track changes. </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1F2DC50" w14:textId="2FBAC282"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lastRenderedPageBreak/>
              <w:t>Healthcare providers (not profession-specific) </w:t>
            </w:r>
          </w:p>
        </w:tc>
        <w:tc>
          <w:tcPr>
            <w:tcW w:w="14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8E52C10" w14:textId="02E657C2"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Simple resources available for self-management, Encourages patient symptom diaries and calendars,  </w:t>
            </w:r>
          </w:p>
          <w:p w14:paraId="03203286" w14:textId="5C2E576F"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Provide links to support groups.   </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76BF507" w14:textId="4993813C"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N/A </w:t>
            </w:r>
          </w:p>
        </w:tc>
        <w:tc>
          <w:tcPr>
            <w:tcW w:w="2520" w:type="dxa"/>
            <w:tcBorders>
              <w:top w:val="single" w:sz="6" w:space="0" w:color="000000" w:themeColor="text1"/>
              <w:left w:val="single" w:sz="6" w:space="0" w:color="000000" w:themeColor="text1"/>
              <w:bottom w:val="single" w:sz="6" w:space="0" w:color="000000" w:themeColor="text1"/>
              <w:right w:val="single" w:sz="6" w:space="0" w:color="auto"/>
            </w:tcBorders>
          </w:tcPr>
          <w:p w14:paraId="4C1FC17F" w14:textId="6DF0C3DB"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The updated CDC guideline defines Long COVID as a chronic condition following SARS-CoV-2 infection and is present for at least 3 months.  </w:t>
            </w:r>
          </w:p>
          <w:p w14:paraId="24564CB6" w14:textId="14B34B97"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 </w:t>
            </w:r>
          </w:p>
          <w:p w14:paraId="15D1ACC8" w14:textId="40FA8209"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 xml:space="preserve">This guideline has added 1) a clear public health approach to Long COVID, 2) includes the impact of Long COVID on daily functioning, workforce and children, 3) provides practical strategies for everyday symptom management, </w:t>
            </w:r>
            <w:r w:rsidR="00B96B47">
              <w:rPr>
                <w:rFonts w:ascii="Times New Roman" w:eastAsia="Times New Roman" w:hAnsi="Times New Roman" w:cs="Times New Roman"/>
                <w:sz w:val="20"/>
                <w:szCs w:val="20"/>
              </w:rPr>
              <w:t xml:space="preserve">and </w:t>
            </w:r>
            <w:r w:rsidRPr="00B96B47">
              <w:rPr>
                <w:rFonts w:ascii="Times New Roman" w:eastAsia="Times New Roman" w:hAnsi="Times New Roman" w:cs="Times New Roman"/>
                <w:sz w:val="20"/>
                <w:szCs w:val="20"/>
              </w:rPr>
              <w:t>4) provides a clinical overview for healthcare professionals. </w:t>
            </w:r>
          </w:p>
          <w:p w14:paraId="33F7C601" w14:textId="5D216E0A"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 </w:t>
            </w:r>
          </w:p>
        </w:tc>
      </w:tr>
      <w:tr w:rsidR="34652B0A" w14:paraId="52498706" w14:textId="77777777" w:rsidTr="34652B0A">
        <w:trPr>
          <w:trHeight w:val="285"/>
        </w:trPr>
        <w:tc>
          <w:tcPr>
            <w:tcW w:w="1755" w:type="dxa"/>
            <w:tcBorders>
              <w:top w:val="single" w:sz="6" w:space="0" w:color="000000" w:themeColor="text1"/>
              <w:left w:val="single" w:sz="6" w:space="0" w:color="auto"/>
              <w:bottom w:val="single" w:sz="6" w:space="0" w:color="auto"/>
              <w:right w:val="single" w:sz="6" w:space="0" w:color="000000" w:themeColor="text1"/>
            </w:tcBorders>
          </w:tcPr>
          <w:p w14:paraId="309E15F5" w14:textId="06EEF75D" w:rsidR="34652B0A" w:rsidRPr="00B96B47" w:rsidRDefault="34652B0A" w:rsidP="34652B0A">
            <w:pPr>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lastRenderedPageBreak/>
              <w:t>Canada </w:t>
            </w:r>
          </w:p>
          <w:p w14:paraId="1E4BB25A" w14:textId="1878F5AD"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(CAN-PCC)</w:t>
            </w:r>
          </w:p>
          <w:p w14:paraId="52FE7DA5" w14:textId="221F8893"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color w:val="000000" w:themeColor="text1"/>
                <w:sz w:val="20"/>
                <w:szCs w:val="20"/>
              </w:rPr>
              <w:t>(</w:t>
            </w:r>
            <w:r w:rsidR="00B96B47">
              <w:rPr>
                <w:rFonts w:ascii="Times New Roman" w:eastAsia="Times New Roman" w:hAnsi="Times New Roman" w:cs="Times New Roman"/>
                <w:color w:val="000000" w:themeColor="text1"/>
                <w:sz w:val="20"/>
                <w:szCs w:val="20"/>
              </w:rPr>
              <w:t>6</w:t>
            </w:r>
            <w:r w:rsidRPr="00B96B47">
              <w:rPr>
                <w:rFonts w:ascii="Times New Roman" w:eastAsia="Times New Roman" w:hAnsi="Times New Roman" w:cs="Times New Roman"/>
                <w:color w:val="000000" w:themeColor="text1"/>
                <w:sz w:val="20"/>
                <w:szCs w:val="20"/>
              </w:rPr>
              <w:t>)</w:t>
            </w:r>
          </w:p>
        </w:tc>
        <w:tc>
          <w:tcPr>
            <w:tcW w:w="1695" w:type="dxa"/>
            <w:tcBorders>
              <w:top w:val="single" w:sz="6" w:space="0" w:color="000000" w:themeColor="text1"/>
              <w:left w:val="single" w:sz="6" w:space="0" w:color="000000" w:themeColor="text1"/>
              <w:bottom w:val="single" w:sz="6" w:space="0" w:color="auto"/>
              <w:right w:val="single" w:sz="6" w:space="0" w:color="000000" w:themeColor="text1"/>
            </w:tcBorders>
          </w:tcPr>
          <w:p w14:paraId="35CB5FE2" w14:textId="0B941F7D"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The baseline assessment of end-organ function, </w:t>
            </w:r>
          </w:p>
          <w:p w14:paraId="4A349C0B" w14:textId="44D32185"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Baseline blood tests, </w:t>
            </w:r>
          </w:p>
          <w:p w14:paraId="21457113" w14:textId="6786E160"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Use validated questionnaires to screen and identify*** PEM/PESE, </w:t>
            </w:r>
          </w:p>
          <w:p w14:paraId="193ADD7D" w14:textId="4F39ED43"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 xml:space="preserve">Electrocardiogram, a Holter monitor, B-type natriuretic peptide/ N-terminal pro b-type natriuretic </w:t>
            </w:r>
            <w:r w:rsidRPr="00B96B47">
              <w:rPr>
                <w:rFonts w:ascii="Times New Roman" w:eastAsia="Times New Roman" w:hAnsi="Times New Roman" w:cs="Times New Roman"/>
                <w:sz w:val="20"/>
                <w:szCs w:val="20"/>
              </w:rPr>
              <w:lastRenderedPageBreak/>
              <w:t>peptide tests, Troponin tests, chest x-rays, the 6-minute walk test with oximetry, pulmonary function tests in adults with suspected Long COVID and heart or lung symptoms. </w:t>
            </w:r>
          </w:p>
        </w:tc>
        <w:tc>
          <w:tcPr>
            <w:tcW w:w="1500" w:type="dxa"/>
            <w:tcBorders>
              <w:top w:val="single" w:sz="6" w:space="0" w:color="000000" w:themeColor="text1"/>
              <w:left w:val="single" w:sz="6" w:space="0" w:color="000000" w:themeColor="text1"/>
              <w:bottom w:val="single" w:sz="6" w:space="0" w:color="auto"/>
              <w:right w:val="single" w:sz="6" w:space="0" w:color="000000" w:themeColor="text1"/>
            </w:tcBorders>
          </w:tcPr>
          <w:p w14:paraId="3CD345E8" w14:textId="5342E22D"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lastRenderedPageBreak/>
              <w:t>Validate lived experience, </w:t>
            </w:r>
          </w:p>
          <w:p w14:paraId="652756D2" w14:textId="40E6FBAB"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Culturally responsive care, </w:t>
            </w:r>
          </w:p>
          <w:p w14:paraId="76A7CE3A" w14:textId="08B037F4"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Compassionate and person-centred approach. </w:t>
            </w:r>
          </w:p>
        </w:tc>
        <w:tc>
          <w:tcPr>
            <w:tcW w:w="1530" w:type="dxa"/>
            <w:tcBorders>
              <w:top w:val="single" w:sz="6" w:space="0" w:color="000000" w:themeColor="text1"/>
              <w:left w:val="single" w:sz="6" w:space="0" w:color="000000" w:themeColor="text1"/>
              <w:bottom w:val="single" w:sz="6" w:space="0" w:color="auto"/>
              <w:right w:val="single" w:sz="6" w:space="0" w:color="000000" w:themeColor="text1"/>
            </w:tcBorders>
          </w:tcPr>
          <w:p w14:paraId="40A2C542" w14:textId="47106577"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COVID-19 surveillance, </w:t>
            </w:r>
          </w:p>
          <w:p w14:paraId="56D98076" w14:textId="0F848C3A"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Individualised care plans, </w:t>
            </w:r>
          </w:p>
          <w:p w14:paraId="5FCDA5F8" w14:textId="39F50792"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Flexible delivery, </w:t>
            </w:r>
          </w:p>
          <w:p w14:paraId="0D6908AD" w14:textId="78EBAFF2"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Self-management and education, </w:t>
            </w:r>
          </w:p>
          <w:p w14:paraId="3077E561" w14:textId="5550F967"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Accessible services,  </w:t>
            </w:r>
          </w:p>
          <w:p w14:paraId="75D0DFBD" w14:textId="18B9B19A"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Workforce training, </w:t>
            </w:r>
          </w:p>
          <w:p w14:paraId="76BC8DAD" w14:textId="451DA24C"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lastRenderedPageBreak/>
              <w:t>Patient support (home and workplace), </w:t>
            </w:r>
          </w:p>
          <w:p w14:paraId="2C5EA69F" w14:textId="7F08DF04"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Public and caregiver education </w:t>
            </w:r>
          </w:p>
          <w:p w14:paraId="06D72D10" w14:textId="6144C541"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 </w:t>
            </w:r>
          </w:p>
        </w:tc>
        <w:tc>
          <w:tcPr>
            <w:tcW w:w="1830" w:type="dxa"/>
            <w:tcBorders>
              <w:top w:val="single" w:sz="6" w:space="0" w:color="000000" w:themeColor="text1"/>
              <w:left w:val="single" w:sz="6" w:space="0" w:color="000000" w:themeColor="text1"/>
              <w:bottom w:val="single" w:sz="6" w:space="0" w:color="auto"/>
              <w:right w:val="single" w:sz="6" w:space="0" w:color="000000" w:themeColor="text1"/>
            </w:tcBorders>
          </w:tcPr>
          <w:p w14:paraId="6573E436" w14:textId="6408BC7D"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lastRenderedPageBreak/>
              <w:t>N/A </w:t>
            </w:r>
          </w:p>
        </w:tc>
        <w:tc>
          <w:tcPr>
            <w:tcW w:w="1485" w:type="dxa"/>
            <w:tcBorders>
              <w:top w:val="single" w:sz="6" w:space="0" w:color="000000" w:themeColor="text1"/>
              <w:left w:val="single" w:sz="6" w:space="0" w:color="000000" w:themeColor="text1"/>
              <w:bottom w:val="single" w:sz="6" w:space="0" w:color="auto"/>
              <w:right w:val="single" w:sz="6" w:space="0" w:color="000000" w:themeColor="text1"/>
            </w:tcBorders>
          </w:tcPr>
          <w:p w14:paraId="2F789BCE" w14:textId="6D78E060"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Self-care support, </w:t>
            </w:r>
          </w:p>
          <w:p w14:paraId="74C73521" w14:textId="5FD0292F"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Infection prevention, </w:t>
            </w:r>
          </w:p>
          <w:p w14:paraId="3E5AC546" w14:textId="61BD95F8"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Energy management advice (pacing strategies). </w:t>
            </w:r>
          </w:p>
        </w:tc>
        <w:tc>
          <w:tcPr>
            <w:tcW w:w="1575" w:type="dxa"/>
            <w:tcBorders>
              <w:top w:val="single" w:sz="6" w:space="0" w:color="000000" w:themeColor="text1"/>
              <w:left w:val="single" w:sz="6" w:space="0" w:color="000000" w:themeColor="text1"/>
              <w:bottom w:val="single" w:sz="6" w:space="0" w:color="auto"/>
              <w:right w:val="single" w:sz="6" w:space="0" w:color="000000" w:themeColor="text1"/>
            </w:tcBorders>
          </w:tcPr>
          <w:p w14:paraId="11A7F330" w14:textId="09D3B9ED"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N/A </w:t>
            </w:r>
          </w:p>
        </w:tc>
        <w:tc>
          <w:tcPr>
            <w:tcW w:w="2520" w:type="dxa"/>
            <w:tcBorders>
              <w:top w:val="single" w:sz="6" w:space="0" w:color="000000" w:themeColor="text1"/>
              <w:left w:val="single" w:sz="6" w:space="0" w:color="000000" w:themeColor="text1"/>
              <w:bottom w:val="single" w:sz="6" w:space="0" w:color="auto"/>
              <w:right w:val="single" w:sz="6" w:space="0" w:color="auto"/>
            </w:tcBorders>
          </w:tcPr>
          <w:p w14:paraId="00F9499B" w14:textId="65B9FDE8"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The guideline defines Long COVID as a condition that begins three months after</w:t>
            </w:r>
            <w:r w:rsidR="00B96B47">
              <w:rPr>
                <w:rFonts w:ascii="Times New Roman" w:eastAsia="Times New Roman" w:hAnsi="Times New Roman" w:cs="Times New Roman"/>
                <w:sz w:val="20"/>
                <w:szCs w:val="20"/>
              </w:rPr>
              <w:t xml:space="preserve"> an</w:t>
            </w:r>
            <w:r w:rsidRPr="00B96B47">
              <w:rPr>
                <w:rFonts w:ascii="Times New Roman" w:eastAsia="Times New Roman" w:hAnsi="Times New Roman" w:cs="Times New Roman"/>
                <w:sz w:val="20"/>
                <w:szCs w:val="20"/>
              </w:rPr>
              <w:t xml:space="preserve"> acute SARS-CoV-2 infection persist for at least two months. It includes a structured summary of recommendations across key areas: (1) prevention of post-COVID-19 condition; (2) testing, identification, and diagnosis; (3) clinical interventions; (4) neurological and psychiatric aspects; (5) paediatric and adolescent considerations; and (6) health systems, services, and social support.  </w:t>
            </w:r>
          </w:p>
          <w:p w14:paraId="161D07EA" w14:textId="03346D4D"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lastRenderedPageBreak/>
              <w:t>The guideline provides comprehensive information on assessment and models of care, though it offers no guidance on red flag symptoms. </w:t>
            </w:r>
          </w:p>
          <w:p w14:paraId="1D1545C5" w14:textId="2A55656B" w:rsidR="34652B0A" w:rsidRPr="00B96B47" w:rsidRDefault="34652B0A" w:rsidP="34652B0A">
            <w:pPr>
              <w:spacing w:line="278" w:lineRule="auto"/>
              <w:rPr>
                <w:rFonts w:ascii="Times New Roman" w:eastAsia="Times New Roman" w:hAnsi="Times New Roman" w:cs="Times New Roman"/>
                <w:sz w:val="20"/>
                <w:szCs w:val="20"/>
              </w:rPr>
            </w:pPr>
          </w:p>
        </w:tc>
      </w:tr>
      <w:tr w:rsidR="00B96B47" w14:paraId="049FAADA" w14:textId="77777777" w:rsidTr="34652B0A">
        <w:trPr>
          <w:trHeight w:val="285"/>
        </w:trPr>
        <w:tc>
          <w:tcPr>
            <w:tcW w:w="1755" w:type="dxa"/>
            <w:tcBorders>
              <w:top w:val="single" w:sz="6" w:space="0" w:color="000000" w:themeColor="text1"/>
              <w:left w:val="single" w:sz="6" w:space="0" w:color="auto"/>
              <w:bottom w:val="single" w:sz="6" w:space="0" w:color="auto"/>
              <w:right w:val="single" w:sz="6" w:space="0" w:color="000000" w:themeColor="text1"/>
            </w:tcBorders>
          </w:tcPr>
          <w:p w14:paraId="2C6BD70E" w14:textId="77777777" w:rsidR="00B96B47" w:rsidRDefault="00B96B47" w:rsidP="00B96B47">
            <w:pPr>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lastRenderedPageBreak/>
              <w:t>WHO</w:t>
            </w:r>
          </w:p>
          <w:p w14:paraId="63C57247" w14:textId="3610DEF5" w:rsidR="00B96B47" w:rsidRPr="00B96B47" w:rsidRDefault="00B96B47" w:rsidP="00B96B47">
            <w:pPr>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1695" w:type="dxa"/>
            <w:tcBorders>
              <w:top w:val="single" w:sz="6" w:space="0" w:color="000000" w:themeColor="text1"/>
              <w:left w:val="single" w:sz="6" w:space="0" w:color="000000" w:themeColor="text1"/>
              <w:bottom w:val="single" w:sz="6" w:space="0" w:color="auto"/>
              <w:right w:val="single" w:sz="6" w:space="0" w:color="auto"/>
            </w:tcBorders>
          </w:tcPr>
          <w:p w14:paraId="17741D3F" w14:textId="6C209480" w:rsidR="00B96B47" w:rsidRPr="00B96B47" w:rsidRDefault="00B96B47" w:rsidP="00B96B47">
            <w:pPr>
              <w:rPr>
                <w:rFonts w:ascii="Times New Roman" w:eastAsia="Times New Roman" w:hAnsi="Times New Roman" w:cs="Times New Roman"/>
                <w:sz w:val="20"/>
                <w:szCs w:val="20"/>
              </w:rPr>
            </w:pPr>
            <w:r w:rsidRPr="00B96B47">
              <w:rPr>
                <w:rFonts w:ascii="Times New Roman" w:hAnsi="Times New Roman" w:cs="Times New Roman"/>
                <w:color w:val="000000"/>
                <w:sz w:val="20"/>
                <w:szCs w:val="20"/>
              </w:rPr>
              <w:t>N/A</w:t>
            </w:r>
          </w:p>
        </w:tc>
        <w:tc>
          <w:tcPr>
            <w:tcW w:w="1500" w:type="dxa"/>
            <w:tcBorders>
              <w:top w:val="single" w:sz="6" w:space="0" w:color="000000" w:themeColor="text1"/>
              <w:left w:val="single" w:sz="6" w:space="0" w:color="000000" w:themeColor="text1"/>
              <w:bottom w:val="single" w:sz="6" w:space="0" w:color="auto"/>
              <w:right w:val="single" w:sz="6" w:space="0" w:color="auto"/>
            </w:tcBorders>
          </w:tcPr>
          <w:p w14:paraId="2890EF29" w14:textId="38EDE823" w:rsidR="00B96B47" w:rsidRPr="00B96B47" w:rsidRDefault="00B96B47" w:rsidP="00B96B47">
            <w:pPr>
              <w:rPr>
                <w:rFonts w:ascii="Times New Roman" w:eastAsia="Times New Roman" w:hAnsi="Times New Roman" w:cs="Times New Roman"/>
                <w:sz w:val="20"/>
                <w:szCs w:val="20"/>
              </w:rPr>
            </w:pPr>
            <w:r w:rsidRPr="00B96B47">
              <w:rPr>
                <w:rFonts w:ascii="Times New Roman" w:hAnsi="Times New Roman" w:cs="Times New Roman"/>
                <w:sz w:val="20"/>
                <w:szCs w:val="20"/>
              </w:rPr>
              <w:t xml:space="preserve">Multidisciplinary teams, </w:t>
            </w:r>
            <w:r w:rsidRPr="00B96B47">
              <w:rPr>
                <w:rFonts w:ascii="Times New Roman" w:hAnsi="Times New Roman" w:cs="Times New Roman"/>
                <w:sz w:val="20"/>
                <w:szCs w:val="20"/>
              </w:rPr>
              <w:br/>
            </w:r>
            <w:r w:rsidRPr="00B96B47">
              <w:rPr>
                <w:rFonts w:ascii="Times New Roman" w:hAnsi="Times New Roman" w:cs="Times New Roman"/>
                <w:sz w:val="20"/>
                <w:szCs w:val="20"/>
              </w:rPr>
              <w:br/>
              <w:t xml:space="preserve">Coordinated care,  </w:t>
            </w:r>
            <w:r w:rsidRPr="00B96B47">
              <w:rPr>
                <w:rFonts w:ascii="Times New Roman" w:hAnsi="Times New Roman" w:cs="Times New Roman"/>
                <w:sz w:val="20"/>
                <w:szCs w:val="20"/>
              </w:rPr>
              <w:br/>
            </w:r>
            <w:r w:rsidRPr="00B96B47">
              <w:rPr>
                <w:rFonts w:ascii="Times New Roman" w:hAnsi="Times New Roman" w:cs="Times New Roman"/>
                <w:sz w:val="20"/>
                <w:szCs w:val="20"/>
              </w:rPr>
              <w:br/>
              <w:t xml:space="preserve">Person-centred approach and shared decision-making. </w:t>
            </w:r>
          </w:p>
        </w:tc>
        <w:tc>
          <w:tcPr>
            <w:tcW w:w="1530" w:type="dxa"/>
            <w:tcBorders>
              <w:top w:val="single" w:sz="6" w:space="0" w:color="000000" w:themeColor="text1"/>
              <w:left w:val="single" w:sz="6" w:space="0" w:color="000000" w:themeColor="text1"/>
              <w:bottom w:val="single" w:sz="6" w:space="0" w:color="auto"/>
              <w:right w:val="single" w:sz="6" w:space="0" w:color="auto"/>
            </w:tcBorders>
          </w:tcPr>
          <w:p w14:paraId="138D72B4" w14:textId="19EF6773" w:rsidR="00B96B47" w:rsidRPr="00B96B47" w:rsidRDefault="00B96B47" w:rsidP="00B96B47">
            <w:pPr>
              <w:rPr>
                <w:rFonts w:ascii="Times New Roman" w:eastAsia="Times New Roman" w:hAnsi="Times New Roman" w:cs="Times New Roman"/>
                <w:sz w:val="20"/>
                <w:szCs w:val="20"/>
              </w:rPr>
            </w:pPr>
            <w:r w:rsidRPr="00B96B47">
              <w:rPr>
                <w:rFonts w:ascii="Times New Roman" w:hAnsi="Times New Roman" w:cs="Times New Roman"/>
                <w:color w:val="000000"/>
                <w:sz w:val="20"/>
                <w:szCs w:val="20"/>
              </w:rPr>
              <w:t xml:space="preserve">Interdisciplinary care involving people living with post-COVID-19 condition, including: </w:t>
            </w:r>
            <w:r w:rsidRPr="00B96B47">
              <w:rPr>
                <w:rFonts w:ascii="Times New Roman" w:hAnsi="Times New Roman" w:cs="Times New Roman"/>
                <w:color w:val="000000"/>
                <w:sz w:val="20"/>
                <w:szCs w:val="20"/>
              </w:rPr>
              <w:br/>
              <w:t xml:space="preserve"> Rehabilitation needs assessment, </w:t>
            </w:r>
            <w:r w:rsidRPr="00B96B47">
              <w:rPr>
                <w:rFonts w:ascii="Times New Roman" w:hAnsi="Times New Roman" w:cs="Times New Roman"/>
                <w:color w:val="000000"/>
                <w:sz w:val="20"/>
                <w:szCs w:val="20"/>
              </w:rPr>
              <w:br/>
              <w:t xml:space="preserve">Outcome assessment, </w:t>
            </w:r>
            <w:r w:rsidRPr="00B96B47">
              <w:rPr>
                <w:rFonts w:ascii="Times New Roman" w:hAnsi="Times New Roman" w:cs="Times New Roman"/>
                <w:color w:val="000000"/>
                <w:sz w:val="20"/>
                <w:szCs w:val="20"/>
              </w:rPr>
              <w:br/>
              <w:t xml:space="preserve">Patient education and guided self-management, Recommendations for 11 common </w:t>
            </w:r>
            <w:r w:rsidRPr="00B96B47">
              <w:rPr>
                <w:rFonts w:ascii="Times New Roman" w:hAnsi="Times New Roman" w:cs="Times New Roman"/>
                <w:color w:val="000000"/>
                <w:sz w:val="20"/>
                <w:szCs w:val="20"/>
              </w:rPr>
              <w:lastRenderedPageBreak/>
              <w:t xml:space="preserve">symptoms and dysfunctions. </w:t>
            </w:r>
          </w:p>
        </w:tc>
        <w:tc>
          <w:tcPr>
            <w:tcW w:w="1830" w:type="dxa"/>
            <w:tcBorders>
              <w:top w:val="single" w:sz="6" w:space="0" w:color="000000" w:themeColor="text1"/>
              <w:left w:val="single" w:sz="6" w:space="0" w:color="000000" w:themeColor="text1"/>
              <w:bottom w:val="single" w:sz="6" w:space="0" w:color="auto"/>
              <w:right w:val="single" w:sz="6" w:space="0" w:color="auto"/>
            </w:tcBorders>
          </w:tcPr>
          <w:p w14:paraId="1DDD754A" w14:textId="2A8F7F4D" w:rsidR="00B96B47" w:rsidRPr="00B96B47" w:rsidRDefault="00B96B47" w:rsidP="00B96B47">
            <w:pPr>
              <w:rPr>
                <w:rFonts w:ascii="Times New Roman" w:eastAsia="Times New Roman" w:hAnsi="Times New Roman" w:cs="Times New Roman"/>
                <w:sz w:val="20"/>
                <w:szCs w:val="20"/>
              </w:rPr>
            </w:pPr>
            <w:r w:rsidRPr="00B96B47">
              <w:rPr>
                <w:rFonts w:ascii="Times New Roman" w:hAnsi="Times New Roman" w:cs="Times New Roman"/>
                <w:color w:val="000000"/>
                <w:sz w:val="20"/>
                <w:szCs w:val="20"/>
              </w:rPr>
              <w:lastRenderedPageBreak/>
              <w:t>Physiotherapists, occupational therapists, nurses, psychologists, speech and language therapists, physicians, social workers and community health care workers (</w:t>
            </w:r>
            <w:r>
              <w:rPr>
                <w:rFonts w:ascii="Times New Roman" w:hAnsi="Times New Roman" w:cs="Times New Roman"/>
                <w:color w:val="000000"/>
                <w:sz w:val="20"/>
                <w:szCs w:val="20"/>
              </w:rPr>
              <w:t>10</w:t>
            </w:r>
            <w:r w:rsidRPr="00B96B47">
              <w:rPr>
                <w:rFonts w:ascii="Times New Roman" w:hAnsi="Times New Roman" w:cs="Times New Roman"/>
                <w:color w:val="000000"/>
                <w:sz w:val="20"/>
                <w:szCs w:val="20"/>
              </w:rPr>
              <w:t>)</w:t>
            </w:r>
          </w:p>
        </w:tc>
        <w:tc>
          <w:tcPr>
            <w:tcW w:w="1485" w:type="dxa"/>
            <w:tcBorders>
              <w:top w:val="single" w:sz="6" w:space="0" w:color="000000" w:themeColor="text1"/>
              <w:left w:val="single" w:sz="6" w:space="0" w:color="000000" w:themeColor="text1"/>
              <w:bottom w:val="single" w:sz="6" w:space="0" w:color="auto"/>
              <w:right w:val="single" w:sz="6" w:space="0" w:color="auto"/>
            </w:tcBorders>
          </w:tcPr>
          <w:p w14:paraId="5DAE8898" w14:textId="6A9E5EF5" w:rsidR="00B96B47" w:rsidRPr="00B96B47" w:rsidRDefault="00B96B47" w:rsidP="00B96B47">
            <w:pPr>
              <w:rPr>
                <w:rFonts w:ascii="Times New Roman" w:eastAsia="Times New Roman" w:hAnsi="Times New Roman" w:cs="Times New Roman"/>
                <w:sz w:val="20"/>
                <w:szCs w:val="20"/>
              </w:rPr>
            </w:pPr>
            <w:r w:rsidRPr="00B96B47">
              <w:rPr>
                <w:rStyle w:val="font751"/>
                <w:color w:val="000000" w:themeColor="text1"/>
                <w:sz w:val="20"/>
                <w:szCs w:val="20"/>
                <w:u w:val="none"/>
              </w:rPr>
              <w:t>Recommendations for managing 10 key symptoms including pacing (</w:t>
            </w:r>
            <w:r>
              <w:rPr>
                <w:rStyle w:val="font751"/>
                <w:color w:val="000000" w:themeColor="text1"/>
                <w:sz w:val="20"/>
                <w:szCs w:val="20"/>
                <w:u w:val="none"/>
              </w:rPr>
              <w:t>10</w:t>
            </w:r>
            <w:r w:rsidRPr="00B96B47">
              <w:rPr>
                <w:rStyle w:val="font751"/>
                <w:color w:val="000000" w:themeColor="text1"/>
                <w:sz w:val="20"/>
                <w:szCs w:val="20"/>
                <w:u w:val="none"/>
              </w:rPr>
              <w:t>).</w:t>
            </w:r>
            <w:r w:rsidRPr="00B96B47">
              <w:rPr>
                <w:rStyle w:val="font231"/>
                <w:color w:val="000000" w:themeColor="text1"/>
                <w:sz w:val="20"/>
                <w:szCs w:val="20"/>
              </w:rPr>
              <w:t> </w:t>
            </w:r>
          </w:p>
        </w:tc>
        <w:tc>
          <w:tcPr>
            <w:tcW w:w="1575" w:type="dxa"/>
            <w:tcBorders>
              <w:top w:val="single" w:sz="6" w:space="0" w:color="000000" w:themeColor="text1"/>
              <w:left w:val="single" w:sz="6" w:space="0" w:color="000000" w:themeColor="text1"/>
              <w:bottom w:val="single" w:sz="6" w:space="0" w:color="auto"/>
              <w:right w:val="single" w:sz="6" w:space="0" w:color="auto"/>
            </w:tcBorders>
          </w:tcPr>
          <w:p w14:paraId="7EED07D1" w14:textId="47BFE107" w:rsidR="00B96B47" w:rsidRPr="00B96B47" w:rsidRDefault="00B96B47" w:rsidP="00B96B47">
            <w:pPr>
              <w:rPr>
                <w:rFonts w:ascii="Times New Roman" w:eastAsia="Times New Roman" w:hAnsi="Times New Roman" w:cs="Times New Roman"/>
                <w:sz w:val="20"/>
                <w:szCs w:val="20"/>
              </w:rPr>
            </w:pPr>
            <w:r w:rsidRPr="00B96B47">
              <w:rPr>
                <w:rFonts w:ascii="Times New Roman" w:hAnsi="Times New Roman" w:cs="Times New Roman"/>
                <w:color w:val="000000"/>
                <w:sz w:val="20"/>
                <w:szCs w:val="20"/>
              </w:rPr>
              <w:t xml:space="preserve">Exertional desaturation and cardiac impairment should be excluded and managed before starting exercise. Rehabilitation should be modified for individuals with orthostatic intolerance or post-exertional symptom exacerbation (PESE) to ensure safety. </w:t>
            </w:r>
          </w:p>
        </w:tc>
        <w:tc>
          <w:tcPr>
            <w:tcW w:w="2520" w:type="dxa"/>
            <w:tcBorders>
              <w:top w:val="single" w:sz="6" w:space="0" w:color="000000" w:themeColor="text1"/>
              <w:left w:val="single" w:sz="6" w:space="0" w:color="000000" w:themeColor="text1"/>
              <w:bottom w:val="single" w:sz="6" w:space="0" w:color="auto"/>
              <w:right w:val="single" w:sz="6" w:space="0" w:color="auto"/>
            </w:tcBorders>
          </w:tcPr>
          <w:p w14:paraId="7195AB17" w14:textId="2728AA94" w:rsidR="00B96B47" w:rsidRPr="00B96B47" w:rsidRDefault="00B96B47" w:rsidP="00B96B47">
            <w:pPr>
              <w:rPr>
                <w:rFonts w:ascii="Times New Roman" w:eastAsia="Times New Roman" w:hAnsi="Times New Roman" w:cs="Times New Roman"/>
                <w:sz w:val="20"/>
                <w:szCs w:val="20"/>
              </w:rPr>
            </w:pPr>
            <w:r w:rsidRPr="00B96B47">
              <w:rPr>
                <w:rFonts w:ascii="Times New Roman" w:hAnsi="Times New Roman" w:cs="Times New Roman"/>
                <w:color w:val="000000"/>
                <w:sz w:val="20"/>
                <w:szCs w:val="20"/>
              </w:rPr>
              <w:t>N/A</w:t>
            </w:r>
          </w:p>
        </w:tc>
      </w:tr>
      <w:tr w:rsidR="00B96B47" w14:paraId="3DE032D6" w14:textId="77777777" w:rsidTr="34652B0A">
        <w:trPr>
          <w:trHeight w:val="285"/>
        </w:trPr>
        <w:tc>
          <w:tcPr>
            <w:tcW w:w="1755" w:type="dxa"/>
            <w:tcBorders>
              <w:top w:val="single" w:sz="6" w:space="0" w:color="000000" w:themeColor="text1"/>
              <w:left w:val="single" w:sz="6" w:space="0" w:color="auto"/>
              <w:bottom w:val="single" w:sz="6" w:space="0" w:color="auto"/>
              <w:right w:val="single" w:sz="6" w:space="0" w:color="000000" w:themeColor="text1"/>
            </w:tcBorders>
          </w:tcPr>
          <w:p w14:paraId="5D4EB532" w14:textId="77777777" w:rsidR="00B96B47" w:rsidRDefault="00B96B47" w:rsidP="00B96B47">
            <w:pPr>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United Kingdom</w:t>
            </w:r>
          </w:p>
          <w:p w14:paraId="160A1ECF" w14:textId="0EF9EB9C" w:rsidR="00B96B47" w:rsidRPr="00B96B47" w:rsidRDefault="00B96B47" w:rsidP="00B96B47">
            <w:pP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1695" w:type="dxa"/>
            <w:tcBorders>
              <w:top w:val="single" w:sz="6" w:space="0" w:color="000000" w:themeColor="text1"/>
              <w:left w:val="single" w:sz="6" w:space="0" w:color="000000" w:themeColor="text1"/>
              <w:bottom w:val="single" w:sz="6" w:space="0" w:color="auto"/>
              <w:right w:val="single" w:sz="6" w:space="0" w:color="auto"/>
            </w:tcBorders>
          </w:tcPr>
          <w:p w14:paraId="50B0C4C6" w14:textId="4BF4CED6" w:rsidR="00B96B47" w:rsidRPr="00B96B47" w:rsidRDefault="00B96B47" w:rsidP="00B96B47">
            <w:pPr>
              <w:rPr>
                <w:rFonts w:ascii="Times New Roman" w:eastAsia="Times New Roman" w:hAnsi="Times New Roman" w:cs="Times New Roman"/>
                <w:sz w:val="20"/>
                <w:szCs w:val="20"/>
              </w:rPr>
            </w:pPr>
            <w:r w:rsidRPr="00B96B47">
              <w:rPr>
                <w:rFonts w:ascii="Times New Roman" w:hAnsi="Times New Roman" w:cs="Times New Roman"/>
                <w:color w:val="000000"/>
                <w:sz w:val="20"/>
                <w:szCs w:val="20"/>
              </w:rPr>
              <w:t>A comprehensive clinical history and appropriate examination that involves assessing physical, cognitive, psychological and psychiatric symptoms, as well as functional abilities.</w:t>
            </w:r>
          </w:p>
        </w:tc>
        <w:tc>
          <w:tcPr>
            <w:tcW w:w="1500" w:type="dxa"/>
            <w:tcBorders>
              <w:top w:val="single" w:sz="6" w:space="0" w:color="000000" w:themeColor="text1"/>
              <w:left w:val="single" w:sz="6" w:space="0" w:color="000000" w:themeColor="text1"/>
              <w:bottom w:val="single" w:sz="6" w:space="0" w:color="auto"/>
              <w:right w:val="single" w:sz="6" w:space="0" w:color="auto"/>
            </w:tcBorders>
          </w:tcPr>
          <w:p w14:paraId="44705E10" w14:textId="405D1D35" w:rsidR="00B96B47" w:rsidRPr="00B96B47" w:rsidRDefault="00B96B47" w:rsidP="00B96B47">
            <w:pPr>
              <w:rPr>
                <w:rFonts w:ascii="Times New Roman" w:eastAsia="Times New Roman" w:hAnsi="Times New Roman" w:cs="Times New Roman"/>
                <w:sz w:val="20"/>
                <w:szCs w:val="20"/>
              </w:rPr>
            </w:pPr>
            <w:r w:rsidRPr="00B96B47">
              <w:rPr>
                <w:rFonts w:ascii="Times New Roman" w:hAnsi="Times New Roman" w:cs="Times New Roman"/>
                <w:color w:val="000000"/>
                <w:sz w:val="20"/>
                <w:szCs w:val="20"/>
              </w:rPr>
              <w:t>A holistic, person-centred approach,</w:t>
            </w:r>
            <w:r w:rsidRPr="00B96B47">
              <w:rPr>
                <w:rFonts w:ascii="Times New Roman" w:hAnsi="Times New Roman" w:cs="Times New Roman"/>
                <w:color w:val="000000"/>
                <w:sz w:val="20"/>
                <w:szCs w:val="20"/>
              </w:rPr>
              <w:br/>
              <w:t>Shared decision making, Multidisciplinary care</w:t>
            </w:r>
          </w:p>
        </w:tc>
        <w:tc>
          <w:tcPr>
            <w:tcW w:w="1530" w:type="dxa"/>
            <w:tcBorders>
              <w:top w:val="single" w:sz="6" w:space="0" w:color="000000" w:themeColor="text1"/>
              <w:left w:val="single" w:sz="6" w:space="0" w:color="000000" w:themeColor="text1"/>
              <w:bottom w:val="single" w:sz="6" w:space="0" w:color="auto"/>
              <w:right w:val="single" w:sz="6" w:space="0" w:color="auto"/>
            </w:tcBorders>
          </w:tcPr>
          <w:p w14:paraId="7D85DD3E" w14:textId="386B4E3D" w:rsidR="00B96B47" w:rsidRPr="00B96B47" w:rsidRDefault="00B96B47" w:rsidP="00B96B47">
            <w:pPr>
              <w:rPr>
                <w:rFonts w:ascii="Times New Roman" w:eastAsia="Times New Roman" w:hAnsi="Times New Roman" w:cs="Times New Roman"/>
                <w:sz w:val="20"/>
                <w:szCs w:val="20"/>
              </w:rPr>
            </w:pPr>
            <w:r w:rsidRPr="00B96B47">
              <w:rPr>
                <w:rFonts w:ascii="Times New Roman" w:hAnsi="Times New Roman" w:cs="Times New Roman"/>
                <w:color w:val="000000"/>
                <w:sz w:val="20"/>
                <w:szCs w:val="20"/>
              </w:rPr>
              <w:t xml:space="preserve">Integrated and coordinated support across primary care, community, rehabilitation, and mental health services,  </w:t>
            </w:r>
            <w:r w:rsidRPr="00B96B47">
              <w:rPr>
                <w:rFonts w:ascii="Times New Roman" w:hAnsi="Times New Roman" w:cs="Times New Roman"/>
                <w:color w:val="000000"/>
                <w:sz w:val="20"/>
                <w:szCs w:val="20"/>
              </w:rPr>
              <w:br/>
              <w:t>Referral to a multidisciplinary assessment service,</w:t>
            </w:r>
            <w:r w:rsidRPr="00B96B47">
              <w:rPr>
                <w:rFonts w:ascii="Times New Roman" w:hAnsi="Times New Roman" w:cs="Times New Roman"/>
                <w:color w:val="000000"/>
                <w:sz w:val="20"/>
                <w:szCs w:val="20"/>
              </w:rPr>
              <w:br/>
              <w:t>Advice on self-management.</w:t>
            </w:r>
          </w:p>
        </w:tc>
        <w:tc>
          <w:tcPr>
            <w:tcW w:w="1830" w:type="dxa"/>
            <w:tcBorders>
              <w:top w:val="single" w:sz="6" w:space="0" w:color="000000" w:themeColor="text1"/>
              <w:left w:val="single" w:sz="6" w:space="0" w:color="000000" w:themeColor="text1"/>
              <w:bottom w:val="single" w:sz="6" w:space="0" w:color="auto"/>
              <w:right w:val="single" w:sz="6" w:space="0" w:color="auto"/>
            </w:tcBorders>
          </w:tcPr>
          <w:p w14:paraId="0337E32A" w14:textId="571C0092" w:rsidR="00B96B47" w:rsidRPr="00B96B47" w:rsidRDefault="00B96B47" w:rsidP="00B96B47">
            <w:pPr>
              <w:rPr>
                <w:rFonts w:ascii="Times New Roman" w:eastAsia="Times New Roman" w:hAnsi="Times New Roman" w:cs="Times New Roman"/>
                <w:sz w:val="20"/>
                <w:szCs w:val="20"/>
              </w:rPr>
            </w:pPr>
            <w:r w:rsidRPr="00B96B47">
              <w:rPr>
                <w:rFonts w:ascii="Times New Roman" w:hAnsi="Times New Roman" w:cs="Times New Roman"/>
                <w:color w:val="000000"/>
                <w:sz w:val="20"/>
                <w:szCs w:val="20"/>
              </w:rPr>
              <w:t>Physiotherapists, Psychologists, Psychiatrists, OTs Specialists (</w:t>
            </w:r>
            <w:r>
              <w:rPr>
                <w:rFonts w:ascii="Times New Roman" w:hAnsi="Times New Roman" w:cs="Times New Roman"/>
                <w:color w:val="000000"/>
                <w:sz w:val="20"/>
                <w:szCs w:val="20"/>
              </w:rPr>
              <w:t>10</w:t>
            </w:r>
            <w:r w:rsidRPr="00B96B47">
              <w:rPr>
                <w:rFonts w:ascii="Times New Roman" w:hAnsi="Times New Roman" w:cs="Times New Roman"/>
                <w:color w:val="000000"/>
                <w:sz w:val="20"/>
                <w:szCs w:val="20"/>
              </w:rPr>
              <w:t>)</w:t>
            </w:r>
          </w:p>
        </w:tc>
        <w:tc>
          <w:tcPr>
            <w:tcW w:w="1485" w:type="dxa"/>
            <w:tcBorders>
              <w:top w:val="single" w:sz="6" w:space="0" w:color="000000" w:themeColor="text1"/>
              <w:left w:val="single" w:sz="6" w:space="0" w:color="000000" w:themeColor="text1"/>
              <w:bottom w:val="single" w:sz="6" w:space="0" w:color="auto"/>
              <w:right w:val="single" w:sz="6" w:space="0" w:color="auto"/>
            </w:tcBorders>
          </w:tcPr>
          <w:p w14:paraId="3F401408" w14:textId="3A56DAAA" w:rsidR="00B96B47" w:rsidRPr="00B96B47" w:rsidRDefault="00B96B47" w:rsidP="00B96B47">
            <w:pPr>
              <w:rPr>
                <w:rFonts w:ascii="Times New Roman" w:eastAsia="Times New Roman" w:hAnsi="Times New Roman" w:cs="Times New Roman"/>
                <w:sz w:val="20"/>
                <w:szCs w:val="20"/>
              </w:rPr>
            </w:pPr>
            <w:r w:rsidRPr="00B96B47">
              <w:rPr>
                <w:rFonts w:ascii="Times New Roman" w:hAnsi="Times New Roman" w:cs="Times New Roman"/>
                <w:color w:val="000000"/>
                <w:sz w:val="20"/>
                <w:szCs w:val="20"/>
              </w:rPr>
              <w:t>Information on new or ongoing symptoms after acute COVID-19, expected recovery, self-management advice, when to seek medical help, and use of symptom diaries or tracking apps</w:t>
            </w:r>
            <w:r>
              <w:rPr>
                <w:rFonts w:ascii="Times New Roman" w:hAnsi="Times New Roman" w:cs="Times New Roman"/>
                <w:color w:val="000000"/>
                <w:sz w:val="20"/>
                <w:szCs w:val="20"/>
              </w:rPr>
              <w:t xml:space="preserve"> </w:t>
            </w:r>
            <w:r w:rsidRPr="00B96B47">
              <w:rPr>
                <w:rFonts w:ascii="Times New Roman" w:hAnsi="Times New Roman" w:cs="Times New Roman"/>
                <w:color w:val="000000"/>
                <w:sz w:val="20"/>
                <w:szCs w:val="20"/>
              </w:rPr>
              <w:t>(</w:t>
            </w:r>
            <w:r>
              <w:rPr>
                <w:rFonts w:ascii="Times New Roman" w:hAnsi="Times New Roman" w:cs="Times New Roman"/>
                <w:color w:val="000000"/>
                <w:sz w:val="20"/>
                <w:szCs w:val="20"/>
              </w:rPr>
              <w:t>10</w:t>
            </w:r>
            <w:r w:rsidRPr="00B96B47">
              <w:rPr>
                <w:rFonts w:ascii="Times New Roman" w:hAnsi="Times New Roman" w:cs="Times New Roman"/>
                <w:color w:val="000000"/>
                <w:sz w:val="20"/>
                <w:szCs w:val="20"/>
              </w:rPr>
              <w:t>)</w:t>
            </w:r>
            <w:r>
              <w:rPr>
                <w:rFonts w:ascii="Times New Roman" w:hAnsi="Times New Roman" w:cs="Times New Roman"/>
                <w:color w:val="000000"/>
                <w:sz w:val="20"/>
                <w:szCs w:val="20"/>
              </w:rPr>
              <w:t>.</w:t>
            </w:r>
          </w:p>
        </w:tc>
        <w:tc>
          <w:tcPr>
            <w:tcW w:w="1575" w:type="dxa"/>
            <w:tcBorders>
              <w:top w:val="single" w:sz="6" w:space="0" w:color="000000" w:themeColor="text1"/>
              <w:left w:val="single" w:sz="6" w:space="0" w:color="000000" w:themeColor="text1"/>
              <w:bottom w:val="single" w:sz="6" w:space="0" w:color="auto"/>
              <w:right w:val="single" w:sz="6" w:space="0" w:color="auto"/>
            </w:tcBorders>
          </w:tcPr>
          <w:p w14:paraId="71842109" w14:textId="4D1128A6" w:rsidR="00B96B47" w:rsidRPr="00B96B47" w:rsidRDefault="00B96B47" w:rsidP="00B96B47">
            <w:pPr>
              <w:rPr>
                <w:rFonts w:ascii="Times New Roman" w:eastAsia="Times New Roman" w:hAnsi="Times New Roman" w:cs="Times New Roman"/>
                <w:sz w:val="20"/>
                <w:szCs w:val="20"/>
              </w:rPr>
            </w:pPr>
            <w:r w:rsidRPr="00B96B47">
              <w:rPr>
                <w:rFonts w:ascii="Times New Roman" w:hAnsi="Times New Roman" w:cs="Times New Roman"/>
                <w:color w:val="000000"/>
                <w:sz w:val="20"/>
                <w:szCs w:val="20"/>
              </w:rPr>
              <w:t xml:space="preserve">life-threatening complication, including: </w:t>
            </w:r>
            <w:r w:rsidRPr="00B96B47">
              <w:rPr>
                <w:rFonts w:ascii="Times New Roman" w:hAnsi="Times New Roman" w:cs="Times New Roman"/>
                <w:color w:val="000000"/>
                <w:sz w:val="20"/>
                <w:szCs w:val="20"/>
              </w:rPr>
              <w:br/>
              <w:t xml:space="preserve">hypoxaemia or oxygen desaturation on exercise, signs of severe lung disease, cardiac chest pain </w:t>
            </w:r>
          </w:p>
        </w:tc>
        <w:tc>
          <w:tcPr>
            <w:tcW w:w="2520" w:type="dxa"/>
            <w:tcBorders>
              <w:top w:val="single" w:sz="6" w:space="0" w:color="000000" w:themeColor="text1"/>
              <w:left w:val="single" w:sz="6" w:space="0" w:color="000000" w:themeColor="text1"/>
              <w:bottom w:val="single" w:sz="6" w:space="0" w:color="auto"/>
              <w:right w:val="single" w:sz="6" w:space="0" w:color="auto"/>
            </w:tcBorders>
          </w:tcPr>
          <w:p w14:paraId="58B1FCF6" w14:textId="2391AB11" w:rsidR="00B96B47" w:rsidRPr="00B96B47" w:rsidRDefault="00B96B47" w:rsidP="00B96B47">
            <w:pPr>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N/A</w:t>
            </w:r>
          </w:p>
        </w:tc>
      </w:tr>
      <w:tr w:rsidR="00B96B47" w14:paraId="338C9616" w14:textId="77777777" w:rsidTr="34652B0A">
        <w:trPr>
          <w:trHeight w:val="285"/>
        </w:trPr>
        <w:tc>
          <w:tcPr>
            <w:tcW w:w="1755" w:type="dxa"/>
            <w:tcBorders>
              <w:top w:val="single" w:sz="6" w:space="0" w:color="000000" w:themeColor="text1"/>
              <w:left w:val="single" w:sz="6" w:space="0" w:color="auto"/>
              <w:bottom w:val="single" w:sz="6" w:space="0" w:color="auto"/>
              <w:right w:val="single" w:sz="6" w:space="0" w:color="000000" w:themeColor="text1"/>
            </w:tcBorders>
          </w:tcPr>
          <w:p w14:paraId="6AFB34B1" w14:textId="77777777" w:rsidR="00B96B47" w:rsidRDefault="00B96B47" w:rsidP="00B96B47">
            <w:pPr>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New Zealand</w:t>
            </w:r>
          </w:p>
          <w:p w14:paraId="01A67199" w14:textId="08F9E451" w:rsidR="00B96B47" w:rsidRPr="00B96B47" w:rsidRDefault="00B96B47" w:rsidP="00B96B47">
            <w:pPr>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1695" w:type="dxa"/>
            <w:tcBorders>
              <w:top w:val="single" w:sz="6" w:space="0" w:color="000000" w:themeColor="text1"/>
              <w:left w:val="single" w:sz="6" w:space="0" w:color="000000" w:themeColor="text1"/>
              <w:bottom w:val="single" w:sz="6" w:space="0" w:color="auto"/>
              <w:right w:val="single" w:sz="6" w:space="0" w:color="auto"/>
            </w:tcBorders>
          </w:tcPr>
          <w:p w14:paraId="5FFC5117" w14:textId="575462F4" w:rsidR="00B96B47" w:rsidRPr="00B96B47" w:rsidRDefault="00B96B47" w:rsidP="00B96B47">
            <w:pPr>
              <w:rPr>
                <w:rFonts w:ascii="Times New Roman" w:eastAsia="Times New Roman" w:hAnsi="Times New Roman" w:cs="Times New Roman"/>
                <w:sz w:val="20"/>
                <w:szCs w:val="20"/>
              </w:rPr>
            </w:pPr>
            <w:r w:rsidRPr="00B96B47">
              <w:rPr>
                <w:rFonts w:ascii="Times New Roman" w:hAnsi="Times New Roman" w:cs="Times New Roman"/>
                <w:color w:val="000000"/>
                <w:sz w:val="20"/>
                <w:szCs w:val="20"/>
              </w:rPr>
              <w:t xml:space="preserve">Use of tools for symptom screening and assessment to </w:t>
            </w:r>
            <w:r w:rsidRPr="00B96B47">
              <w:rPr>
                <w:rFonts w:ascii="Times New Roman" w:hAnsi="Times New Roman" w:cs="Times New Roman"/>
                <w:color w:val="000000"/>
                <w:sz w:val="20"/>
                <w:szCs w:val="20"/>
              </w:rPr>
              <w:br/>
              <w:t>identify long-COVID condition symptoms and functional impairments</w:t>
            </w:r>
          </w:p>
        </w:tc>
        <w:tc>
          <w:tcPr>
            <w:tcW w:w="1500" w:type="dxa"/>
            <w:tcBorders>
              <w:top w:val="single" w:sz="6" w:space="0" w:color="000000" w:themeColor="text1"/>
              <w:left w:val="single" w:sz="6" w:space="0" w:color="000000" w:themeColor="text1"/>
              <w:bottom w:val="single" w:sz="6" w:space="0" w:color="auto"/>
              <w:right w:val="single" w:sz="6" w:space="0" w:color="auto"/>
            </w:tcBorders>
          </w:tcPr>
          <w:p w14:paraId="3CEF6EE7" w14:textId="7A08746D" w:rsidR="00B96B47" w:rsidRPr="00B96B47" w:rsidRDefault="00B96B47" w:rsidP="00B96B47">
            <w:pPr>
              <w:rPr>
                <w:rFonts w:ascii="Times New Roman" w:eastAsia="Times New Roman" w:hAnsi="Times New Roman" w:cs="Times New Roman"/>
                <w:sz w:val="20"/>
                <w:szCs w:val="20"/>
              </w:rPr>
            </w:pPr>
            <w:r w:rsidRPr="00B96B47">
              <w:rPr>
                <w:rFonts w:ascii="Times New Roman" w:hAnsi="Times New Roman" w:cs="Times New Roman"/>
                <w:color w:val="000000"/>
                <w:sz w:val="20"/>
                <w:szCs w:val="20"/>
              </w:rPr>
              <w:t>A holistic approach,</w:t>
            </w:r>
            <w:r w:rsidRPr="00B96B47">
              <w:rPr>
                <w:rFonts w:ascii="Times New Roman" w:hAnsi="Times New Roman" w:cs="Times New Roman"/>
                <w:color w:val="000000"/>
                <w:sz w:val="20"/>
                <w:szCs w:val="20"/>
              </w:rPr>
              <w:br/>
              <w:t>Tailored to individual's needs,</w:t>
            </w:r>
            <w:r w:rsidRPr="00B96B47">
              <w:rPr>
                <w:rFonts w:ascii="Times New Roman" w:hAnsi="Times New Roman" w:cs="Times New Roman"/>
                <w:color w:val="000000"/>
                <w:sz w:val="20"/>
                <w:szCs w:val="20"/>
              </w:rPr>
              <w:br/>
              <w:t>A multi-disciplinary care.</w:t>
            </w:r>
          </w:p>
        </w:tc>
        <w:tc>
          <w:tcPr>
            <w:tcW w:w="1530" w:type="dxa"/>
            <w:tcBorders>
              <w:top w:val="single" w:sz="6" w:space="0" w:color="000000" w:themeColor="text1"/>
              <w:left w:val="single" w:sz="6" w:space="0" w:color="000000" w:themeColor="text1"/>
              <w:bottom w:val="single" w:sz="6" w:space="0" w:color="auto"/>
              <w:right w:val="single" w:sz="6" w:space="0" w:color="auto"/>
            </w:tcBorders>
          </w:tcPr>
          <w:p w14:paraId="4E841944" w14:textId="504C731E" w:rsidR="00B96B47" w:rsidRPr="00B96B47" w:rsidRDefault="00B96B47" w:rsidP="00B96B47">
            <w:pPr>
              <w:rPr>
                <w:rFonts w:ascii="Times New Roman" w:eastAsia="Times New Roman" w:hAnsi="Times New Roman" w:cs="Times New Roman"/>
                <w:sz w:val="20"/>
                <w:szCs w:val="20"/>
              </w:rPr>
            </w:pPr>
            <w:r w:rsidRPr="00B96B47">
              <w:rPr>
                <w:rFonts w:ascii="Times New Roman" w:hAnsi="Times New Roman" w:cs="Times New Roman"/>
                <w:color w:val="000000"/>
                <w:sz w:val="20"/>
                <w:szCs w:val="20"/>
              </w:rPr>
              <w:t xml:space="preserve">Self-management, </w:t>
            </w:r>
            <w:r w:rsidRPr="00B96B47">
              <w:rPr>
                <w:rFonts w:ascii="Times New Roman" w:hAnsi="Times New Roman" w:cs="Times New Roman"/>
                <w:color w:val="000000"/>
                <w:sz w:val="20"/>
                <w:szCs w:val="20"/>
              </w:rPr>
              <w:br/>
              <w:t xml:space="preserve">A multi-disciplinary team, </w:t>
            </w:r>
            <w:r w:rsidRPr="00B96B47">
              <w:rPr>
                <w:rFonts w:ascii="Times New Roman" w:hAnsi="Times New Roman" w:cs="Times New Roman"/>
                <w:color w:val="000000"/>
                <w:sz w:val="20"/>
                <w:szCs w:val="20"/>
              </w:rPr>
              <w:br/>
              <w:t xml:space="preserve">Specialist care. </w:t>
            </w:r>
          </w:p>
        </w:tc>
        <w:tc>
          <w:tcPr>
            <w:tcW w:w="1830" w:type="dxa"/>
            <w:tcBorders>
              <w:top w:val="single" w:sz="6" w:space="0" w:color="000000" w:themeColor="text1"/>
              <w:left w:val="single" w:sz="6" w:space="0" w:color="000000" w:themeColor="text1"/>
              <w:bottom w:val="single" w:sz="6" w:space="0" w:color="auto"/>
              <w:right w:val="single" w:sz="6" w:space="0" w:color="auto"/>
            </w:tcBorders>
          </w:tcPr>
          <w:p w14:paraId="77743DD5" w14:textId="3EFDAB56" w:rsidR="00B96B47" w:rsidRPr="00B96B47" w:rsidRDefault="00B96B47" w:rsidP="00B96B47">
            <w:pPr>
              <w:rPr>
                <w:rFonts w:ascii="Times New Roman" w:eastAsia="Times New Roman" w:hAnsi="Times New Roman" w:cs="Times New Roman"/>
                <w:sz w:val="20"/>
                <w:szCs w:val="20"/>
              </w:rPr>
            </w:pPr>
            <w:r w:rsidRPr="00B96B47">
              <w:rPr>
                <w:rFonts w:ascii="Times New Roman" w:hAnsi="Times New Roman" w:cs="Times New Roman"/>
                <w:color w:val="000000"/>
                <w:sz w:val="20"/>
                <w:szCs w:val="20"/>
              </w:rPr>
              <w:t>Clinical exercise physiologist, Physiotherapist, OT, Dietician, Psychologist, Social worker, Speech therapist (</w:t>
            </w:r>
            <w:r>
              <w:rPr>
                <w:rFonts w:ascii="Times New Roman" w:hAnsi="Times New Roman" w:cs="Times New Roman"/>
                <w:color w:val="000000"/>
                <w:sz w:val="20"/>
                <w:szCs w:val="20"/>
              </w:rPr>
              <w:t>10</w:t>
            </w:r>
            <w:r w:rsidRPr="00B96B47">
              <w:rPr>
                <w:rFonts w:ascii="Times New Roman" w:hAnsi="Times New Roman" w:cs="Times New Roman"/>
                <w:color w:val="000000"/>
                <w:sz w:val="20"/>
                <w:szCs w:val="20"/>
              </w:rPr>
              <w:t>)</w:t>
            </w:r>
          </w:p>
        </w:tc>
        <w:tc>
          <w:tcPr>
            <w:tcW w:w="1485" w:type="dxa"/>
            <w:tcBorders>
              <w:top w:val="single" w:sz="6" w:space="0" w:color="000000" w:themeColor="text1"/>
              <w:left w:val="single" w:sz="6" w:space="0" w:color="000000" w:themeColor="text1"/>
              <w:bottom w:val="single" w:sz="6" w:space="0" w:color="auto"/>
              <w:right w:val="single" w:sz="6" w:space="0" w:color="auto"/>
            </w:tcBorders>
          </w:tcPr>
          <w:p w14:paraId="0C3F1B87" w14:textId="594679C8" w:rsidR="00B96B47" w:rsidRPr="00B96B47" w:rsidRDefault="00B96B47" w:rsidP="00B96B47">
            <w:pPr>
              <w:rPr>
                <w:rFonts w:ascii="Times New Roman" w:eastAsia="Times New Roman" w:hAnsi="Times New Roman" w:cs="Times New Roman"/>
                <w:sz w:val="20"/>
                <w:szCs w:val="20"/>
              </w:rPr>
            </w:pPr>
            <w:r w:rsidRPr="00B96B47">
              <w:rPr>
                <w:rFonts w:ascii="Times New Roman" w:hAnsi="Times New Roman" w:cs="Times New Roman"/>
                <w:color w:val="000000"/>
                <w:sz w:val="20"/>
                <w:szCs w:val="20"/>
              </w:rPr>
              <w:t xml:space="preserve">Mental health support helplines; Long COVID symptom management resources; peer support services; materials for children and young people with Long COVID; and personalised </w:t>
            </w:r>
            <w:r w:rsidRPr="00B96B47">
              <w:rPr>
                <w:rFonts w:ascii="Times New Roman" w:hAnsi="Times New Roman" w:cs="Times New Roman"/>
                <w:color w:val="000000"/>
                <w:sz w:val="20"/>
                <w:szCs w:val="20"/>
              </w:rPr>
              <w:lastRenderedPageBreak/>
              <w:t>care or action plans</w:t>
            </w:r>
            <w:r>
              <w:rPr>
                <w:rFonts w:ascii="Times New Roman" w:hAnsi="Times New Roman" w:cs="Times New Roman"/>
                <w:color w:val="000000"/>
                <w:sz w:val="20"/>
                <w:szCs w:val="20"/>
              </w:rPr>
              <w:t xml:space="preserve"> </w:t>
            </w:r>
            <w:r w:rsidRPr="00B96B47">
              <w:rPr>
                <w:rFonts w:ascii="Times New Roman" w:hAnsi="Times New Roman" w:cs="Times New Roman"/>
                <w:color w:val="000000"/>
                <w:sz w:val="20"/>
                <w:szCs w:val="20"/>
              </w:rPr>
              <w:t>(</w:t>
            </w:r>
            <w:r>
              <w:rPr>
                <w:rFonts w:ascii="Times New Roman" w:hAnsi="Times New Roman" w:cs="Times New Roman"/>
                <w:color w:val="000000"/>
                <w:sz w:val="20"/>
                <w:szCs w:val="20"/>
              </w:rPr>
              <w:t>10</w:t>
            </w:r>
            <w:r w:rsidRPr="00B96B47">
              <w:rPr>
                <w:rFonts w:ascii="Times New Roman" w:hAnsi="Times New Roman" w:cs="Times New Roman"/>
                <w:color w:val="000000"/>
                <w:sz w:val="20"/>
                <w:szCs w:val="20"/>
              </w:rPr>
              <w:t>)</w:t>
            </w:r>
            <w:r>
              <w:rPr>
                <w:rFonts w:ascii="Times New Roman" w:hAnsi="Times New Roman" w:cs="Times New Roman"/>
                <w:color w:val="000000"/>
                <w:sz w:val="20"/>
                <w:szCs w:val="20"/>
              </w:rPr>
              <w:t>.</w:t>
            </w:r>
          </w:p>
        </w:tc>
        <w:tc>
          <w:tcPr>
            <w:tcW w:w="1575" w:type="dxa"/>
            <w:tcBorders>
              <w:top w:val="single" w:sz="6" w:space="0" w:color="000000" w:themeColor="text1"/>
              <w:left w:val="single" w:sz="6" w:space="0" w:color="000000" w:themeColor="text1"/>
              <w:bottom w:val="single" w:sz="6" w:space="0" w:color="auto"/>
              <w:right w:val="single" w:sz="6" w:space="0" w:color="auto"/>
            </w:tcBorders>
          </w:tcPr>
          <w:p w14:paraId="6818AFB2" w14:textId="5EF2A9F2" w:rsidR="00B96B47" w:rsidRPr="00B96B47" w:rsidRDefault="00B96B47" w:rsidP="00B96B47">
            <w:pPr>
              <w:rPr>
                <w:rFonts w:ascii="Times New Roman" w:eastAsia="Times New Roman" w:hAnsi="Times New Roman" w:cs="Times New Roman"/>
                <w:sz w:val="20"/>
                <w:szCs w:val="20"/>
              </w:rPr>
            </w:pPr>
            <w:r w:rsidRPr="00B96B47">
              <w:rPr>
                <w:rFonts w:ascii="Times New Roman" w:hAnsi="Times New Roman" w:cs="Times New Roman"/>
                <w:color w:val="000000"/>
                <w:sz w:val="20"/>
                <w:szCs w:val="20"/>
              </w:rPr>
              <w:lastRenderedPageBreak/>
              <w:t>Heart failure,</w:t>
            </w:r>
            <w:r w:rsidRPr="00B96B47">
              <w:rPr>
                <w:rFonts w:ascii="Times New Roman" w:hAnsi="Times New Roman" w:cs="Times New Roman"/>
                <w:color w:val="000000"/>
                <w:sz w:val="20"/>
                <w:szCs w:val="20"/>
              </w:rPr>
              <w:br/>
              <w:t>Pulmonary embolism,</w:t>
            </w:r>
            <w:r w:rsidRPr="00B96B47">
              <w:rPr>
                <w:rFonts w:ascii="Times New Roman" w:hAnsi="Times New Roman" w:cs="Times New Roman"/>
                <w:color w:val="000000"/>
                <w:sz w:val="20"/>
                <w:szCs w:val="20"/>
              </w:rPr>
              <w:br/>
              <w:t>Acute coronary syndrome,</w:t>
            </w:r>
            <w:r w:rsidRPr="00B96B47">
              <w:rPr>
                <w:rFonts w:ascii="Times New Roman" w:hAnsi="Times New Roman" w:cs="Times New Roman"/>
                <w:color w:val="000000"/>
                <w:sz w:val="20"/>
                <w:szCs w:val="20"/>
              </w:rPr>
              <w:br/>
              <w:t>Post-exertional symptom exacerbation (PESE),</w:t>
            </w:r>
            <w:r w:rsidRPr="00B96B47">
              <w:rPr>
                <w:rFonts w:ascii="Times New Roman" w:hAnsi="Times New Roman" w:cs="Times New Roman"/>
                <w:color w:val="000000"/>
                <w:sz w:val="20"/>
                <w:szCs w:val="20"/>
              </w:rPr>
              <w:br/>
              <w:t>Myocarditis,</w:t>
            </w:r>
            <w:r w:rsidRPr="00B96B47">
              <w:rPr>
                <w:rFonts w:ascii="Times New Roman" w:hAnsi="Times New Roman" w:cs="Times New Roman"/>
                <w:color w:val="000000"/>
                <w:sz w:val="20"/>
                <w:szCs w:val="20"/>
              </w:rPr>
              <w:br/>
              <w:t>Chest pain,</w:t>
            </w:r>
            <w:r w:rsidRPr="00B96B47">
              <w:rPr>
                <w:rFonts w:ascii="Times New Roman" w:hAnsi="Times New Roman" w:cs="Times New Roman"/>
                <w:color w:val="000000"/>
                <w:sz w:val="20"/>
                <w:szCs w:val="20"/>
              </w:rPr>
              <w:br/>
              <w:t xml:space="preserve">Tightness, worsening or increasing palpitations, dyspnoea, </w:t>
            </w:r>
            <w:r w:rsidRPr="00B96B47">
              <w:rPr>
                <w:rFonts w:ascii="Times New Roman" w:hAnsi="Times New Roman" w:cs="Times New Roman"/>
                <w:color w:val="000000"/>
                <w:sz w:val="20"/>
                <w:szCs w:val="20"/>
              </w:rPr>
              <w:lastRenderedPageBreak/>
              <w:t xml:space="preserve">desaturation in </w:t>
            </w:r>
            <w:r w:rsidRPr="00B96B47">
              <w:rPr>
                <w:rFonts w:ascii="Times New Roman" w:hAnsi="Times New Roman" w:cs="Times New Roman"/>
                <w:color w:val="000000"/>
                <w:sz w:val="20"/>
                <w:szCs w:val="20"/>
              </w:rPr>
              <w:br/>
              <w:t>exertion,</w:t>
            </w:r>
            <w:r w:rsidRPr="00B96B47">
              <w:rPr>
                <w:rFonts w:ascii="Times New Roman" w:hAnsi="Times New Roman" w:cs="Times New Roman"/>
                <w:color w:val="000000"/>
                <w:sz w:val="20"/>
                <w:szCs w:val="20"/>
              </w:rPr>
              <w:br/>
              <w:t xml:space="preserve">POTS, </w:t>
            </w:r>
            <w:r w:rsidRPr="00B96B47">
              <w:rPr>
                <w:rFonts w:ascii="Times New Roman" w:hAnsi="Times New Roman" w:cs="Times New Roman"/>
                <w:color w:val="000000"/>
                <w:sz w:val="20"/>
                <w:szCs w:val="20"/>
              </w:rPr>
              <w:br/>
              <w:t>Coagulation dysfunction,</w:t>
            </w:r>
            <w:r w:rsidRPr="00B96B47">
              <w:rPr>
                <w:rFonts w:ascii="Times New Roman" w:hAnsi="Times New Roman" w:cs="Times New Roman"/>
                <w:color w:val="000000"/>
                <w:sz w:val="20"/>
                <w:szCs w:val="20"/>
              </w:rPr>
              <w:br/>
              <w:t>Neurological disorder.</w:t>
            </w:r>
          </w:p>
        </w:tc>
        <w:tc>
          <w:tcPr>
            <w:tcW w:w="2520" w:type="dxa"/>
            <w:tcBorders>
              <w:top w:val="single" w:sz="6" w:space="0" w:color="000000" w:themeColor="text1"/>
              <w:left w:val="single" w:sz="6" w:space="0" w:color="000000" w:themeColor="text1"/>
              <w:bottom w:val="single" w:sz="6" w:space="0" w:color="auto"/>
              <w:right w:val="single" w:sz="6" w:space="0" w:color="auto"/>
            </w:tcBorders>
          </w:tcPr>
          <w:p w14:paraId="3477DE40" w14:textId="75546CCB" w:rsidR="00B96B47" w:rsidRPr="00B96B47" w:rsidRDefault="00B96B47" w:rsidP="00B96B47">
            <w:pPr>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lastRenderedPageBreak/>
              <w:t>N/A</w:t>
            </w:r>
          </w:p>
        </w:tc>
      </w:tr>
      <w:tr w:rsidR="34652B0A" w14:paraId="500F29BD" w14:textId="77777777" w:rsidTr="34652B0A">
        <w:trPr>
          <w:trHeight w:val="285"/>
        </w:trPr>
        <w:tc>
          <w:tcPr>
            <w:tcW w:w="1755" w:type="dxa"/>
            <w:tcBorders>
              <w:top w:val="single" w:sz="6" w:space="0" w:color="000000" w:themeColor="text1"/>
              <w:left w:val="single" w:sz="6" w:space="0" w:color="auto"/>
              <w:bottom w:val="single" w:sz="6" w:space="0" w:color="auto"/>
              <w:right w:val="single" w:sz="6" w:space="0" w:color="000000" w:themeColor="text1"/>
            </w:tcBorders>
          </w:tcPr>
          <w:p w14:paraId="70FF1B32" w14:textId="5FC266C9" w:rsidR="34652B0A" w:rsidRPr="00B96B47" w:rsidRDefault="34652B0A" w:rsidP="34652B0A">
            <w:pPr>
              <w:spacing w:after="0"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Australia </w:t>
            </w:r>
          </w:p>
          <w:p w14:paraId="01C33E34" w14:textId="6D383BDC" w:rsidR="34652B0A" w:rsidRPr="00B96B47" w:rsidRDefault="34652B0A" w:rsidP="34652B0A">
            <w:pPr>
              <w:spacing w:after="0"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(RACGP) </w:t>
            </w:r>
          </w:p>
        </w:tc>
        <w:tc>
          <w:tcPr>
            <w:tcW w:w="12135" w:type="dxa"/>
            <w:gridSpan w:val="7"/>
            <w:tcBorders>
              <w:top w:val="single" w:sz="6" w:space="0" w:color="000000" w:themeColor="text1"/>
              <w:left w:val="single" w:sz="6" w:space="0" w:color="000000" w:themeColor="text1"/>
              <w:bottom w:val="single" w:sz="6" w:space="0" w:color="auto"/>
              <w:right w:val="single" w:sz="6" w:space="0" w:color="auto"/>
            </w:tcBorders>
          </w:tcPr>
          <w:p w14:paraId="1BE44210" w14:textId="2DA5983C" w:rsidR="34652B0A" w:rsidRPr="00B96B47" w:rsidRDefault="34652B0A" w:rsidP="34652B0A">
            <w:pPr>
              <w:spacing w:line="278" w:lineRule="auto"/>
              <w:rPr>
                <w:rFonts w:ascii="Times New Roman" w:eastAsia="Times New Roman" w:hAnsi="Times New Roman" w:cs="Times New Roman"/>
                <w:sz w:val="20"/>
                <w:szCs w:val="20"/>
              </w:rPr>
            </w:pPr>
            <w:r w:rsidRPr="00B96B47">
              <w:rPr>
                <w:rFonts w:ascii="Times New Roman" w:eastAsia="Times New Roman" w:hAnsi="Times New Roman" w:cs="Times New Roman"/>
                <w:sz w:val="20"/>
                <w:szCs w:val="20"/>
              </w:rPr>
              <w:t xml:space="preserve"> The guideline has been removed from the RACGP website and is no longer publicly accessible. NHMRC is currently developing a new clinical guideline for ME/CFS, which will include references to Long COVID.</w:t>
            </w:r>
          </w:p>
        </w:tc>
      </w:tr>
    </w:tbl>
    <w:p w14:paraId="0D7D81AD" w14:textId="54E3495F" w:rsidR="00BB4160" w:rsidRDefault="2560CFE8" w:rsidP="34652B0A">
      <w:pPr>
        <w:rPr>
          <w:rFonts w:ascii="Times New Roman" w:eastAsia="Times New Roman" w:hAnsi="Times New Roman" w:cs="Times New Roman"/>
          <w:color w:val="000000" w:themeColor="text1"/>
        </w:rPr>
      </w:pPr>
      <w:r w:rsidRPr="34652B0A">
        <w:rPr>
          <w:rFonts w:ascii="Times New Roman" w:eastAsia="Times New Roman" w:hAnsi="Times New Roman" w:cs="Times New Roman"/>
          <w:color w:val="000000" w:themeColor="text1"/>
          <w:lang w:val="en-AU"/>
        </w:rPr>
        <w:t>*Aboriginal Medical Service (AMS)</w:t>
      </w:r>
    </w:p>
    <w:p w14:paraId="6254C966" w14:textId="6840AC76" w:rsidR="00BB4160" w:rsidRDefault="2560CFE8" w:rsidP="34652B0A">
      <w:pPr>
        <w:rPr>
          <w:rFonts w:ascii="Times New Roman" w:eastAsia="Times New Roman" w:hAnsi="Times New Roman" w:cs="Times New Roman"/>
          <w:color w:val="000000" w:themeColor="text1"/>
        </w:rPr>
      </w:pPr>
      <w:r w:rsidRPr="34652B0A">
        <w:rPr>
          <w:rFonts w:ascii="Times New Roman" w:eastAsia="Times New Roman" w:hAnsi="Times New Roman" w:cs="Times New Roman"/>
          <w:color w:val="000000" w:themeColor="text1"/>
          <w:lang w:val="en-AU"/>
        </w:rPr>
        <w:t>** The 10th revision of the International Classification of Diseases (ICD-10) code for Long COVID condition</w:t>
      </w:r>
    </w:p>
    <w:p w14:paraId="5249D40D" w14:textId="3B2C5F9D" w:rsidR="00BB4160" w:rsidRDefault="2560CFE8" w:rsidP="34652B0A">
      <w:pPr>
        <w:rPr>
          <w:rFonts w:ascii="Times New Roman" w:eastAsia="Times New Roman" w:hAnsi="Times New Roman" w:cs="Times New Roman"/>
          <w:color w:val="000000" w:themeColor="text1"/>
        </w:rPr>
      </w:pPr>
      <w:r w:rsidRPr="34652B0A">
        <w:rPr>
          <w:rFonts w:ascii="Times New Roman" w:eastAsia="Times New Roman" w:hAnsi="Times New Roman" w:cs="Times New Roman"/>
          <w:color w:val="000000" w:themeColor="text1"/>
          <w:lang w:val="en-AU"/>
        </w:rPr>
        <w:t xml:space="preserve">*** Post-Exertional Malaise (PEM) </w:t>
      </w:r>
      <w:r w:rsidR="004F5F74">
        <w:rPr>
          <w:rFonts w:ascii="Times New Roman" w:eastAsia="Times New Roman" w:hAnsi="Times New Roman" w:cs="Times New Roman"/>
          <w:color w:val="000000" w:themeColor="text1"/>
          <w:lang w:val="en-AU"/>
        </w:rPr>
        <w:t>/</w:t>
      </w:r>
      <w:r w:rsidRPr="34652B0A">
        <w:rPr>
          <w:rFonts w:ascii="Times New Roman" w:eastAsia="Times New Roman" w:hAnsi="Times New Roman" w:cs="Times New Roman"/>
          <w:color w:val="000000" w:themeColor="text1"/>
          <w:lang w:val="en-AU"/>
        </w:rPr>
        <w:t>/post-exertional symptom exacerbation (PESE)</w:t>
      </w:r>
    </w:p>
    <w:p w14:paraId="5E5787A5" w14:textId="544F19FF" w:rsidR="00BB4160" w:rsidRDefault="00BB4160"/>
    <w:p w14:paraId="20233667" w14:textId="77777777" w:rsidR="00B96B47" w:rsidRDefault="00B96B47"/>
    <w:p w14:paraId="29ED9536" w14:textId="052500A6" w:rsidR="00B96B47" w:rsidRDefault="00B96B47" w:rsidP="00B96B47">
      <w:pPr>
        <w:pStyle w:val="Heading1"/>
      </w:pPr>
      <w:r>
        <w:t>References:</w:t>
      </w:r>
    </w:p>
    <w:p w14:paraId="567F90D7" w14:textId="5EC0E92F" w:rsidR="00356B01" w:rsidRPr="00A21873" w:rsidRDefault="00356B01" w:rsidP="00356B01">
      <w:pPr>
        <w:pStyle w:val="EndNoteBibliography"/>
        <w:spacing w:after="0"/>
        <w:rPr>
          <w:rFonts w:asciiTheme="majorBidi" w:hAnsiTheme="majorBidi" w:cstheme="majorBidi"/>
        </w:rPr>
      </w:pPr>
    </w:p>
    <w:p w14:paraId="76E45A00" w14:textId="27418240" w:rsidR="00356B01" w:rsidRPr="00C62A7A" w:rsidRDefault="00356B01" w:rsidP="00356B01">
      <w:pPr>
        <w:pStyle w:val="EndNoteBibliography"/>
        <w:spacing w:after="0"/>
        <w:rPr>
          <w:rFonts w:asciiTheme="majorBidi" w:hAnsiTheme="majorBidi" w:cstheme="majorBidi"/>
        </w:rPr>
      </w:pPr>
      <w:r w:rsidRPr="00C62A7A">
        <w:rPr>
          <w:rFonts w:asciiTheme="majorBidi" w:hAnsiTheme="majorBidi" w:cstheme="majorBidi"/>
        </w:rPr>
        <w:t>1.</w:t>
      </w:r>
      <w:r w:rsidRPr="00C62A7A">
        <w:rPr>
          <w:rFonts w:asciiTheme="majorBidi" w:hAnsiTheme="majorBidi" w:cstheme="majorBidi"/>
        </w:rPr>
        <w:tab/>
        <w:t>Agency for Clinical Innovation (ACI). Long COVID Model of Care. 2023. https://aci.health.nsw.gov.au/__data/assets/pdf_file/0009/823068/ACI-Long-COVID-Model-of-Care.pdf. Accessed 6 Nov 2025.</w:t>
      </w:r>
    </w:p>
    <w:p w14:paraId="315DA04C" w14:textId="4C5CD979" w:rsidR="00356B01" w:rsidRPr="00C62A7A" w:rsidRDefault="00356B01" w:rsidP="00356B01">
      <w:pPr>
        <w:pStyle w:val="EndNoteBibliography"/>
        <w:spacing w:after="0"/>
        <w:rPr>
          <w:rFonts w:asciiTheme="majorBidi" w:hAnsiTheme="majorBidi" w:cstheme="majorBidi"/>
        </w:rPr>
      </w:pPr>
      <w:r w:rsidRPr="00C62A7A">
        <w:rPr>
          <w:rFonts w:asciiTheme="majorBidi" w:hAnsiTheme="majorBidi" w:cstheme="majorBidi"/>
        </w:rPr>
        <w:t>2</w:t>
      </w:r>
      <w:r w:rsidRPr="00C62A7A">
        <w:rPr>
          <w:rFonts w:asciiTheme="majorBidi" w:hAnsiTheme="majorBidi" w:cstheme="majorBidi"/>
        </w:rPr>
        <w:t>.</w:t>
      </w:r>
      <w:r w:rsidRPr="00C62A7A">
        <w:rPr>
          <w:rFonts w:asciiTheme="majorBidi" w:hAnsiTheme="majorBidi" w:cstheme="majorBidi"/>
        </w:rPr>
        <w:tab/>
        <w:t>Agency for Clinical Innovation (ACI). Clinical practice guide for assessment and management of adults, children and young people with symptoms of long COVID. 2023. https://aci.health.nsw.gov.au/__data/assets/pdf_file/0011/726878/ACI-CPG-for-assessment-and-management-of-adults-and-children-with-long-COVID.pdf. Accessed 6 Nov 2025.</w:t>
      </w:r>
    </w:p>
    <w:p w14:paraId="19A2BB92" w14:textId="1F8F9907" w:rsidR="00356B01" w:rsidRPr="00C62A7A" w:rsidRDefault="00356B01" w:rsidP="00356B01">
      <w:pPr>
        <w:pStyle w:val="EndNoteBibliography"/>
        <w:spacing w:after="0"/>
        <w:rPr>
          <w:rFonts w:asciiTheme="majorBidi" w:hAnsiTheme="majorBidi" w:cstheme="majorBidi"/>
        </w:rPr>
      </w:pPr>
      <w:r w:rsidRPr="00C62A7A">
        <w:rPr>
          <w:rFonts w:asciiTheme="majorBidi" w:hAnsiTheme="majorBidi" w:cstheme="majorBidi"/>
        </w:rPr>
        <w:t>3.</w:t>
      </w:r>
      <w:r w:rsidRPr="00C62A7A">
        <w:rPr>
          <w:rFonts w:asciiTheme="majorBidi" w:hAnsiTheme="majorBidi" w:cstheme="majorBidi"/>
        </w:rPr>
        <w:tab/>
        <w:t>Centers for Disease Control and Prevention (CDC). Clinical overview of Long COVID. 2025. https://www.cdc.gov/long-covid/hcp/clinical-overview/index.html. Accessed 6 Nov 2025.</w:t>
      </w:r>
    </w:p>
    <w:p w14:paraId="1302A28A" w14:textId="61D59BE1" w:rsidR="00356B01" w:rsidRPr="00C62A7A" w:rsidRDefault="00356B01" w:rsidP="00356B01">
      <w:pPr>
        <w:pStyle w:val="EndNoteBibliography"/>
        <w:spacing w:after="0"/>
        <w:rPr>
          <w:rFonts w:asciiTheme="majorBidi" w:hAnsiTheme="majorBidi" w:cstheme="majorBidi"/>
        </w:rPr>
      </w:pPr>
      <w:r w:rsidRPr="00C62A7A">
        <w:rPr>
          <w:rFonts w:asciiTheme="majorBidi" w:hAnsiTheme="majorBidi" w:cstheme="majorBidi"/>
        </w:rPr>
        <w:t>4</w:t>
      </w:r>
      <w:r w:rsidRPr="00C62A7A">
        <w:rPr>
          <w:rFonts w:asciiTheme="majorBidi" w:hAnsiTheme="majorBidi" w:cstheme="majorBidi"/>
        </w:rPr>
        <w:t>.</w:t>
      </w:r>
      <w:r w:rsidRPr="00C62A7A">
        <w:rPr>
          <w:rFonts w:asciiTheme="majorBidi" w:hAnsiTheme="majorBidi" w:cstheme="majorBidi"/>
        </w:rPr>
        <w:tab/>
        <w:t>Centers for Disease Control and Prevention (CDC). Long COVID basics. 2025. https://www.cdc.gov/long-covid/about/index.html. Accessed 6 Nov 2025.</w:t>
      </w:r>
    </w:p>
    <w:p w14:paraId="1277D13D" w14:textId="4ABC41D2" w:rsidR="00356B01" w:rsidRPr="00C62A7A" w:rsidRDefault="00356B01" w:rsidP="00356B01">
      <w:pPr>
        <w:pStyle w:val="EndNoteBibliography"/>
        <w:spacing w:after="0"/>
        <w:rPr>
          <w:rFonts w:asciiTheme="majorBidi" w:hAnsiTheme="majorBidi" w:cstheme="majorBidi"/>
        </w:rPr>
      </w:pPr>
      <w:r w:rsidRPr="00C62A7A">
        <w:rPr>
          <w:rFonts w:asciiTheme="majorBidi" w:hAnsiTheme="majorBidi" w:cstheme="majorBidi"/>
        </w:rPr>
        <w:lastRenderedPageBreak/>
        <w:t>5</w:t>
      </w:r>
      <w:r w:rsidRPr="00C62A7A">
        <w:rPr>
          <w:rFonts w:asciiTheme="majorBidi" w:hAnsiTheme="majorBidi" w:cstheme="majorBidi"/>
        </w:rPr>
        <w:t>.</w:t>
      </w:r>
      <w:r w:rsidRPr="00C62A7A">
        <w:rPr>
          <w:rFonts w:asciiTheme="majorBidi" w:hAnsiTheme="majorBidi" w:cstheme="majorBidi"/>
        </w:rPr>
        <w:tab/>
        <w:t>Centers for Disease Control and Prevention (CDC). The public health approach to Long COVID. 2025. https://www.cdc.gov/long-covid/php/scientific-approach/index.html. Accessed 6 Nov 2025.</w:t>
      </w:r>
    </w:p>
    <w:p w14:paraId="6FDB4578" w14:textId="40885F49" w:rsidR="00356B01" w:rsidRPr="00C62A7A" w:rsidRDefault="00356B01" w:rsidP="00356B01">
      <w:pPr>
        <w:pStyle w:val="EndNoteBibliography"/>
        <w:spacing w:after="0"/>
        <w:rPr>
          <w:rFonts w:asciiTheme="majorBidi" w:hAnsiTheme="majorBidi" w:cstheme="majorBidi"/>
        </w:rPr>
      </w:pPr>
      <w:r w:rsidRPr="00C62A7A">
        <w:rPr>
          <w:rFonts w:asciiTheme="majorBidi" w:hAnsiTheme="majorBidi" w:cstheme="majorBidi"/>
        </w:rPr>
        <w:t>6</w:t>
      </w:r>
      <w:r w:rsidRPr="00C62A7A">
        <w:rPr>
          <w:rFonts w:asciiTheme="majorBidi" w:hAnsiTheme="majorBidi" w:cstheme="majorBidi"/>
        </w:rPr>
        <w:t>.</w:t>
      </w:r>
      <w:r w:rsidRPr="00C62A7A">
        <w:rPr>
          <w:rFonts w:asciiTheme="majorBidi" w:hAnsiTheme="majorBidi" w:cstheme="majorBidi"/>
        </w:rPr>
        <w:tab/>
        <w:t>Canadian-Post COVID-19 Condition Collaborative. Canadian guidelines for post-COVID-19 condition. 2024. https://can-pcc.recmap.org/. Accessed 6 Nov 2025.</w:t>
      </w:r>
    </w:p>
    <w:p w14:paraId="06B915A5" w14:textId="1E303FDB" w:rsidR="00C92E80" w:rsidRPr="00C62A7A" w:rsidRDefault="00C92E80" w:rsidP="00356B01">
      <w:pPr>
        <w:pStyle w:val="EndNoteBibliography"/>
        <w:spacing w:after="0"/>
        <w:rPr>
          <w:rFonts w:asciiTheme="majorBidi" w:hAnsiTheme="majorBidi" w:cstheme="majorBidi"/>
        </w:rPr>
      </w:pPr>
      <w:r w:rsidRPr="00C62A7A">
        <w:rPr>
          <w:rFonts w:asciiTheme="majorBidi" w:hAnsiTheme="majorBidi" w:cstheme="majorBidi"/>
        </w:rPr>
        <w:t xml:space="preserve">7.         </w:t>
      </w:r>
      <w:r w:rsidRPr="00C62A7A">
        <w:rPr>
          <w:rFonts w:asciiTheme="majorBidi" w:hAnsiTheme="majorBidi" w:cstheme="majorBidi"/>
        </w:rPr>
        <w:t xml:space="preserve">World Health Organization. </w:t>
      </w:r>
      <w:r w:rsidRPr="00C62A7A">
        <w:rPr>
          <w:rFonts w:asciiTheme="majorBidi" w:hAnsiTheme="majorBidi" w:cstheme="majorBidi"/>
        </w:rPr>
        <w:t>Clinical Management of COVID-19</w:t>
      </w:r>
      <w:r w:rsidR="00EA7863" w:rsidRPr="00C62A7A">
        <w:rPr>
          <w:rFonts w:asciiTheme="majorBidi" w:hAnsiTheme="majorBidi" w:cstheme="majorBidi"/>
        </w:rPr>
        <w:t xml:space="preserve"> (Living guideline)</w:t>
      </w:r>
      <w:r w:rsidRPr="00C62A7A">
        <w:rPr>
          <w:rFonts w:asciiTheme="majorBidi" w:hAnsiTheme="majorBidi" w:cstheme="majorBidi"/>
        </w:rPr>
        <w:t>. Geneva: World Health Organization; 2023. https://iris.who.int/server/api/core/bitstreams/31f0e14b-5c2e-462b-8584-7feaf5baeed7/content. Accessed 6 Nov 2025.</w:t>
      </w:r>
    </w:p>
    <w:p w14:paraId="047B9620" w14:textId="53FD8438" w:rsidR="00C92E80" w:rsidRPr="00C62A7A" w:rsidRDefault="00C92E80" w:rsidP="00EA7863">
      <w:pPr>
        <w:pStyle w:val="EndNoteBibliography"/>
        <w:spacing w:after="0"/>
        <w:rPr>
          <w:rFonts w:asciiTheme="majorBidi" w:hAnsiTheme="majorBidi" w:cstheme="majorBidi"/>
        </w:rPr>
      </w:pPr>
      <w:r w:rsidRPr="00C62A7A">
        <w:rPr>
          <w:rFonts w:asciiTheme="majorBidi" w:hAnsiTheme="majorBidi" w:cstheme="majorBidi"/>
        </w:rPr>
        <w:t>8.</w:t>
      </w:r>
      <w:r w:rsidR="00EA7863" w:rsidRPr="00C62A7A">
        <w:rPr>
          <w:rFonts w:asciiTheme="majorBidi" w:hAnsiTheme="majorBidi" w:cstheme="majorBidi"/>
        </w:rPr>
        <w:t xml:space="preserve">           </w:t>
      </w:r>
      <w:r w:rsidR="00EA7863" w:rsidRPr="00C62A7A">
        <w:rPr>
          <w:rFonts w:asciiTheme="majorBidi" w:hAnsiTheme="majorBidi" w:cstheme="majorBidi"/>
        </w:rPr>
        <w:t>National Institute for Health and Care Excellence (NICE). COVID-19 rapid guideline: managing the long-term effects of COVID-19 (NG188). London: NICE; 2020. https://www.nice.org.uk/guidance/ng188. Accessed 6 Nov 2025.</w:t>
      </w:r>
    </w:p>
    <w:p w14:paraId="267ECD74" w14:textId="3AD71B52" w:rsidR="00EA7863" w:rsidRPr="00C62A7A" w:rsidRDefault="00C92E80" w:rsidP="00EA7863">
      <w:pPr>
        <w:pStyle w:val="EndNoteBibliography"/>
        <w:spacing w:after="0"/>
        <w:rPr>
          <w:rFonts w:asciiTheme="majorBidi" w:hAnsiTheme="majorBidi" w:cstheme="majorBidi"/>
        </w:rPr>
      </w:pPr>
      <w:r w:rsidRPr="00C62A7A">
        <w:rPr>
          <w:rFonts w:asciiTheme="majorBidi" w:hAnsiTheme="majorBidi" w:cstheme="majorBidi"/>
        </w:rPr>
        <w:t>9.</w:t>
      </w:r>
      <w:r w:rsidR="00EA7863" w:rsidRPr="00C62A7A">
        <w:rPr>
          <w:rFonts w:asciiTheme="majorBidi" w:hAnsiTheme="majorBidi" w:cstheme="majorBidi"/>
        </w:rPr>
        <w:t xml:space="preserve">          </w:t>
      </w:r>
      <w:r w:rsidR="00EA7863" w:rsidRPr="00C62A7A">
        <w:rPr>
          <w:rFonts w:asciiTheme="majorBidi" w:hAnsiTheme="majorBidi" w:cstheme="majorBidi"/>
        </w:rPr>
        <w:t xml:space="preserve">Ministry of Health (New Zealand). Clinical </w:t>
      </w:r>
      <w:r w:rsidR="00EA7863" w:rsidRPr="00C62A7A">
        <w:rPr>
          <w:rFonts w:asciiTheme="majorBidi" w:hAnsiTheme="majorBidi" w:cstheme="majorBidi"/>
        </w:rPr>
        <w:t>r</w:t>
      </w:r>
      <w:r w:rsidR="00EA7863" w:rsidRPr="00C62A7A">
        <w:rPr>
          <w:rFonts w:asciiTheme="majorBidi" w:hAnsiTheme="majorBidi" w:cstheme="majorBidi"/>
        </w:rPr>
        <w:t xml:space="preserve">ehabilitation </w:t>
      </w:r>
      <w:r w:rsidR="00EA7863" w:rsidRPr="00C62A7A">
        <w:rPr>
          <w:rFonts w:asciiTheme="majorBidi" w:hAnsiTheme="majorBidi" w:cstheme="majorBidi"/>
        </w:rPr>
        <w:t>g</w:t>
      </w:r>
      <w:r w:rsidR="00EA7863" w:rsidRPr="00C62A7A">
        <w:rPr>
          <w:rFonts w:asciiTheme="majorBidi" w:hAnsiTheme="majorBidi" w:cstheme="majorBidi"/>
        </w:rPr>
        <w:t xml:space="preserve">uideline for </w:t>
      </w:r>
      <w:r w:rsidR="00EA7863" w:rsidRPr="00C62A7A">
        <w:rPr>
          <w:rFonts w:asciiTheme="majorBidi" w:hAnsiTheme="majorBidi" w:cstheme="majorBidi"/>
        </w:rPr>
        <w:t>p</w:t>
      </w:r>
      <w:r w:rsidR="00EA7863" w:rsidRPr="00C62A7A">
        <w:rPr>
          <w:rFonts w:asciiTheme="majorBidi" w:hAnsiTheme="majorBidi" w:cstheme="majorBidi"/>
        </w:rPr>
        <w:t>eople with Long COVID (</w:t>
      </w:r>
      <w:r w:rsidR="00EA7863" w:rsidRPr="00C62A7A">
        <w:rPr>
          <w:rFonts w:asciiTheme="majorBidi" w:hAnsiTheme="majorBidi" w:cstheme="majorBidi"/>
        </w:rPr>
        <w:t>c</w:t>
      </w:r>
      <w:r w:rsidR="00EA7863" w:rsidRPr="00C62A7A">
        <w:rPr>
          <w:rFonts w:asciiTheme="majorBidi" w:hAnsiTheme="majorBidi" w:cstheme="majorBidi"/>
        </w:rPr>
        <w:t xml:space="preserve">oronavirus </w:t>
      </w:r>
      <w:r w:rsidR="00EA7863" w:rsidRPr="00C62A7A">
        <w:rPr>
          <w:rFonts w:asciiTheme="majorBidi" w:hAnsiTheme="majorBidi" w:cstheme="majorBidi"/>
        </w:rPr>
        <w:t>d</w:t>
      </w:r>
      <w:r w:rsidR="00EA7863" w:rsidRPr="00C62A7A">
        <w:rPr>
          <w:rFonts w:asciiTheme="majorBidi" w:hAnsiTheme="majorBidi" w:cstheme="majorBidi"/>
        </w:rPr>
        <w:t xml:space="preserve">isease) in Aotearoa New </w:t>
      </w:r>
    </w:p>
    <w:p w14:paraId="7726E19A" w14:textId="1E559E6C" w:rsidR="00C92E80" w:rsidRPr="00C62A7A" w:rsidRDefault="00EA7863" w:rsidP="00EA7863">
      <w:pPr>
        <w:pStyle w:val="EndNoteBibliography"/>
        <w:spacing w:after="0"/>
        <w:rPr>
          <w:rFonts w:asciiTheme="majorBidi" w:hAnsiTheme="majorBidi" w:cstheme="majorBidi"/>
        </w:rPr>
      </w:pPr>
      <w:r w:rsidRPr="00C62A7A">
        <w:rPr>
          <w:rFonts w:asciiTheme="majorBidi" w:hAnsiTheme="majorBidi" w:cstheme="majorBidi"/>
        </w:rPr>
        <w:t>Zealand. Wellington (NZ): Ministry of Health; 202</w:t>
      </w:r>
      <w:r w:rsidRPr="00C62A7A">
        <w:rPr>
          <w:rFonts w:asciiTheme="majorBidi" w:hAnsiTheme="majorBidi" w:cstheme="majorBidi"/>
        </w:rPr>
        <w:t>2</w:t>
      </w:r>
      <w:r w:rsidRPr="00C62A7A">
        <w:rPr>
          <w:rFonts w:asciiTheme="majorBidi" w:hAnsiTheme="majorBidi" w:cstheme="majorBidi"/>
        </w:rPr>
        <w:t>. https://www.health.govt.nz/system/files/2025-06/clinical_rehabilitation_guideline_for_people_with_long_covid_13_v3.pdf. Accessed 6 Nov 2025.</w:t>
      </w:r>
    </w:p>
    <w:p w14:paraId="401D78CF" w14:textId="4CE5AF70" w:rsidR="00B96B47" w:rsidRPr="00C62A7A" w:rsidRDefault="00356B01" w:rsidP="00356B01">
      <w:pPr>
        <w:rPr>
          <w:rFonts w:asciiTheme="majorBidi" w:hAnsiTheme="majorBidi" w:cstheme="majorBidi"/>
        </w:rPr>
      </w:pPr>
      <w:r w:rsidRPr="00C62A7A">
        <w:rPr>
          <w:rFonts w:asciiTheme="majorBidi" w:hAnsiTheme="majorBidi" w:cstheme="majorBidi"/>
        </w:rPr>
        <w:t xml:space="preserve">10.      </w:t>
      </w:r>
      <w:r w:rsidRPr="00C62A7A">
        <w:rPr>
          <w:rFonts w:asciiTheme="majorBidi" w:hAnsiTheme="majorBidi" w:cstheme="majorBidi"/>
        </w:rPr>
        <w:t>Luo S, Zheng Z, Bird SR, Plebanski M, Figueiredo B, Jessup R, et al. An overview of Long COVID support services in Australia and international clinical guidelines, with a proposed care model in a global context. Public Health Reviews. 2023;44:1-19.</w:t>
      </w:r>
    </w:p>
    <w:sectPr w:rsidR="00B96B47" w:rsidRPr="00C62A7A">
      <w:pgSz w:w="16838" w:h="11906"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9E78C" w14:textId="77777777" w:rsidR="00E74556" w:rsidRDefault="00E74556" w:rsidP="00B96B47">
      <w:pPr>
        <w:spacing w:after="0" w:line="240" w:lineRule="auto"/>
      </w:pPr>
      <w:r>
        <w:separator/>
      </w:r>
    </w:p>
  </w:endnote>
  <w:endnote w:type="continuationSeparator" w:id="0">
    <w:p w14:paraId="266ED5ED" w14:textId="77777777" w:rsidR="00E74556" w:rsidRDefault="00E74556" w:rsidP="00B96B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3FE6EE" w14:textId="77777777" w:rsidR="00E74556" w:rsidRDefault="00E74556" w:rsidP="00B96B47">
      <w:pPr>
        <w:spacing w:after="0" w:line="240" w:lineRule="auto"/>
      </w:pPr>
      <w:r>
        <w:separator/>
      </w:r>
    </w:p>
  </w:footnote>
  <w:footnote w:type="continuationSeparator" w:id="0">
    <w:p w14:paraId="66364914" w14:textId="77777777" w:rsidR="00E74556" w:rsidRDefault="00E74556" w:rsidP="00B96B4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F29C7AA"/>
    <w:rsid w:val="000F62F1"/>
    <w:rsid w:val="00356B01"/>
    <w:rsid w:val="00400827"/>
    <w:rsid w:val="004F5F74"/>
    <w:rsid w:val="00B96B47"/>
    <w:rsid w:val="00BB4160"/>
    <w:rsid w:val="00C62A7A"/>
    <w:rsid w:val="00C92E80"/>
    <w:rsid w:val="00D51736"/>
    <w:rsid w:val="00E74556"/>
    <w:rsid w:val="00EA7863"/>
    <w:rsid w:val="2560CFE8"/>
    <w:rsid w:val="34652B0A"/>
    <w:rsid w:val="5F29C7AA"/>
    <w:rsid w:val="75727A4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29C7AA"/>
  <w15:chartTrackingRefBased/>
  <w15:docId w15:val="{B4EC7A96-2A2B-4682-9F95-3B3E6F0EF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6B47"/>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B96B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6B47"/>
  </w:style>
  <w:style w:type="paragraph" w:styleId="Footer">
    <w:name w:val="footer"/>
    <w:basedOn w:val="Normal"/>
    <w:link w:val="FooterChar"/>
    <w:uiPriority w:val="99"/>
    <w:unhideWhenUsed/>
    <w:rsid w:val="00B96B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6B47"/>
  </w:style>
  <w:style w:type="character" w:customStyle="1" w:styleId="font751">
    <w:name w:val="font751"/>
    <w:basedOn w:val="DefaultParagraphFont"/>
    <w:rsid w:val="00B96B47"/>
    <w:rPr>
      <w:rFonts w:ascii="Times New Roman" w:hAnsi="Times New Roman" w:cs="Times New Roman" w:hint="default"/>
      <w:b w:val="0"/>
      <w:bCs w:val="0"/>
      <w:i w:val="0"/>
      <w:iCs w:val="0"/>
      <w:color w:val="751D20"/>
      <w:sz w:val="22"/>
      <w:szCs w:val="22"/>
      <w:u w:val="single"/>
    </w:rPr>
  </w:style>
  <w:style w:type="character" w:customStyle="1" w:styleId="font231">
    <w:name w:val="font231"/>
    <w:basedOn w:val="DefaultParagraphFont"/>
    <w:rsid w:val="00B96B47"/>
    <w:rPr>
      <w:rFonts w:ascii="Times New Roman" w:hAnsi="Times New Roman" w:cs="Times New Roman" w:hint="default"/>
      <w:b w:val="0"/>
      <w:bCs w:val="0"/>
      <w:i w:val="0"/>
      <w:iCs w:val="0"/>
      <w:strike w:val="0"/>
      <w:dstrike w:val="0"/>
      <w:color w:val="000000"/>
      <w:sz w:val="22"/>
      <w:szCs w:val="22"/>
      <w:u w:val="none"/>
      <w:effect w:val="none"/>
    </w:rPr>
  </w:style>
  <w:style w:type="character" w:customStyle="1" w:styleId="Heading1Char">
    <w:name w:val="Heading 1 Char"/>
    <w:basedOn w:val="DefaultParagraphFont"/>
    <w:link w:val="Heading1"/>
    <w:uiPriority w:val="9"/>
    <w:rsid w:val="00B96B47"/>
    <w:rPr>
      <w:rFonts w:asciiTheme="majorHAnsi" w:eastAsiaTheme="majorEastAsia" w:hAnsiTheme="majorHAnsi" w:cstheme="majorBidi"/>
      <w:color w:val="0F4761" w:themeColor="accent1" w:themeShade="BF"/>
      <w:sz w:val="32"/>
      <w:szCs w:val="32"/>
    </w:rPr>
  </w:style>
  <w:style w:type="paragraph" w:customStyle="1" w:styleId="EndNoteBibliography">
    <w:name w:val="EndNote Bibliography"/>
    <w:basedOn w:val="Normal"/>
    <w:link w:val="EndNoteBibliographyChar"/>
    <w:rsid w:val="00356B01"/>
    <w:pPr>
      <w:spacing w:line="240" w:lineRule="auto"/>
    </w:pPr>
    <w:rPr>
      <w:rFonts w:ascii="Aptos" w:hAnsi="Aptos"/>
      <w:noProof/>
    </w:rPr>
  </w:style>
  <w:style w:type="character" w:customStyle="1" w:styleId="EndNoteBibliographyChar">
    <w:name w:val="EndNote Bibliography Char"/>
    <w:basedOn w:val="DefaultParagraphFont"/>
    <w:link w:val="EndNoteBibliography"/>
    <w:rsid w:val="00356B01"/>
    <w:rPr>
      <w:rFonts w:ascii="Aptos" w:hAnsi="Aptos"/>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AB5C857D671344491FA603952754919" ma:contentTypeVersion="3" ma:contentTypeDescription="Create a new document." ma:contentTypeScope="" ma:versionID="64890230d6190392a2613398f4a3defb">
  <xsd:schema xmlns:xsd="http://www.w3.org/2001/XMLSchema" xmlns:xs="http://www.w3.org/2001/XMLSchema" xmlns:p="http://schemas.microsoft.com/office/2006/metadata/properties" xmlns:ns2="495fc408-3f10-499f-877c-fc96dd31d121" targetNamespace="http://schemas.microsoft.com/office/2006/metadata/properties" ma:root="true" ma:fieldsID="56ca182242c960c694b2fb80c9f0b30e" ns2:_="">
    <xsd:import namespace="495fc408-3f10-499f-877c-fc96dd31d12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5fc408-3f10-499f-877c-fc96dd31d1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32415A-3E9B-458B-A466-4DC92D00B9B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6F7D630-DA06-4722-AFA7-5B9F86F0BE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5fc408-3f10-499f-877c-fc96dd31d1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648AFE-8EBC-4564-8ECC-A11C8DE79440}">
  <ds:schemaRefs>
    <ds:schemaRef ds:uri="http://schemas.microsoft.com/sharepoint/v3/contenttype/forms"/>
  </ds:schemaRefs>
</ds:datastoreItem>
</file>

<file path=docMetadata/LabelInfo.xml><?xml version="1.0" encoding="utf-8"?>
<clbl:labelList xmlns:clbl="http://schemas.microsoft.com/office/2020/mipLabelMetadata">
  <clbl:label id="{ddaa77bc-0157-46a4-82a6-8fc765694bc9}" enabled="1" method="Standard" siteId="{d1323671-cdbe-4417-b4d4-bdb24b51316b}" removed="0"/>
</clbl:labelList>
</file>

<file path=docProps/app.xml><?xml version="1.0" encoding="utf-8"?>
<Properties xmlns="http://schemas.openxmlformats.org/officeDocument/2006/extended-properties" xmlns:vt="http://schemas.openxmlformats.org/officeDocument/2006/docPropsVTypes">
  <Template>Normal</Template>
  <TotalTime>17</TotalTime>
  <Pages>7</Pages>
  <Words>1326</Words>
  <Characters>8821</Characters>
  <Application>Microsoft Office Word</Application>
  <DocSecurity>0</DocSecurity>
  <Lines>135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 Luo</dc:creator>
  <cp:keywords/>
  <dc:description/>
  <cp:lastModifiedBy>Rose Luo</cp:lastModifiedBy>
  <cp:revision>9</cp:revision>
  <dcterms:created xsi:type="dcterms:W3CDTF">2025-11-03T01:04:00Z</dcterms:created>
  <dcterms:modified xsi:type="dcterms:W3CDTF">2025-11-06T03:32:00Z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0x0101002AB5C857D671344491FA603952754919</vt:lpwstr>
  </property>
</Properties>
</file>