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8C7D" w14:textId="6375BEA1" w:rsidR="00A34CE3" w:rsidRPr="00546F01" w:rsidRDefault="00A34CE3" w:rsidP="00A34CE3">
      <w:pPr>
        <w:rPr>
          <w:rFonts w:ascii="Times New Roman" w:eastAsia="Calibri" w:hAnsi="Times New Roman" w:cs="B Nazanin"/>
          <w:kern w:val="0"/>
          <w14:ligatures w14:val="none"/>
        </w:rPr>
      </w:pPr>
      <w:r w:rsidRPr="00546F01">
        <w:rPr>
          <w:rFonts w:ascii="Times New Roman" w:eastAsia="Calibri" w:hAnsi="Times New Roman" w:cs="B Nazanin"/>
          <w:b/>
          <w:bCs/>
          <w:kern w:val="0"/>
          <w14:ligatures w14:val="none"/>
        </w:rPr>
        <w:t xml:space="preserve">Article title: </w:t>
      </w:r>
      <w:r w:rsidR="00E53F50" w:rsidRPr="00546F01">
        <w:rPr>
          <w:rFonts w:ascii="Times New Roman" w:eastAsia="Calibri" w:hAnsi="Times New Roman" w:cs="B Nazanin"/>
          <w:kern w:val="0"/>
          <w14:ligatures w14:val="none"/>
        </w:rPr>
        <w:t>Explaining informal patient payments through gaps in governance – a comparative assessment of health system governance in three European countries</w:t>
      </w:r>
    </w:p>
    <w:p w14:paraId="70F169ED" w14:textId="6FA2F487" w:rsidR="00A34CE3" w:rsidRPr="00546F01" w:rsidRDefault="007B1B2F" w:rsidP="00A34CE3">
      <w:pPr>
        <w:rPr>
          <w:rFonts w:ascii="Times New Roman" w:eastAsia="Calibri" w:hAnsi="Times New Roman" w:cs="B Nazanin"/>
          <w:kern w:val="0"/>
          <w14:ligatures w14:val="none"/>
        </w:rPr>
      </w:pPr>
      <w:r w:rsidRPr="00546F01">
        <w:rPr>
          <w:rFonts w:ascii="Times New Roman" w:eastAsia="Calibri" w:hAnsi="Times New Roman" w:cs="B Nazanin"/>
          <w:b/>
          <w:bCs/>
          <w:kern w:val="0"/>
          <w14:ligatures w14:val="none"/>
        </w:rPr>
        <w:t>Additional</w:t>
      </w:r>
      <w:r w:rsidR="00A34CE3" w:rsidRPr="00546F01">
        <w:rPr>
          <w:rFonts w:ascii="Times New Roman" w:eastAsia="Calibri" w:hAnsi="Times New Roman" w:cs="B Nazanin"/>
          <w:b/>
          <w:bCs/>
          <w:kern w:val="0"/>
          <w14:ligatures w14:val="none"/>
        </w:rPr>
        <w:t xml:space="preserve"> file </w:t>
      </w:r>
      <w:r w:rsidR="002023D7" w:rsidRPr="00546F01">
        <w:rPr>
          <w:rFonts w:ascii="Times New Roman" w:eastAsia="Calibri" w:hAnsi="Times New Roman" w:cs="B Nazanin"/>
          <w:b/>
          <w:bCs/>
          <w:kern w:val="0"/>
          <w14:ligatures w14:val="none"/>
        </w:rPr>
        <w:t>2</w:t>
      </w:r>
    </w:p>
    <w:p w14:paraId="5D69C37F" w14:textId="20E2AFD9" w:rsidR="00073EF1" w:rsidRPr="00546F01" w:rsidRDefault="00A34CE3" w:rsidP="00073EF1">
      <w:pPr>
        <w:spacing w:line="240" w:lineRule="auto"/>
        <w:rPr>
          <w:rFonts w:ascii="Times New Roman" w:eastAsia="Calibri" w:hAnsi="Times New Roman" w:cs="Times New Roman"/>
          <w:kern w:val="0"/>
          <w:lang w:val="en-GB"/>
          <w14:ligatures w14:val="none"/>
        </w:rPr>
      </w:pPr>
      <w:r w:rsidRPr="00546F01">
        <w:rPr>
          <w:rFonts w:ascii="Times New Roman" w:eastAsia="Calibri" w:hAnsi="Times New Roman" w:cs="Times New Roman"/>
          <w:kern w:val="0"/>
          <w:lang w:val="en-GB"/>
          <w14:ligatures w14:val="none"/>
        </w:rPr>
        <w:t>Table S</w:t>
      </w:r>
      <w:r w:rsidR="002023D7" w:rsidRPr="00546F01">
        <w:rPr>
          <w:rFonts w:ascii="Times New Roman" w:eastAsia="Calibri" w:hAnsi="Times New Roman" w:cs="Times New Roman"/>
          <w:kern w:val="0"/>
          <w:lang w:val="en-GB"/>
          <w14:ligatures w14:val="none"/>
        </w:rPr>
        <w:t>2</w:t>
      </w:r>
      <w:r w:rsidRPr="00546F01">
        <w:rPr>
          <w:rFonts w:ascii="Times New Roman" w:eastAsia="Calibri" w:hAnsi="Times New Roman" w:cs="Times New Roman"/>
          <w:kern w:val="0"/>
          <w:lang w:val="en-GB"/>
          <w14:ligatures w14:val="none"/>
        </w:rPr>
        <w:t xml:space="preserve">: </w:t>
      </w:r>
      <w:r w:rsidR="002023D7" w:rsidRPr="00546F01">
        <w:rPr>
          <w:rFonts w:ascii="Times New Roman" w:eastAsia="Calibri" w:hAnsi="Times New Roman" w:cs="Times New Roman"/>
          <w:kern w:val="0"/>
          <w:lang w:val="en-GB"/>
          <w14:ligatures w14:val="none"/>
        </w:rPr>
        <w:t>Health system governance in Denmark, Greece, and Poland</w:t>
      </w:r>
    </w:p>
    <w:tbl>
      <w:tblPr>
        <w:tblW w:w="4859" w:type="pct"/>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25"/>
        <w:gridCol w:w="16"/>
        <w:gridCol w:w="12068"/>
      </w:tblGrid>
      <w:tr w:rsidR="00BE65F4" w:rsidRPr="00546F01" w14:paraId="0A37342D" w14:textId="77777777" w:rsidTr="008F20F1">
        <w:trPr>
          <w:trHeight w:val="22"/>
        </w:trPr>
        <w:tc>
          <w:tcPr>
            <w:tcW w:w="5000" w:type="pct"/>
            <w:gridSpan w:val="3"/>
            <w:tcMar>
              <w:top w:w="28" w:type="dxa"/>
              <w:bottom w:w="57" w:type="dxa"/>
            </w:tcMar>
            <w:vAlign w:val="center"/>
          </w:tcPr>
          <w:p w14:paraId="05DCFF34" w14:textId="6782A2A9" w:rsidR="00BE65F4" w:rsidRPr="00546F01" w:rsidRDefault="00BE65F4" w:rsidP="00BE65F4">
            <w:pPr>
              <w:pStyle w:val="Akapitzlist"/>
              <w:numPr>
                <w:ilvl w:val="0"/>
                <w:numId w:val="3"/>
              </w:numPr>
              <w:tabs>
                <w:tab w:val="left" w:pos="705"/>
              </w:tabs>
              <w:spacing w:after="0" w:line="240" w:lineRule="auto"/>
              <w:rPr>
                <w:rFonts w:ascii="Times New Roman" w:eastAsia="Times New Roman" w:hAnsi="Times New Roman" w:cs="Times New Roman"/>
                <w:b/>
                <w:bCs/>
                <w:kern w:val="0"/>
                <w:sz w:val="20"/>
                <w:szCs w:val="20"/>
                <w:lang w:val="en-GB" w:eastAsia="pl-PL"/>
                <w14:ligatures w14:val="none"/>
              </w:rPr>
            </w:pPr>
            <w:bookmarkStart w:id="0" w:name="_Hlk177295750"/>
            <w:r w:rsidRPr="00546F01">
              <w:rPr>
                <w:rFonts w:ascii="Times New Roman" w:eastAsia="Calibri" w:hAnsi="Times New Roman" w:cs="Times New Roman"/>
                <w:b/>
                <w:bCs/>
                <w:kern w:val="0"/>
                <w:sz w:val="20"/>
                <w:szCs w:val="20"/>
                <w:lang w:val="en-GB"/>
                <w14:ligatures w14:val="none"/>
              </w:rPr>
              <w:t>Transparency</w:t>
            </w:r>
          </w:p>
        </w:tc>
      </w:tr>
      <w:tr w:rsidR="00BE65F4" w:rsidRPr="00546F01" w14:paraId="276B8640" w14:textId="77777777" w:rsidTr="008F20F1">
        <w:trPr>
          <w:trHeight w:val="22"/>
        </w:trPr>
        <w:tc>
          <w:tcPr>
            <w:tcW w:w="5000" w:type="pct"/>
            <w:gridSpan w:val="3"/>
            <w:tcBorders>
              <w:bottom w:val="nil"/>
            </w:tcBorders>
            <w:tcMar>
              <w:top w:w="28" w:type="dxa"/>
              <w:bottom w:w="57" w:type="dxa"/>
            </w:tcMar>
          </w:tcPr>
          <w:p w14:paraId="3B9A3EE4" w14:textId="7B36C456" w:rsidR="00BE65F4" w:rsidRPr="00546F01" w:rsidRDefault="00BE65F4" w:rsidP="00BE65F4">
            <w:pPr>
              <w:tabs>
                <w:tab w:val="left" w:pos="705"/>
              </w:tabs>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1.1. Is the population entitled to services under the statutory health system clearly defined in legislation, and is it clearly communicated to the public?</w:t>
            </w:r>
          </w:p>
        </w:tc>
      </w:tr>
      <w:tr w:rsidR="00F927CA" w:rsidRPr="00546F01" w14:paraId="2BF70CFA" w14:textId="77777777" w:rsidTr="008F20F1">
        <w:trPr>
          <w:trHeight w:val="196"/>
        </w:trPr>
        <w:tc>
          <w:tcPr>
            <w:tcW w:w="560" w:type="pct"/>
            <w:tcBorders>
              <w:top w:val="nil"/>
              <w:bottom w:val="nil"/>
              <w:right w:val="nil"/>
            </w:tcBorders>
            <w:tcMar>
              <w:top w:w="28" w:type="dxa"/>
              <w:bottom w:w="57" w:type="dxa"/>
            </w:tcMar>
            <w:hideMark/>
          </w:tcPr>
          <w:p w14:paraId="6309FB6C"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Denmark</w:t>
            </w:r>
          </w:p>
        </w:tc>
        <w:tc>
          <w:tcPr>
            <w:tcW w:w="4440" w:type="pct"/>
            <w:gridSpan w:val="2"/>
            <w:tcBorders>
              <w:top w:val="nil"/>
              <w:left w:val="nil"/>
              <w:bottom w:val="nil"/>
            </w:tcBorders>
            <w:tcMar>
              <w:top w:w="28" w:type="dxa"/>
              <w:bottom w:w="57" w:type="dxa"/>
            </w:tcMar>
            <w:hideMark/>
          </w:tcPr>
          <w:p w14:paraId="10FF4497"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Entitlements are based on residence and are clearly defined in legislation. Moreover, foreigners not residing in Denmark and undocumented persons have access to acute and continuous care (if they have the right approvals). This information is publicly available on governmental websites (e.g., borger.dk).</w:t>
            </w:r>
          </w:p>
        </w:tc>
      </w:tr>
      <w:tr w:rsidR="00F927CA" w:rsidRPr="00546F01" w14:paraId="570D39D5" w14:textId="77777777" w:rsidTr="008F20F1">
        <w:trPr>
          <w:trHeight w:val="360"/>
        </w:trPr>
        <w:tc>
          <w:tcPr>
            <w:tcW w:w="560" w:type="pct"/>
            <w:tcBorders>
              <w:top w:val="nil"/>
              <w:bottom w:val="nil"/>
              <w:right w:val="nil"/>
            </w:tcBorders>
            <w:tcMar>
              <w:top w:w="28" w:type="dxa"/>
              <w:bottom w:w="57" w:type="dxa"/>
            </w:tcMar>
          </w:tcPr>
          <w:p w14:paraId="3FB9AE88"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40" w:type="pct"/>
            <w:gridSpan w:val="2"/>
            <w:tcBorders>
              <w:top w:val="nil"/>
              <w:left w:val="nil"/>
              <w:bottom w:val="nil"/>
            </w:tcBorders>
            <w:tcMar>
              <w:top w:w="28" w:type="dxa"/>
              <w:bottom w:w="57" w:type="dxa"/>
            </w:tcMar>
            <w:vAlign w:val="center"/>
          </w:tcPr>
          <w:p w14:paraId="51697DD5" w14:textId="7010F6A1"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The law of 2016 clearly defines that everyone residing in Greece is entitled to public health care. This information is publicly available on governmental websites (e.g., www.efka.gov.gr, www.eopyy.gov.gr) and clearly communicated to the public.  </w:t>
            </w:r>
          </w:p>
        </w:tc>
      </w:tr>
      <w:tr w:rsidR="00F927CA" w:rsidRPr="00546F01" w14:paraId="0CE77220" w14:textId="77777777" w:rsidTr="008F20F1">
        <w:trPr>
          <w:trHeight w:val="552"/>
        </w:trPr>
        <w:tc>
          <w:tcPr>
            <w:tcW w:w="560" w:type="pct"/>
            <w:tcBorders>
              <w:top w:val="nil"/>
              <w:bottom w:val="single" w:sz="4" w:space="0" w:color="auto"/>
              <w:right w:val="nil"/>
            </w:tcBorders>
            <w:tcMar>
              <w:top w:w="28" w:type="dxa"/>
              <w:bottom w:w="57" w:type="dxa"/>
            </w:tcMar>
            <w:hideMark/>
          </w:tcPr>
          <w:p w14:paraId="317077F9"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Poland</w:t>
            </w:r>
          </w:p>
        </w:tc>
        <w:tc>
          <w:tcPr>
            <w:tcW w:w="4440" w:type="pct"/>
            <w:gridSpan w:val="2"/>
            <w:tcBorders>
              <w:top w:val="nil"/>
              <w:left w:val="nil"/>
              <w:bottom w:val="single" w:sz="4" w:space="0" w:color="auto"/>
            </w:tcBorders>
            <w:tcMar>
              <w:top w:w="28" w:type="dxa"/>
              <w:bottom w:w="57" w:type="dxa"/>
            </w:tcMar>
            <w:hideMark/>
          </w:tcPr>
          <w:p w14:paraId="42B74BE5"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The law defines population groups entitled to public care, based on insurance status or other criteria. This information is publicly available on governmental websites (e.g., www.gov.pl). The right to publicly financed health care can be verified through an electronic system (ewus.nfz.gov.pl/ap-</w:t>
            </w:r>
            <w:proofErr w:type="spellStart"/>
            <w:r w:rsidRPr="00546F01">
              <w:rPr>
                <w:rFonts w:ascii="Times New Roman" w:eastAsia="Times New Roman" w:hAnsi="Times New Roman" w:cs="Times New Roman"/>
                <w:kern w:val="0"/>
                <w:sz w:val="20"/>
                <w:szCs w:val="20"/>
                <w:lang w:val="en-GB" w:eastAsia="pl-PL"/>
                <w14:ligatures w14:val="none"/>
              </w:rPr>
              <w:t>ewus</w:t>
            </w:r>
            <w:proofErr w:type="spellEnd"/>
            <w:r w:rsidRPr="00546F01">
              <w:rPr>
                <w:rFonts w:ascii="Times New Roman" w:eastAsia="Times New Roman" w:hAnsi="Times New Roman" w:cs="Times New Roman"/>
                <w:kern w:val="0"/>
                <w:sz w:val="20"/>
                <w:szCs w:val="20"/>
                <w:lang w:val="en-GB" w:eastAsia="pl-PL"/>
                <w14:ligatures w14:val="none"/>
              </w:rPr>
              <w:t>/).</w:t>
            </w:r>
          </w:p>
        </w:tc>
      </w:tr>
      <w:tr w:rsidR="00F927CA" w:rsidRPr="00546F01" w14:paraId="1A7B6159" w14:textId="77777777" w:rsidTr="008F20F1">
        <w:trPr>
          <w:trHeight w:val="195"/>
        </w:trPr>
        <w:tc>
          <w:tcPr>
            <w:tcW w:w="5000" w:type="pct"/>
            <w:gridSpan w:val="3"/>
            <w:tcBorders>
              <w:bottom w:val="nil"/>
            </w:tcBorders>
            <w:tcMar>
              <w:top w:w="28" w:type="dxa"/>
              <w:bottom w:w="57" w:type="dxa"/>
            </w:tcMar>
          </w:tcPr>
          <w:p w14:paraId="2611F89D" w14:textId="00311C04" w:rsidR="00BE65F4" w:rsidRPr="00546F01" w:rsidRDefault="00BE65F4" w:rsidP="00BE65F4">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1.2. Is the list of services, to which patients are/are not entitled under the statutory health system, clearly defined in legislation, and clearly communicated to the public?</w:t>
            </w:r>
          </w:p>
        </w:tc>
      </w:tr>
      <w:tr w:rsidR="00F927CA" w:rsidRPr="00546F01" w14:paraId="660B384E" w14:textId="77777777" w:rsidTr="008F20F1">
        <w:trPr>
          <w:trHeight w:val="437"/>
        </w:trPr>
        <w:tc>
          <w:tcPr>
            <w:tcW w:w="560" w:type="pct"/>
            <w:tcBorders>
              <w:top w:val="nil"/>
              <w:bottom w:val="nil"/>
              <w:right w:val="nil"/>
            </w:tcBorders>
            <w:tcMar>
              <w:top w:w="28" w:type="dxa"/>
              <w:bottom w:w="57" w:type="dxa"/>
            </w:tcMar>
            <w:hideMark/>
          </w:tcPr>
          <w:p w14:paraId="0A5263A9"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bookmarkStart w:id="1" w:name="_Hlk140680808"/>
            <w:r w:rsidRPr="00546F01">
              <w:rPr>
                <w:rFonts w:ascii="Times New Roman" w:eastAsia="Times New Roman" w:hAnsi="Times New Roman" w:cs="Times New Roman"/>
                <w:kern w:val="0"/>
                <w:sz w:val="20"/>
                <w:szCs w:val="20"/>
                <w:lang w:val="en-GB" w:eastAsia="pl-PL"/>
                <w14:ligatures w14:val="none"/>
              </w:rPr>
              <w:t>Denmark</w:t>
            </w:r>
          </w:p>
        </w:tc>
        <w:tc>
          <w:tcPr>
            <w:tcW w:w="4440" w:type="pct"/>
            <w:gridSpan w:val="2"/>
            <w:tcBorders>
              <w:top w:val="nil"/>
              <w:left w:val="nil"/>
              <w:bottom w:val="nil"/>
            </w:tcBorders>
            <w:tcMar>
              <w:top w:w="28" w:type="dxa"/>
              <w:bottom w:w="57" w:type="dxa"/>
            </w:tcMar>
            <w:hideMark/>
          </w:tcPr>
          <w:p w14:paraId="15C5F315" w14:textId="55D26165" w:rsidR="00BE65F4" w:rsidRPr="00546F01" w:rsidRDefault="00BF024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shd w:val="clear" w:color="auto" w:fill="FFFFFF" w:themeFill="background1"/>
                <w:lang w:val="en-GB" w:eastAsia="pl-PL"/>
                <w14:ligatures w14:val="none"/>
              </w:rPr>
              <w:t>SOMEWHAT</w:t>
            </w:r>
            <w:r w:rsidR="00BE65F4" w:rsidRPr="00546F01">
              <w:rPr>
                <w:rFonts w:ascii="Times New Roman" w:eastAsia="Times New Roman" w:hAnsi="Times New Roman" w:cs="Times New Roman"/>
                <w:kern w:val="0"/>
                <w:sz w:val="20"/>
                <w:szCs w:val="20"/>
                <w:shd w:val="clear" w:color="auto" w:fill="FFFFFF" w:themeFill="background1"/>
                <w:lang w:val="en-GB" w:eastAsia="pl-PL"/>
                <w14:ligatures w14:val="none"/>
              </w:rPr>
              <w:t>:</w:t>
            </w:r>
            <w:r w:rsidR="00BE65F4" w:rsidRPr="00546F01">
              <w:rPr>
                <w:rFonts w:ascii="Times New Roman" w:eastAsia="Times New Roman" w:hAnsi="Times New Roman" w:cs="Times New Roman"/>
                <w:b/>
                <w:bCs/>
                <w:kern w:val="0"/>
                <w:sz w:val="20"/>
                <w:szCs w:val="20"/>
                <w:lang w:val="en-GB" w:eastAsia="pl-PL"/>
                <w14:ligatures w14:val="none"/>
              </w:rPr>
              <w:t xml:space="preserve"> </w:t>
            </w:r>
            <w:r w:rsidR="00BE65F4" w:rsidRPr="00546F01">
              <w:rPr>
                <w:rFonts w:ascii="Times New Roman" w:eastAsia="Times New Roman" w:hAnsi="Times New Roman" w:cs="Times New Roman"/>
                <w:kern w:val="0"/>
                <w:sz w:val="20"/>
                <w:szCs w:val="20"/>
                <w:lang w:val="en-GB" w:eastAsia="pl-PL"/>
                <w14:ligatures w14:val="none"/>
              </w:rPr>
              <w:t xml:space="preserve">The health care law specifies </w:t>
            </w:r>
            <w:r w:rsidR="00066FC7" w:rsidRPr="00546F01">
              <w:rPr>
                <w:rFonts w:ascii="Times New Roman" w:eastAsia="Times New Roman" w:hAnsi="Times New Roman" w:cs="Times New Roman"/>
                <w:kern w:val="0"/>
                <w:sz w:val="20"/>
                <w:szCs w:val="20"/>
                <w:lang w:val="en-GB" w:eastAsia="pl-PL"/>
                <w14:ligatures w14:val="none"/>
              </w:rPr>
              <w:t>in broad terms</w:t>
            </w:r>
            <w:r w:rsidR="00EA6B83" w:rsidRPr="00546F01">
              <w:rPr>
                <w:rFonts w:ascii="Times New Roman" w:eastAsia="Times New Roman" w:hAnsi="Times New Roman" w:cs="Times New Roman"/>
                <w:kern w:val="0"/>
                <w:sz w:val="20"/>
                <w:szCs w:val="20"/>
                <w:lang w:val="en-GB" w:eastAsia="pl-PL"/>
                <w14:ligatures w14:val="none"/>
              </w:rPr>
              <w:t xml:space="preserve"> </w:t>
            </w:r>
            <w:r w:rsidR="00BE65F4" w:rsidRPr="00546F01">
              <w:rPr>
                <w:rFonts w:ascii="Times New Roman" w:eastAsia="Times New Roman" w:hAnsi="Times New Roman" w:cs="Times New Roman"/>
                <w:kern w:val="0"/>
                <w:sz w:val="20"/>
                <w:szCs w:val="20"/>
                <w:lang w:val="en-GB" w:eastAsia="pl-PL"/>
                <w14:ligatures w14:val="none"/>
              </w:rPr>
              <w:t>the list of health care services for primary care, outpatient specialist care, hospital care, mental health services, preventative services, long-term care, dental care, medicines, and medical products. This list is publicly available and communicated broadly to be understood by most people.</w:t>
            </w:r>
          </w:p>
        </w:tc>
      </w:tr>
      <w:tr w:rsidR="00F927CA" w:rsidRPr="00546F01" w14:paraId="6904259E" w14:textId="77777777" w:rsidTr="008F20F1">
        <w:trPr>
          <w:trHeight w:val="405"/>
        </w:trPr>
        <w:tc>
          <w:tcPr>
            <w:tcW w:w="560" w:type="pct"/>
            <w:tcBorders>
              <w:top w:val="nil"/>
              <w:bottom w:val="nil"/>
              <w:right w:val="nil"/>
            </w:tcBorders>
            <w:tcMar>
              <w:top w:w="28" w:type="dxa"/>
              <w:bottom w:w="57" w:type="dxa"/>
            </w:tcMar>
          </w:tcPr>
          <w:p w14:paraId="577BF3B5"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40" w:type="pct"/>
            <w:gridSpan w:val="2"/>
            <w:tcBorders>
              <w:top w:val="nil"/>
              <w:left w:val="nil"/>
              <w:bottom w:val="nil"/>
            </w:tcBorders>
            <w:tcMar>
              <w:top w:w="28" w:type="dxa"/>
              <w:bottom w:w="57" w:type="dxa"/>
            </w:tcMar>
          </w:tcPr>
          <w:p w14:paraId="49414BC2"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A joint ministerial decision specifies the list of services for primary care, hospital care, rehabilitation, preventive services, mental health, in vitro fertilization, cross-border health care, long-term care, palliative care, hospitalisation abroad, dental care, medicines, consumables, and medicinal products. The list is clearly communicated and publicly available. </w:t>
            </w:r>
          </w:p>
        </w:tc>
      </w:tr>
      <w:tr w:rsidR="00F927CA" w:rsidRPr="00546F01" w14:paraId="2A348CC6" w14:textId="77777777" w:rsidTr="008F20F1">
        <w:trPr>
          <w:trHeight w:val="872"/>
        </w:trPr>
        <w:tc>
          <w:tcPr>
            <w:tcW w:w="560" w:type="pct"/>
            <w:tcBorders>
              <w:top w:val="nil"/>
              <w:bottom w:val="single" w:sz="4" w:space="0" w:color="auto"/>
              <w:right w:val="nil"/>
            </w:tcBorders>
            <w:tcMar>
              <w:top w:w="28" w:type="dxa"/>
              <w:bottom w:w="57" w:type="dxa"/>
            </w:tcMar>
            <w:hideMark/>
          </w:tcPr>
          <w:p w14:paraId="5F241DED"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Poland</w:t>
            </w:r>
          </w:p>
        </w:tc>
        <w:tc>
          <w:tcPr>
            <w:tcW w:w="4440" w:type="pct"/>
            <w:gridSpan w:val="2"/>
            <w:tcBorders>
              <w:top w:val="nil"/>
              <w:left w:val="nil"/>
              <w:bottom w:val="single" w:sz="4" w:space="0" w:color="auto"/>
            </w:tcBorders>
            <w:tcMar>
              <w:top w:w="28" w:type="dxa"/>
              <w:bottom w:w="57" w:type="dxa"/>
            </w:tcMar>
            <w:hideMark/>
          </w:tcPr>
          <w:p w14:paraId="079CECC9"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The Ministry of Health’s regulations specify the list of services for each type of care (primary care, outpatient specialist care, hospital care, psychiatric care together with addiction treatment, medical rehabilitation, long-term care, palliative and hospice care, spa treatment, dental care, highly specialized services, emergency care, preventive health programs, medicines, medical products). The regulations are publicly available, </w:t>
            </w:r>
            <w:bookmarkStart w:id="2" w:name="_Hlk140504998"/>
            <w:r w:rsidRPr="00546F01">
              <w:rPr>
                <w:rFonts w:ascii="Times New Roman" w:eastAsia="Times New Roman" w:hAnsi="Times New Roman" w:cs="Times New Roman"/>
                <w:kern w:val="0"/>
                <w:sz w:val="20"/>
                <w:szCs w:val="20"/>
                <w:lang w:val="en-GB" w:eastAsia="pl-PL"/>
                <w14:ligatures w14:val="none"/>
              </w:rPr>
              <w:t xml:space="preserve">though </w:t>
            </w:r>
            <w:bookmarkStart w:id="3" w:name="_Hlk140504688"/>
            <w:r w:rsidRPr="00546F01">
              <w:rPr>
                <w:rFonts w:ascii="Times New Roman" w:eastAsia="Times New Roman" w:hAnsi="Times New Roman" w:cs="Times New Roman"/>
                <w:kern w:val="0"/>
                <w:sz w:val="20"/>
                <w:szCs w:val="20"/>
                <w:lang w:val="en-GB" w:eastAsia="pl-PL"/>
                <w14:ligatures w14:val="none"/>
              </w:rPr>
              <w:t>they might not be easy to understand for all.</w:t>
            </w:r>
            <w:bookmarkEnd w:id="2"/>
            <w:bookmarkEnd w:id="3"/>
            <w:r w:rsidRPr="00546F01">
              <w:rPr>
                <w:rFonts w:ascii="Times New Roman" w:eastAsia="Times New Roman" w:hAnsi="Times New Roman" w:cs="Times New Roman"/>
                <w:kern w:val="0"/>
                <w:sz w:val="20"/>
                <w:szCs w:val="20"/>
                <w:lang w:val="en-GB" w:eastAsia="pl-PL"/>
                <w14:ligatures w14:val="none"/>
              </w:rPr>
              <w:t> </w:t>
            </w:r>
          </w:p>
        </w:tc>
      </w:tr>
      <w:bookmarkEnd w:id="1"/>
      <w:tr w:rsidR="00F927CA" w:rsidRPr="00546F01" w14:paraId="29B9AE1B" w14:textId="77777777" w:rsidTr="008F20F1">
        <w:trPr>
          <w:trHeight w:val="151"/>
        </w:trPr>
        <w:tc>
          <w:tcPr>
            <w:tcW w:w="5000" w:type="pct"/>
            <w:gridSpan w:val="3"/>
            <w:tcBorders>
              <w:bottom w:val="nil"/>
            </w:tcBorders>
            <w:tcMar>
              <w:top w:w="28" w:type="dxa"/>
              <w:bottom w:w="57" w:type="dxa"/>
            </w:tcMar>
          </w:tcPr>
          <w:p w14:paraId="3D0952C9" w14:textId="66D65CD1"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1.3. Are quality and waiting time guarantees under the statutory health system clearly specified in legislation, and clearly communicated to the public?</w:t>
            </w:r>
          </w:p>
        </w:tc>
      </w:tr>
      <w:tr w:rsidR="00F927CA" w:rsidRPr="00546F01" w14:paraId="20CB21BC" w14:textId="77777777" w:rsidTr="00F927CA">
        <w:trPr>
          <w:trHeight w:val="398"/>
        </w:trPr>
        <w:tc>
          <w:tcPr>
            <w:tcW w:w="560" w:type="pct"/>
            <w:tcBorders>
              <w:top w:val="nil"/>
              <w:bottom w:val="nil"/>
              <w:right w:val="nil"/>
            </w:tcBorders>
            <w:tcMar>
              <w:top w:w="28" w:type="dxa"/>
              <w:bottom w:w="57" w:type="dxa"/>
            </w:tcMar>
            <w:hideMark/>
          </w:tcPr>
          <w:p w14:paraId="5359076B"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Denmark</w:t>
            </w:r>
          </w:p>
        </w:tc>
        <w:tc>
          <w:tcPr>
            <w:tcW w:w="4440" w:type="pct"/>
            <w:gridSpan w:val="2"/>
            <w:tcBorders>
              <w:top w:val="nil"/>
              <w:left w:val="nil"/>
              <w:bottom w:val="nil"/>
            </w:tcBorders>
            <w:tcMar>
              <w:top w:w="28" w:type="dxa"/>
              <w:bottom w:w="57" w:type="dxa"/>
            </w:tcMar>
            <w:hideMark/>
          </w:tcPr>
          <w:p w14:paraId="197E63E6"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Every year municipalities and regions develop quality standards to create transparency around the level of service that citizens can expect to be delivered. Further, the legislation clearly specifies the maximum waiting time of 30 days from receiving a referral to completion of examination, and thus an offer of treatment. Life-threatening illnesses also have maximum waiting times. If the regional hospitals cannot provide the service, other public or private hospitals (in or outside Denmark) can be used without extra charge. The recent challenges of increased waiting times (due to </w:t>
            </w:r>
            <w:r w:rsidRPr="00546F01">
              <w:rPr>
                <w:rFonts w:ascii="Times New Roman" w:eastAsia="Times New Roman" w:hAnsi="Times New Roman" w:cs="Times New Roman"/>
                <w:kern w:val="0"/>
                <w:sz w:val="20"/>
                <w:szCs w:val="20"/>
                <w:lang w:val="en-GB" w:eastAsia="pl-PL"/>
                <w14:ligatures w14:val="none"/>
              </w:rPr>
              <w:lastRenderedPageBreak/>
              <w:t>e.g., Covid-19) have challenged this standard and the government has therefore strengthened the agreements with the private health sector. This information is public and communicated clearly to citizens at governmental websites (e.g., sum.dk). </w:t>
            </w:r>
          </w:p>
        </w:tc>
      </w:tr>
      <w:tr w:rsidR="00F927CA" w:rsidRPr="00546F01" w14:paraId="0C21E4F3" w14:textId="77777777" w:rsidTr="008F20F1">
        <w:trPr>
          <w:trHeight w:val="239"/>
        </w:trPr>
        <w:tc>
          <w:tcPr>
            <w:tcW w:w="560" w:type="pct"/>
            <w:tcBorders>
              <w:top w:val="nil"/>
              <w:bottom w:val="nil"/>
              <w:right w:val="nil"/>
            </w:tcBorders>
            <w:tcMar>
              <w:top w:w="28" w:type="dxa"/>
              <w:bottom w:w="57" w:type="dxa"/>
            </w:tcMar>
            <w:hideMark/>
          </w:tcPr>
          <w:p w14:paraId="2BD9DF19"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Greece</w:t>
            </w:r>
          </w:p>
        </w:tc>
        <w:tc>
          <w:tcPr>
            <w:tcW w:w="4440" w:type="pct"/>
            <w:gridSpan w:val="2"/>
            <w:tcBorders>
              <w:top w:val="nil"/>
              <w:left w:val="nil"/>
              <w:bottom w:val="nil"/>
            </w:tcBorders>
            <w:noWrap/>
            <w:tcMar>
              <w:top w:w="28" w:type="dxa"/>
              <w:bottom w:w="57" w:type="dxa"/>
            </w:tcMar>
          </w:tcPr>
          <w:p w14:paraId="60508597" w14:textId="0BA36E15" w:rsidR="00BE65F4" w:rsidRPr="00546F01" w:rsidRDefault="00755318" w:rsidP="00BE65F4">
            <w:pPr>
              <w:keepNext/>
              <w:keepLines/>
              <w:shd w:val="clear" w:color="auto" w:fill="FFFFFF"/>
              <w:spacing w:after="0" w:line="240" w:lineRule="auto"/>
              <w:textAlignment w:val="baseline"/>
              <w:outlineLvl w:val="2"/>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00BE65F4" w:rsidRPr="00546F01">
              <w:rPr>
                <w:rFonts w:ascii="Times New Roman" w:eastAsia="Times New Roman" w:hAnsi="Times New Roman" w:cs="Times New Roman"/>
                <w:kern w:val="0"/>
                <w:sz w:val="20"/>
                <w:szCs w:val="20"/>
                <w:lang w:val="en-GB" w:eastAsia="pl-PL"/>
                <w14:ligatures w14:val="none"/>
              </w:rPr>
              <w:t xml:space="preserve">: The law does not specify a maximum waiting time for outpatient health services or hospitalisations. </w:t>
            </w:r>
            <w:r w:rsidRPr="00546F01">
              <w:rPr>
                <w:rFonts w:ascii="Times New Roman" w:eastAsia="Times New Roman" w:hAnsi="Times New Roman" w:cs="Times New Roman"/>
                <w:kern w:val="0"/>
                <w:sz w:val="20"/>
                <w:szCs w:val="20"/>
                <w:lang w:val="en-GB" w:eastAsia="pl-PL"/>
                <w14:ligatures w14:val="none"/>
              </w:rPr>
              <w:t>T</w:t>
            </w:r>
            <w:r w:rsidR="00BE65F4" w:rsidRPr="00546F01">
              <w:rPr>
                <w:rFonts w:ascii="Times New Roman" w:eastAsia="Times New Roman" w:hAnsi="Times New Roman" w:cs="Times New Roman"/>
                <w:kern w:val="0"/>
                <w:sz w:val="20"/>
                <w:szCs w:val="20"/>
                <w:lang w:val="en-GB" w:eastAsia="pl-PL"/>
                <w14:ligatures w14:val="none"/>
              </w:rPr>
              <w:t xml:space="preserve">here is </w:t>
            </w:r>
            <w:r w:rsidRPr="00546F01">
              <w:rPr>
                <w:rFonts w:ascii="Times New Roman" w:eastAsia="Times New Roman" w:hAnsi="Times New Roman" w:cs="Times New Roman"/>
                <w:kern w:val="0"/>
                <w:sz w:val="20"/>
                <w:szCs w:val="20"/>
                <w:lang w:val="en-GB" w:eastAsia="pl-PL"/>
                <w14:ligatures w14:val="none"/>
              </w:rPr>
              <w:t xml:space="preserve">only </w:t>
            </w:r>
            <w:r w:rsidR="00BE65F4" w:rsidRPr="00546F01">
              <w:rPr>
                <w:rFonts w:ascii="Times New Roman" w:eastAsia="Times New Roman" w:hAnsi="Times New Roman" w:cs="Times New Roman"/>
                <w:kern w:val="0"/>
                <w:sz w:val="20"/>
                <w:szCs w:val="20"/>
                <w:lang w:val="en-GB" w:eastAsia="pl-PL"/>
                <w14:ligatures w14:val="none"/>
              </w:rPr>
              <w:t>an elective surgery list with maximum waiting time based on medical diagnosis. There are no quality guarantees, only guidelines and protocols for specific services.</w:t>
            </w:r>
          </w:p>
        </w:tc>
      </w:tr>
      <w:tr w:rsidR="00F927CA" w:rsidRPr="00546F01" w14:paraId="0D24DA6A" w14:textId="77777777" w:rsidTr="008F20F1">
        <w:trPr>
          <w:trHeight w:val="635"/>
        </w:trPr>
        <w:tc>
          <w:tcPr>
            <w:tcW w:w="560" w:type="pct"/>
            <w:tcBorders>
              <w:top w:val="nil"/>
              <w:bottom w:val="single" w:sz="4" w:space="0" w:color="auto"/>
              <w:right w:val="nil"/>
            </w:tcBorders>
            <w:tcMar>
              <w:top w:w="28" w:type="dxa"/>
              <w:bottom w:w="57" w:type="dxa"/>
            </w:tcMar>
            <w:hideMark/>
          </w:tcPr>
          <w:p w14:paraId="0B58F1C2"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Poland</w:t>
            </w:r>
          </w:p>
        </w:tc>
        <w:tc>
          <w:tcPr>
            <w:tcW w:w="4440" w:type="pct"/>
            <w:gridSpan w:val="2"/>
            <w:tcBorders>
              <w:top w:val="nil"/>
              <w:left w:val="nil"/>
              <w:bottom w:val="single" w:sz="4" w:space="0" w:color="auto"/>
            </w:tcBorders>
            <w:tcMar>
              <w:top w:w="28" w:type="dxa"/>
              <w:bottom w:w="57" w:type="dxa"/>
            </w:tcMar>
            <w:hideMark/>
          </w:tcPr>
          <w:p w14:paraId="6E3F4AC8"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 health care law does not specify maximum waiting times for services, except for few population groups (e.g., pregnant women) and selected services (e.g., oncological treatment). There are no quality guarantees, except for health care entities being required to meet standards related to the premises, available medical equipment, and staff. </w:t>
            </w:r>
          </w:p>
        </w:tc>
      </w:tr>
      <w:tr w:rsidR="00F927CA" w:rsidRPr="00546F01" w14:paraId="5DD93422" w14:textId="77777777" w:rsidTr="008F20F1">
        <w:trPr>
          <w:trHeight w:val="359"/>
        </w:trPr>
        <w:tc>
          <w:tcPr>
            <w:tcW w:w="5000" w:type="pct"/>
            <w:gridSpan w:val="3"/>
            <w:tcBorders>
              <w:bottom w:val="nil"/>
            </w:tcBorders>
            <w:tcMar>
              <w:top w:w="28" w:type="dxa"/>
              <w:bottom w:w="57" w:type="dxa"/>
            </w:tcMar>
          </w:tcPr>
          <w:p w14:paraId="59DBBC71" w14:textId="79E70D10"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1.4. Is the information on performances (quality, waiting time) of health care legal entities (e.g., hospitals, clinics, individual practices) collected and publicly available?</w:t>
            </w:r>
          </w:p>
        </w:tc>
      </w:tr>
      <w:tr w:rsidR="00F927CA" w:rsidRPr="00546F01" w14:paraId="0AF768C3" w14:textId="77777777" w:rsidTr="008F20F1">
        <w:trPr>
          <w:trHeight w:val="540"/>
        </w:trPr>
        <w:tc>
          <w:tcPr>
            <w:tcW w:w="560" w:type="pct"/>
            <w:tcBorders>
              <w:top w:val="nil"/>
              <w:bottom w:val="nil"/>
              <w:right w:val="nil"/>
            </w:tcBorders>
            <w:tcMar>
              <w:top w:w="28" w:type="dxa"/>
              <w:bottom w:w="57" w:type="dxa"/>
            </w:tcMar>
            <w:hideMark/>
          </w:tcPr>
          <w:p w14:paraId="70B1EA92"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Denmark</w:t>
            </w:r>
          </w:p>
        </w:tc>
        <w:tc>
          <w:tcPr>
            <w:tcW w:w="4440" w:type="pct"/>
            <w:gridSpan w:val="2"/>
            <w:tcBorders>
              <w:top w:val="nil"/>
              <w:left w:val="nil"/>
              <w:bottom w:val="nil"/>
            </w:tcBorders>
            <w:tcMar>
              <w:top w:w="28" w:type="dxa"/>
              <w:bottom w:w="57" w:type="dxa"/>
            </w:tcMar>
            <w:hideMark/>
          </w:tcPr>
          <w:p w14:paraId="7480C44B"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Everyone can visit the National Board of Health's database, esundhed.dk (eHealth), to find and compare health data on waiting times on various forms of treatments (e.g., cancer or maternity care in different hospitals or clinics in the country) and clinical performances of providers as well as patient-reported experiences. </w:t>
            </w:r>
          </w:p>
        </w:tc>
      </w:tr>
      <w:tr w:rsidR="00F927CA" w:rsidRPr="00546F01" w14:paraId="331F5D38" w14:textId="77777777" w:rsidTr="008F20F1">
        <w:trPr>
          <w:trHeight w:val="68"/>
        </w:trPr>
        <w:tc>
          <w:tcPr>
            <w:tcW w:w="560" w:type="pct"/>
            <w:tcBorders>
              <w:top w:val="nil"/>
              <w:bottom w:val="nil"/>
              <w:right w:val="nil"/>
            </w:tcBorders>
            <w:tcMar>
              <w:top w:w="28" w:type="dxa"/>
              <w:bottom w:w="57" w:type="dxa"/>
            </w:tcMar>
            <w:hideMark/>
          </w:tcPr>
          <w:p w14:paraId="507AA986"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40" w:type="pct"/>
            <w:gridSpan w:val="2"/>
            <w:tcBorders>
              <w:top w:val="nil"/>
              <w:left w:val="nil"/>
              <w:bottom w:val="nil"/>
            </w:tcBorders>
            <w:tcMar>
              <w:top w:w="28" w:type="dxa"/>
              <w:bottom w:w="57" w:type="dxa"/>
            </w:tcMar>
          </w:tcPr>
          <w:p w14:paraId="0CC66BB9"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Up to know there is no specific information collected and accessible to patients about the quality of services, medical errors, patient satisfaction, hospital clinical outcomes, or hospital waiting times by different providers. Nevertheless, in 2020 the National Agency for Quality Assurance in Health S.A. (ODIPY, www.odipy.gov.gr) was established to monitor quality of care and develop strategies for quality assurance. </w:t>
            </w:r>
          </w:p>
        </w:tc>
      </w:tr>
      <w:tr w:rsidR="00F927CA" w:rsidRPr="00546F01" w14:paraId="61E8BD77" w14:textId="77777777" w:rsidTr="008F20F1">
        <w:trPr>
          <w:trHeight w:val="685"/>
        </w:trPr>
        <w:tc>
          <w:tcPr>
            <w:tcW w:w="560" w:type="pct"/>
            <w:tcBorders>
              <w:top w:val="nil"/>
              <w:bottom w:val="single" w:sz="4" w:space="0" w:color="auto"/>
              <w:right w:val="nil"/>
            </w:tcBorders>
            <w:tcMar>
              <w:top w:w="28" w:type="dxa"/>
              <w:bottom w:w="57" w:type="dxa"/>
            </w:tcMar>
            <w:hideMark/>
          </w:tcPr>
          <w:p w14:paraId="5547EBFC"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Poland</w:t>
            </w:r>
          </w:p>
        </w:tc>
        <w:tc>
          <w:tcPr>
            <w:tcW w:w="4440" w:type="pct"/>
            <w:gridSpan w:val="2"/>
            <w:tcBorders>
              <w:top w:val="nil"/>
              <w:left w:val="nil"/>
              <w:bottom w:val="single" w:sz="4" w:space="0" w:color="auto"/>
            </w:tcBorders>
            <w:tcMar>
              <w:top w:w="28" w:type="dxa"/>
              <w:bottom w:w="57" w:type="dxa"/>
            </w:tcMar>
            <w:hideMark/>
          </w:tcPr>
          <w:p w14:paraId="4334F6B1"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There is no quality monitoring system </w:t>
            </w:r>
            <w:bookmarkStart w:id="4" w:name="_Hlk140776607"/>
            <w:r w:rsidRPr="00546F01">
              <w:rPr>
                <w:rFonts w:ascii="Times New Roman" w:eastAsia="Times New Roman" w:hAnsi="Times New Roman" w:cs="Times New Roman"/>
                <w:kern w:val="0"/>
                <w:sz w:val="20"/>
                <w:szCs w:val="20"/>
                <w:lang w:val="en-GB" w:eastAsia="pl-PL"/>
                <w14:ligatures w14:val="none"/>
              </w:rPr>
              <w:t xml:space="preserve">to inform patient </w:t>
            </w:r>
            <w:bookmarkEnd w:id="4"/>
            <w:r w:rsidRPr="00546F01">
              <w:rPr>
                <w:rFonts w:ascii="Times New Roman" w:eastAsia="Times New Roman" w:hAnsi="Times New Roman" w:cs="Times New Roman"/>
                <w:kern w:val="0"/>
                <w:sz w:val="20"/>
                <w:szCs w:val="20"/>
                <w:lang w:val="en-GB" w:eastAsia="pl-PL"/>
                <w14:ligatures w14:val="none"/>
              </w:rPr>
              <w:t>decisions. The information on waiting time for services (name of providers, the first available date, and how many people are currently waiting) is available through the National Health Fund website introduced in 2018 (https://terminyleczenia.nfz.gov.pl/).</w:t>
            </w:r>
          </w:p>
        </w:tc>
      </w:tr>
      <w:tr w:rsidR="00F927CA" w:rsidRPr="00546F01" w14:paraId="3A54B220" w14:textId="77777777" w:rsidTr="008F20F1">
        <w:trPr>
          <w:trHeight w:val="161"/>
        </w:trPr>
        <w:tc>
          <w:tcPr>
            <w:tcW w:w="5000" w:type="pct"/>
            <w:gridSpan w:val="3"/>
            <w:tcBorders>
              <w:bottom w:val="nil"/>
            </w:tcBorders>
            <w:tcMar>
              <w:top w:w="28" w:type="dxa"/>
              <w:bottom w:w="57" w:type="dxa"/>
            </w:tcMar>
          </w:tcPr>
          <w:p w14:paraId="38B95DEA" w14:textId="0DC2EF35"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1.5. Is obligatory patient cost-sharing under the statutory health system clearly specified in legislation, and clearly communicated to the public?</w:t>
            </w:r>
          </w:p>
        </w:tc>
      </w:tr>
      <w:tr w:rsidR="00F927CA" w:rsidRPr="00546F01" w14:paraId="4256122D" w14:textId="77777777" w:rsidTr="008F20F1">
        <w:trPr>
          <w:trHeight w:val="544"/>
        </w:trPr>
        <w:tc>
          <w:tcPr>
            <w:tcW w:w="560" w:type="pct"/>
            <w:tcBorders>
              <w:top w:val="nil"/>
              <w:bottom w:val="nil"/>
              <w:right w:val="nil"/>
            </w:tcBorders>
            <w:tcMar>
              <w:top w:w="28" w:type="dxa"/>
              <w:bottom w:w="57" w:type="dxa"/>
            </w:tcMar>
            <w:hideMark/>
          </w:tcPr>
          <w:p w14:paraId="5E42407A"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Denmark</w:t>
            </w:r>
          </w:p>
        </w:tc>
        <w:tc>
          <w:tcPr>
            <w:tcW w:w="4440" w:type="pct"/>
            <w:gridSpan w:val="2"/>
            <w:tcBorders>
              <w:top w:val="nil"/>
              <w:left w:val="nil"/>
              <w:bottom w:val="nil"/>
            </w:tcBorders>
            <w:tcMar>
              <w:top w:w="28" w:type="dxa"/>
              <w:bottom w:w="57" w:type="dxa"/>
            </w:tcMar>
            <w:hideMark/>
          </w:tcPr>
          <w:p w14:paraId="2EB073C5"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Legislation clearly specifies that patients have free access to primary care, most outpatient specialists, hospital care, mental health care, preventive services, children’s dental care, and some long-term care services. Cost-sharing applies to out-patient medicines, dental care for adults, some rehabilitation, psychological care, podiatry care, residential long-term care, some medical products (e.g., corrective lenses), and travel vaccinations. There is a yearly cap on out-of-pocket payments for medicines. This information is publicly available at governmental websites (e.g., sundhed.dk)</w:t>
            </w:r>
          </w:p>
        </w:tc>
      </w:tr>
      <w:tr w:rsidR="00F927CA" w:rsidRPr="00546F01" w14:paraId="7D18A4F5" w14:textId="77777777" w:rsidTr="008F20F1">
        <w:trPr>
          <w:trHeight w:val="710"/>
        </w:trPr>
        <w:tc>
          <w:tcPr>
            <w:tcW w:w="560" w:type="pct"/>
            <w:tcBorders>
              <w:top w:val="nil"/>
              <w:bottom w:val="nil"/>
              <w:right w:val="nil"/>
            </w:tcBorders>
            <w:tcMar>
              <w:top w:w="28" w:type="dxa"/>
              <w:bottom w:w="57" w:type="dxa"/>
            </w:tcMar>
            <w:hideMark/>
          </w:tcPr>
          <w:p w14:paraId="7B04185E"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40" w:type="pct"/>
            <w:gridSpan w:val="2"/>
            <w:tcBorders>
              <w:top w:val="nil"/>
              <w:left w:val="nil"/>
              <w:bottom w:val="nil"/>
            </w:tcBorders>
            <w:tcMar>
              <w:top w:w="28" w:type="dxa"/>
              <w:bottom w:w="57" w:type="dxa"/>
            </w:tcMar>
          </w:tcPr>
          <w:p w14:paraId="6727CE0D" w14:textId="26BC72F1"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The law clearly defines obligatory cost-sharing for outpatient medicines, medical devices, and dental care. There are no obligatory fees for primary care, outpatient specialist care, hospital care, diagnostics and laboratory tests, offered by public providers. However, patients need to co-pay (percentage co-payments) when using services (hospital services, diagnostic tests) provided by contracted private providers. The information on patient payments is publicly available on governmental websites (www.moh.gov.gr, www.eopyy.gov.gr) and clearly communicated to the public. </w:t>
            </w:r>
          </w:p>
        </w:tc>
      </w:tr>
      <w:tr w:rsidR="00F927CA" w:rsidRPr="00546F01" w14:paraId="2CE8AEA5" w14:textId="77777777" w:rsidTr="008F20F1">
        <w:trPr>
          <w:trHeight w:val="701"/>
        </w:trPr>
        <w:tc>
          <w:tcPr>
            <w:tcW w:w="560" w:type="pct"/>
            <w:tcBorders>
              <w:top w:val="nil"/>
              <w:bottom w:val="single" w:sz="4" w:space="0" w:color="auto"/>
              <w:right w:val="nil"/>
            </w:tcBorders>
            <w:tcMar>
              <w:top w:w="28" w:type="dxa"/>
              <w:bottom w:w="57" w:type="dxa"/>
            </w:tcMar>
            <w:hideMark/>
          </w:tcPr>
          <w:p w14:paraId="357D3BD9"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Poland</w:t>
            </w:r>
          </w:p>
        </w:tc>
        <w:tc>
          <w:tcPr>
            <w:tcW w:w="4440" w:type="pct"/>
            <w:gridSpan w:val="2"/>
            <w:tcBorders>
              <w:top w:val="nil"/>
              <w:left w:val="nil"/>
              <w:bottom w:val="single" w:sz="4" w:space="0" w:color="auto"/>
            </w:tcBorders>
            <w:tcMar>
              <w:top w:w="28" w:type="dxa"/>
              <w:bottom w:w="57" w:type="dxa"/>
            </w:tcMar>
            <w:hideMark/>
          </w:tcPr>
          <w:p w14:paraId="206DBC97"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Obligatory cost-sharing is clearly specified. There are </w:t>
            </w:r>
            <w:bookmarkStart w:id="5" w:name="_Hlk140507635"/>
            <w:r w:rsidRPr="00546F01">
              <w:rPr>
                <w:rFonts w:ascii="Times New Roman" w:eastAsia="Times New Roman" w:hAnsi="Times New Roman" w:cs="Times New Roman"/>
                <w:kern w:val="0"/>
                <w:sz w:val="20"/>
                <w:szCs w:val="20"/>
                <w:lang w:val="en-GB" w:eastAsia="pl-PL"/>
                <w14:ligatures w14:val="none"/>
              </w:rPr>
              <w:t>no obligatory fees for primary care, outpatient specialist care or hospital care</w:t>
            </w:r>
            <w:bookmarkEnd w:id="5"/>
            <w:r w:rsidRPr="00546F01">
              <w:rPr>
                <w:rFonts w:ascii="Times New Roman" w:eastAsia="Times New Roman" w:hAnsi="Times New Roman" w:cs="Times New Roman"/>
                <w:kern w:val="0"/>
                <w:sz w:val="20"/>
                <w:szCs w:val="20"/>
                <w:lang w:val="en-GB" w:eastAsia="pl-PL"/>
                <w14:ligatures w14:val="none"/>
              </w:rPr>
              <w:t>. However, patients must pay for outpatient medicines, some medical devices, residential long-term care, and spa treatment. A few population groups (e.g. children, war and military invalids, older adults) are exempt from some payments. The regulations are clearly communicated to the public, e.g. at the Ministry of Health website, though they might not be fully clear to all.  </w:t>
            </w:r>
          </w:p>
        </w:tc>
      </w:tr>
      <w:tr w:rsidR="00F927CA" w:rsidRPr="00546F01" w14:paraId="65CD31BA" w14:textId="77777777" w:rsidTr="008F20F1">
        <w:trPr>
          <w:trHeight w:val="365"/>
        </w:trPr>
        <w:tc>
          <w:tcPr>
            <w:tcW w:w="5000" w:type="pct"/>
            <w:gridSpan w:val="3"/>
            <w:tcBorders>
              <w:bottom w:val="nil"/>
            </w:tcBorders>
            <w:tcMar>
              <w:top w:w="28" w:type="dxa"/>
              <w:bottom w:w="57" w:type="dxa"/>
            </w:tcMar>
          </w:tcPr>
          <w:p w14:paraId="7580B5D9" w14:textId="4CB2E6BF"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1.6. Are patient payments under the statutory health system, other than obligatory cost-sharing (e.g., gratitude payments, payments to foundations, balance/extra billing), clearly regulated, and clearly communicated to the public?</w:t>
            </w:r>
          </w:p>
        </w:tc>
      </w:tr>
      <w:tr w:rsidR="00F927CA" w:rsidRPr="00546F01" w14:paraId="5988BAD3" w14:textId="77777777" w:rsidTr="008F20F1">
        <w:trPr>
          <w:trHeight w:val="680"/>
        </w:trPr>
        <w:tc>
          <w:tcPr>
            <w:tcW w:w="560" w:type="pct"/>
            <w:tcBorders>
              <w:top w:val="nil"/>
              <w:bottom w:val="nil"/>
              <w:right w:val="nil"/>
            </w:tcBorders>
            <w:tcMar>
              <w:top w:w="28" w:type="dxa"/>
              <w:bottom w:w="57" w:type="dxa"/>
            </w:tcMar>
            <w:hideMark/>
          </w:tcPr>
          <w:p w14:paraId="0BF99BFE"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Denmark</w:t>
            </w:r>
          </w:p>
        </w:tc>
        <w:tc>
          <w:tcPr>
            <w:tcW w:w="4440" w:type="pct"/>
            <w:gridSpan w:val="2"/>
            <w:tcBorders>
              <w:top w:val="nil"/>
              <w:left w:val="nil"/>
              <w:bottom w:val="nil"/>
            </w:tcBorders>
            <w:noWrap/>
            <w:tcMar>
              <w:top w:w="28" w:type="dxa"/>
              <w:bottom w:w="57" w:type="dxa"/>
            </w:tcMar>
            <w:hideMark/>
          </w:tcPr>
          <w:p w14:paraId="01E21693"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w:t>
            </w:r>
            <w:bookmarkStart w:id="6" w:name="_Hlk151901139"/>
            <w:r w:rsidRPr="00546F01">
              <w:rPr>
                <w:rFonts w:ascii="Times New Roman" w:eastAsia="Times New Roman" w:hAnsi="Times New Roman" w:cs="Times New Roman"/>
                <w:kern w:val="0"/>
                <w:sz w:val="20"/>
                <w:szCs w:val="20"/>
                <w:lang w:val="en-GB" w:eastAsia="pl-PL"/>
                <w14:ligatures w14:val="none"/>
              </w:rPr>
              <w:t xml:space="preserve">Gratitude payments are not clearly regulated, and the </w:t>
            </w:r>
            <w:bookmarkStart w:id="7" w:name="_Hlk140507834"/>
            <w:r w:rsidRPr="00546F01">
              <w:rPr>
                <w:rFonts w:ascii="Times New Roman" w:eastAsia="Times New Roman" w:hAnsi="Times New Roman" w:cs="Times New Roman"/>
                <w:kern w:val="0"/>
                <w:sz w:val="20"/>
                <w:szCs w:val="20"/>
                <w:lang w:val="en-GB" w:eastAsia="pl-PL"/>
                <w14:ligatures w14:val="none"/>
              </w:rPr>
              <w:t xml:space="preserve">law does not </w:t>
            </w:r>
            <w:bookmarkStart w:id="8" w:name="_Hlk141800841"/>
            <w:r w:rsidRPr="00546F01">
              <w:rPr>
                <w:rFonts w:ascii="Times New Roman" w:eastAsia="Times New Roman" w:hAnsi="Times New Roman" w:cs="Times New Roman"/>
                <w:kern w:val="0"/>
                <w:sz w:val="20"/>
                <w:szCs w:val="20"/>
                <w:lang w:val="en-GB" w:eastAsia="pl-PL"/>
                <w14:ligatures w14:val="none"/>
              </w:rPr>
              <w:t>make a precise distinction between bribe and gratitude payments</w:t>
            </w:r>
            <w:bookmarkEnd w:id="6"/>
            <w:bookmarkEnd w:id="7"/>
            <w:r w:rsidRPr="00546F01">
              <w:rPr>
                <w:rFonts w:ascii="Times New Roman" w:eastAsia="Times New Roman" w:hAnsi="Times New Roman" w:cs="Times New Roman"/>
                <w:kern w:val="0"/>
                <w:sz w:val="20"/>
                <w:szCs w:val="20"/>
                <w:lang w:val="en-GB" w:eastAsia="pl-PL"/>
                <w14:ligatures w14:val="none"/>
              </w:rPr>
              <w:t>.</w:t>
            </w:r>
            <w:bookmarkEnd w:id="8"/>
            <w:r w:rsidRPr="00546F01">
              <w:rPr>
                <w:rFonts w:ascii="Times New Roman" w:eastAsia="Times New Roman" w:hAnsi="Times New Roman" w:cs="Times New Roman"/>
                <w:kern w:val="0"/>
                <w:sz w:val="20"/>
                <w:szCs w:val="20"/>
                <w:lang w:val="en-GB" w:eastAsia="pl-PL"/>
                <w14:ligatures w14:val="none"/>
              </w:rPr>
              <w:t xml:space="preserve"> The law specifies that public civil servants may only receive gifts if this does not interfere with the private life of professionals (e.g., they may not be offered large amounts of cash or favours). However, there is no specific list of goods or their value that may be legally given to health care providers. There is no balance or extra billing in the publicly financed system, which is clearly regulated and communicated. </w:t>
            </w:r>
          </w:p>
        </w:tc>
      </w:tr>
      <w:tr w:rsidR="00F927CA" w:rsidRPr="00546F01" w14:paraId="2CEE3DB7" w14:textId="77777777" w:rsidTr="008F20F1">
        <w:trPr>
          <w:trHeight w:val="552"/>
        </w:trPr>
        <w:tc>
          <w:tcPr>
            <w:tcW w:w="560" w:type="pct"/>
            <w:tcBorders>
              <w:top w:val="nil"/>
              <w:bottom w:val="nil"/>
              <w:right w:val="nil"/>
            </w:tcBorders>
            <w:tcMar>
              <w:top w:w="28" w:type="dxa"/>
              <w:bottom w:w="57" w:type="dxa"/>
            </w:tcMar>
            <w:hideMark/>
          </w:tcPr>
          <w:p w14:paraId="6D741E0C"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40" w:type="pct"/>
            <w:gridSpan w:val="2"/>
            <w:tcBorders>
              <w:top w:val="nil"/>
              <w:left w:val="nil"/>
              <w:bottom w:val="nil"/>
            </w:tcBorders>
            <w:tcMar>
              <w:top w:w="28" w:type="dxa"/>
              <w:bottom w:w="57" w:type="dxa"/>
            </w:tcMar>
          </w:tcPr>
          <w:p w14:paraId="1AB1AAB2"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Gratitude payments are not regulated, and the law does not make a clear distinction between bribe and gratitude payments. There are formal and state-regulated extra payments in hospitals, e.g. in exchange for rooms with advanced hotel facilities, or non-covered services.  </w:t>
            </w:r>
          </w:p>
        </w:tc>
      </w:tr>
      <w:tr w:rsidR="00F927CA" w:rsidRPr="00546F01" w14:paraId="52DF50EC" w14:textId="77777777" w:rsidTr="008F20F1">
        <w:trPr>
          <w:trHeight w:val="986"/>
        </w:trPr>
        <w:tc>
          <w:tcPr>
            <w:tcW w:w="560" w:type="pct"/>
            <w:tcBorders>
              <w:top w:val="nil"/>
              <w:right w:val="nil"/>
            </w:tcBorders>
            <w:tcMar>
              <w:top w:w="28" w:type="dxa"/>
              <w:bottom w:w="57" w:type="dxa"/>
            </w:tcMar>
            <w:hideMark/>
          </w:tcPr>
          <w:p w14:paraId="4AC26128"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Poland</w:t>
            </w:r>
          </w:p>
        </w:tc>
        <w:tc>
          <w:tcPr>
            <w:tcW w:w="4440" w:type="pct"/>
            <w:gridSpan w:val="2"/>
            <w:tcBorders>
              <w:top w:val="nil"/>
              <w:left w:val="nil"/>
            </w:tcBorders>
            <w:tcMar>
              <w:top w:w="28" w:type="dxa"/>
              <w:bottom w:w="57" w:type="dxa"/>
            </w:tcMar>
            <w:hideMark/>
          </w:tcPr>
          <w:p w14:paraId="1E1626E8" w14:textId="77777777" w:rsidR="00BE65F4" w:rsidRPr="00546F01" w:rsidRDefault="00BE65F4" w:rsidP="00BE65F4">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Gratitude payments are not regulated. There </w:t>
            </w:r>
            <w:proofErr w:type="gramStart"/>
            <w:r w:rsidRPr="00546F01">
              <w:rPr>
                <w:rFonts w:ascii="Times New Roman" w:eastAsia="Times New Roman" w:hAnsi="Times New Roman" w:cs="Times New Roman"/>
                <w:kern w:val="0"/>
                <w:sz w:val="20"/>
                <w:szCs w:val="20"/>
                <w:lang w:val="en-GB" w:eastAsia="pl-PL"/>
                <w14:ligatures w14:val="none"/>
              </w:rPr>
              <w:t>is</w:t>
            </w:r>
            <w:proofErr w:type="gramEnd"/>
            <w:r w:rsidRPr="00546F01">
              <w:rPr>
                <w:rFonts w:ascii="Times New Roman" w:eastAsia="Times New Roman" w:hAnsi="Times New Roman" w:cs="Times New Roman"/>
                <w:kern w:val="0"/>
                <w:sz w:val="20"/>
                <w:szCs w:val="20"/>
                <w:lang w:val="en-GB" w:eastAsia="pl-PL"/>
                <w14:ligatures w14:val="none"/>
              </w:rPr>
              <w:t xml:space="preserve"> no list of goods and their values that can be legally given to health care providers. The boundaries between bribe and gratitude payments are not clear. Extra billing/balance billing for services was stated by the public payer as illegal, though the law does not explicitly prohibit it, therefore such payments have existed. There is law regulating fees for providing copies of medical documentation, payments to cover the cost of family member presence, and voluntary donations.</w:t>
            </w:r>
          </w:p>
        </w:tc>
      </w:tr>
      <w:tr w:rsidR="00F927CA" w:rsidRPr="00546F01" w14:paraId="44253502" w14:textId="77777777" w:rsidTr="008F20F1">
        <w:trPr>
          <w:trHeight w:val="232"/>
        </w:trPr>
        <w:tc>
          <w:tcPr>
            <w:tcW w:w="5000" w:type="pct"/>
            <w:gridSpan w:val="3"/>
            <w:tcBorders>
              <w:top w:val="nil"/>
            </w:tcBorders>
            <w:tcMar>
              <w:top w:w="28" w:type="dxa"/>
              <w:bottom w:w="57" w:type="dxa"/>
            </w:tcMar>
          </w:tcPr>
          <w:p w14:paraId="1420A9F7" w14:textId="3D1F6923" w:rsidR="00323462" w:rsidRPr="00546F01" w:rsidRDefault="00323462" w:rsidP="00323462">
            <w:pPr>
              <w:pStyle w:val="Akapitzlist"/>
              <w:numPr>
                <w:ilvl w:val="0"/>
                <w:numId w:val="3"/>
              </w:num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Accountability</w:t>
            </w:r>
          </w:p>
        </w:tc>
      </w:tr>
      <w:tr w:rsidR="00F927CA" w:rsidRPr="00546F01" w14:paraId="2830F2AD" w14:textId="77777777" w:rsidTr="008F20F1">
        <w:trPr>
          <w:trHeight w:val="266"/>
        </w:trPr>
        <w:tc>
          <w:tcPr>
            <w:tcW w:w="5000" w:type="pct"/>
            <w:gridSpan w:val="3"/>
            <w:tcBorders>
              <w:bottom w:val="nil"/>
            </w:tcBorders>
            <w:tcMar>
              <w:top w:w="28" w:type="dxa"/>
              <w:bottom w:w="57" w:type="dxa"/>
            </w:tcMar>
          </w:tcPr>
          <w:p w14:paraId="3411C14A" w14:textId="21F5301A"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bookmarkStart w:id="9" w:name="_Hlk144569959"/>
            <w:r w:rsidRPr="00546F01">
              <w:rPr>
                <w:rFonts w:ascii="Times New Roman" w:eastAsia="Times New Roman" w:hAnsi="Times New Roman" w:cs="Times New Roman"/>
                <w:b/>
                <w:bCs/>
                <w:kern w:val="0"/>
                <w:sz w:val="20"/>
                <w:szCs w:val="20"/>
                <w:lang w:val="en-GB" w:eastAsia="pl-PL"/>
                <w14:ligatures w14:val="none"/>
              </w:rPr>
              <w:t>2.1. Are there any laws or regulations, and are they enforced in practice, to penalize individual health professionals for demanding or accepting informal patient payments?</w:t>
            </w:r>
          </w:p>
        </w:tc>
      </w:tr>
      <w:tr w:rsidR="00F927CA" w:rsidRPr="00546F01" w14:paraId="46B8EF04" w14:textId="77777777" w:rsidTr="008F20F1">
        <w:trPr>
          <w:trHeight w:val="411"/>
        </w:trPr>
        <w:tc>
          <w:tcPr>
            <w:tcW w:w="566" w:type="pct"/>
            <w:gridSpan w:val="2"/>
            <w:tcBorders>
              <w:top w:val="nil"/>
              <w:bottom w:val="nil"/>
              <w:right w:val="nil"/>
            </w:tcBorders>
            <w:tcMar>
              <w:top w:w="28" w:type="dxa"/>
              <w:bottom w:w="57" w:type="dxa"/>
            </w:tcMar>
            <w:hideMark/>
          </w:tcPr>
          <w:p w14:paraId="78DA929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74359598" w14:textId="53CE7471"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w:t>
            </w:r>
            <w:r w:rsidR="00CA39C4" w:rsidRPr="00CA39C4">
              <w:rPr>
                <w:rFonts w:ascii="Times New Roman" w:eastAsia="Times New Roman" w:hAnsi="Times New Roman" w:cs="Times New Roman"/>
                <w:kern w:val="0"/>
                <w:sz w:val="20"/>
                <w:szCs w:val="20"/>
                <w:lang w:eastAsia="pl-PL"/>
                <w14:ligatures w14:val="none"/>
              </w:rPr>
              <w:t>Criminal law</w:t>
            </w:r>
            <w:r w:rsidR="00CA39C4">
              <w:rPr>
                <w:rFonts w:ascii="Times New Roman" w:eastAsia="Times New Roman" w:hAnsi="Times New Roman" w:cs="Times New Roman"/>
                <w:kern w:val="0"/>
                <w:sz w:val="20"/>
                <w:szCs w:val="20"/>
                <w:lang w:eastAsia="pl-PL"/>
                <w14:ligatures w14:val="none"/>
              </w:rPr>
              <w:t xml:space="preserve"> effectively</w:t>
            </w:r>
            <w:r w:rsidR="00CA39C4" w:rsidRPr="00CA39C4">
              <w:rPr>
                <w:rFonts w:ascii="Times New Roman" w:eastAsia="Times New Roman" w:hAnsi="Times New Roman" w:cs="Times New Roman"/>
                <w:kern w:val="0"/>
                <w:sz w:val="20"/>
                <w:szCs w:val="20"/>
                <w:lang w:eastAsia="pl-PL"/>
                <w14:ligatures w14:val="none"/>
              </w:rPr>
              <w:t xml:space="preserve"> provides the primary accountability mechanism, as demanding or accepting informal patient payments is treated as bribery under the Penal Code</w:t>
            </w:r>
            <w:r w:rsidR="0032396E" w:rsidRPr="00546F01">
              <w:rPr>
                <w:rFonts w:ascii="Times New Roman" w:eastAsia="Times New Roman" w:hAnsi="Times New Roman" w:cs="Times New Roman"/>
                <w:kern w:val="0"/>
                <w:sz w:val="20"/>
                <w:szCs w:val="20"/>
                <w:lang w:val="en-GB" w:eastAsia="pl-PL"/>
                <w14:ligatures w14:val="none"/>
              </w:rPr>
              <w:t xml:space="preserve">, with penalties varying by severity (up to 6 years imprisonment). </w:t>
            </w:r>
            <w:bookmarkStart w:id="10" w:name="_Hlk199244161"/>
            <w:r w:rsidR="0032396E" w:rsidRPr="00546F01">
              <w:rPr>
                <w:rFonts w:ascii="Times New Roman" w:eastAsia="Times New Roman" w:hAnsi="Times New Roman" w:cs="Times New Roman"/>
                <w:kern w:val="0"/>
                <w:sz w:val="20"/>
                <w:szCs w:val="20"/>
                <w:lang w:val="en-GB" w:eastAsia="pl-PL"/>
                <w14:ligatures w14:val="none"/>
              </w:rPr>
              <w:t>In addition,</w:t>
            </w:r>
            <w:r w:rsidR="00CA39C4">
              <w:rPr>
                <w:rFonts w:ascii="Times New Roman" w:eastAsia="Times New Roman" w:hAnsi="Times New Roman" w:cs="Times New Roman"/>
                <w:kern w:val="0"/>
                <w:sz w:val="20"/>
                <w:szCs w:val="20"/>
                <w:lang w:val="en-GB" w:eastAsia="pl-PL"/>
                <w14:ligatures w14:val="none"/>
              </w:rPr>
              <w:t xml:space="preserve"> administrative and </w:t>
            </w:r>
            <w:r w:rsidR="0032396E" w:rsidRPr="00546F01">
              <w:rPr>
                <w:rFonts w:ascii="Times New Roman" w:eastAsia="Times New Roman" w:hAnsi="Times New Roman" w:cs="Times New Roman"/>
                <w:kern w:val="0"/>
                <w:sz w:val="20"/>
                <w:szCs w:val="20"/>
                <w:lang w:val="en-GB" w:eastAsia="pl-PL"/>
                <w14:ligatures w14:val="none"/>
              </w:rPr>
              <w:t xml:space="preserve">disciplinary action </w:t>
            </w:r>
            <w:r w:rsidR="00CA39C4">
              <w:rPr>
                <w:rFonts w:ascii="Times New Roman" w:eastAsia="Times New Roman" w:hAnsi="Times New Roman" w:cs="Times New Roman"/>
                <w:kern w:val="0"/>
                <w:sz w:val="20"/>
                <w:szCs w:val="20"/>
                <w:lang w:val="en-GB" w:eastAsia="pl-PL"/>
                <w14:ligatures w14:val="none"/>
              </w:rPr>
              <w:t xml:space="preserve">under </w:t>
            </w:r>
            <w:r w:rsidR="00373223">
              <w:rPr>
                <w:rFonts w:ascii="Times New Roman" w:eastAsia="Times New Roman" w:hAnsi="Times New Roman" w:cs="Times New Roman"/>
                <w:kern w:val="0"/>
                <w:sz w:val="20"/>
                <w:szCs w:val="20"/>
                <w:lang w:val="en-GB" w:eastAsia="pl-PL"/>
                <w14:ligatures w14:val="none"/>
              </w:rPr>
              <w:t xml:space="preserve">the </w:t>
            </w:r>
            <w:r w:rsidR="00CA39C4">
              <w:rPr>
                <w:rFonts w:ascii="Times New Roman" w:eastAsia="Times New Roman" w:hAnsi="Times New Roman" w:cs="Times New Roman"/>
                <w:kern w:val="0"/>
                <w:sz w:val="20"/>
                <w:szCs w:val="20"/>
                <w:lang w:val="en-GB" w:eastAsia="pl-PL"/>
                <w14:ligatures w14:val="none"/>
              </w:rPr>
              <w:t>Authorisation Act</w:t>
            </w:r>
            <w:r w:rsidR="00D938D8">
              <w:rPr>
                <w:rFonts w:ascii="Times New Roman" w:eastAsia="Times New Roman" w:hAnsi="Times New Roman" w:cs="Times New Roman"/>
                <w:kern w:val="0"/>
                <w:sz w:val="20"/>
                <w:szCs w:val="20"/>
                <w:lang w:val="en-GB" w:eastAsia="pl-PL"/>
                <w14:ligatures w14:val="none"/>
              </w:rPr>
              <w:t xml:space="preserve"> an</w:t>
            </w:r>
            <w:r w:rsidR="00921AF9">
              <w:rPr>
                <w:rFonts w:ascii="Times New Roman" w:eastAsia="Times New Roman" w:hAnsi="Times New Roman" w:cs="Times New Roman"/>
                <w:kern w:val="0"/>
                <w:sz w:val="20"/>
                <w:szCs w:val="20"/>
                <w:lang w:val="en-GB" w:eastAsia="pl-PL"/>
                <w14:ligatures w14:val="none"/>
              </w:rPr>
              <w:t>d</w:t>
            </w:r>
            <w:r w:rsidR="00D938D8">
              <w:rPr>
                <w:rFonts w:ascii="Times New Roman" w:eastAsia="Times New Roman" w:hAnsi="Times New Roman" w:cs="Times New Roman"/>
                <w:kern w:val="0"/>
                <w:sz w:val="20"/>
                <w:szCs w:val="20"/>
                <w:lang w:val="en-GB" w:eastAsia="pl-PL"/>
                <w14:ligatures w14:val="none"/>
              </w:rPr>
              <w:t xml:space="preserve"> the Medical Act</w:t>
            </w:r>
            <w:r w:rsidR="00CA39C4">
              <w:rPr>
                <w:rFonts w:ascii="Times New Roman" w:eastAsia="Times New Roman" w:hAnsi="Times New Roman" w:cs="Times New Roman"/>
                <w:kern w:val="0"/>
                <w:sz w:val="20"/>
                <w:szCs w:val="20"/>
                <w:lang w:val="en-GB" w:eastAsia="pl-PL"/>
                <w14:ligatures w14:val="none"/>
              </w:rPr>
              <w:t xml:space="preserve"> and related professional standards</w:t>
            </w:r>
            <w:bookmarkEnd w:id="10"/>
            <w:r w:rsidR="0032396E" w:rsidRPr="00546F01">
              <w:rPr>
                <w:rFonts w:ascii="Times New Roman" w:eastAsia="Times New Roman" w:hAnsi="Times New Roman" w:cs="Times New Roman"/>
                <w:kern w:val="0"/>
                <w:sz w:val="20"/>
                <w:szCs w:val="20"/>
                <w:lang w:val="en-GB" w:eastAsia="pl-PL"/>
                <w14:ligatures w14:val="none"/>
              </w:rPr>
              <w:t>. Sanctions may include warnings, suspension, or dismissal. The Danish Patient Safety Authority (</w:t>
            </w:r>
            <w:proofErr w:type="spellStart"/>
            <w:r w:rsidR="0032396E" w:rsidRPr="00546F01">
              <w:rPr>
                <w:rFonts w:ascii="Times New Roman" w:eastAsia="Times New Roman" w:hAnsi="Times New Roman" w:cs="Times New Roman"/>
                <w:kern w:val="0"/>
                <w:sz w:val="20"/>
                <w:szCs w:val="20"/>
                <w:lang w:val="en-GB" w:eastAsia="pl-PL"/>
                <w14:ligatures w14:val="none"/>
              </w:rPr>
              <w:t>Styrelsen</w:t>
            </w:r>
            <w:proofErr w:type="spellEnd"/>
            <w:r w:rsidR="0032396E" w:rsidRPr="00546F01">
              <w:rPr>
                <w:rFonts w:ascii="Times New Roman" w:eastAsia="Times New Roman" w:hAnsi="Times New Roman" w:cs="Times New Roman"/>
                <w:kern w:val="0"/>
                <w:sz w:val="20"/>
                <w:szCs w:val="20"/>
                <w:lang w:val="en-GB" w:eastAsia="pl-PL"/>
                <w14:ligatures w14:val="none"/>
              </w:rPr>
              <w:t xml:space="preserve"> for </w:t>
            </w:r>
            <w:proofErr w:type="spellStart"/>
            <w:r w:rsidR="0032396E" w:rsidRPr="00546F01">
              <w:rPr>
                <w:rFonts w:ascii="Times New Roman" w:eastAsia="Times New Roman" w:hAnsi="Times New Roman" w:cs="Times New Roman"/>
                <w:kern w:val="0"/>
                <w:sz w:val="20"/>
                <w:szCs w:val="20"/>
                <w:lang w:val="en-GB" w:eastAsia="pl-PL"/>
                <w14:ligatures w14:val="none"/>
              </w:rPr>
              <w:t>Patientsikkerhed</w:t>
            </w:r>
            <w:proofErr w:type="spellEnd"/>
            <w:r w:rsidR="0032396E" w:rsidRPr="00546F01">
              <w:rPr>
                <w:rFonts w:ascii="Times New Roman" w:eastAsia="Times New Roman" w:hAnsi="Times New Roman" w:cs="Times New Roman"/>
                <w:kern w:val="0"/>
                <w:sz w:val="20"/>
                <w:szCs w:val="20"/>
                <w:lang w:val="en-GB" w:eastAsia="pl-PL"/>
                <w14:ligatures w14:val="none"/>
              </w:rPr>
              <w:t>) also oversees professional conduct and can investigate misconduct, issue warnings, restrict practice, or refer cases to the police. Regulations are enforced in practice.</w:t>
            </w:r>
          </w:p>
        </w:tc>
      </w:tr>
      <w:tr w:rsidR="00F927CA" w:rsidRPr="00546F01" w14:paraId="5EE42171" w14:textId="77777777" w:rsidTr="008F20F1">
        <w:trPr>
          <w:trHeight w:val="820"/>
        </w:trPr>
        <w:tc>
          <w:tcPr>
            <w:tcW w:w="566" w:type="pct"/>
            <w:gridSpan w:val="2"/>
            <w:tcBorders>
              <w:top w:val="nil"/>
              <w:bottom w:val="nil"/>
              <w:right w:val="nil"/>
            </w:tcBorders>
            <w:shd w:val="clear" w:color="auto" w:fill="FFFFFF"/>
            <w:tcMar>
              <w:top w:w="28" w:type="dxa"/>
              <w:bottom w:w="57" w:type="dxa"/>
            </w:tcMar>
          </w:tcPr>
          <w:p w14:paraId="3FB63D9A"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34" w:type="pct"/>
            <w:tcBorders>
              <w:top w:val="nil"/>
              <w:left w:val="nil"/>
              <w:bottom w:val="nil"/>
            </w:tcBorders>
            <w:shd w:val="clear" w:color="auto" w:fill="FFFFFF"/>
            <w:noWrap/>
            <w:tcMar>
              <w:top w:w="28" w:type="dxa"/>
              <w:bottom w:w="57" w:type="dxa"/>
            </w:tcMar>
          </w:tcPr>
          <w:p w14:paraId="4D660BEB" w14:textId="53C8D438"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Health professionals might be held accountable for bribes, in line with criminal law. The type and amount of penalty for bribes varies according to the scale of the crime (up to 10 years imprisonment). </w:t>
            </w:r>
            <w:r w:rsidR="00473ACA" w:rsidRPr="00546F01">
              <w:rPr>
                <w:rFonts w:ascii="Times New Roman" w:eastAsia="Times New Roman" w:hAnsi="Times New Roman" w:cs="Times New Roman"/>
                <w:kern w:val="0"/>
                <w:sz w:val="20"/>
                <w:szCs w:val="20"/>
                <w:lang w:val="en-GB" w:eastAsia="pl-PL"/>
                <w14:ligatures w14:val="none"/>
              </w:rPr>
              <w:t>In addition, disciplinary action can be taken independently of criminal proceedings under</w:t>
            </w:r>
            <w:r w:rsidR="0015599A" w:rsidRPr="00546F01">
              <w:rPr>
                <w:rFonts w:ascii="Times New Roman" w:eastAsia="Times New Roman" w:hAnsi="Times New Roman" w:cs="Times New Roman"/>
                <w:kern w:val="0"/>
                <w:sz w:val="20"/>
                <w:szCs w:val="20"/>
                <w:lang w:val="en-GB" w:eastAsia="pl-PL"/>
                <w14:ligatures w14:val="none"/>
              </w:rPr>
              <w:t xml:space="preserve"> the law on civil service.</w:t>
            </w:r>
            <w:r w:rsidR="00473ACA" w:rsidRPr="00546F01">
              <w:rPr>
                <w:rFonts w:ascii="Times New Roman" w:eastAsia="Times New Roman" w:hAnsi="Times New Roman" w:cs="Times New Roman"/>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For violating medical ethics and law on medical professional practices, a medical professional may be also held responsible before the medical court with the penalty varying from a warning to withdrawal and suspension of their license. In practice, these regulations are not often enforced. Court processes in a criminal case take a very long time. This discourage reporting the cases of informal patient payments. </w:t>
            </w:r>
          </w:p>
        </w:tc>
      </w:tr>
      <w:tr w:rsidR="00F927CA" w:rsidRPr="00546F01" w14:paraId="385DCB5E" w14:textId="77777777" w:rsidTr="008F20F1">
        <w:trPr>
          <w:trHeight w:val="734"/>
        </w:trPr>
        <w:tc>
          <w:tcPr>
            <w:tcW w:w="566" w:type="pct"/>
            <w:gridSpan w:val="2"/>
            <w:tcBorders>
              <w:top w:val="nil"/>
              <w:bottom w:val="single" w:sz="4" w:space="0" w:color="auto"/>
              <w:right w:val="nil"/>
            </w:tcBorders>
            <w:tcMar>
              <w:top w:w="28" w:type="dxa"/>
              <w:bottom w:w="57" w:type="dxa"/>
            </w:tcMar>
            <w:hideMark/>
          </w:tcPr>
          <w:p w14:paraId="70E3DB8B"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706A481F"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Health professionals might be held accountable for bribes, in line with criminal law. The type of penalty varies, up to 8 years imprisonment. For violating medical ethics and the law on medical profession practices, health professionals may be also held responsible before the medical court </w:t>
            </w:r>
            <w:bookmarkStart w:id="11" w:name="_Hlk216097833"/>
            <w:r w:rsidRPr="00546F01">
              <w:rPr>
                <w:rFonts w:ascii="Times New Roman" w:eastAsia="Times New Roman" w:hAnsi="Times New Roman" w:cs="Times New Roman"/>
                <w:kern w:val="0"/>
                <w:sz w:val="20"/>
                <w:szCs w:val="20"/>
                <w:lang w:val="en-GB" w:eastAsia="pl-PL"/>
                <w14:ligatures w14:val="none"/>
              </w:rPr>
              <w:t>with penalties varying from a warning to a deprivation of the right to practice the profession</w:t>
            </w:r>
            <w:bookmarkEnd w:id="11"/>
            <w:r w:rsidRPr="00546F01">
              <w:rPr>
                <w:rFonts w:ascii="Times New Roman" w:eastAsia="Times New Roman" w:hAnsi="Times New Roman" w:cs="Times New Roman"/>
                <w:kern w:val="0"/>
                <w:sz w:val="20"/>
                <w:szCs w:val="20"/>
                <w:lang w:val="en-GB" w:eastAsia="pl-PL"/>
                <w14:ligatures w14:val="none"/>
              </w:rPr>
              <w:t xml:space="preserve">. </w:t>
            </w:r>
            <w:bookmarkStart w:id="12" w:name="_Hlk141825152"/>
            <w:r w:rsidRPr="00546F01">
              <w:rPr>
                <w:rFonts w:ascii="Times New Roman" w:eastAsia="Times New Roman" w:hAnsi="Times New Roman" w:cs="Times New Roman"/>
                <w:kern w:val="0"/>
                <w:sz w:val="20"/>
                <w:szCs w:val="20"/>
                <w:lang w:val="en-GB" w:eastAsia="pl-PL"/>
                <w14:ligatures w14:val="none"/>
              </w:rPr>
              <w:t>In practice, these regulations are not often enforced. Informal payments are rarely reported.</w:t>
            </w:r>
            <w:bookmarkEnd w:id="12"/>
          </w:p>
        </w:tc>
      </w:tr>
      <w:tr w:rsidR="00F927CA" w:rsidRPr="00546F01" w14:paraId="6744053D" w14:textId="77777777" w:rsidTr="008F20F1">
        <w:trPr>
          <w:trHeight w:val="327"/>
        </w:trPr>
        <w:tc>
          <w:tcPr>
            <w:tcW w:w="5000" w:type="pct"/>
            <w:gridSpan w:val="3"/>
            <w:tcBorders>
              <w:bottom w:val="nil"/>
            </w:tcBorders>
            <w:tcMar>
              <w:top w:w="28" w:type="dxa"/>
              <w:bottom w:w="57" w:type="dxa"/>
            </w:tcMar>
          </w:tcPr>
          <w:p w14:paraId="014FA39A" w14:textId="20F66718"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2.2. Are there any laws or regulations, and are they enforced in practice, to penalize health care legal entities (e.g., hospitals, clinics, individual practices) for demanding or accepting informal patient payments or for their employees demanding or accepting informal patient payments?</w:t>
            </w:r>
          </w:p>
        </w:tc>
      </w:tr>
      <w:tr w:rsidR="00F927CA" w:rsidRPr="00546F01" w14:paraId="6A21E25F" w14:textId="77777777" w:rsidTr="008F20F1">
        <w:trPr>
          <w:trHeight w:val="613"/>
        </w:trPr>
        <w:tc>
          <w:tcPr>
            <w:tcW w:w="566" w:type="pct"/>
            <w:gridSpan w:val="2"/>
            <w:tcBorders>
              <w:top w:val="nil"/>
              <w:bottom w:val="nil"/>
              <w:right w:val="nil"/>
            </w:tcBorders>
            <w:tcMar>
              <w:top w:w="28" w:type="dxa"/>
              <w:bottom w:w="57" w:type="dxa"/>
            </w:tcMar>
            <w:hideMark/>
          </w:tcPr>
          <w:p w14:paraId="3789DB24"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noWrap/>
            <w:tcMar>
              <w:top w:w="28" w:type="dxa"/>
              <w:bottom w:w="57" w:type="dxa"/>
            </w:tcMar>
            <w:hideMark/>
          </w:tcPr>
          <w:p w14:paraId="3EA8BB2F"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Undue payments in the public sector are effectively regulated by provisions in the Public Payments Act, in the Ministry of Finance's Executive Order on Accounts, and in the Ministry of Social and Interior Affairs' provisions on municipalities and regions' budgets and accounts. Undue payments may be revealed during inspections or auditing. </w:t>
            </w:r>
          </w:p>
        </w:tc>
      </w:tr>
      <w:tr w:rsidR="00F927CA" w:rsidRPr="00546F01" w14:paraId="74CBA64D" w14:textId="77777777" w:rsidTr="008F20F1">
        <w:trPr>
          <w:trHeight w:val="339"/>
        </w:trPr>
        <w:tc>
          <w:tcPr>
            <w:tcW w:w="566" w:type="pct"/>
            <w:gridSpan w:val="2"/>
            <w:tcBorders>
              <w:top w:val="nil"/>
              <w:bottom w:val="nil"/>
              <w:right w:val="nil"/>
            </w:tcBorders>
            <w:shd w:val="clear" w:color="auto" w:fill="FFFFFF"/>
            <w:tcMar>
              <w:top w:w="28" w:type="dxa"/>
              <w:bottom w:w="57" w:type="dxa"/>
            </w:tcMar>
          </w:tcPr>
          <w:p w14:paraId="30F650B9"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Greece</w:t>
            </w:r>
          </w:p>
        </w:tc>
        <w:tc>
          <w:tcPr>
            <w:tcW w:w="4434" w:type="pct"/>
            <w:tcBorders>
              <w:top w:val="nil"/>
              <w:left w:val="nil"/>
              <w:bottom w:val="nil"/>
            </w:tcBorders>
            <w:shd w:val="clear" w:color="auto" w:fill="FFFFFF"/>
            <w:tcMar>
              <w:top w:w="28" w:type="dxa"/>
              <w:bottom w:w="57" w:type="dxa"/>
            </w:tcMar>
          </w:tcPr>
          <w:p w14:paraId="7483867F"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There is no specific law addressing health care institutions. Legal entities are responsible via their executive management. The executive director faces 3 years in prison for negligence. This regulation is however rarely enforced.</w:t>
            </w:r>
          </w:p>
        </w:tc>
      </w:tr>
      <w:tr w:rsidR="00F927CA" w:rsidRPr="00546F01" w14:paraId="4ECF01AB" w14:textId="77777777" w:rsidTr="008F20F1">
        <w:trPr>
          <w:trHeight w:val="445"/>
        </w:trPr>
        <w:tc>
          <w:tcPr>
            <w:tcW w:w="566" w:type="pct"/>
            <w:gridSpan w:val="2"/>
            <w:tcBorders>
              <w:top w:val="nil"/>
              <w:bottom w:val="single" w:sz="4" w:space="0" w:color="auto"/>
              <w:right w:val="nil"/>
            </w:tcBorders>
            <w:tcMar>
              <w:top w:w="28" w:type="dxa"/>
              <w:bottom w:w="57" w:type="dxa"/>
            </w:tcMar>
            <w:hideMark/>
          </w:tcPr>
          <w:p w14:paraId="43B7D507"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7E744D86"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For demanding undue payments for publicly financed health care services, health care legal entities can be fined by the National Health Fund (public payer) with a max. of 2% of the value of the contract. This happens only in rare cases of undue payments being reported or revealed during the inspection.  </w:t>
            </w:r>
          </w:p>
        </w:tc>
      </w:tr>
      <w:tr w:rsidR="00F927CA" w:rsidRPr="00546F01" w14:paraId="226EE125" w14:textId="77777777" w:rsidTr="008F20F1">
        <w:trPr>
          <w:trHeight w:val="22"/>
        </w:trPr>
        <w:tc>
          <w:tcPr>
            <w:tcW w:w="5000" w:type="pct"/>
            <w:gridSpan w:val="3"/>
            <w:tcBorders>
              <w:bottom w:val="nil"/>
            </w:tcBorders>
            <w:tcMar>
              <w:top w:w="28" w:type="dxa"/>
              <w:bottom w:w="57" w:type="dxa"/>
            </w:tcMar>
          </w:tcPr>
          <w:p w14:paraId="767FDDDA" w14:textId="4DFBB0B5"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2.3. Are there any laws and regulations, and are they enforced in practice, to penalize patients (or individuals acting on their behalf) for giving informal payments?</w:t>
            </w:r>
          </w:p>
        </w:tc>
      </w:tr>
      <w:tr w:rsidR="00F927CA" w:rsidRPr="00546F01" w14:paraId="764A0142" w14:textId="77777777" w:rsidTr="008F20F1">
        <w:trPr>
          <w:trHeight w:val="317"/>
        </w:trPr>
        <w:tc>
          <w:tcPr>
            <w:tcW w:w="566" w:type="pct"/>
            <w:gridSpan w:val="2"/>
            <w:tcBorders>
              <w:top w:val="nil"/>
              <w:bottom w:val="nil"/>
              <w:right w:val="nil"/>
            </w:tcBorders>
            <w:tcMar>
              <w:top w:w="28" w:type="dxa"/>
              <w:bottom w:w="57" w:type="dxa"/>
            </w:tcMar>
            <w:hideMark/>
          </w:tcPr>
          <w:p w14:paraId="12C0001E"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6AD130CC"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The law provides effective mechanisms to penalize bribes (reported and proven) with a fine or jail for up to six years, depending on the scale of the crime. The criterion for assessing the legality of patient payments and gifts is whether they interfere with the private lives of professionals.</w:t>
            </w:r>
          </w:p>
        </w:tc>
      </w:tr>
      <w:tr w:rsidR="00F927CA" w:rsidRPr="00546F01" w14:paraId="5F7AAE15" w14:textId="77777777" w:rsidTr="008F20F1">
        <w:trPr>
          <w:trHeight w:val="280"/>
        </w:trPr>
        <w:tc>
          <w:tcPr>
            <w:tcW w:w="566" w:type="pct"/>
            <w:gridSpan w:val="2"/>
            <w:tcBorders>
              <w:top w:val="nil"/>
              <w:bottom w:val="nil"/>
              <w:right w:val="nil"/>
            </w:tcBorders>
            <w:shd w:val="clear" w:color="auto" w:fill="FFFFFF"/>
            <w:tcMar>
              <w:top w:w="28" w:type="dxa"/>
              <w:bottom w:w="57" w:type="dxa"/>
            </w:tcMar>
          </w:tcPr>
          <w:p w14:paraId="101F4AA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34" w:type="pct"/>
            <w:tcBorders>
              <w:top w:val="nil"/>
              <w:left w:val="nil"/>
              <w:bottom w:val="nil"/>
            </w:tcBorders>
            <w:shd w:val="clear" w:color="auto" w:fill="FFFFFF"/>
            <w:tcMar>
              <w:top w:w="28" w:type="dxa"/>
              <w:bottom w:w="57" w:type="dxa"/>
            </w:tcMar>
            <w:vAlign w:val="center"/>
          </w:tcPr>
          <w:p w14:paraId="1B7E832A"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Patients who give bribes might be held accountable in line with the criminal law, with a penalty of up to 8 years of imprisonment. However, this law is rarely enforced when it comes to informal patient payments.</w:t>
            </w:r>
          </w:p>
        </w:tc>
      </w:tr>
      <w:tr w:rsidR="00F927CA" w:rsidRPr="00546F01" w14:paraId="6262DA2C" w14:textId="77777777" w:rsidTr="008F20F1">
        <w:trPr>
          <w:trHeight w:val="231"/>
        </w:trPr>
        <w:tc>
          <w:tcPr>
            <w:tcW w:w="566" w:type="pct"/>
            <w:gridSpan w:val="2"/>
            <w:tcBorders>
              <w:top w:val="nil"/>
              <w:bottom w:val="single" w:sz="4" w:space="0" w:color="auto"/>
              <w:right w:val="nil"/>
            </w:tcBorders>
            <w:tcMar>
              <w:top w:w="28" w:type="dxa"/>
              <w:bottom w:w="57" w:type="dxa"/>
            </w:tcMar>
            <w:hideMark/>
          </w:tcPr>
          <w:p w14:paraId="007554F1"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304857F3"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Patients might be held accountable in line with the criminal law only in case of patient payments that are bribes. However, this mechanism is rarely enforced. The type of penalty varies depending on the scale of the crime (up to 8 years imprisonment).</w:t>
            </w:r>
          </w:p>
        </w:tc>
      </w:tr>
      <w:tr w:rsidR="00F927CA" w:rsidRPr="00546F01" w14:paraId="3522D0C2" w14:textId="77777777" w:rsidTr="008F20F1">
        <w:trPr>
          <w:trHeight w:val="521"/>
        </w:trPr>
        <w:tc>
          <w:tcPr>
            <w:tcW w:w="5000" w:type="pct"/>
            <w:gridSpan w:val="3"/>
            <w:tcBorders>
              <w:bottom w:val="nil"/>
            </w:tcBorders>
            <w:tcMar>
              <w:top w:w="28" w:type="dxa"/>
              <w:bottom w:w="57" w:type="dxa"/>
            </w:tcMar>
          </w:tcPr>
          <w:p w14:paraId="0558A79C" w14:textId="0238BE46" w:rsidR="006B25D6" w:rsidRPr="00546F01" w:rsidRDefault="00323462" w:rsidP="006B25D6">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 xml:space="preserve">2.4. Are there any mechanisms within the health system (e.g., internal whistleblowing, </w:t>
            </w:r>
            <w:bookmarkStart w:id="13" w:name="_Hlk216099490"/>
            <w:r w:rsidRPr="00546F01">
              <w:rPr>
                <w:rFonts w:ascii="Times New Roman" w:eastAsia="Times New Roman" w:hAnsi="Times New Roman" w:cs="Times New Roman"/>
                <w:b/>
                <w:bCs/>
                <w:kern w:val="0"/>
                <w:sz w:val="20"/>
                <w:szCs w:val="20"/>
                <w:lang w:val="en-GB" w:eastAsia="pl-PL"/>
                <w14:ligatures w14:val="none"/>
              </w:rPr>
              <w:t>complaint mechanisms</w:t>
            </w:r>
            <w:bookmarkEnd w:id="13"/>
            <w:r w:rsidRPr="00546F01">
              <w:rPr>
                <w:rFonts w:ascii="Times New Roman" w:eastAsia="Times New Roman" w:hAnsi="Times New Roman" w:cs="Times New Roman"/>
                <w:b/>
                <w:bCs/>
                <w:kern w:val="0"/>
                <w:sz w:val="20"/>
                <w:szCs w:val="20"/>
                <w:lang w:val="en-GB" w:eastAsia="pl-PL"/>
                <w14:ligatures w14:val="none"/>
              </w:rPr>
              <w:t>) to enable people to report cases of informal patient payments and be protected against reprisal?</w:t>
            </w:r>
          </w:p>
        </w:tc>
      </w:tr>
      <w:tr w:rsidR="00F927CA" w:rsidRPr="00546F01" w14:paraId="609046FE" w14:textId="77777777" w:rsidTr="008F20F1">
        <w:trPr>
          <w:trHeight w:val="699"/>
        </w:trPr>
        <w:tc>
          <w:tcPr>
            <w:tcW w:w="566" w:type="pct"/>
            <w:gridSpan w:val="2"/>
            <w:tcBorders>
              <w:top w:val="nil"/>
              <w:bottom w:val="nil"/>
              <w:right w:val="nil"/>
            </w:tcBorders>
            <w:tcMar>
              <w:top w:w="28" w:type="dxa"/>
              <w:bottom w:w="57" w:type="dxa"/>
            </w:tcMar>
            <w:hideMark/>
          </w:tcPr>
          <w:p w14:paraId="13AF6817"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4B38E404" w14:textId="1B960AA3"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There are whistle-blower schemes in the public sector, where persons may report cases anonymously</w:t>
            </w:r>
            <w:r w:rsidRPr="00546F01">
              <w:rPr>
                <w:rFonts w:ascii="Calibri" w:eastAsia="Calibri" w:hAnsi="Calibri" w:cs="Times New Roman"/>
                <w:kern w:val="0"/>
                <w:sz w:val="20"/>
                <w:szCs w:val="20"/>
                <w:lang w:val="en-GB"/>
                <w14:ligatures w14:val="none"/>
              </w:rPr>
              <w:t xml:space="preserve"> </w:t>
            </w:r>
            <w:r w:rsidRPr="00546F01">
              <w:rPr>
                <w:rFonts w:ascii="Times New Roman" w:eastAsia="Calibri" w:hAnsi="Times New Roman" w:cs="Times New Roman"/>
                <w:kern w:val="0"/>
                <w:sz w:val="20"/>
                <w:szCs w:val="20"/>
                <w:lang w:val="en-GB"/>
                <w14:ligatures w14:val="none"/>
              </w:rPr>
              <w:t xml:space="preserve">or </w:t>
            </w:r>
            <w:r w:rsidRPr="00546F01">
              <w:rPr>
                <w:rFonts w:ascii="Times New Roman" w:eastAsia="Times New Roman" w:hAnsi="Times New Roman" w:cs="Times New Roman"/>
                <w:kern w:val="0"/>
                <w:sz w:val="20"/>
                <w:szCs w:val="20"/>
                <w:lang w:val="en-GB" w:eastAsia="pl-PL"/>
                <w14:ligatures w14:val="none"/>
              </w:rPr>
              <w:t xml:space="preserve">confidentially, and procedures for handling these reports. The whistle-blower scheme was expanded throughout the country in 2020 </w:t>
            </w:r>
            <w:proofErr w:type="gramStart"/>
            <w:r w:rsidRPr="00546F01">
              <w:rPr>
                <w:rFonts w:ascii="Times New Roman" w:eastAsia="Times New Roman" w:hAnsi="Times New Roman" w:cs="Times New Roman"/>
                <w:kern w:val="0"/>
                <w:sz w:val="20"/>
                <w:szCs w:val="20"/>
                <w:lang w:val="en-GB" w:eastAsia="pl-PL"/>
                <w14:ligatures w14:val="none"/>
              </w:rPr>
              <w:t>as a result of</w:t>
            </w:r>
            <w:proofErr w:type="gramEnd"/>
            <w:r w:rsidRPr="00546F01">
              <w:rPr>
                <w:rFonts w:ascii="Times New Roman" w:eastAsia="Times New Roman" w:hAnsi="Times New Roman" w:cs="Times New Roman"/>
                <w:kern w:val="0"/>
                <w:sz w:val="20"/>
                <w:szCs w:val="20"/>
                <w:lang w:val="en-GB" w:eastAsia="pl-PL"/>
                <w14:ligatures w14:val="none"/>
              </w:rPr>
              <w:t xml:space="preserve"> the UE Directive (EU) 2019/1937. People can also receive advise through the regional patient offices or report cases of informal patient payments to the Ombudsman or to the Danish Patient Complaints Agency</w:t>
            </w:r>
            <w:r w:rsidR="00EB35E2">
              <w:rPr>
                <w:rFonts w:ascii="Times New Roman" w:eastAsia="Times New Roman" w:hAnsi="Times New Roman" w:cs="Times New Roman"/>
                <w:kern w:val="0"/>
                <w:sz w:val="20"/>
                <w:szCs w:val="20"/>
                <w:lang w:val="en-GB" w:eastAsia="pl-PL"/>
                <w14:ligatures w14:val="none"/>
              </w:rPr>
              <w:t xml:space="preserve"> (</w:t>
            </w:r>
            <w:bookmarkStart w:id="14" w:name="_Hlk216101916"/>
            <w:proofErr w:type="spellStart"/>
            <w:r w:rsidR="00EB35E2" w:rsidRPr="00EB35E2">
              <w:rPr>
                <w:rFonts w:ascii="Times New Roman" w:eastAsia="Times New Roman" w:hAnsi="Times New Roman" w:cs="Times New Roman"/>
                <w:kern w:val="0"/>
                <w:sz w:val="20"/>
                <w:szCs w:val="20"/>
                <w:lang w:eastAsia="pl-PL"/>
                <w14:ligatures w14:val="none"/>
              </w:rPr>
              <w:t>Styrelsen</w:t>
            </w:r>
            <w:proofErr w:type="spellEnd"/>
            <w:r w:rsidR="00EB35E2" w:rsidRPr="00EB35E2">
              <w:rPr>
                <w:rFonts w:ascii="Times New Roman" w:eastAsia="Times New Roman" w:hAnsi="Times New Roman" w:cs="Times New Roman"/>
                <w:kern w:val="0"/>
                <w:sz w:val="20"/>
                <w:szCs w:val="20"/>
                <w:lang w:eastAsia="pl-PL"/>
                <w14:ligatures w14:val="none"/>
              </w:rPr>
              <w:t xml:space="preserve"> for </w:t>
            </w:r>
            <w:proofErr w:type="spellStart"/>
            <w:r w:rsidR="00EB35E2" w:rsidRPr="00EB35E2">
              <w:rPr>
                <w:rFonts w:ascii="Times New Roman" w:eastAsia="Times New Roman" w:hAnsi="Times New Roman" w:cs="Times New Roman"/>
                <w:kern w:val="0"/>
                <w:sz w:val="20"/>
                <w:szCs w:val="20"/>
                <w:lang w:eastAsia="pl-PL"/>
                <w14:ligatures w14:val="none"/>
              </w:rPr>
              <w:t>Patientklager</w:t>
            </w:r>
            <w:bookmarkEnd w:id="14"/>
            <w:proofErr w:type="spellEnd"/>
            <w:r w:rsidR="00EB35E2">
              <w:rPr>
                <w:rFonts w:ascii="Times New Roman" w:eastAsia="Times New Roman" w:hAnsi="Times New Roman" w:cs="Times New Roman"/>
                <w:kern w:val="0"/>
                <w:sz w:val="20"/>
                <w:szCs w:val="20"/>
                <w:lang w:eastAsia="pl-PL"/>
                <w14:ligatures w14:val="none"/>
              </w:rPr>
              <w:t>)</w:t>
            </w:r>
            <w:r w:rsidRPr="00546F01">
              <w:rPr>
                <w:rFonts w:ascii="Times New Roman" w:eastAsia="Times New Roman" w:hAnsi="Times New Roman" w:cs="Times New Roman"/>
                <w:kern w:val="0"/>
                <w:sz w:val="20"/>
                <w:szCs w:val="20"/>
                <w:lang w:val="en-GB" w:eastAsia="pl-PL"/>
                <w14:ligatures w14:val="none"/>
              </w:rPr>
              <w:t xml:space="preserve"> (within 4 weeks). </w:t>
            </w:r>
          </w:p>
        </w:tc>
      </w:tr>
      <w:tr w:rsidR="00F927CA" w:rsidRPr="00546F01" w14:paraId="2A50F741" w14:textId="77777777" w:rsidTr="008F20F1">
        <w:trPr>
          <w:trHeight w:val="558"/>
        </w:trPr>
        <w:tc>
          <w:tcPr>
            <w:tcW w:w="566" w:type="pct"/>
            <w:gridSpan w:val="2"/>
            <w:tcBorders>
              <w:top w:val="nil"/>
              <w:bottom w:val="nil"/>
              <w:right w:val="nil"/>
            </w:tcBorders>
            <w:shd w:val="clear" w:color="auto" w:fill="FFFFFF"/>
            <w:tcMar>
              <w:top w:w="28" w:type="dxa"/>
              <w:bottom w:w="57" w:type="dxa"/>
            </w:tcMar>
            <w:hideMark/>
          </w:tcPr>
          <w:p w14:paraId="1A005A7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1A9A3E33" w14:textId="7A4D9918"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Health care institutions have mechanisms in place to report incidents of informal patient payments </w:t>
            </w:r>
            <w:bookmarkStart w:id="15" w:name="_Hlk199336931"/>
            <w:bookmarkStart w:id="16" w:name="_Hlk199337072"/>
            <w:r w:rsidR="00FE1811" w:rsidRPr="00546F01">
              <w:rPr>
                <w:rFonts w:ascii="Times New Roman" w:eastAsia="Times New Roman" w:hAnsi="Times New Roman" w:cs="Times New Roman"/>
                <w:kern w:val="0"/>
                <w:sz w:val="20"/>
                <w:szCs w:val="20"/>
                <w:lang w:val="en-GB" w:eastAsia="pl-PL"/>
                <w14:ligatures w14:val="none"/>
              </w:rPr>
              <w:t>anonymously or confidentially</w:t>
            </w:r>
            <w:r w:rsidR="00C1071A" w:rsidRPr="00546F01">
              <w:rPr>
                <w:rFonts w:ascii="Times New Roman" w:eastAsia="Times New Roman" w:hAnsi="Times New Roman" w:cs="Times New Roman"/>
                <w:kern w:val="0"/>
                <w:sz w:val="20"/>
                <w:szCs w:val="20"/>
                <w:lang w:val="en-GB" w:eastAsia="pl-PL"/>
                <w14:ligatures w14:val="none"/>
              </w:rPr>
              <w:t xml:space="preserve"> (identity must be kept confidential by the authorities)</w:t>
            </w:r>
            <w:bookmarkEnd w:id="15"/>
            <w:r w:rsidRPr="00546F01">
              <w:rPr>
                <w:rFonts w:ascii="Times New Roman" w:eastAsia="Times New Roman" w:hAnsi="Times New Roman" w:cs="Times New Roman"/>
                <w:kern w:val="0"/>
                <w:sz w:val="20"/>
                <w:szCs w:val="20"/>
                <w:lang w:val="en-GB" w:eastAsia="pl-PL"/>
                <w14:ligatures w14:val="none"/>
              </w:rPr>
              <w:t>,</w:t>
            </w:r>
            <w:bookmarkEnd w:id="16"/>
            <w:r w:rsidRPr="00546F01">
              <w:rPr>
                <w:rFonts w:ascii="Times New Roman" w:eastAsia="Times New Roman" w:hAnsi="Times New Roman" w:cs="Times New Roman"/>
                <w:kern w:val="0"/>
                <w:sz w:val="20"/>
                <w:szCs w:val="20"/>
                <w:lang w:val="en-GB" w:eastAsia="pl-PL"/>
                <w14:ligatures w14:val="none"/>
              </w:rPr>
              <w:t xml:space="preserve"> and procedures for handling reports. There are several bodies to which people can report cases of informal patient payments, e.g., </w:t>
            </w:r>
            <w:bookmarkStart w:id="17" w:name="_Hlk149738045"/>
            <w:r w:rsidRPr="00546F01">
              <w:rPr>
                <w:rFonts w:ascii="Times New Roman" w:eastAsia="Times New Roman" w:hAnsi="Times New Roman" w:cs="Times New Roman"/>
                <w:kern w:val="0"/>
                <w:sz w:val="20"/>
                <w:szCs w:val="20"/>
                <w:lang w:val="en-GB" w:eastAsia="pl-PL"/>
                <w14:ligatures w14:val="none"/>
              </w:rPr>
              <w:t>the Office</w:t>
            </w:r>
            <w:r w:rsidRPr="00546F01">
              <w:rPr>
                <w:rFonts w:ascii="Times New Roman" w:eastAsia="Calibri" w:hAnsi="Times New Roman" w:cs="Times New Roman"/>
                <w:kern w:val="0"/>
                <w:sz w:val="20"/>
                <w:szCs w:val="20"/>
                <w:lang w:val="en-GB"/>
                <w14:ligatures w14:val="none"/>
              </w:rPr>
              <w:t xml:space="preserve"> for the Protection of Health Service Recipient Rights in public hospitals</w:t>
            </w:r>
            <w:bookmarkEnd w:id="17"/>
            <w:r w:rsidRPr="00546F01">
              <w:rPr>
                <w:rFonts w:ascii="Times New Roman" w:eastAsia="Calibri" w:hAnsi="Times New Roman" w:cs="Times New Roman"/>
                <w:kern w:val="0"/>
                <w:sz w:val="20"/>
                <w:szCs w:val="20"/>
                <w:lang w:val="en-GB"/>
                <w14:ligatures w14:val="none"/>
              </w:rPr>
              <w:t xml:space="preserve">, the </w:t>
            </w:r>
            <w:r w:rsidRPr="00546F01">
              <w:rPr>
                <w:rFonts w:ascii="Times New Roman" w:eastAsia="Times New Roman" w:hAnsi="Times New Roman" w:cs="Times New Roman"/>
                <w:kern w:val="0"/>
                <w:sz w:val="20"/>
                <w:szCs w:val="20"/>
                <w:lang w:val="en-GB" w:eastAsia="pl-PL"/>
                <w14:ligatures w14:val="none"/>
              </w:rPr>
              <w:t xml:space="preserve">National Ombudsman (Social Welfare Department), the National Integrity Authority. </w:t>
            </w:r>
            <w:r w:rsidR="00546F01" w:rsidRPr="00546F01">
              <w:rPr>
                <w:rFonts w:ascii="Times New Roman" w:eastAsia="Times New Roman" w:hAnsi="Times New Roman" w:cs="Times New Roman"/>
                <w:kern w:val="0"/>
                <w:sz w:val="20"/>
                <w:szCs w:val="20"/>
                <w:lang w:val="en-GB" w:eastAsia="pl-PL"/>
                <w14:ligatures w14:val="none"/>
              </w:rPr>
              <w:t>However, fear of retaliation may still deter individuals from reporting</w:t>
            </w:r>
            <w:r w:rsidR="00C1071A" w:rsidRPr="00546F01">
              <w:rPr>
                <w:rFonts w:ascii="Times New Roman" w:eastAsia="Times New Roman" w:hAnsi="Times New Roman" w:cs="Times New Roman"/>
                <w:kern w:val="0"/>
                <w:sz w:val="20"/>
                <w:szCs w:val="20"/>
                <w:lang w:val="en-GB" w:eastAsia="pl-PL"/>
                <w14:ligatures w14:val="none"/>
              </w:rPr>
              <w:t>.</w:t>
            </w:r>
          </w:p>
        </w:tc>
      </w:tr>
      <w:tr w:rsidR="00F927CA" w:rsidRPr="00546F01" w14:paraId="357AEE1A" w14:textId="77777777" w:rsidTr="008F20F1">
        <w:trPr>
          <w:trHeight w:val="398"/>
        </w:trPr>
        <w:tc>
          <w:tcPr>
            <w:tcW w:w="566" w:type="pct"/>
            <w:gridSpan w:val="2"/>
            <w:tcBorders>
              <w:top w:val="nil"/>
              <w:bottom w:val="single" w:sz="4" w:space="0" w:color="auto"/>
              <w:right w:val="nil"/>
            </w:tcBorders>
            <w:tcMar>
              <w:top w:w="28" w:type="dxa"/>
              <w:bottom w:w="57" w:type="dxa"/>
            </w:tcMar>
            <w:hideMark/>
          </w:tcPr>
          <w:p w14:paraId="7F2A5273"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15A9FDD1" w14:textId="656D09BD"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Some health care institutions have a system for reporting unlawful activities and procedures for handling reports while protecting the identity of reporting persons (whistleblowing). In line with Directive (EU) 2019/1937, this will be obligatory for some health care </w:t>
            </w:r>
            <w:r w:rsidR="00B65628" w:rsidRPr="00546F01">
              <w:rPr>
                <w:rFonts w:ascii="Times New Roman" w:eastAsia="Times New Roman" w:hAnsi="Times New Roman" w:cs="Times New Roman"/>
                <w:kern w:val="0"/>
                <w:sz w:val="20"/>
                <w:szCs w:val="20"/>
                <w:lang w:val="en-GB" w:eastAsia="pl-PL"/>
                <w14:ligatures w14:val="none"/>
              </w:rPr>
              <w:t>institutions but</w:t>
            </w:r>
            <w:r w:rsidRPr="00546F01">
              <w:rPr>
                <w:rFonts w:ascii="Times New Roman" w:eastAsia="Times New Roman" w:hAnsi="Times New Roman" w:cs="Times New Roman"/>
                <w:kern w:val="0"/>
                <w:sz w:val="20"/>
                <w:szCs w:val="20"/>
                <w:lang w:val="en-GB" w:eastAsia="pl-PL"/>
                <w14:ligatures w14:val="none"/>
              </w:rPr>
              <w:t xml:space="preserve"> </w:t>
            </w:r>
            <w:r w:rsidR="00FE3151" w:rsidRPr="00546F01">
              <w:rPr>
                <w:rFonts w:ascii="Times New Roman" w:eastAsia="Times New Roman" w:hAnsi="Times New Roman" w:cs="Times New Roman"/>
                <w:kern w:val="0"/>
                <w:sz w:val="20"/>
                <w:szCs w:val="20"/>
                <w:lang w:val="en-GB" w:eastAsia="pl-PL"/>
                <w14:ligatures w14:val="none"/>
              </w:rPr>
              <w:t>will only apply to employees and excluding patients</w:t>
            </w:r>
            <w:r w:rsidRPr="00546F01">
              <w:rPr>
                <w:rFonts w:ascii="Times New Roman" w:eastAsia="Times New Roman" w:hAnsi="Times New Roman" w:cs="Times New Roman"/>
                <w:kern w:val="0"/>
                <w:sz w:val="20"/>
                <w:szCs w:val="20"/>
                <w:lang w:val="en-GB" w:eastAsia="pl-PL"/>
                <w14:ligatures w14:val="none"/>
              </w:rPr>
              <w:t>. People can also make a complaint to the ombudsman or the National Health Fund, health professional associations, or patient rights representatives, who are employed by some hospitals.</w:t>
            </w:r>
          </w:p>
        </w:tc>
      </w:tr>
      <w:tr w:rsidR="00F927CA" w:rsidRPr="00546F01" w14:paraId="3E1B1F2F" w14:textId="77777777" w:rsidTr="008F20F1">
        <w:trPr>
          <w:trHeight w:val="97"/>
        </w:trPr>
        <w:tc>
          <w:tcPr>
            <w:tcW w:w="5000" w:type="pct"/>
            <w:gridSpan w:val="3"/>
            <w:tcBorders>
              <w:bottom w:val="nil"/>
            </w:tcBorders>
            <w:tcMar>
              <w:top w:w="28" w:type="dxa"/>
              <w:bottom w:w="57" w:type="dxa"/>
            </w:tcMar>
          </w:tcPr>
          <w:p w14:paraId="480D379B" w14:textId="10B84638" w:rsidR="006B25D6" w:rsidRPr="00546F01" w:rsidRDefault="00323462"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2.5. Are there any watchdogs (e.g., committees, Ombudsman) at the national, regional, local or individual level, which are responsible specifically for protecting patients’ rights.</w:t>
            </w:r>
          </w:p>
        </w:tc>
      </w:tr>
      <w:tr w:rsidR="00F927CA" w:rsidRPr="00546F01" w14:paraId="36A742BC" w14:textId="77777777" w:rsidTr="008F20F1">
        <w:trPr>
          <w:trHeight w:val="303"/>
        </w:trPr>
        <w:tc>
          <w:tcPr>
            <w:tcW w:w="566" w:type="pct"/>
            <w:gridSpan w:val="2"/>
            <w:tcBorders>
              <w:top w:val="nil"/>
              <w:bottom w:val="nil"/>
              <w:right w:val="nil"/>
            </w:tcBorders>
            <w:tcMar>
              <w:top w:w="28" w:type="dxa"/>
              <w:bottom w:w="57" w:type="dxa"/>
            </w:tcMar>
            <w:hideMark/>
          </w:tcPr>
          <w:p w14:paraId="31881ACD"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4D79045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Some of the main watchdogs are the general Ombudsman (covering all human rights) and national (the Danish agency for patient complaints) and regional patient offices that protect patient rights. There is also a patient ombudsman.</w:t>
            </w:r>
          </w:p>
        </w:tc>
      </w:tr>
      <w:tr w:rsidR="00F927CA" w:rsidRPr="00546F01" w14:paraId="42DD0403" w14:textId="77777777" w:rsidTr="008F20F1">
        <w:trPr>
          <w:trHeight w:val="536"/>
        </w:trPr>
        <w:tc>
          <w:tcPr>
            <w:tcW w:w="566" w:type="pct"/>
            <w:gridSpan w:val="2"/>
            <w:tcBorders>
              <w:top w:val="nil"/>
              <w:bottom w:val="nil"/>
              <w:right w:val="nil"/>
            </w:tcBorders>
            <w:shd w:val="clear" w:color="auto" w:fill="FFFFFF"/>
            <w:tcMar>
              <w:top w:w="28" w:type="dxa"/>
              <w:bottom w:w="57" w:type="dxa"/>
            </w:tcMar>
            <w:hideMark/>
          </w:tcPr>
          <w:p w14:paraId="49B7FFB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32D8D12A" w14:textId="77777777" w:rsidR="006B25D6" w:rsidRPr="00546F01" w:rsidRDefault="006B25D6" w:rsidP="006B25D6">
            <w:pPr>
              <w:autoSpaceDE w:val="0"/>
              <w:autoSpaceDN w:val="0"/>
              <w:adjustRightInd w:val="0"/>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There are several watchdogs that take care of patients’ rights, including </w:t>
            </w:r>
            <w:r w:rsidRPr="00546F01">
              <w:rPr>
                <w:rFonts w:ascii="Times New Roman" w:eastAsia="Calibri" w:hAnsi="Times New Roman" w:cs="Times New Roman"/>
                <w:kern w:val="0"/>
                <w:sz w:val="20"/>
                <w:szCs w:val="20"/>
                <w:lang w:val="en-GB"/>
                <w14:ligatures w14:val="none"/>
              </w:rPr>
              <w:t xml:space="preserve">the General Inspector of Public Administration, the Body of Inspectors for Health and Welfare Services, and the Ombudsman for Health and Welfare. Additionally, the Office for the Protection of Health Service Recipient Rights has operated in every hospital since 2016. </w:t>
            </w:r>
          </w:p>
        </w:tc>
      </w:tr>
      <w:tr w:rsidR="00F927CA" w:rsidRPr="00546F01" w14:paraId="053237F9" w14:textId="77777777" w:rsidTr="008F20F1">
        <w:trPr>
          <w:trHeight w:val="530"/>
        </w:trPr>
        <w:tc>
          <w:tcPr>
            <w:tcW w:w="566" w:type="pct"/>
            <w:gridSpan w:val="2"/>
            <w:tcBorders>
              <w:top w:val="nil"/>
              <w:bottom w:val="single" w:sz="4" w:space="0" w:color="auto"/>
              <w:right w:val="nil"/>
            </w:tcBorders>
            <w:tcMar>
              <w:top w:w="28" w:type="dxa"/>
              <w:bottom w:w="57" w:type="dxa"/>
            </w:tcMar>
            <w:hideMark/>
          </w:tcPr>
          <w:p w14:paraId="33EFB311"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 xml:space="preserve">Poland </w:t>
            </w:r>
          </w:p>
        </w:tc>
        <w:tc>
          <w:tcPr>
            <w:tcW w:w="4434" w:type="pct"/>
            <w:tcBorders>
              <w:top w:val="nil"/>
              <w:left w:val="nil"/>
              <w:bottom w:val="single" w:sz="4" w:space="0" w:color="auto"/>
            </w:tcBorders>
            <w:tcMar>
              <w:top w:w="28" w:type="dxa"/>
              <w:bottom w:w="57" w:type="dxa"/>
            </w:tcMar>
            <w:hideMark/>
          </w:tcPr>
          <w:p w14:paraId="0DB5741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Some of the main watchdogs are the ombudsman and patient ombudsman (national level). At the hospital level, there might be also, though it is not obligatory, a Patient Rights Representative. </w:t>
            </w:r>
          </w:p>
        </w:tc>
      </w:tr>
      <w:tr w:rsidR="00F927CA" w:rsidRPr="00546F01" w14:paraId="1834EFBE" w14:textId="77777777" w:rsidTr="008F20F1">
        <w:trPr>
          <w:trHeight w:val="303"/>
        </w:trPr>
        <w:tc>
          <w:tcPr>
            <w:tcW w:w="5000" w:type="pct"/>
            <w:gridSpan w:val="3"/>
            <w:tcBorders>
              <w:bottom w:val="nil"/>
            </w:tcBorders>
            <w:tcMar>
              <w:top w:w="28" w:type="dxa"/>
              <w:bottom w:w="57" w:type="dxa"/>
            </w:tcMar>
          </w:tcPr>
          <w:p w14:paraId="7299FABC" w14:textId="336004DF" w:rsidR="006B25D6" w:rsidRPr="00546F01" w:rsidRDefault="00323462" w:rsidP="006B25D6">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 xml:space="preserve">2.6. </w:t>
            </w:r>
            <w:r w:rsidR="00991AE9" w:rsidRPr="00546F01">
              <w:rPr>
                <w:rFonts w:ascii="Times New Roman" w:eastAsia="Times New Roman" w:hAnsi="Times New Roman" w:cs="Times New Roman"/>
                <w:b/>
                <w:bCs/>
                <w:kern w:val="0"/>
                <w:sz w:val="20"/>
                <w:szCs w:val="20"/>
                <w:lang w:val="en-GB" w:eastAsia="pl-PL"/>
                <w14:ligatures w14:val="none"/>
              </w:rPr>
              <w:t>Are there established and effectively implemented mechanisms to hold health care legal entities accountable for providing adequate quality and access to care (e.g., accreditation, monitoring of errors and compliance with quality standards, quality-based payment mechanisms, etc.)?</w:t>
            </w:r>
          </w:p>
        </w:tc>
      </w:tr>
      <w:tr w:rsidR="00F927CA" w:rsidRPr="00546F01" w14:paraId="4C5D4FF0" w14:textId="77777777" w:rsidTr="008F20F1">
        <w:trPr>
          <w:trHeight w:val="1061"/>
        </w:trPr>
        <w:tc>
          <w:tcPr>
            <w:tcW w:w="566" w:type="pct"/>
            <w:gridSpan w:val="2"/>
            <w:tcBorders>
              <w:top w:val="nil"/>
              <w:bottom w:val="nil"/>
              <w:right w:val="nil"/>
            </w:tcBorders>
            <w:tcMar>
              <w:top w:w="28" w:type="dxa"/>
              <w:bottom w:w="57" w:type="dxa"/>
            </w:tcMar>
            <w:hideMark/>
          </w:tcPr>
          <w:p w14:paraId="41DDFFCD"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7CAB22A7"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w:t>
            </w:r>
            <w:bookmarkStart w:id="18" w:name="_Hlk141295851"/>
            <w:r w:rsidRPr="00546F01">
              <w:rPr>
                <w:rFonts w:ascii="Times New Roman" w:eastAsia="Times New Roman" w:hAnsi="Times New Roman" w:cs="Times New Roman"/>
                <w:kern w:val="0"/>
                <w:sz w:val="20"/>
                <w:szCs w:val="20"/>
                <w:lang w:val="en-GB" w:eastAsia="pl-PL"/>
                <w14:ligatures w14:val="none"/>
              </w:rPr>
              <w:t>E</w:t>
            </w:r>
            <w:bookmarkEnd w:id="18"/>
            <w:r w:rsidRPr="00546F01">
              <w:rPr>
                <w:rFonts w:ascii="Times New Roman" w:eastAsia="Times New Roman" w:hAnsi="Times New Roman" w:cs="Times New Roman"/>
                <w:kern w:val="0"/>
                <w:sz w:val="20"/>
                <w:szCs w:val="20"/>
                <w:lang w:val="en-GB" w:eastAsia="pl-PL"/>
                <w14:ligatures w14:val="none"/>
              </w:rPr>
              <w:t xml:space="preserve">xternal obligatory accreditation of hospitals takes place regularly. There is a national reporting system for adverse events, and the reporting of adverse events is mandatory without health professionals being subject to investigation </w:t>
            </w:r>
            <w:proofErr w:type="gramStart"/>
            <w:r w:rsidRPr="00546F01">
              <w:rPr>
                <w:rFonts w:ascii="Times New Roman" w:eastAsia="Times New Roman" w:hAnsi="Times New Roman" w:cs="Times New Roman"/>
                <w:kern w:val="0"/>
                <w:sz w:val="20"/>
                <w:szCs w:val="20"/>
                <w:lang w:val="en-GB" w:eastAsia="pl-PL"/>
                <w14:ligatures w14:val="none"/>
              </w:rPr>
              <w:t>as a result of</w:t>
            </w:r>
            <w:proofErr w:type="gramEnd"/>
            <w:r w:rsidRPr="00546F01">
              <w:rPr>
                <w:rFonts w:ascii="Times New Roman" w:eastAsia="Times New Roman" w:hAnsi="Times New Roman" w:cs="Times New Roman"/>
                <w:kern w:val="0"/>
                <w:sz w:val="20"/>
                <w:szCs w:val="20"/>
                <w:lang w:val="en-GB" w:eastAsia="pl-PL"/>
                <w14:ligatures w14:val="none"/>
              </w:rPr>
              <w:t xml:space="preserve"> reporting the events. A national handling of patient complaints by the dedicated agency (Danish Patient Complaints Agency) is in place. Moreover, there is a national </w:t>
            </w:r>
            <w:bookmarkStart w:id="19" w:name="_Hlk143256775"/>
            <w:r w:rsidRPr="00546F01">
              <w:rPr>
                <w:rFonts w:ascii="Times New Roman" w:eastAsia="Times New Roman" w:hAnsi="Times New Roman" w:cs="Times New Roman"/>
                <w:kern w:val="0"/>
                <w:sz w:val="20"/>
                <w:szCs w:val="20"/>
                <w:lang w:val="en-GB" w:eastAsia="pl-PL"/>
                <w14:ligatures w14:val="none"/>
              </w:rPr>
              <w:t>quality monitoring system using clinical data, and all hospitals are obliged to participate</w:t>
            </w:r>
            <w:bookmarkEnd w:id="19"/>
            <w:r w:rsidRPr="00546F01">
              <w:rPr>
                <w:rFonts w:ascii="Times New Roman" w:eastAsia="Times New Roman" w:hAnsi="Times New Roman" w:cs="Times New Roman"/>
                <w:kern w:val="0"/>
                <w:sz w:val="20"/>
                <w:szCs w:val="20"/>
                <w:lang w:val="en-GB" w:eastAsia="pl-PL"/>
                <w14:ligatures w14:val="none"/>
              </w:rPr>
              <w:t>. Based on collected data, the feedback is sent to providers, and the audit is performed. Accountability is also facilitated by public disclosure of all data on the clinical performances of individual hospitals and their departments (esundhed.dk).</w:t>
            </w:r>
          </w:p>
        </w:tc>
      </w:tr>
      <w:tr w:rsidR="00F927CA" w:rsidRPr="00546F01" w14:paraId="1862F406" w14:textId="77777777" w:rsidTr="008F20F1">
        <w:trPr>
          <w:trHeight w:val="274"/>
        </w:trPr>
        <w:tc>
          <w:tcPr>
            <w:tcW w:w="566" w:type="pct"/>
            <w:gridSpan w:val="2"/>
            <w:tcBorders>
              <w:top w:val="nil"/>
              <w:bottom w:val="nil"/>
              <w:right w:val="nil"/>
            </w:tcBorders>
            <w:shd w:val="clear" w:color="auto" w:fill="FFFFFF"/>
            <w:tcMar>
              <w:top w:w="28" w:type="dxa"/>
              <w:bottom w:w="57" w:type="dxa"/>
            </w:tcMar>
            <w:hideMark/>
          </w:tcPr>
          <w:p w14:paraId="32D079FD"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vAlign w:val="center"/>
          </w:tcPr>
          <w:p w14:paraId="02E4A38C" w14:textId="18900C5F"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w:t>
            </w:r>
            <w:proofErr w:type="gramStart"/>
            <w:r w:rsidRPr="00546F01">
              <w:rPr>
                <w:rFonts w:ascii="Times New Roman" w:eastAsia="Times New Roman" w:hAnsi="Times New Roman" w:cs="Times New Roman"/>
                <w:kern w:val="0"/>
                <w:sz w:val="20"/>
                <w:szCs w:val="20"/>
                <w:lang w:val="en-GB" w:eastAsia="pl-PL"/>
                <w14:ligatures w14:val="none"/>
              </w:rPr>
              <w:t>is</w:t>
            </w:r>
            <w:proofErr w:type="gramEnd"/>
            <w:r w:rsidRPr="00546F01">
              <w:rPr>
                <w:rFonts w:ascii="Times New Roman" w:eastAsia="Times New Roman" w:hAnsi="Times New Roman" w:cs="Times New Roman"/>
                <w:kern w:val="0"/>
                <w:sz w:val="20"/>
                <w:szCs w:val="20"/>
                <w:lang w:val="en-GB" w:eastAsia="pl-PL"/>
                <w14:ligatures w14:val="none"/>
              </w:rPr>
              <w:t xml:space="preserve"> no mandatory reporting of medical errors and no national authority to report medical errors. Accreditation or any other external evaluation of health care facilities is not obligatory, except for laboratories. </w:t>
            </w:r>
            <w:r w:rsidRPr="00546F01">
              <w:rPr>
                <w:rFonts w:ascii="Times New Roman" w:eastAsia="Calibri" w:hAnsi="Times New Roman" w:cs="Times New Roman"/>
                <w:kern w:val="0"/>
                <w:sz w:val="20"/>
                <w:szCs w:val="20"/>
                <w14:ligatures w14:val="none"/>
              </w:rPr>
              <w:t>Since the establishmen</w:t>
            </w:r>
            <w:r w:rsidR="00E54057" w:rsidRPr="00546F01">
              <w:rPr>
                <w:rFonts w:ascii="Times New Roman" w:eastAsia="Calibri" w:hAnsi="Times New Roman" w:cs="Times New Roman"/>
                <w:kern w:val="0"/>
                <w:sz w:val="20"/>
                <w:szCs w:val="20"/>
                <w14:ligatures w14:val="none"/>
              </w:rPr>
              <w:t>t</w:t>
            </w:r>
            <w:r w:rsidRPr="00546F01">
              <w:rPr>
                <w:rFonts w:ascii="Times New Roman" w:eastAsia="Calibri" w:hAnsi="Times New Roman" w:cs="Times New Roman"/>
                <w:kern w:val="0"/>
                <w:sz w:val="20"/>
                <w:szCs w:val="20"/>
                <w14:ligatures w14:val="none"/>
              </w:rPr>
              <w:t xml:space="preserve"> of the </w:t>
            </w:r>
            <w:r w:rsidRPr="00546F01">
              <w:rPr>
                <w:rFonts w:ascii="Times New Roman" w:eastAsia="Times New Roman" w:hAnsi="Times New Roman" w:cs="Times New Roman"/>
                <w:kern w:val="0"/>
                <w:sz w:val="20"/>
                <w:szCs w:val="20"/>
                <w:lang w:val="en-GB" w:eastAsia="pl-PL"/>
                <w14:ligatures w14:val="none"/>
              </w:rPr>
              <w:t>th</w:t>
            </w:r>
            <w:bookmarkStart w:id="20" w:name="_Hlk158653606"/>
            <w:r w:rsidRPr="00546F01">
              <w:rPr>
                <w:rFonts w:ascii="Times New Roman" w:eastAsia="Times New Roman" w:hAnsi="Times New Roman" w:cs="Times New Roman"/>
                <w:kern w:val="0"/>
                <w:sz w:val="20"/>
                <w:szCs w:val="20"/>
                <w:lang w:val="en-GB" w:eastAsia="pl-PL"/>
                <w14:ligatures w14:val="none"/>
              </w:rPr>
              <w:t>e National Agency for Quality Assurance in Health (ΟDIPY) in 2020</w:t>
            </w:r>
            <w:bookmarkEnd w:id="20"/>
            <w:r w:rsidRPr="00546F01">
              <w:rPr>
                <w:rFonts w:ascii="Times New Roman" w:eastAsia="Times New Roman" w:hAnsi="Times New Roman" w:cs="Times New Roman"/>
                <w:kern w:val="0"/>
                <w:sz w:val="20"/>
                <w:szCs w:val="20"/>
                <w:lang w:val="en-GB" w:eastAsia="pl-PL"/>
                <w14:ligatures w14:val="none"/>
              </w:rPr>
              <w:t xml:space="preserve">, the measurement of quality of care has begun, however, better provider performances are not yet systematically incentivised. </w:t>
            </w:r>
          </w:p>
        </w:tc>
      </w:tr>
      <w:tr w:rsidR="00F927CA" w:rsidRPr="00546F01" w14:paraId="2B08C652" w14:textId="77777777" w:rsidTr="008F20F1">
        <w:trPr>
          <w:trHeight w:val="774"/>
        </w:trPr>
        <w:tc>
          <w:tcPr>
            <w:tcW w:w="566" w:type="pct"/>
            <w:gridSpan w:val="2"/>
            <w:tcBorders>
              <w:top w:val="nil"/>
              <w:bottom w:val="single" w:sz="4" w:space="0" w:color="auto"/>
              <w:right w:val="nil"/>
            </w:tcBorders>
            <w:tcMar>
              <w:top w:w="28" w:type="dxa"/>
              <w:bottom w:w="57" w:type="dxa"/>
            </w:tcMar>
            <w:hideMark/>
          </w:tcPr>
          <w:p w14:paraId="27384C92"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35DE44F9" w14:textId="0A9BACE1" w:rsidR="006B25D6" w:rsidRPr="00546F01" w:rsidRDefault="006B25D6" w:rsidP="006B25D6">
            <w:pPr>
              <w:spacing w:after="0" w:line="240" w:lineRule="auto"/>
              <w:rPr>
                <w:rFonts w:ascii="Times New Roman" w:eastAsia="Calibri" w:hAnsi="Times New Roman" w:cs="Times New Roman"/>
                <w:kern w:val="0"/>
                <w:sz w:val="20"/>
                <w:szCs w:val="20"/>
                <w:lang w:val="en-GB"/>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Up to now, accreditation is not obligatory, though it is financially incentivized. There is also no other external system of mandatory evaluation, not even for the requirements specified in the benefit package. A system of quality monitoring, and mandatory reporting of medical errors are also not in place. Out-of-the court compensation system for patient injuries due to medical events is ineffective, the same as court proceedings that are too lengthy and costly for patients. With some exemptions, providers are not paid based on quality </w:t>
            </w:r>
            <w:r w:rsidR="00E54057" w:rsidRPr="00546F01">
              <w:rPr>
                <w:rFonts w:ascii="Times New Roman" w:eastAsia="Times New Roman" w:hAnsi="Times New Roman" w:cs="Times New Roman"/>
                <w:kern w:val="0"/>
                <w:sz w:val="20"/>
                <w:szCs w:val="20"/>
                <w:lang w:val="en-GB" w:eastAsia="pl-PL"/>
                <w14:ligatures w14:val="none"/>
              </w:rPr>
              <w:t>indicators but</w:t>
            </w:r>
            <w:r w:rsidRPr="00546F01">
              <w:rPr>
                <w:rFonts w:ascii="Times New Roman" w:eastAsia="Times New Roman" w:hAnsi="Times New Roman" w:cs="Times New Roman"/>
                <w:kern w:val="0"/>
                <w:sz w:val="20"/>
                <w:szCs w:val="20"/>
                <w:lang w:val="en-GB" w:eastAsia="pl-PL"/>
                <w14:ligatures w14:val="none"/>
              </w:rPr>
              <w:t xml:space="preserve"> rather based on the volume of provided services. According to the new law on the quality of care and patient safety, currently being proceeded in the parliament, some of the mechanisms (e.g. obligatory accreditation and internal quality and safety management system), should be implemented in coming years.</w:t>
            </w:r>
          </w:p>
        </w:tc>
      </w:tr>
      <w:tr w:rsidR="00F927CA" w:rsidRPr="00546F01" w14:paraId="2A98D589" w14:textId="77777777" w:rsidTr="008F20F1">
        <w:trPr>
          <w:trHeight w:val="311"/>
        </w:trPr>
        <w:tc>
          <w:tcPr>
            <w:tcW w:w="5000" w:type="pct"/>
            <w:gridSpan w:val="3"/>
            <w:tcBorders>
              <w:bottom w:val="nil"/>
            </w:tcBorders>
            <w:tcMar>
              <w:top w:w="28" w:type="dxa"/>
              <w:bottom w:w="57" w:type="dxa"/>
            </w:tcMar>
          </w:tcPr>
          <w:p w14:paraId="0AAD04AB" w14:textId="20825A7E" w:rsidR="006B25D6" w:rsidRPr="00546F01" w:rsidRDefault="00323462"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 xml:space="preserve">2.7. </w:t>
            </w:r>
            <w:r w:rsidR="00991AE9" w:rsidRPr="00546F01">
              <w:rPr>
                <w:rFonts w:ascii="Times New Roman" w:eastAsia="Times New Roman" w:hAnsi="Times New Roman" w:cs="Times New Roman"/>
                <w:b/>
                <w:bCs/>
                <w:kern w:val="0"/>
                <w:sz w:val="20"/>
                <w:szCs w:val="20"/>
                <w:lang w:val="en-GB" w:eastAsia="pl-PL"/>
                <w14:ligatures w14:val="none"/>
              </w:rPr>
              <w:t>Are there established and effectively implemented mechanisms to ensure adequate financing of the benefit package by public payer/s (e.g., cost-based price setting, population needs assessment, etc.)?</w:t>
            </w:r>
          </w:p>
        </w:tc>
      </w:tr>
      <w:tr w:rsidR="00F927CA" w:rsidRPr="00546F01" w14:paraId="1BA5EF4E" w14:textId="77777777" w:rsidTr="008F20F1">
        <w:trPr>
          <w:trHeight w:val="687"/>
        </w:trPr>
        <w:tc>
          <w:tcPr>
            <w:tcW w:w="566" w:type="pct"/>
            <w:gridSpan w:val="2"/>
            <w:tcBorders>
              <w:top w:val="nil"/>
              <w:bottom w:val="nil"/>
              <w:right w:val="nil"/>
            </w:tcBorders>
            <w:tcMar>
              <w:top w:w="28" w:type="dxa"/>
              <w:bottom w:w="57" w:type="dxa"/>
            </w:tcMar>
            <w:hideMark/>
          </w:tcPr>
          <w:p w14:paraId="4444B233"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1A7528AB"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Health care services are financed by </w:t>
            </w:r>
            <w:bookmarkStart w:id="21" w:name="_Hlk140527558"/>
            <w:r w:rsidRPr="00546F01">
              <w:rPr>
                <w:rFonts w:ascii="Times New Roman" w:eastAsia="Times New Roman" w:hAnsi="Times New Roman" w:cs="Times New Roman"/>
                <w:kern w:val="0"/>
                <w:sz w:val="20"/>
                <w:szCs w:val="20"/>
                <w:lang w:val="en-GB" w:eastAsia="pl-PL"/>
                <w14:ligatures w14:val="none"/>
              </w:rPr>
              <w:t>municipalities and regions from tax resources</w:t>
            </w:r>
            <w:bookmarkEnd w:id="21"/>
            <w:r w:rsidRPr="00546F01">
              <w:rPr>
                <w:rFonts w:ascii="Times New Roman" w:eastAsia="Times New Roman" w:hAnsi="Times New Roman" w:cs="Times New Roman"/>
                <w:kern w:val="0"/>
                <w:sz w:val="20"/>
                <w:szCs w:val="20"/>
                <w:lang w:val="en-GB" w:eastAsia="pl-PL"/>
                <w14:ligatures w14:val="none"/>
              </w:rPr>
              <w:t xml:space="preserve"> (mostly subsidies (</w:t>
            </w:r>
            <w:proofErr w:type="spellStart"/>
            <w:r w:rsidRPr="00546F01">
              <w:rPr>
                <w:rFonts w:ascii="Times New Roman" w:eastAsia="Times New Roman" w:hAnsi="Times New Roman" w:cs="Times New Roman"/>
                <w:kern w:val="0"/>
                <w:sz w:val="20"/>
                <w:szCs w:val="20"/>
                <w:lang w:val="en-GB" w:eastAsia="pl-PL"/>
                <w14:ligatures w14:val="none"/>
              </w:rPr>
              <w:t>bloktilskud</w:t>
            </w:r>
            <w:proofErr w:type="spellEnd"/>
            <w:r w:rsidRPr="00546F01">
              <w:rPr>
                <w:rFonts w:ascii="Times New Roman" w:eastAsia="Times New Roman" w:hAnsi="Times New Roman" w:cs="Times New Roman"/>
                <w:kern w:val="0"/>
                <w:sz w:val="20"/>
                <w:szCs w:val="20"/>
                <w:lang w:val="en-GB" w:eastAsia="pl-PL"/>
                <w14:ligatures w14:val="none"/>
              </w:rPr>
              <w:t xml:space="preserve">) from state-level taxes) that are allocated and redistributed based on negotiations </w:t>
            </w:r>
            <w:bookmarkStart w:id="22" w:name="_Hlk140527507"/>
            <w:r w:rsidRPr="00546F01">
              <w:rPr>
                <w:rFonts w:ascii="Times New Roman" w:eastAsia="Times New Roman" w:hAnsi="Times New Roman" w:cs="Times New Roman"/>
                <w:kern w:val="0"/>
                <w:sz w:val="20"/>
                <w:szCs w:val="20"/>
                <w:lang w:val="en-GB" w:eastAsia="pl-PL"/>
                <w14:ligatures w14:val="none"/>
              </w:rPr>
              <w:t xml:space="preserve">and objective criteria to account for population needs </w:t>
            </w:r>
            <w:bookmarkEnd w:id="22"/>
            <w:r w:rsidRPr="00546F01">
              <w:rPr>
                <w:rFonts w:ascii="Times New Roman" w:eastAsia="Times New Roman" w:hAnsi="Times New Roman" w:cs="Times New Roman"/>
                <w:kern w:val="0"/>
                <w:sz w:val="20"/>
                <w:szCs w:val="20"/>
                <w:lang w:val="en-GB" w:eastAsia="pl-PL"/>
                <w14:ligatures w14:val="none"/>
              </w:rPr>
              <w:t>i.e., demographic, social and health-related characteristics, health tasks and service level.</w:t>
            </w:r>
          </w:p>
        </w:tc>
      </w:tr>
      <w:tr w:rsidR="00F927CA" w:rsidRPr="00546F01" w14:paraId="027B72EC" w14:textId="77777777" w:rsidTr="008F20F1">
        <w:trPr>
          <w:trHeight w:val="692"/>
        </w:trPr>
        <w:tc>
          <w:tcPr>
            <w:tcW w:w="566" w:type="pct"/>
            <w:gridSpan w:val="2"/>
            <w:tcBorders>
              <w:top w:val="nil"/>
              <w:bottom w:val="nil"/>
              <w:right w:val="nil"/>
            </w:tcBorders>
            <w:shd w:val="clear" w:color="auto" w:fill="FFFFFF"/>
            <w:tcMar>
              <w:top w:w="28" w:type="dxa"/>
              <w:bottom w:w="57" w:type="dxa"/>
            </w:tcMar>
            <w:hideMark/>
          </w:tcPr>
          <w:p w14:paraId="47DA4C3E"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1CABB640"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Health care resources come equally from the state budget and insurance contributions. The allocation of state funds is based largely on the previous year’s budget for health. There is no systematic risk-based mechanism to allocate resources to regions. Cost-based price setting is not yet fully implemented. Also, there are monthly limits for doctors on the number of services reimbursed by the public payer</w:t>
            </w:r>
            <w:r w:rsidRPr="00546F01">
              <w:rPr>
                <w:rFonts w:ascii="Times New Roman" w:eastAsia="Calibri" w:hAnsi="Times New Roman" w:cs="Times New Roman"/>
                <w:kern w:val="0"/>
                <w:sz w:val="20"/>
                <w:szCs w:val="20"/>
                <w:lang w:val="en-GB"/>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number of patient visits, number of prescriptions for medicines and diagnostic tests). These limits made patients to pay out-of-pocket to obtain services. </w:t>
            </w:r>
          </w:p>
        </w:tc>
      </w:tr>
      <w:tr w:rsidR="00F927CA" w:rsidRPr="00546F01" w14:paraId="164049D1" w14:textId="77777777" w:rsidTr="008F20F1">
        <w:trPr>
          <w:trHeight w:val="1436"/>
        </w:trPr>
        <w:tc>
          <w:tcPr>
            <w:tcW w:w="566" w:type="pct"/>
            <w:gridSpan w:val="2"/>
            <w:tcBorders>
              <w:top w:val="nil"/>
              <w:right w:val="nil"/>
            </w:tcBorders>
            <w:tcMar>
              <w:top w:w="28" w:type="dxa"/>
              <w:bottom w:w="57" w:type="dxa"/>
            </w:tcMar>
            <w:hideMark/>
          </w:tcPr>
          <w:p w14:paraId="54F467A7"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tcBorders>
            <w:tcMar>
              <w:top w:w="28" w:type="dxa"/>
              <w:bottom w:w="57" w:type="dxa"/>
            </w:tcMar>
            <w:hideMark/>
          </w:tcPr>
          <w:p w14:paraId="3F395A0C" w14:textId="77777777" w:rsidR="006B25D6" w:rsidRPr="00546F01" w:rsidRDefault="006B25D6" w:rsidP="006B25D6">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The level of health care financing is </w:t>
            </w:r>
            <w:bookmarkStart w:id="23" w:name="_Hlk140527382"/>
            <w:r w:rsidRPr="00546F01">
              <w:rPr>
                <w:rFonts w:ascii="Times New Roman" w:eastAsia="Times New Roman" w:hAnsi="Times New Roman" w:cs="Times New Roman"/>
                <w:kern w:val="0"/>
                <w:sz w:val="20"/>
                <w:szCs w:val="20"/>
                <w:lang w:val="en-GB" w:eastAsia="pl-PL"/>
                <w14:ligatures w14:val="none"/>
              </w:rPr>
              <w:t>largely determined by the available resources from insurance contribution</w:t>
            </w:r>
            <w:bookmarkEnd w:id="23"/>
            <w:r w:rsidRPr="00546F01">
              <w:rPr>
                <w:rFonts w:ascii="Times New Roman" w:eastAsia="Times New Roman" w:hAnsi="Times New Roman" w:cs="Times New Roman"/>
                <w:kern w:val="0"/>
                <w:sz w:val="20"/>
                <w:szCs w:val="20"/>
                <w:lang w:val="en-GB" w:eastAsia="pl-PL"/>
                <w14:ligatures w14:val="none"/>
              </w:rPr>
              <w:t xml:space="preserve">s. In 2018, </w:t>
            </w:r>
            <w:proofErr w:type="gramStart"/>
            <w:r w:rsidRPr="00546F01">
              <w:rPr>
                <w:rFonts w:ascii="Times New Roman" w:eastAsia="Times New Roman" w:hAnsi="Times New Roman" w:cs="Times New Roman"/>
                <w:kern w:val="0"/>
                <w:sz w:val="20"/>
                <w:szCs w:val="20"/>
                <w:lang w:val="en-GB" w:eastAsia="pl-PL"/>
                <w14:ligatures w14:val="none"/>
              </w:rPr>
              <w:t>as a result of</w:t>
            </w:r>
            <w:proofErr w:type="gramEnd"/>
            <w:r w:rsidRPr="00546F01">
              <w:rPr>
                <w:rFonts w:ascii="Times New Roman" w:eastAsia="Times New Roman" w:hAnsi="Times New Roman" w:cs="Times New Roman"/>
                <w:kern w:val="0"/>
                <w:sz w:val="20"/>
                <w:szCs w:val="20"/>
                <w:lang w:val="en-GB" w:eastAsia="pl-PL"/>
                <w14:ligatures w14:val="none"/>
              </w:rPr>
              <w:t xml:space="preserve"> physicians' protests, a statutory provision was adopted to gradually increase public spending on health in relation to GDP, though not enough to reach the EU average. The revenues are collected centrally and allocated to the regions based on demographic and health-related characteristics. Since 2015, the payments to providers for services are set by the HTA agency based on costs. However, </w:t>
            </w:r>
            <w:bookmarkStart w:id="24" w:name="_Hlk140527169"/>
            <w:r w:rsidRPr="00546F01">
              <w:rPr>
                <w:rFonts w:ascii="Times New Roman" w:eastAsia="Times New Roman" w:hAnsi="Times New Roman" w:cs="Times New Roman"/>
                <w:kern w:val="0"/>
                <w:sz w:val="20"/>
                <w:szCs w:val="20"/>
                <w:lang w:val="en-GB" w:eastAsia="pl-PL"/>
                <w14:ligatures w14:val="none"/>
              </w:rPr>
              <w:t>the cost-based tariffs</w:t>
            </w:r>
            <w:bookmarkEnd w:id="24"/>
            <w:r w:rsidRPr="00546F01">
              <w:rPr>
                <w:rFonts w:ascii="Times New Roman" w:eastAsia="Times New Roman" w:hAnsi="Times New Roman" w:cs="Times New Roman"/>
                <w:kern w:val="0"/>
                <w:sz w:val="20"/>
                <w:szCs w:val="20"/>
                <w:lang w:val="en-GB" w:eastAsia="pl-PL"/>
                <w14:ligatures w14:val="none"/>
              </w:rPr>
              <w:t xml:space="preserve"> </w:t>
            </w:r>
            <w:bookmarkStart w:id="25" w:name="_Hlk140527182"/>
            <w:r w:rsidRPr="00546F01">
              <w:rPr>
                <w:rFonts w:ascii="Times New Roman" w:eastAsia="Times New Roman" w:hAnsi="Times New Roman" w:cs="Times New Roman"/>
                <w:kern w:val="0"/>
                <w:sz w:val="20"/>
                <w:szCs w:val="20"/>
                <w:lang w:val="en-GB" w:eastAsia="pl-PL"/>
                <w14:ligatures w14:val="none"/>
              </w:rPr>
              <w:t xml:space="preserve">have not been developed yet for all services </w:t>
            </w:r>
            <w:bookmarkEnd w:id="25"/>
            <w:r w:rsidRPr="00546F01">
              <w:rPr>
                <w:rFonts w:ascii="Times New Roman" w:eastAsia="Times New Roman" w:hAnsi="Times New Roman" w:cs="Times New Roman"/>
                <w:kern w:val="0"/>
                <w:sz w:val="20"/>
                <w:szCs w:val="20"/>
                <w:lang w:val="en-GB" w:eastAsia="pl-PL"/>
                <w14:ligatures w14:val="none"/>
              </w:rPr>
              <w:t xml:space="preserve">in the benefit package. Additionally, the public payer sets in the contract with providers the upper limits on the number of services for which it will pay, though in last years, some limits have been lifted to reduce very long waiting times for services. </w:t>
            </w:r>
          </w:p>
        </w:tc>
      </w:tr>
      <w:tr w:rsidR="00F927CA" w:rsidRPr="00546F01" w14:paraId="11ACBDC0" w14:textId="77777777" w:rsidTr="008F20F1">
        <w:trPr>
          <w:trHeight w:val="109"/>
        </w:trPr>
        <w:tc>
          <w:tcPr>
            <w:tcW w:w="5000" w:type="pct"/>
            <w:gridSpan w:val="3"/>
            <w:tcBorders>
              <w:top w:val="nil"/>
            </w:tcBorders>
            <w:tcMar>
              <w:top w:w="28" w:type="dxa"/>
              <w:bottom w:w="57" w:type="dxa"/>
            </w:tcMar>
          </w:tcPr>
          <w:p w14:paraId="535226F1" w14:textId="603D93A6" w:rsidR="00B80AAC" w:rsidRPr="00546F01" w:rsidRDefault="00B80AAC" w:rsidP="006B25D6">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lastRenderedPageBreak/>
              <w:t>3.</w:t>
            </w:r>
            <w:r w:rsidRPr="00546F01">
              <w:rPr>
                <w:rFonts w:ascii="Times New Roman" w:eastAsia="Times New Roman" w:hAnsi="Times New Roman" w:cs="Times New Roman"/>
                <w:b/>
                <w:bCs/>
                <w:kern w:val="0"/>
                <w:sz w:val="20"/>
                <w:szCs w:val="20"/>
                <w:lang w:val="en-GB" w:eastAsia="pl-PL"/>
                <w14:ligatures w14:val="none"/>
              </w:rPr>
              <w:tab/>
              <w:t>Participation</w:t>
            </w:r>
          </w:p>
        </w:tc>
      </w:tr>
      <w:tr w:rsidR="00F927CA" w:rsidRPr="00546F01" w14:paraId="1CEB92A8" w14:textId="77777777" w:rsidTr="008F20F1">
        <w:trPr>
          <w:trHeight w:val="266"/>
        </w:trPr>
        <w:tc>
          <w:tcPr>
            <w:tcW w:w="5000" w:type="pct"/>
            <w:gridSpan w:val="3"/>
            <w:tcBorders>
              <w:bottom w:val="nil"/>
            </w:tcBorders>
            <w:tcMar>
              <w:top w:w="28" w:type="dxa"/>
              <w:bottom w:w="57" w:type="dxa"/>
            </w:tcMar>
          </w:tcPr>
          <w:p w14:paraId="7C3F2140" w14:textId="68D0FDEB"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bookmarkStart w:id="26" w:name="_Hlk144569981"/>
            <w:bookmarkEnd w:id="9"/>
            <w:r w:rsidRPr="00546F01">
              <w:rPr>
                <w:rFonts w:ascii="Times New Roman" w:eastAsia="Times New Roman" w:hAnsi="Times New Roman" w:cs="Times New Roman"/>
                <w:b/>
                <w:bCs/>
                <w:kern w:val="0"/>
                <w:sz w:val="20"/>
                <w:szCs w:val="20"/>
                <w:lang w:val="en-GB" w:eastAsia="pl-PL"/>
                <w14:ligatures w14:val="none"/>
              </w:rPr>
              <w:t xml:space="preserve">3.1. </w:t>
            </w:r>
            <w:proofErr w:type="gramStart"/>
            <w:r w:rsidRPr="00546F01">
              <w:rPr>
                <w:rFonts w:ascii="Times New Roman" w:eastAsia="Times New Roman" w:hAnsi="Times New Roman" w:cs="Times New Roman"/>
                <w:b/>
                <w:bCs/>
                <w:kern w:val="0"/>
                <w:sz w:val="20"/>
                <w:szCs w:val="20"/>
                <w:lang w:val="en-GB" w:eastAsia="pl-PL"/>
                <w14:ligatures w14:val="none"/>
              </w:rPr>
              <w:t>Is</w:t>
            </w:r>
            <w:proofErr w:type="gramEnd"/>
            <w:r w:rsidRPr="00546F01">
              <w:rPr>
                <w:rFonts w:ascii="Times New Roman" w:eastAsia="Times New Roman" w:hAnsi="Times New Roman" w:cs="Times New Roman"/>
                <w:b/>
                <w:bCs/>
                <w:kern w:val="0"/>
                <w:sz w:val="20"/>
                <w:szCs w:val="20"/>
                <w:lang w:val="en-GB" w:eastAsia="pl-PL"/>
                <w14:ligatures w14:val="none"/>
              </w:rPr>
              <w:t xml:space="preserve"> there a rule and practice of involving relevant stakeholders (including patients) in health care decision making at the local, regional, or national levels?</w:t>
            </w:r>
          </w:p>
        </w:tc>
      </w:tr>
      <w:tr w:rsidR="00F927CA" w:rsidRPr="00546F01" w14:paraId="5D7CA6E3" w14:textId="77777777" w:rsidTr="008F20F1">
        <w:trPr>
          <w:trHeight w:val="621"/>
        </w:trPr>
        <w:tc>
          <w:tcPr>
            <w:tcW w:w="566" w:type="pct"/>
            <w:gridSpan w:val="2"/>
            <w:tcBorders>
              <w:top w:val="nil"/>
              <w:left w:val="nil"/>
              <w:bottom w:val="nil"/>
              <w:right w:val="nil"/>
            </w:tcBorders>
            <w:tcMar>
              <w:top w:w="28" w:type="dxa"/>
              <w:bottom w:w="57" w:type="dxa"/>
            </w:tcMar>
            <w:hideMark/>
          </w:tcPr>
          <w:p w14:paraId="1465FAFF"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275AB273"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Relevant stakeholders are involved in the decision-making process through public consulting. All stakeholders, including patient organizations, can comment on a bill before it is submitted to the parliament. There is no deadline for submitting comments, however, a general rule states not under 4 weeks, though in practice it can be shorter. Larger professionalized and well-funded patient organizations, such as the umbrella organization Danish Patients, are more active in the policymaking process and exert greater influence.  </w:t>
            </w:r>
          </w:p>
        </w:tc>
      </w:tr>
      <w:tr w:rsidR="00F927CA" w:rsidRPr="00546F01" w14:paraId="362B06C6" w14:textId="77777777" w:rsidTr="008F20F1">
        <w:trPr>
          <w:trHeight w:val="464"/>
        </w:trPr>
        <w:tc>
          <w:tcPr>
            <w:tcW w:w="566" w:type="pct"/>
            <w:gridSpan w:val="2"/>
            <w:tcBorders>
              <w:top w:val="nil"/>
              <w:left w:val="nil"/>
              <w:bottom w:val="nil"/>
              <w:right w:val="nil"/>
            </w:tcBorders>
            <w:shd w:val="clear" w:color="auto" w:fill="FFFFFF"/>
            <w:tcMar>
              <w:top w:w="28" w:type="dxa"/>
              <w:bottom w:w="57" w:type="dxa"/>
            </w:tcMar>
            <w:hideMark/>
          </w:tcPr>
          <w:p w14:paraId="121B4CC0"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3C5C2603"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Stakeholders are included through a central public consultation. All stakeholders, including patients’ organisations, can upload their comments on opengov.gr on a bill before it reaches the parliament. The time limit to comment is 8 weeks but sometimes might be shorter. The role of patient organizations in health system governance has been weak, though it was strengthened more recently with the establishment of the Greek Patients Association in 2019.</w:t>
            </w:r>
          </w:p>
        </w:tc>
      </w:tr>
      <w:tr w:rsidR="00F927CA" w:rsidRPr="00546F01" w14:paraId="75086BB4" w14:textId="77777777" w:rsidTr="008F20F1">
        <w:trPr>
          <w:trHeight w:val="876"/>
        </w:trPr>
        <w:tc>
          <w:tcPr>
            <w:tcW w:w="566" w:type="pct"/>
            <w:gridSpan w:val="2"/>
            <w:tcBorders>
              <w:top w:val="nil"/>
              <w:left w:val="nil"/>
              <w:bottom w:val="single" w:sz="4" w:space="0" w:color="auto"/>
              <w:right w:val="nil"/>
            </w:tcBorders>
            <w:tcMar>
              <w:top w:w="28" w:type="dxa"/>
              <w:bottom w:w="57" w:type="dxa"/>
            </w:tcMar>
            <w:hideMark/>
          </w:tcPr>
          <w:p w14:paraId="2BAFB0EC"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0E232328"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In general, public consultation of drafts of normative acts is obligatory. The deadline for submitting the comments should not be shorter than 7/14/21 days, depending on the type of laws. Yet, the law allows for a deviation from the obligation of public consultation and its duration, which happens in practice. The involvement of patient organizations in decision making is growing but still limited, mainly due to a lack of competencies (professionalization) and fragmentation.</w:t>
            </w:r>
            <w:r w:rsidRPr="00546F01">
              <w:rPr>
                <w:rFonts w:ascii="Times New Roman" w:eastAsia="Calibri" w:hAnsi="Times New Roman" w:cs="Times New Roman"/>
                <w:kern w:val="0"/>
                <w:sz w:val="20"/>
                <w:szCs w:val="20"/>
                <w:lang w:val="en-GB"/>
                <w14:ligatures w14:val="none"/>
              </w:rPr>
              <w:t xml:space="preserve"> In 2022, the role of patient organizations was institutionalized through the establishment of the Patient Organization Council at the Minister of Health. </w:t>
            </w:r>
          </w:p>
        </w:tc>
      </w:tr>
      <w:tr w:rsidR="00F927CA" w:rsidRPr="00546F01" w14:paraId="535A5DA8" w14:textId="77777777" w:rsidTr="008F20F1">
        <w:trPr>
          <w:trHeight w:val="22"/>
        </w:trPr>
        <w:tc>
          <w:tcPr>
            <w:tcW w:w="5000" w:type="pct"/>
            <w:gridSpan w:val="3"/>
            <w:tcBorders>
              <w:bottom w:val="nil"/>
            </w:tcBorders>
            <w:tcMar>
              <w:top w:w="28" w:type="dxa"/>
              <w:bottom w:w="57" w:type="dxa"/>
            </w:tcMar>
          </w:tcPr>
          <w:p w14:paraId="5F18BEBE" w14:textId="31FB7009" w:rsidR="00B80AAC" w:rsidRPr="00546F01" w:rsidRDefault="00B80AAC" w:rsidP="00B80AAC">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3.2. Are there any monitoring and evaluation mechanisms in place that enable citizens to provide feedback on the quality of care?</w:t>
            </w:r>
          </w:p>
        </w:tc>
      </w:tr>
      <w:tr w:rsidR="00F927CA" w:rsidRPr="00546F01" w14:paraId="7998ACE4" w14:textId="77777777" w:rsidTr="008F20F1">
        <w:trPr>
          <w:trHeight w:val="161"/>
        </w:trPr>
        <w:tc>
          <w:tcPr>
            <w:tcW w:w="566" w:type="pct"/>
            <w:gridSpan w:val="2"/>
            <w:tcBorders>
              <w:top w:val="nil"/>
              <w:bottom w:val="nil"/>
              <w:right w:val="nil"/>
            </w:tcBorders>
            <w:tcMar>
              <w:top w:w="28" w:type="dxa"/>
              <w:bottom w:w="57" w:type="dxa"/>
            </w:tcMar>
            <w:hideMark/>
          </w:tcPr>
          <w:p w14:paraId="4CC7DFAE"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2ADCF466"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Every year the Nationwide Study of Patient Experiences (LUP) investigates patients’ experiences with health care within acute care, maternity care, inpatient and outpatient care within hospitals, and in psychiatry. </w:t>
            </w:r>
          </w:p>
        </w:tc>
      </w:tr>
      <w:tr w:rsidR="00F927CA" w:rsidRPr="00546F01" w14:paraId="43DD2FA9" w14:textId="77777777" w:rsidTr="008F20F1">
        <w:trPr>
          <w:trHeight w:val="407"/>
        </w:trPr>
        <w:tc>
          <w:tcPr>
            <w:tcW w:w="566" w:type="pct"/>
            <w:gridSpan w:val="2"/>
            <w:tcBorders>
              <w:top w:val="nil"/>
              <w:bottom w:val="nil"/>
              <w:right w:val="nil"/>
            </w:tcBorders>
            <w:shd w:val="clear" w:color="auto" w:fill="FFFFFF"/>
            <w:tcMar>
              <w:top w:w="28" w:type="dxa"/>
              <w:bottom w:w="57" w:type="dxa"/>
            </w:tcMar>
            <w:hideMark/>
          </w:tcPr>
          <w:p w14:paraId="712D9DBD"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7E093FB0"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is still no system in place for the systematic evaluation of healthcare by consumers and use of these data for quality improvement. The 2017 law reforming primary health care assumes the implementation of user satisfaction surveys in public primary care units. </w:t>
            </w:r>
          </w:p>
        </w:tc>
      </w:tr>
      <w:tr w:rsidR="00F927CA" w:rsidRPr="00546F01" w14:paraId="2164A07A" w14:textId="77777777" w:rsidTr="008F20F1">
        <w:trPr>
          <w:trHeight w:val="205"/>
        </w:trPr>
        <w:tc>
          <w:tcPr>
            <w:tcW w:w="566" w:type="pct"/>
            <w:gridSpan w:val="2"/>
            <w:tcBorders>
              <w:top w:val="nil"/>
              <w:bottom w:val="single" w:sz="4" w:space="0" w:color="auto"/>
              <w:right w:val="nil"/>
            </w:tcBorders>
            <w:tcMar>
              <w:top w:w="28" w:type="dxa"/>
              <w:bottom w:w="57" w:type="dxa"/>
            </w:tcMar>
            <w:hideMark/>
          </w:tcPr>
          <w:p w14:paraId="177A2F74"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457B2C70"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is no obligatory and systematic measurement of patients’ experiences across providers. Only health care providers with accreditation certificates (a minority of health care providers) should perform on a regular basis (at least once per year) patient satisfaction surveys for quality improvement purposes. </w:t>
            </w:r>
          </w:p>
        </w:tc>
      </w:tr>
      <w:tr w:rsidR="00F927CA" w:rsidRPr="00546F01" w14:paraId="73BE7106" w14:textId="77777777" w:rsidTr="008F20F1">
        <w:trPr>
          <w:trHeight w:val="135"/>
        </w:trPr>
        <w:tc>
          <w:tcPr>
            <w:tcW w:w="5000" w:type="pct"/>
            <w:gridSpan w:val="3"/>
            <w:tcBorders>
              <w:bottom w:val="nil"/>
            </w:tcBorders>
            <w:tcMar>
              <w:top w:w="28" w:type="dxa"/>
              <w:bottom w:w="57" w:type="dxa"/>
            </w:tcMar>
          </w:tcPr>
          <w:p w14:paraId="2C6D2F5B" w14:textId="6166F566"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3.3. Are there any mechanisms and policy initiatives to foster patient involvement in decisions regarding their health (allowing the choice of providers, promoting shared decision-making, patient empowerment, and person-cantered care)?</w:t>
            </w:r>
          </w:p>
        </w:tc>
      </w:tr>
      <w:tr w:rsidR="00F927CA" w:rsidRPr="00546F01" w14:paraId="0D18675F" w14:textId="77777777" w:rsidTr="008F20F1">
        <w:trPr>
          <w:trHeight w:val="153"/>
        </w:trPr>
        <w:tc>
          <w:tcPr>
            <w:tcW w:w="566" w:type="pct"/>
            <w:gridSpan w:val="2"/>
            <w:tcBorders>
              <w:top w:val="nil"/>
              <w:bottom w:val="nil"/>
              <w:right w:val="nil"/>
            </w:tcBorders>
            <w:tcMar>
              <w:top w:w="28" w:type="dxa"/>
              <w:bottom w:w="57" w:type="dxa"/>
            </w:tcMar>
            <w:hideMark/>
          </w:tcPr>
          <w:p w14:paraId="6C02F182"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47F7EBA8"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Patients have the right to choose</w:t>
            </w:r>
            <w:r w:rsidRPr="00546F01">
              <w:rPr>
                <w:rFonts w:ascii="Times New Roman" w:eastAsia="Calibri" w:hAnsi="Times New Roman" w:cs="Times New Roman"/>
                <w:kern w:val="0"/>
                <w:sz w:val="20"/>
                <w:szCs w:val="20"/>
                <w:lang w:val="en-GB"/>
                <w14:ligatures w14:val="none"/>
              </w:rPr>
              <w:t xml:space="preserve"> </w:t>
            </w:r>
            <w:r w:rsidRPr="00546F01">
              <w:rPr>
                <w:rFonts w:ascii="Times New Roman" w:eastAsia="Times New Roman" w:hAnsi="Times New Roman" w:cs="Times New Roman"/>
                <w:kern w:val="0"/>
                <w:sz w:val="20"/>
                <w:szCs w:val="20"/>
                <w:lang w:val="en-GB" w:eastAsia="pl-PL"/>
                <w14:ligatures w14:val="none"/>
              </w:rPr>
              <w:t>their GP, outpatient specialists and hospital (within the same level of specialization). For selected specialists the access is direct, while for others a prior referral is needed. Several initiatives in the joint regional framework program Citizens' Health Service are directly aimed at patient and relative involvement. Also, the obligatory yearly health care agreements (about what services should be provided and prioritized) between all five regions and their respective municipalities, envision and target more integrated, person-centred care and patient involvement. </w:t>
            </w:r>
          </w:p>
        </w:tc>
      </w:tr>
      <w:tr w:rsidR="00F927CA" w:rsidRPr="00546F01" w14:paraId="5400B516" w14:textId="77777777" w:rsidTr="008F20F1">
        <w:trPr>
          <w:trHeight w:val="359"/>
        </w:trPr>
        <w:tc>
          <w:tcPr>
            <w:tcW w:w="566" w:type="pct"/>
            <w:gridSpan w:val="2"/>
            <w:tcBorders>
              <w:top w:val="nil"/>
              <w:bottom w:val="nil"/>
              <w:right w:val="nil"/>
            </w:tcBorders>
            <w:shd w:val="clear" w:color="auto" w:fill="FFFFFF"/>
            <w:tcMar>
              <w:top w:w="28" w:type="dxa"/>
              <w:bottom w:w="57" w:type="dxa"/>
            </w:tcMar>
            <w:hideMark/>
          </w:tcPr>
          <w:p w14:paraId="7C426B18"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1B1371C8"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Patients have the right to choose primary care physicians, specialists, and hospitals, without prior referral. Recently, a gatekeeping system to improve the efficiency in health care use, was introduced as a part of a broader primary health care reform. Patient rights to participate in treatment decisions is limited in practice. </w:t>
            </w:r>
          </w:p>
        </w:tc>
      </w:tr>
      <w:tr w:rsidR="00F927CA" w:rsidRPr="00546F01" w14:paraId="07C07E52" w14:textId="77777777" w:rsidTr="008F20F1">
        <w:trPr>
          <w:trHeight w:val="398"/>
        </w:trPr>
        <w:tc>
          <w:tcPr>
            <w:tcW w:w="566" w:type="pct"/>
            <w:gridSpan w:val="2"/>
            <w:tcBorders>
              <w:top w:val="nil"/>
              <w:bottom w:val="single" w:sz="4" w:space="0" w:color="auto"/>
              <w:right w:val="nil"/>
            </w:tcBorders>
            <w:tcMar>
              <w:top w:w="28" w:type="dxa"/>
              <w:bottom w:w="57" w:type="dxa"/>
            </w:tcMar>
            <w:hideMark/>
          </w:tcPr>
          <w:p w14:paraId="3A2FE602"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 xml:space="preserve">Poland </w:t>
            </w:r>
          </w:p>
        </w:tc>
        <w:tc>
          <w:tcPr>
            <w:tcW w:w="4434" w:type="pct"/>
            <w:tcBorders>
              <w:top w:val="nil"/>
              <w:left w:val="nil"/>
              <w:bottom w:val="single" w:sz="4" w:space="0" w:color="auto"/>
            </w:tcBorders>
            <w:tcMar>
              <w:top w:w="28" w:type="dxa"/>
              <w:bottom w:w="57" w:type="dxa"/>
            </w:tcMar>
            <w:hideMark/>
          </w:tcPr>
          <w:p w14:paraId="5A97AC79"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Patients have the right to choose their GP, out-patient specialists, or hospitals (for specialist care and hospitals a prior referral is needed). The law also gives patients </w:t>
            </w:r>
            <w:bookmarkStart w:id="27" w:name="_Hlk141467039"/>
            <w:r w:rsidRPr="00546F01">
              <w:rPr>
                <w:rFonts w:ascii="Times New Roman" w:eastAsia="Times New Roman" w:hAnsi="Times New Roman" w:cs="Times New Roman"/>
                <w:kern w:val="0"/>
                <w:sz w:val="20"/>
                <w:szCs w:val="20"/>
                <w:lang w:val="en-GB" w:eastAsia="pl-PL"/>
                <w14:ligatures w14:val="none"/>
              </w:rPr>
              <w:t>the right to participate in treatment decision</w:t>
            </w:r>
            <w:bookmarkEnd w:id="27"/>
            <w:r w:rsidRPr="00546F01">
              <w:rPr>
                <w:rFonts w:ascii="Times New Roman" w:eastAsia="Times New Roman" w:hAnsi="Times New Roman" w:cs="Times New Roman"/>
                <w:kern w:val="0"/>
                <w:sz w:val="20"/>
                <w:szCs w:val="20"/>
                <w:lang w:val="en-GB" w:eastAsia="pl-PL"/>
                <w14:ligatures w14:val="none"/>
              </w:rPr>
              <w:t>s, the right to information, to request a second opinion, though in practice the execution of those rights is limited. Informed consent is necessary before any procedure. There are no specific policies to foster patient empowerment. There are however programs to improve coordination of care across different health care providers.</w:t>
            </w:r>
          </w:p>
        </w:tc>
      </w:tr>
      <w:tr w:rsidR="00F927CA" w:rsidRPr="00546F01" w14:paraId="5B863488" w14:textId="77777777" w:rsidTr="008F20F1">
        <w:trPr>
          <w:trHeight w:val="22"/>
        </w:trPr>
        <w:tc>
          <w:tcPr>
            <w:tcW w:w="5000" w:type="pct"/>
            <w:gridSpan w:val="3"/>
            <w:tcBorders>
              <w:bottom w:val="nil"/>
            </w:tcBorders>
            <w:tcMar>
              <w:top w:w="28" w:type="dxa"/>
              <w:bottom w:w="57" w:type="dxa"/>
            </w:tcMar>
          </w:tcPr>
          <w:p w14:paraId="7EBAB387" w14:textId="16AFE8D6"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3.4. Has the participatory and consensus-based approach been applied to policy on obligatory patient cost-sharing in the statutory health system?</w:t>
            </w:r>
          </w:p>
        </w:tc>
      </w:tr>
      <w:tr w:rsidR="00F927CA" w:rsidRPr="00546F01" w14:paraId="35ED69BA" w14:textId="77777777" w:rsidTr="008F20F1">
        <w:trPr>
          <w:trHeight w:val="62"/>
        </w:trPr>
        <w:tc>
          <w:tcPr>
            <w:tcW w:w="566" w:type="pct"/>
            <w:gridSpan w:val="2"/>
            <w:tcBorders>
              <w:top w:val="nil"/>
              <w:bottom w:val="nil"/>
              <w:right w:val="nil"/>
            </w:tcBorders>
            <w:tcMar>
              <w:top w:w="28" w:type="dxa"/>
              <w:bottom w:w="57" w:type="dxa"/>
            </w:tcMar>
            <w:hideMark/>
          </w:tcPr>
          <w:p w14:paraId="469A343A"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24D26159"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The system to a small extent relies on patient payments, and though more cost-sharing was considered in the past, there is </w:t>
            </w:r>
            <w:proofErr w:type="gramStart"/>
            <w:r w:rsidRPr="00546F01">
              <w:rPr>
                <w:rFonts w:ascii="Times New Roman" w:eastAsia="Times New Roman" w:hAnsi="Times New Roman" w:cs="Times New Roman"/>
                <w:kern w:val="0"/>
                <w:sz w:val="20"/>
                <w:szCs w:val="20"/>
                <w:lang w:val="en-GB" w:eastAsia="pl-PL"/>
                <w14:ligatures w14:val="none"/>
              </w:rPr>
              <w:t>a general consensus</w:t>
            </w:r>
            <w:proofErr w:type="gramEnd"/>
            <w:r w:rsidRPr="00546F01">
              <w:rPr>
                <w:rFonts w:ascii="Times New Roman" w:eastAsia="Times New Roman" w:hAnsi="Times New Roman" w:cs="Times New Roman"/>
                <w:kern w:val="0"/>
                <w:sz w:val="20"/>
                <w:szCs w:val="20"/>
                <w:lang w:val="en-GB" w:eastAsia="pl-PL"/>
                <w14:ligatures w14:val="none"/>
              </w:rPr>
              <w:t xml:space="preserve"> that it would undermine the principles of solidarity and equity that are deeply embedded in the Danish health system. </w:t>
            </w:r>
          </w:p>
        </w:tc>
      </w:tr>
      <w:tr w:rsidR="00F927CA" w:rsidRPr="00546F01" w14:paraId="54A85435" w14:textId="77777777" w:rsidTr="008F20F1">
        <w:trPr>
          <w:trHeight w:val="32"/>
        </w:trPr>
        <w:tc>
          <w:tcPr>
            <w:tcW w:w="566" w:type="pct"/>
            <w:gridSpan w:val="2"/>
            <w:tcBorders>
              <w:top w:val="nil"/>
              <w:bottom w:val="nil"/>
              <w:right w:val="nil"/>
            </w:tcBorders>
            <w:shd w:val="clear" w:color="auto" w:fill="FFFFFF"/>
            <w:tcMar>
              <w:top w:w="28" w:type="dxa"/>
              <w:bottom w:w="57" w:type="dxa"/>
            </w:tcMar>
            <w:hideMark/>
          </w:tcPr>
          <w:p w14:paraId="6FFDC89A"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7605B972"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Political decisions of patient cost-sharing are mostly shaped by state budget constraints and do not </w:t>
            </w:r>
            <w:proofErr w:type="gramStart"/>
            <w:r w:rsidRPr="00546F01">
              <w:rPr>
                <w:rFonts w:ascii="Times New Roman" w:eastAsia="Times New Roman" w:hAnsi="Times New Roman" w:cs="Times New Roman"/>
                <w:kern w:val="0"/>
                <w:sz w:val="20"/>
                <w:szCs w:val="20"/>
                <w:lang w:val="en-GB" w:eastAsia="pl-PL"/>
                <w14:ligatures w14:val="none"/>
              </w:rPr>
              <w:t>take into account</w:t>
            </w:r>
            <w:proofErr w:type="gramEnd"/>
            <w:r w:rsidRPr="00546F01">
              <w:rPr>
                <w:rFonts w:ascii="Times New Roman" w:eastAsia="Times New Roman" w:hAnsi="Times New Roman" w:cs="Times New Roman"/>
                <w:kern w:val="0"/>
                <w:sz w:val="20"/>
                <w:szCs w:val="20"/>
                <w:lang w:val="en-GB" w:eastAsia="pl-PL"/>
                <w14:ligatures w14:val="none"/>
              </w:rPr>
              <w:t xml:space="preserve"> the views of all stakeholders. The policy on patient payments has not been stable over the years as some payments were not accepted by the </w:t>
            </w:r>
            <w:proofErr w:type="gramStart"/>
            <w:r w:rsidRPr="00546F01">
              <w:rPr>
                <w:rFonts w:ascii="Times New Roman" w:eastAsia="Times New Roman" w:hAnsi="Times New Roman" w:cs="Times New Roman"/>
                <w:kern w:val="0"/>
                <w:sz w:val="20"/>
                <w:szCs w:val="20"/>
                <w:lang w:val="en-GB" w:eastAsia="pl-PL"/>
                <w14:ligatures w14:val="none"/>
              </w:rPr>
              <w:t>general public</w:t>
            </w:r>
            <w:proofErr w:type="gramEnd"/>
            <w:r w:rsidRPr="00546F01">
              <w:rPr>
                <w:rFonts w:ascii="Times New Roman" w:eastAsia="Times New Roman" w:hAnsi="Times New Roman" w:cs="Times New Roman"/>
                <w:kern w:val="0"/>
                <w:sz w:val="20"/>
                <w:szCs w:val="20"/>
                <w:lang w:val="en-GB" w:eastAsia="pl-PL"/>
                <w14:ligatures w14:val="none"/>
              </w:rPr>
              <w:t xml:space="preserve"> and providers and led to an increased burden to households, e.g., obligatory fees in outpatient and inpatient care were abolished in 2015 (for hospital care only 1 year after their implementation).  </w:t>
            </w:r>
          </w:p>
        </w:tc>
      </w:tr>
      <w:tr w:rsidR="00F927CA" w:rsidRPr="00546F01" w14:paraId="746AA487" w14:textId="77777777" w:rsidTr="008F20F1">
        <w:trPr>
          <w:trHeight w:val="710"/>
        </w:trPr>
        <w:tc>
          <w:tcPr>
            <w:tcW w:w="566" w:type="pct"/>
            <w:gridSpan w:val="2"/>
            <w:tcBorders>
              <w:top w:val="nil"/>
              <w:right w:val="nil"/>
            </w:tcBorders>
            <w:tcMar>
              <w:top w:w="28" w:type="dxa"/>
              <w:bottom w:w="57" w:type="dxa"/>
            </w:tcMar>
            <w:hideMark/>
          </w:tcPr>
          <w:p w14:paraId="58B35097"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tcBorders>
            <w:tcMar>
              <w:top w:w="28" w:type="dxa"/>
              <w:bottom w:w="57" w:type="dxa"/>
            </w:tcMar>
            <w:hideMark/>
          </w:tcPr>
          <w:p w14:paraId="72279ACD" w14:textId="77777777" w:rsidR="00B80AAC" w:rsidRPr="00546F01" w:rsidRDefault="00B80AAC" w:rsidP="00B80AAC">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The implementation of cost-sharing for health services other than medicines or medical products was considered by different governments though never put on the policy agenda. There is strong consumer opposition towards obligatory patient payments while health care providers are more in favour of such payments. </w:t>
            </w:r>
          </w:p>
        </w:tc>
      </w:tr>
      <w:tr w:rsidR="00F927CA" w:rsidRPr="00546F01" w14:paraId="668C8342" w14:textId="77777777" w:rsidTr="008F20F1">
        <w:trPr>
          <w:trHeight w:val="264"/>
        </w:trPr>
        <w:tc>
          <w:tcPr>
            <w:tcW w:w="5000" w:type="pct"/>
            <w:gridSpan w:val="3"/>
            <w:tcBorders>
              <w:bottom w:val="nil"/>
            </w:tcBorders>
            <w:tcMar>
              <w:top w:w="28" w:type="dxa"/>
              <w:bottom w:w="57" w:type="dxa"/>
            </w:tcMar>
          </w:tcPr>
          <w:p w14:paraId="2CEEF728" w14:textId="045B4D14" w:rsidR="002F6E00" w:rsidRPr="00546F01" w:rsidRDefault="006E0AFD" w:rsidP="002F6E00">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4.</w:t>
            </w:r>
            <w:r w:rsidRPr="00546F01">
              <w:rPr>
                <w:rFonts w:ascii="Times New Roman" w:eastAsia="Times New Roman" w:hAnsi="Times New Roman" w:cs="Times New Roman"/>
                <w:b/>
                <w:bCs/>
                <w:kern w:val="0"/>
                <w:sz w:val="20"/>
                <w:szCs w:val="20"/>
                <w:lang w:val="en-GB" w:eastAsia="pl-PL"/>
                <w14:ligatures w14:val="none"/>
              </w:rPr>
              <w:tab/>
              <w:t>Integrity</w:t>
            </w:r>
          </w:p>
        </w:tc>
      </w:tr>
      <w:tr w:rsidR="00F927CA" w:rsidRPr="00546F01" w14:paraId="6AE35718" w14:textId="77777777" w:rsidTr="008F20F1">
        <w:trPr>
          <w:trHeight w:val="326"/>
        </w:trPr>
        <w:tc>
          <w:tcPr>
            <w:tcW w:w="5000" w:type="pct"/>
            <w:gridSpan w:val="3"/>
            <w:tcBorders>
              <w:bottom w:val="nil"/>
            </w:tcBorders>
            <w:tcMar>
              <w:top w:w="28" w:type="dxa"/>
              <w:bottom w:w="57" w:type="dxa"/>
            </w:tcMar>
          </w:tcPr>
          <w:p w14:paraId="7C2AF6CB" w14:textId="669B7A11" w:rsidR="008F20F1" w:rsidRPr="00546F01" w:rsidRDefault="008F20F1" w:rsidP="002F6E00">
            <w:pPr>
              <w:spacing w:after="0" w:line="240" w:lineRule="auto"/>
              <w:rPr>
                <w:rFonts w:ascii="Times New Roman" w:eastAsia="Times New Roman" w:hAnsi="Times New Roman" w:cs="Times New Roman"/>
                <w:kern w:val="0"/>
                <w:sz w:val="20"/>
                <w:szCs w:val="20"/>
                <w:lang w:val="en-GB" w:eastAsia="pl-PL"/>
                <w14:ligatures w14:val="none"/>
              </w:rPr>
            </w:pPr>
            <w:bookmarkStart w:id="28" w:name="_Hlk144569996"/>
            <w:bookmarkEnd w:id="26"/>
            <w:r w:rsidRPr="00546F01">
              <w:rPr>
                <w:rFonts w:ascii="Times New Roman" w:eastAsia="Times New Roman" w:hAnsi="Times New Roman" w:cs="Times New Roman"/>
                <w:b/>
                <w:bCs/>
                <w:kern w:val="0"/>
                <w:sz w:val="20"/>
                <w:szCs w:val="20"/>
                <w:lang w:val="en-GB" w:eastAsia="pl-PL"/>
                <w14:ligatures w14:val="none"/>
              </w:rPr>
              <w:t>4.1. Are there any specific missions, strategies, codes of conduct to fight/prevent informal patient payments, which authorities and institutions are committed to?</w:t>
            </w:r>
          </w:p>
        </w:tc>
      </w:tr>
      <w:tr w:rsidR="00F927CA" w:rsidRPr="00546F01" w14:paraId="468753B3" w14:textId="77777777" w:rsidTr="008F20F1">
        <w:trPr>
          <w:trHeight w:val="710"/>
        </w:trPr>
        <w:tc>
          <w:tcPr>
            <w:tcW w:w="566" w:type="pct"/>
            <w:gridSpan w:val="2"/>
            <w:tcBorders>
              <w:top w:val="nil"/>
              <w:bottom w:val="nil"/>
              <w:right w:val="nil"/>
            </w:tcBorders>
            <w:tcMar>
              <w:top w:w="28" w:type="dxa"/>
              <w:bottom w:w="57" w:type="dxa"/>
            </w:tcMar>
          </w:tcPr>
          <w:p w14:paraId="2B717E2E"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tcPr>
          <w:p w14:paraId="3C027D22" w14:textId="4758BF8C"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t>
            </w:r>
            <w:r w:rsidR="0064440B" w:rsidRPr="00546F01">
              <w:rPr>
                <w:rFonts w:ascii="Times New Roman" w:eastAsia="Times New Roman" w:hAnsi="Times New Roman" w:cs="Times New Roman"/>
                <w:b/>
                <w:bCs/>
                <w:kern w:val="0"/>
                <w:sz w:val="20"/>
                <w:szCs w:val="20"/>
                <w:lang w:val="en-GB" w:eastAsia="pl-PL"/>
                <w14:ligatures w14:val="none"/>
              </w:rPr>
              <w:t>WHAT</w:t>
            </w:r>
            <w:r w:rsidRPr="00546F01">
              <w:rPr>
                <w:rFonts w:ascii="Times New Roman" w:eastAsia="Times New Roman" w:hAnsi="Times New Roman" w:cs="Times New Roman"/>
                <w:kern w:val="0"/>
                <w:sz w:val="20"/>
                <w:szCs w:val="20"/>
                <w:lang w:val="en-GB" w:eastAsia="pl-PL"/>
                <w14:ligatures w14:val="none"/>
              </w:rPr>
              <w:t>: There are no specific strategies to prevent informal patient payments as such payments are rare and not considered to be a problem. There exist only strategies to fight corruption in general that do not focus on the patient-physician relation. There are also various codes of conducts on bribes and gift giving by the ministry of justice and national associations, that target both medical doctors and civil servants in general.</w:t>
            </w:r>
          </w:p>
        </w:tc>
      </w:tr>
      <w:tr w:rsidR="00F927CA" w:rsidRPr="00546F01" w14:paraId="21A3F748" w14:textId="77777777" w:rsidTr="008F20F1">
        <w:trPr>
          <w:trHeight w:val="575"/>
        </w:trPr>
        <w:tc>
          <w:tcPr>
            <w:tcW w:w="566" w:type="pct"/>
            <w:gridSpan w:val="2"/>
            <w:tcBorders>
              <w:top w:val="nil"/>
              <w:bottom w:val="nil"/>
              <w:right w:val="nil"/>
            </w:tcBorders>
            <w:shd w:val="clear" w:color="auto" w:fill="FFFFFF"/>
            <w:tcMar>
              <w:top w:w="28" w:type="dxa"/>
              <w:bottom w:w="57" w:type="dxa"/>
            </w:tcMar>
          </w:tcPr>
          <w:p w14:paraId="50A2C568"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0F7BF649" w14:textId="5AAC1A9A" w:rsidR="002F6E00" w:rsidRPr="00546F01" w:rsidRDefault="002F6E00" w:rsidP="002F6E00">
            <w:pPr>
              <w:keepNext/>
              <w:keepLines/>
              <w:shd w:val="clear" w:color="auto" w:fill="FFFFFF"/>
              <w:spacing w:after="0" w:line="240" w:lineRule="auto"/>
              <w:textAlignment w:val="baseline"/>
              <w:outlineLvl w:val="2"/>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t>
            </w:r>
            <w:r w:rsidR="0064440B" w:rsidRPr="00546F01">
              <w:rPr>
                <w:rFonts w:ascii="Times New Roman" w:eastAsia="Times New Roman" w:hAnsi="Times New Roman" w:cs="Times New Roman"/>
                <w:b/>
                <w:bCs/>
                <w:kern w:val="0"/>
                <w:sz w:val="20"/>
                <w:szCs w:val="20"/>
                <w:lang w:val="en-GB" w:eastAsia="pl-PL"/>
                <w14:ligatures w14:val="none"/>
              </w:rPr>
              <w:t>WHAT</w:t>
            </w:r>
            <w:r w:rsidRPr="00546F01">
              <w:rPr>
                <w:rFonts w:ascii="Times New Roman" w:eastAsia="Times New Roman" w:hAnsi="Times New Roman" w:cs="Times New Roman"/>
                <w:kern w:val="0"/>
                <w:sz w:val="20"/>
                <w:szCs w:val="20"/>
                <w:lang w:val="en-GB" w:eastAsia="pl-PL"/>
                <w14:ligatures w14:val="none"/>
              </w:rPr>
              <w:t xml:space="preserve">: There is a National Anti-Corruption Action Plan, the new one for the period 2022-2025. This plan should be followed by more specific action plans for the sectors most affected by corruption, including the health sector. In 2018, the Draft Integrity Action Plan for the Ministry of Health focused on corruption in the health sector was developed with the support of international organizations, though few measures have been taken up. In 2019, the National Transparency Authority was established to fight corruption in public institutions. </w:t>
            </w:r>
          </w:p>
        </w:tc>
      </w:tr>
      <w:tr w:rsidR="00F927CA" w:rsidRPr="00546F01" w14:paraId="617CB095" w14:textId="77777777" w:rsidTr="008F20F1">
        <w:trPr>
          <w:trHeight w:val="540"/>
        </w:trPr>
        <w:tc>
          <w:tcPr>
            <w:tcW w:w="566" w:type="pct"/>
            <w:gridSpan w:val="2"/>
            <w:tcBorders>
              <w:top w:val="nil"/>
              <w:bottom w:val="single" w:sz="4" w:space="0" w:color="auto"/>
              <w:right w:val="nil"/>
            </w:tcBorders>
            <w:tcMar>
              <w:top w:w="28" w:type="dxa"/>
              <w:bottom w:w="57" w:type="dxa"/>
            </w:tcMar>
          </w:tcPr>
          <w:p w14:paraId="2A5257CE"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tcPr>
          <w:p w14:paraId="33FF3ABA" w14:textId="795BE6EE"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t>
            </w:r>
            <w:r w:rsidR="0064440B" w:rsidRPr="00546F01">
              <w:rPr>
                <w:rFonts w:ascii="Times New Roman" w:eastAsia="Times New Roman" w:hAnsi="Times New Roman" w:cs="Times New Roman"/>
                <w:b/>
                <w:bCs/>
                <w:kern w:val="0"/>
                <w:sz w:val="20"/>
                <w:szCs w:val="20"/>
                <w:lang w:val="en-GB" w:eastAsia="pl-PL"/>
                <w14:ligatures w14:val="none"/>
              </w:rPr>
              <w:t>WHAT</w:t>
            </w:r>
            <w:r w:rsidRPr="00546F01">
              <w:rPr>
                <w:rFonts w:ascii="Times New Roman" w:eastAsia="Times New Roman" w:hAnsi="Times New Roman" w:cs="Times New Roman"/>
                <w:kern w:val="0"/>
                <w:sz w:val="20"/>
                <w:szCs w:val="20"/>
                <w:lang w:val="en-GB" w:eastAsia="pl-PL"/>
                <w14:ligatures w14:val="none"/>
              </w:rPr>
              <w:t xml:space="preserve">: There are no specific strategies to eliminate informal patient payments as these payments are not considered a significant problem by policy makers. There are only strategies, programs, and code of conducts to fight corruption in general, not only in health care system. In 2006, the Central Anticorruption Bureau was also established. Some health care institutions </w:t>
            </w:r>
            <w:bookmarkStart w:id="29" w:name="_Hlk141717512"/>
            <w:r w:rsidRPr="00546F01">
              <w:rPr>
                <w:rFonts w:ascii="Times New Roman" w:eastAsia="Times New Roman" w:hAnsi="Times New Roman" w:cs="Times New Roman"/>
                <w:kern w:val="0"/>
                <w:sz w:val="20"/>
                <w:szCs w:val="20"/>
                <w:lang w:val="en-GB" w:eastAsia="pl-PL"/>
                <w14:ligatures w14:val="none"/>
              </w:rPr>
              <w:t>specify procedures for giving and receiving gifts (though it is not obligatory to have such procedures)</w:t>
            </w:r>
            <w:bookmarkEnd w:id="29"/>
            <w:r w:rsidRPr="00546F01">
              <w:rPr>
                <w:rFonts w:ascii="Times New Roman" w:eastAsia="Times New Roman" w:hAnsi="Times New Roman" w:cs="Times New Roman"/>
                <w:kern w:val="0"/>
                <w:sz w:val="20"/>
                <w:szCs w:val="20"/>
                <w:lang w:val="en-GB" w:eastAsia="pl-PL"/>
                <w14:ligatures w14:val="none"/>
              </w:rPr>
              <w:t xml:space="preserve">. </w:t>
            </w:r>
          </w:p>
        </w:tc>
      </w:tr>
      <w:tr w:rsidR="00F927CA" w:rsidRPr="00546F01" w14:paraId="1CDBB276" w14:textId="77777777" w:rsidTr="008F20F1">
        <w:trPr>
          <w:trHeight w:val="459"/>
        </w:trPr>
        <w:tc>
          <w:tcPr>
            <w:tcW w:w="5000" w:type="pct"/>
            <w:gridSpan w:val="3"/>
            <w:tcBorders>
              <w:bottom w:val="nil"/>
            </w:tcBorders>
            <w:tcMar>
              <w:top w:w="28" w:type="dxa"/>
              <w:bottom w:w="57" w:type="dxa"/>
            </w:tcMar>
          </w:tcPr>
          <w:p w14:paraId="078F3B1E" w14:textId="71FA62C8" w:rsidR="002F6E00" w:rsidRPr="00546F01" w:rsidRDefault="006E0AFD"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4.2. Are the public sector and private sector well separated, i.e., are health care legal entities allowed to provide both public and private services, and are medical professionals allowed to work in both the public and private sectors?</w:t>
            </w:r>
          </w:p>
        </w:tc>
      </w:tr>
      <w:tr w:rsidR="00F927CA" w:rsidRPr="00546F01" w14:paraId="6EA1D0B4" w14:textId="77777777" w:rsidTr="008F20F1">
        <w:trPr>
          <w:trHeight w:val="816"/>
        </w:trPr>
        <w:tc>
          <w:tcPr>
            <w:tcW w:w="566" w:type="pct"/>
            <w:gridSpan w:val="2"/>
            <w:tcBorders>
              <w:top w:val="nil"/>
              <w:bottom w:val="nil"/>
              <w:right w:val="nil"/>
            </w:tcBorders>
            <w:tcMar>
              <w:top w:w="28" w:type="dxa"/>
              <w:bottom w:w="57" w:type="dxa"/>
            </w:tcMar>
            <w:hideMark/>
          </w:tcPr>
          <w:p w14:paraId="335A1410"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noWrap/>
            <w:tcMar>
              <w:top w:w="28" w:type="dxa"/>
              <w:bottom w:w="57" w:type="dxa"/>
            </w:tcMar>
            <w:hideMark/>
          </w:tcPr>
          <w:p w14:paraId="21C07052" w14:textId="77777777" w:rsidR="002F6E00" w:rsidRPr="00546F01" w:rsidRDefault="002F6E00" w:rsidP="002F6E00">
            <w:pPr>
              <w:spacing w:after="0" w:line="240" w:lineRule="auto"/>
              <w:rPr>
                <w:rFonts w:ascii="Times New Roman" w:eastAsia="Times New Roman" w:hAnsi="Times New Roman" w:cs="Times New Roman"/>
                <w:strike/>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In general, health professionals can provide private care services, while mainly being employed in the public sector. The public and the private practices must however be separated. In practice, this separation is challenging. The </w:t>
            </w:r>
            <w:bookmarkStart w:id="30" w:name="_Hlk140586095"/>
            <w:r w:rsidRPr="00546F01">
              <w:rPr>
                <w:rFonts w:ascii="Times New Roman" w:eastAsia="Times New Roman" w:hAnsi="Times New Roman" w:cs="Times New Roman"/>
                <w:kern w:val="0"/>
                <w:sz w:val="20"/>
                <w:szCs w:val="20"/>
                <w:lang w:val="en-GB" w:eastAsia="pl-PL"/>
                <w14:ligatures w14:val="none"/>
              </w:rPr>
              <w:t xml:space="preserve">secondary (private or public) employment may not conflict with the main employment. </w:t>
            </w:r>
            <w:bookmarkEnd w:id="30"/>
            <w:r w:rsidRPr="00546F01">
              <w:rPr>
                <w:rFonts w:ascii="Times New Roman" w:eastAsia="Times New Roman" w:hAnsi="Times New Roman" w:cs="Times New Roman"/>
                <w:kern w:val="0"/>
                <w:sz w:val="20"/>
                <w:szCs w:val="20"/>
                <w:lang w:val="en-GB" w:eastAsia="pl-PL"/>
                <w14:ligatures w14:val="none"/>
              </w:rPr>
              <w:t xml:space="preserve">If the doctor's private practice takes place at a public hospital, there must be an agreement on payment for the </w:t>
            </w:r>
            <w:r w:rsidRPr="00546F01">
              <w:rPr>
                <w:rFonts w:ascii="Times New Roman" w:eastAsia="Times New Roman" w:hAnsi="Times New Roman" w:cs="Times New Roman"/>
                <w:kern w:val="0"/>
                <w:sz w:val="20"/>
                <w:szCs w:val="20"/>
                <w:lang w:val="en-GB" w:eastAsia="pl-PL"/>
                <w14:ligatures w14:val="none"/>
              </w:rPr>
              <w:lastRenderedPageBreak/>
              <w:t xml:space="preserve">use of equipment etc. It must be clear to the patient that the treatment is the doctor's responsibility and is outside the public hospital's area of responsibility. </w:t>
            </w:r>
          </w:p>
        </w:tc>
      </w:tr>
      <w:tr w:rsidR="00F927CA" w:rsidRPr="00546F01" w14:paraId="65C1CDB5" w14:textId="77777777" w:rsidTr="008F20F1">
        <w:trPr>
          <w:trHeight w:val="588"/>
        </w:trPr>
        <w:tc>
          <w:tcPr>
            <w:tcW w:w="566" w:type="pct"/>
            <w:gridSpan w:val="2"/>
            <w:tcBorders>
              <w:top w:val="nil"/>
              <w:bottom w:val="nil"/>
              <w:right w:val="nil"/>
            </w:tcBorders>
            <w:shd w:val="clear" w:color="auto" w:fill="FFFFFF"/>
            <w:tcMar>
              <w:top w:w="28" w:type="dxa"/>
              <w:bottom w:w="57" w:type="dxa"/>
            </w:tcMar>
            <w:hideMark/>
          </w:tcPr>
          <w:p w14:paraId="50D07E34"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 xml:space="preserve">Greece </w:t>
            </w:r>
          </w:p>
        </w:tc>
        <w:tc>
          <w:tcPr>
            <w:tcW w:w="4434" w:type="pct"/>
            <w:tcBorders>
              <w:top w:val="nil"/>
              <w:left w:val="nil"/>
              <w:bottom w:val="nil"/>
            </w:tcBorders>
            <w:shd w:val="clear" w:color="auto" w:fill="FFFFFF"/>
            <w:tcMar>
              <w:top w:w="28" w:type="dxa"/>
              <w:bottom w:w="57" w:type="dxa"/>
            </w:tcMar>
          </w:tcPr>
          <w:p w14:paraId="6986719F"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Most medical practitioners who are employed in the public system are not allowed to practice privately, with the exemption of university physicians. However, medical doctors employed in public hospitals are allowed to have patients outside their shift using the premises of the hospital, with revenues distributed between the hospital (40%) and the physician (60%). The prices of the afternoon visits are regulated by the state. </w:t>
            </w:r>
          </w:p>
        </w:tc>
      </w:tr>
      <w:tr w:rsidR="00F927CA" w:rsidRPr="00546F01" w14:paraId="7AB0144F" w14:textId="77777777" w:rsidTr="008F20F1">
        <w:trPr>
          <w:trHeight w:val="741"/>
        </w:trPr>
        <w:tc>
          <w:tcPr>
            <w:tcW w:w="566" w:type="pct"/>
            <w:gridSpan w:val="2"/>
            <w:tcBorders>
              <w:top w:val="nil"/>
              <w:bottom w:val="single" w:sz="4" w:space="0" w:color="auto"/>
              <w:right w:val="nil"/>
            </w:tcBorders>
            <w:tcMar>
              <w:top w:w="28" w:type="dxa"/>
              <w:bottom w:w="57" w:type="dxa"/>
            </w:tcMar>
            <w:hideMark/>
          </w:tcPr>
          <w:p w14:paraId="56FD76A3"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54BD3BE8"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SOMEWHAT</w:t>
            </w:r>
            <w:r w:rsidRPr="00546F01">
              <w:rPr>
                <w:rFonts w:ascii="Times New Roman" w:eastAsia="Times New Roman" w:hAnsi="Times New Roman" w:cs="Times New Roman"/>
                <w:kern w:val="0"/>
                <w:sz w:val="20"/>
                <w:szCs w:val="20"/>
                <w:lang w:val="en-GB" w:eastAsia="pl-PL"/>
                <w14:ligatures w14:val="none"/>
              </w:rPr>
              <w:t xml:space="preserve">: In general, health care entities that provide publicly financed health care can also provide private services, though these two should be separated (provided in a different time slot). Moreover, the </w:t>
            </w:r>
            <w:bookmarkStart w:id="31" w:name="_Hlk140586073"/>
            <w:r w:rsidRPr="00546F01">
              <w:rPr>
                <w:rFonts w:ascii="Times New Roman" w:eastAsia="Times New Roman" w:hAnsi="Times New Roman" w:cs="Times New Roman"/>
                <w:kern w:val="0"/>
                <w:sz w:val="20"/>
                <w:szCs w:val="20"/>
                <w:lang w:val="en-GB" w:eastAsia="pl-PL"/>
                <w14:ligatures w14:val="none"/>
              </w:rPr>
              <w:t xml:space="preserve">provision of private services should not reduce quality and access for patients using publicly financed services. </w:t>
            </w:r>
            <w:bookmarkEnd w:id="31"/>
            <w:r w:rsidRPr="00546F01">
              <w:rPr>
                <w:rFonts w:ascii="Times New Roman" w:eastAsia="Times New Roman" w:hAnsi="Times New Roman" w:cs="Times New Roman"/>
                <w:kern w:val="0"/>
                <w:sz w:val="20"/>
                <w:szCs w:val="20"/>
                <w:lang w:val="en-GB" w:eastAsia="pl-PL"/>
                <w14:ligatures w14:val="none"/>
              </w:rPr>
              <w:t xml:space="preserve">In practice, this separation is challenging. Health professionals are also allowed to work in the public sector and private sector (e.g., have an individual private practice), which happens often. Patients use private practices to obtain access to public care. </w:t>
            </w:r>
          </w:p>
        </w:tc>
      </w:tr>
      <w:tr w:rsidR="00F927CA" w:rsidRPr="00546F01" w14:paraId="634772DE" w14:textId="77777777" w:rsidTr="008F20F1">
        <w:trPr>
          <w:trHeight w:val="50"/>
        </w:trPr>
        <w:tc>
          <w:tcPr>
            <w:tcW w:w="5000" w:type="pct"/>
            <w:gridSpan w:val="3"/>
            <w:tcBorders>
              <w:bottom w:val="nil"/>
            </w:tcBorders>
            <w:tcMar>
              <w:top w:w="28" w:type="dxa"/>
              <w:bottom w:w="57" w:type="dxa"/>
            </w:tcMar>
          </w:tcPr>
          <w:p w14:paraId="50082385" w14:textId="5C87300F" w:rsidR="002F6E00" w:rsidRPr="00546F01" w:rsidRDefault="006E0AFD"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 xml:space="preserve">4.3. Are there any regulations and mechanisms to </w:t>
            </w:r>
            <w:proofErr w:type="gramStart"/>
            <w:r w:rsidRPr="00546F01">
              <w:rPr>
                <w:rFonts w:ascii="Times New Roman" w:eastAsia="Times New Roman" w:hAnsi="Times New Roman" w:cs="Times New Roman"/>
                <w:b/>
                <w:bCs/>
                <w:kern w:val="0"/>
                <w:sz w:val="20"/>
                <w:szCs w:val="20"/>
                <w:lang w:val="en-GB" w:eastAsia="pl-PL"/>
                <w14:ligatures w14:val="none"/>
              </w:rPr>
              <w:t>take into account</w:t>
            </w:r>
            <w:proofErr w:type="gramEnd"/>
            <w:r w:rsidRPr="00546F01">
              <w:rPr>
                <w:rFonts w:ascii="Times New Roman" w:eastAsia="Times New Roman" w:hAnsi="Times New Roman" w:cs="Times New Roman"/>
                <w:b/>
                <w:bCs/>
                <w:kern w:val="0"/>
                <w:sz w:val="20"/>
                <w:szCs w:val="20"/>
                <w:lang w:val="en-GB" w:eastAsia="pl-PL"/>
                <w14:ligatures w14:val="none"/>
              </w:rPr>
              <w:t xml:space="preserve"> the performances of health professionals when hiring, promoting, and remunerating them?</w:t>
            </w:r>
          </w:p>
        </w:tc>
      </w:tr>
      <w:tr w:rsidR="00F927CA" w:rsidRPr="00546F01" w14:paraId="32FE9621" w14:textId="77777777" w:rsidTr="008F20F1">
        <w:trPr>
          <w:trHeight w:val="559"/>
        </w:trPr>
        <w:tc>
          <w:tcPr>
            <w:tcW w:w="566" w:type="pct"/>
            <w:gridSpan w:val="2"/>
            <w:tcBorders>
              <w:top w:val="nil"/>
              <w:bottom w:val="nil"/>
              <w:right w:val="nil"/>
            </w:tcBorders>
            <w:tcMar>
              <w:top w:w="28" w:type="dxa"/>
              <w:bottom w:w="57" w:type="dxa"/>
            </w:tcMar>
            <w:hideMark/>
          </w:tcPr>
          <w:p w14:paraId="470E886A"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13941537"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are no mechanisms to account for the performances of health professionals. Most employed health workers are paid salaries calculated based on their qualification, and number of hours worked, independently of productivity or quality of services. The state sets the minimum level of salaries. </w:t>
            </w:r>
          </w:p>
        </w:tc>
      </w:tr>
      <w:tr w:rsidR="00F927CA" w:rsidRPr="00546F01" w14:paraId="0B9BD9F9" w14:textId="77777777" w:rsidTr="008F20F1">
        <w:trPr>
          <w:trHeight w:val="568"/>
        </w:trPr>
        <w:tc>
          <w:tcPr>
            <w:tcW w:w="566" w:type="pct"/>
            <w:gridSpan w:val="2"/>
            <w:tcBorders>
              <w:top w:val="nil"/>
              <w:bottom w:val="nil"/>
              <w:right w:val="nil"/>
            </w:tcBorders>
            <w:shd w:val="clear" w:color="auto" w:fill="FFFFFF"/>
            <w:tcMar>
              <w:top w:w="28" w:type="dxa"/>
              <w:bottom w:w="57" w:type="dxa"/>
            </w:tcMar>
            <w:hideMark/>
          </w:tcPr>
          <w:p w14:paraId="6BD23DD6"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7B9B3060" w14:textId="77777777" w:rsidR="002F6E00" w:rsidRPr="00546F01" w:rsidRDefault="002F6E00" w:rsidP="002F6E00">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w:t>
            </w:r>
            <w:r w:rsidRPr="00546F01">
              <w:rPr>
                <w:rFonts w:ascii="Times New Roman" w:eastAsia="Times New Roman" w:hAnsi="Times New Roman" w:cs="Times New Roman"/>
                <w:b/>
                <w:bCs/>
                <w:kern w:val="0"/>
                <w:sz w:val="20"/>
                <w:szCs w:val="20"/>
                <w:lang w:val="en-GB" w:eastAsia="pl-PL"/>
                <w14:ligatures w14:val="none"/>
              </w:rPr>
              <w:t xml:space="preserve"> </w:t>
            </w:r>
            <w:r w:rsidRPr="00546F01">
              <w:rPr>
                <w:rFonts w:ascii="Times New Roman" w:eastAsia="Times New Roman" w:hAnsi="Times New Roman" w:cs="Times New Roman"/>
                <w:kern w:val="0"/>
                <w:sz w:val="20"/>
                <w:szCs w:val="20"/>
                <w:lang w:val="en-GB" w:eastAsia="pl-PL"/>
                <w14:ligatures w14:val="none"/>
              </w:rPr>
              <w:t>There are no mechanisms to account for the performances of health professionals. Professionals in the public sector are paid a salary without</w:t>
            </w:r>
            <w:r w:rsidRPr="00546F01">
              <w:rPr>
                <w:rFonts w:ascii="Times New Roman" w:eastAsia="Calibri" w:hAnsi="Times New Roman" w:cs="Times New Roman"/>
                <w:kern w:val="0"/>
                <w:sz w:val="20"/>
                <w:szCs w:val="20"/>
                <w:lang w:val="en-GB"/>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incentives for improving productivity or quality of care. The salaries are also considered low. </w:t>
            </w:r>
          </w:p>
        </w:tc>
      </w:tr>
      <w:tr w:rsidR="00F927CA" w:rsidRPr="00546F01" w14:paraId="544F37AF" w14:textId="77777777" w:rsidTr="008F20F1">
        <w:trPr>
          <w:trHeight w:val="757"/>
        </w:trPr>
        <w:tc>
          <w:tcPr>
            <w:tcW w:w="566" w:type="pct"/>
            <w:gridSpan w:val="2"/>
            <w:tcBorders>
              <w:top w:val="nil"/>
              <w:right w:val="nil"/>
            </w:tcBorders>
            <w:tcMar>
              <w:top w:w="28" w:type="dxa"/>
              <w:bottom w:w="57" w:type="dxa"/>
            </w:tcMar>
            <w:hideMark/>
          </w:tcPr>
          <w:p w14:paraId="7505EC1D"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tcBorders>
            <w:tcMar>
              <w:top w:w="28" w:type="dxa"/>
              <w:bottom w:w="57" w:type="dxa"/>
            </w:tcMar>
            <w:hideMark/>
          </w:tcPr>
          <w:p w14:paraId="7F3FF963" w14:textId="77777777" w:rsidR="002F6E00" w:rsidRPr="00546F01" w:rsidRDefault="002F6E00" w:rsidP="002F6E00">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are no mechanisms to account for the performances of health professionals other than, in some cases, the number of provided services. Health professionals who work under employment contracts receive a monthly salary. The state sets the minim level of salaries, which are not considered low anymore. Professionals who work under civil-law contracts might be paid with a flat fee or per provided services. </w:t>
            </w:r>
          </w:p>
        </w:tc>
      </w:tr>
      <w:tr w:rsidR="00F927CA" w:rsidRPr="00546F01" w14:paraId="2FA66FA4" w14:textId="77777777" w:rsidTr="008F20F1">
        <w:trPr>
          <w:trHeight w:val="205"/>
        </w:trPr>
        <w:tc>
          <w:tcPr>
            <w:tcW w:w="5000" w:type="pct"/>
            <w:gridSpan w:val="3"/>
            <w:tcBorders>
              <w:bottom w:val="nil"/>
            </w:tcBorders>
            <w:tcMar>
              <w:top w:w="28" w:type="dxa"/>
              <w:bottom w:w="57" w:type="dxa"/>
            </w:tcMar>
          </w:tcPr>
          <w:p w14:paraId="622E9211" w14:textId="2F6CCBFF" w:rsidR="006E0AFD" w:rsidRPr="00546F01" w:rsidRDefault="004D7AFC" w:rsidP="006E0AFD">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5.</w:t>
            </w:r>
            <w:r w:rsidRPr="00546F01">
              <w:rPr>
                <w:rFonts w:ascii="Times New Roman" w:eastAsia="Times New Roman" w:hAnsi="Times New Roman" w:cs="Times New Roman"/>
                <w:b/>
                <w:bCs/>
                <w:kern w:val="0"/>
                <w:sz w:val="20"/>
                <w:szCs w:val="20"/>
                <w:lang w:val="en-GB" w:eastAsia="pl-PL"/>
                <w14:ligatures w14:val="none"/>
              </w:rPr>
              <w:tab/>
              <w:t>Capacity</w:t>
            </w:r>
          </w:p>
        </w:tc>
      </w:tr>
      <w:tr w:rsidR="00F927CA" w:rsidRPr="00546F01" w14:paraId="14A50DFA" w14:textId="77777777" w:rsidTr="008F20F1">
        <w:trPr>
          <w:trHeight w:val="205"/>
        </w:trPr>
        <w:tc>
          <w:tcPr>
            <w:tcW w:w="5000" w:type="pct"/>
            <w:gridSpan w:val="3"/>
            <w:tcBorders>
              <w:bottom w:val="nil"/>
            </w:tcBorders>
            <w:tcMar>
              <w:top w:w="28" w:type="dxa"/>
              <w:bottom w:w="57" w:type="dxa"/>
            </w:tcMar>
          </w:tcPr>
          <w:p w14:paraId="5225F140" w14:textId="647D88C7" w:rsidR="006E0AFD" w:rsidRPr="00546F01" w:rsidRDefault="004D7AFC" w:rsidP="006E0AFD">
            <w:pPr>
              <w:spacing w:after="0" w:line="240" w:lineRule="auto"/>
              <w:rPr>
                <w:rFonts w:ascii="Times New Roman" w:eastAsia="Times New Roman" w:hAnsi="Times New Roman" w:cs="Times New Roman"/>
                <w:b/>
                <w:bCs/>
                <w:kern w:val="0"/>
                <w:sz w:val="20"/>
                <w:szCs w:val="20"/>
                <w:lang w:val="en-GB" w:eastAsia="pl-PL"/>
                <w14:ligatures w14:val="none"/>
              </w:rPr>
            </w:pPr>
            <w:bookmarkStart w:id="32" w:name="_Hlk144570007"/>
            <w:bookmarkEnd w:id="28"/>
            <w:r w:rsidRPr="00546F01">
              <w:rPr>
                <w:rFonts w:ascii="Times New Roman" w:eastAsia="Times New Roman" w:hAnsi="Times New Roman" w:cs="Times New Roman"/>
                <w:b/>
                <w:bCs/>
                <w:kern w:val="0"/>
                <w:sz w:val="20"/>
                <w:szCs w:val="20"/>
                <w:lang w:val="en-GB" w:eastAsia="pl-PL"/>
                <w14:ligatures w14:val="none"/>
              </w:rPr>
              <w:t>5.1. Are there any specific institutions that provide evidence and support health policymaking, including policy on patient payments (e.g., HTA agency, research institutes)?</w:t>
            </w:r>
          </w:p>
        </w:tc>
      </w:tr>
      <w:tr w:rsidR="00F927CA" w:rsidRPr="00546F01" w14:paraId="600F9509" w14:textId="77777777" w:rsidTr="008F20F1">
        <w:trPr>
          <w:trHeight w:val="301"/>
        </w:trPr>
        <w:tc>
          <w:tcPr>
            <w:tcW w:w="566" w:type="pct"/>
            <w:gridSpan w:val="2"/>
            <w:tcBorders>
              <w:top w:val="nil"/>
              <w:bottom w:val="nil"/>
              <w:right w:val="nil"/>
            </w:tcBorders>
            <w:tcMar>
              <w:top w:w="28" w:type="dxa"/>
              <w:bottom w:w="57" w:type="dxa"/>
            </w:tcMar>
            <w:hideMark/>
          </w:tcPr>
          <w:p w14:paraId="1B15EE9D"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hideMark/>
          </w:tcPr>
          <w:p w14:paraId="336FB8C1"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There are numerous institutions to provide research evidence for health policymaking, e.g. VIVE. Also, the National Institute of Public Health plays a key role. For now, HTA is made by the Danish Medicines Agency (</w:t>
            </w:r>
            <w:proofErr w:type="spellStart"/>
            <w:r w:rsidRPr="00546F01">
              <w:rPr>
                <w:rFonts w:ascii="Times New Roman" w:eastAsia="Times New Roman" w:hAnsi="Times New Roman" w:cs="Times New Roman"/>
                <w:kern w:val="0"/>
                <w:sz w:val="20"/>
                <w:szCs w:val="20"/>
                <w:lang w:val="en-GB" w:eastAsia="pl-PL"/>
                <w14:ligatures w14:val="none"/>
              </w:rPr>
              <w:t>Medicinrådet</w:t>
            </w:r>
            <w:proofErr w:type="spellEnd"/>
            <w:r w:rsidRPr="00546F01">
              <w:rPr>
                <w:rFonts w:ascii="Times New Roman" w:eastAsia="Times New Roman" w:hAnsi="Times New Roman" w:cs="Times New Roman"/>
                <w:kern w:val="0"/>
                <w:sz w:val="20"/>
                <w:szCs w:val="20"/>
                <w:lang w:val="en-GB" w:eastAsia="pl-PL"/>
                <w14:ligatures w14:val="none"/>
              </w:rPr>
              <w:t xml:space="preserve">) and by </w:t>
            </w:r>
            <w:proofErr w:type="spellStart"/>
            <w:r w:rsidRPr="00546F01">
              <w:rPr>
                <w:rFonts w:ascii="Times New Roman" w:eastAsia="Times New Roman" w:hAnsi="Times New Roman" w:cs="Times New Roman"/>
                <w:kern w:val="0"/>
                <w:sz w:val="20"/>
                <w:szCs w:val="20"/>
                <w:lang w:val="en-GB" w:eastAsia="pl-PL"/>
                <w14:ligatures w14:val="none"/>
              </w:rPr>
              <w:t>Amgros</w:t>
            </w:r>
            <w:proofErr w:type="spellEnd"/>
            <w:r w:rsidRPr="00546F01">
              <w:rPr>
                <w:rFonts w:ascii="Times New Roman" w:eastAsia="Times New Roman" w:hAnsi="Times New Roman" w:cs="Times New Roman"/>
                <w:kern w:val="0"/>
                <w:sz w:val="20"/>
                <w:szCs w:val="20"/>
                <w:lang w:val="en-GB" w:eastAsia="pl-PL"/>
                <w14:ligatures w14:val="none"/>
              </w:rPr>
              <w:t>. </w:t>
            </w:r>
          </w:p>
        </w:tc>
      </w:tr>
      <w:tr w:rsidR="00F927CA" w:rsidRPr="00546F01" w14:paraId="0184A93E" w14:textId="77777777" w:rsidTr="008F20F1">
        <w:trPr>
          <w:trHeight w:val="305"/>
        </w:trPr>
        <w:tc>
          <w:tcPr>
            <w:tcW w:w="566" w:type="pct"/>
            <w:gridSpan w:val="2"/>
            <w:tcBorders>
              <w:top w:val="nil"/>
              <w:bottom w:val="nil"/>
              <w:right w:val="nil"/>
            </w:tcBorders>
            <w:shd w:val="clear" w:color="auto" w:fill="FFFFFF"/>
            <w:tcMar>
              <w:top w:w="28" w:type="dxa"/>
              <w:bottom w:w="57" w:type="dxa"/>
            </w:tcMar>
            <w:hideMark/>
          </w:tcPr>
          <w:p w14:paraId="50D55AB4"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tcMar>
              <w:top w:w="28" w:type="dxa"/>
              <w:bottom w:w="57" w:type="dxa"/>
            </w:tcMar>
          </w:tcPr>
          <w:p w14:paraId="24057C77" w14:textId="77777777" w:rsidR="006E0AFD" w:rsidRPr="00546F01" w:rsidRDefault="006E0AFD" w:rsidP="006E0AFD">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There are some institutions to support health policymaking, e.g.</w:t>
            </w:r>
            <w:r w:rsidRPr="00546F01">
              <w:rPr>
                <w:rFonts w:ascii="Times New Roman" w:eastAsia="Calibri" w:hAnsi="Times New Roman" w:cs="Times New Roman"/>
                <w:kern w:val="0"/>
                <w:sz w:val="20"/>
                <w:szCs w:val="20"/>
                <w:lang w:val="en-GB"/>
                <w14:ligatures w14:val="none"/>
              </w:rPr>
              <w:t xml:space="preserve"> </w:t>
            </w:r>
            <w:r w:rsidRPr="00546F01">
              <w:rPr>
                <w:rFonts w:ascii="Times New Roman" w:eastAsia="Times New Roman" w:hAnsi="Times New Roman" w:cs="Times New Roman"/>
                <w:kern w:val="0"/>
                <w:sz w:val="20"/>
                <w:szCs w:val="20"/>
                <w:lang w:val="en-GB" w:eastAsia="pl-PL"/>
                <w14:ligatures w14:val="none"/>
              </w:rPr>
              <w:t>the Greek DRG Institute,</w:t>
            </w:r>
            <w:r w:rsidRPr="00546F01">
              <w:rPr>
                <w:rFonts w:ascii="Times New Roman" w:eastAsia="Calibri" w:hAnsi="Times New Roman" w:cs="Times New Roman"/>
                <w:kern w:val="0"/>
                <w:sz w:val="20"/>
                <w:szCs w:val="20"/>
                <w14:ligatures w14:val="none"/>
              </w:rPr>
              <w:t xml:space="preserve"> </w:t>
            </w:r>
            <w:r w:rsidRPr="00546F01">
              <w:rPr>
                <w:rFonts w:ascii="Times New Roman" w:eastAsia="Times New Roman" w:hAnsi="Times New Roman" w:cs="Times New Roman"/>
                <w:kern w:val="0"/>
                <w:sz w:val="20"/>
                <w:szCs w:val="20"/>
                <w:lang w:val="en-GB" w:eastAsia="pl-PL"/>
                <w14:ligatures w14:val="none"/>
              </w:rPr>
              <w:t xml:space="preserve">the National Evaluation </w:t>
            </w:r>
            <w:proofErr w:type="spellStart"/>
            <w:r w:rsidRPr="00546F01">
              <w:rPr>
                <w:rFonts w:ascii="Times New Roman" w:eastAsia="Times New Roman" w:hAnsi="Times New Roman" w:cs="Times New Roman"/>
                <w:kern w:val="0"/>
                <w:sz w:val="20"/>
                <w:szCs w:val="20"/>
                <w:lang w:val="en-GB" w:eastAsia="pl-PL"/>
                <w14:ligatures w14:val="none"/>
              </w:rPr>
              <w:t>Center</w:t>
            </w:r>
            <w:proofErr w:type="spellEnd"/>
            <w:r w:rsidRPr="00546F01">
              <w:rPr>
                <w:rFonts w:ascii="Times New Roman" w:eastAsia="Times New Roman" w:hAnsi="Times New Roman" w:cs="Times New Roman"/>
                <w:kern w:val="0"/>
                <w:sz w:val="20"/>
                <w:szCs w:val="20"/>
                <w:lang w:val="en-GB" w:eastAsia="pl-PL"/>
                <w14:ligatures w14:val="none"/>
              </w:rPr>
              <w:t xml:space="preserve"> of Quality and Technology in Health (EKAPTY), the National Agency for Quality Assurance in Health (ΟDIPY). A dedicated independent HTA agency is still lacking though in 2018 the Committee for the Assessment and Reimbursement of Medicinal Products for Human Use was established.</w:t>
            </w:r>
            <w:r w:rsidRPr="00546F01">
              <w:rPr>
                <w:rFonts w:ascii="Calibri" w:eastAsia="Calibri" w:hAnsi="Calibri" w:cs="Times New Roman"/>
                <w:kern w:val="0"/>
                <w:lang w:val="en-GB"/>
                <w14:ligatures w14:val="none"/>
              </w:rPr>
              <w:t xml:space="preserve"> </w:t>
            </w:r>
          </w:p>
        </w:tc>
      </w:tr>
      <w:tr w:rsidR="00F927CA" w:rsidRPr="00546F01" w14:paraId="06CE6E29" w14:textId="77777777" w:rsidTr="008F20F1">
        <w:trPr>
          <w:trHeight w:val="405"/>
        </w:trPr>
        <w:tc>
          <w:tcPr>
            <w:tcW w:w="566" w:type="pct"/>
            <w:gridSpan w:val="2"/>
            <w:tcBorders>
              <w:top w:val="nil"/>
              <w:bottom w:val="single" w:sz="4" w:space="0" w:color="auto"/>
              <w:right w:val="nil"/>
            </w:tcBorders>
            <w:tcMar>
              <w:top w:w="28" w:type="dxa"/>
              <w:bottom w:w="57" w:type="dxa"/>
            </w:tcMar>
            <w:hideMark/>
          </w:tcPr>
          <w:p w14:paraId="595D51FD"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6C1F4607"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YES</w:t>
            </w:r>
            <w:r w:rsidRPr="00546F01">
              <w:rPr>
                <w:rFonts w:ascii="Times New Roman" w:eastAsia="Times New Roman" w:hAnsi="Times New Roman" w:cs="Times New Roman"/>
                <w:kern w:val="0"/>
                <w:sz w:val="20"/>
                <w:szCs w:val="20"/>
                <w:lang w:val="en-GB" w:eastAsia="pl-PL"/>
                <w14:ligatures w14:val="none"/>
              </w:rPr>
              <w:t xml:space="preserve">: There are various institutions to support policymaking. A key research and advisory institution </w:t>
            </w:r>
            <w:proofErr w:type="gramStart"/>
            <w:r w:rsidRPr="00546F01">
              <w:rPr>
                <w:rFonts w:ascii="Times New Roman" w:eastAsia="Times New Roman" w:hAnsi="Times New Roman" w:cs="Times New Roman"/>
                <w:kern w:val="0"/>
                <w:sz w:val="20"/>
                <w:szCs w:val="20"/>
                <w:lang w:val="en-GB" w:eastAsia="pl-PL"/>
                <w14:ligatures w14:val="none"/>
              </w:rPr>
              <w:t>is</w:t>
            </w:r>
            <w:proofErr w:type="gramEnd"/>
            <w:r w:rsidRPr="00546F01">
              <w:rPr>
                <w:rFonts w:ascii="Times New Roman" w:eastAsia="Times New Roman" w:hAnsi="Times New Roman" w:cs="Times New Roman"/>
                <w:kern w:val="0"/>
                <w:sz w:val="20"/>
                <w:szCs w:val="20"/>
                <w:lang w:val="en-GB" w:eastAsia="pl-PL"/>
                <w14:ligatures w14:val="none"/>
              </w:rPr>
              <w:t xml:space="preserve"> the National Institute of Public Health - National Research Institute. There is also an HTA agency (established in 2005). </w:t>
            </w:r>
          </w:p>
        </w:tc>
      </w:tr>
      <w:tr w:rsidR="00F927CA" w:rsidRPr="00546F01" w14:paraId="0FE05215" w14:textId="77777777" w:rsidTr="008F20F1">
        <w:trPr>
          <w:trHeight w:val="220"/>
        </w:trPr>
        <w:tc>
          <w:tcPr>
            <w:tcW w:w="5000" w:type="pct"/>
            <w:gridSpan w:val="3"/>
            <w:tcBorders>
              <w:bottom w:val="nil"/>
            </w:tcBorders>
            <w:tcMar>
              <w:top w:w="28" w:type="dxa"/>
              <w:bottom w:w="57" w:type="dxa"/>
            </w:tcMar>
          </w:tcPr>
          <w:p w14:paraId="3864D8DC" w14:textId="6E790EE9" w:rsidR="006E0AFD" w:rsidRPr="00546F01" w:rsidRDefault="004D7AFC"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 xml:space="preserve">5.2. </w:t>
            </w:r>
            <w:proofErr w:type="gramStart"/>
            <w:r w:rsidRPr="00546F01">
              <w:rPr>
                <w:rFonts w:ascii="Times New Roman" w:eastAsia="Times New Roman" w:hAnsi="Times New Roman" w:cs="Times New Roman"/>
                <w:b/>
                <w:bCs/>
                <w:kern w:val="0"/>
                <w:sz w:val="20"/>
                <w:szCs w:val="20"/>
                <w:lang w:val="en-GB" w:eastAsia="pl-PL"/>
                <w14:ligatures w14:val="none"/>
              </w:rPr>
              <w:t>Is</w:t>
            </w:r>
            <w:proofErr w:type="gramEnd"/>
            <w:r w:rsidRPr="00546F01">
              <w:rPr>
                <w:rFonts w:ascii="Times New Roman" w:eastAsia="Times New Roman" w:hAnsi="Times New Roman" w:cs="Times New Roman"/>
                <w:b/>
                <w:bCs/>
                <w:kern w:val="0"/>
                <w:sz w:val="20"/>
                <w:szCs w:val="20"/>
                <w:lang w:val="en-GB" w:eastAsia="pl-PL"/>
                <w14:ligatures w14:val="none"/>
              </w:rPr>
              <w:t xml:space="preserve"> there a mechanism and practice of relying on evidence in health policymaking?</w:t>
            </w:r>
          </w:p>
        </w:tc>
      </w:tr>
      <w:tr w:rsidR="00F927CA" w:rsidRPr="00546F01" w14:paraId="3CFECAEB" w14:textId="77777777" w:rsidTr="008F20F1">
        <w:trPr>
          <w:trHeight w:val="737"/>
        </w:trPr>
        <w:tc>
          <w:tcPr>
            <w:tcW w:w="566" w:type="pct"/>
            <w:gridSpan w:val="2"/>
            <w:tcBorders>
              <w:top w:val="nil"/>
              <w:bottom w:val="nil"/>
              <w:right w:val="nil"/>
            </w:tcBorders>
            <w:tcMar>
              <w:top w:w="28" w:type="dxa"/>
              <w:bottom w:w="57" w:type="dxa"/>
            </w:tcMar>
            <w:hideMark/>
          </w:tcPr>
          <w:p w14:paraId="2BB9A128"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lastRenderedPageBreak/>
              <w:t xml:space="preserve">Denmark </w:t>
            </w:r>
          </w:p>
        </w:tc>
        <w:tc>
          <w:tcPr>
            <w:tcW w:w="4434" w:type="pct"/>
            <w:tcBorders>
              <w:top w:val="nil"/>
              <w:left w:val="nil"/>
              <w:bottom w:val="nil"/>
            </w:tcBorders>
            <w:noWrap/>
            <w:tcMar>
              <w:top w:w="28" w:type="dxa"/>
              <w:bottom w:w="57" w:type="dxa"/>
            </w:tcMar>
            <w:hideMark/>
          </w:tcPr>
          <w:p w14:paraId="0B6857D9"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bookmarkStart w:id="33" w:name="_Hlk150259482"/>
            <w:r w:rsidRPr="00546F01">
              <w:rPr>
                <w:rFonts w:ascii="Times New Roman" w:eastAsia="Times New Roman" w:hAnsi="Times New Roman" w:cs="Times New Roman"/>
                <w:b/>
                <w:bCs/>
                <w:kern w:val="0"/>
                <w:sz w:val="20"/>
                <w:szCs w:val="20"/>
                <w:lang w:val="en-GB" w:eastAsia="pl-PL"/>
                <w14:ligatures w14:val="none"/>
              </w:rPr>
              <w:t>SOMEWHAT</w:t>
            </w:r>
            <w:bookmarkEnd w:id="33"/>
            <w:r w:rsidRPr="00546F01">
              <w:rPr>
                <w:rFonts w:ascii="Times New Roman" w:eastAsia="Times New Roman" w:hAnsi="Times New Roman" w:cs="Times New Roman"/>
                <w:kern w:val="0"/>
                <w:sz w:val="20"/>
                <w:szCs w:val="20"/>
                <w:lang w:val="en-GB" w:eastAsia="pl-PL"/>
                <w14:ligatures w14:val="none"/>
              </w:rPr>
              <w:t>: There is a culture of including evidence into policy. Ministries generally cooperate with think tanks and research institutions, to provide evidence informed and evidence-based policies, however this practice is not systematic. HTA principles are used for medicines reimbursement but not for medical devices.</w:t>
            </w:r>
          </w:p>
        </w:tc>
      </w:tr>
      <w:tr w:rsidR="00F927CA" w:rsidRPr="00546F01" w14:paraId="08F6FD70" w14:textId="77777777" w:rsidTr="008F20F1">
        <w:trPr>
          <w:trHeight w:val="50"/>
        </w:trPr>
        <w:tc>
          <w:tcPr>
            <w:tcW w:w="566" w:type="pct"/>
            <w:gridSpan w:val="2"/>
            <w:tcBorders>
              <w:top w:val="nil"/>
              <w:bottom w:val="nil"/>
              <w:right w:val="nil"/>
            </w:tcBorders>
            <w:shd w:val="clear" w:color="auto" w:fill="FFFFFF"/>
            <w:tcMar>
              <w:top w:w="28" w:type="dxa"/>
              <w:bottom w:w="57" w:type="dxa"/>
            </w:tcMar>
            <w:hideMark/>
          </w:tcPr>
          <w:p w14:paraId="15BB5DDC"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Greece </w:t>
            </w:r>
          </w:p>
        </w:tc>
        <w:tc>
          <w:tcPr>
            <w:tcW w:w="4434" w:type="pct"/>
            <w:tcBorders>
              <w:top w:val="nil"/>
              <w:left w:val="nil"/>
              <w:bottom w:val="nil"/>
            </w:tcBorders>
            <w:shd w:val="clear" w:color="auto" w:fill="FFFFFF"/>
            <w:noWrap/>
            <w:tcMar>
              <w:top w:w="28" w:type="dxa"/>
              <w:bottom w:w="57" w:type="dxa"/>
            </w:tcMar>
          </w:tcPr>
          <w:p w14:paraId="500C7525"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is no practice of making policy based on evidence, though a justification should accompany normative acts and laws before they reach the parliament. Stakeholders and policy advisors may have an influence on the policy based on their power. Systematic HTA process to inform decision on benefit package is not yet fully in place (it begun to be implemented in 2018 for medicines). </w:t>
            </w:r>
          </w:p>
        </w:tc>
      </w:tr>
      <w:tr w:rsidR="00F927CA" w:rsidRPr="00546F01" w14:paraId="0F5CC9AA" w14:textId="77777777" w:rsidTr="008F20F1">
        <w:trPr>
          <w:trHeight w:val="818"/>
        </w:trPr>
        <w:tc>
          <w:tcPr>
            <w:tcW w:w="566" w:type="pct"/>
            <w:gridSpan w:val="2"/>
            <w:tcBorders>
              <w:top w:val="nil"/>
              <w:bottom w:val="single" w:sz="4" w:space="0" w:color="auto"/>
              <w:right w:val="nil"/>
            </w:tcBorders>
            <w:tcMar>
              <w:top w:w="28" w:type="dxa"/>
              <w:bottom w:w="57" w:type="dxa"/>
            </w:tcMar>
            <w:hideMark/>
          </w:tcPr>
          <w:p w14:paraId="066561DF"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bottom w:val="single" w:sz="4" w:space="0" w:color="auto"/>
            </w:tcBorders>
            <w:tcMar>
              <w:top w:w="28" w:type="dxa"/>
              <w:bottom w:w="57" w:type="dxa"/>
            </w:tcMar>
            <w:hideMark/>
          </w:tcPr>
          <w:p w14:paraId="7A68539E"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xml:space="preserve">: There is no practice of making policy based on thorough research and robust evidence. For normative acts it is obligatory only to prepare a justification why the act is proposed. A regulatory impact analysis of the proposed law should be also performed; however, it is rarely done. The implemented policies are rarely evaluated. The exemptions are decisions on the benefit package, which are based on non-binding recommendations by the HTA agency. </w:t>
            </w:r>
          </w:p>
        </w:tc>
      </w:tr>
      <w:tr w:rsidR="00F927CA" w:rsidRPr="00546F01" w14:paraId="2E9134D2" w14:textId="77777777" w:rsidTr="008F20F1">
        <w:trPr>
          <w:trHeight w:val="132"/>
        </w:trPr>
        <w:tc>
          <w:tcPr>
            <w:tcW w:w="5000" w:type="pct"/>
            <w:gridSpan w:val="3"/>
            <w:tcBorders>
              <w:bottom w:val="nil"/>
            </w:tcBorders>
            <w:tcMar>
              <w:top w:w="28" w:type="dxa"/>
              <w:bottom w:w="57" w:type="dxa"/>
            </w:tcMar>
          </w:tcPr>
          <w:p w14:paraId="75B13C92" w14:textId="7788A937" w:rsidR="008F20F1" w:rsidRPr="00546F01" w:rsidRDefault="008F20F1" w:rsidP="006E0AFD">
            <w:pPr>
              <w:spacing w:after="0" w:line="240" w:lineRule="auto"/>
              <w:rPr>
                <w:rFonts w:ascii="Times New Roman" w:eastAsia="Times New Roman" w:hAnsi="Times New Roman" w:cs="Times New Roman"/>
                <w:b/>
                <w:bCs/>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5.3. Are reliable data (e.g., from national household surveys) on informal patient payments systematically collected and available for policymakers?</w:t>
            </w:r>
          </w:p>
        </w:tc>
      </w:tr>
      <w:tr w:rsidR="00F927CA" w:rsidRPr="00546F01" w14:paraId="19688E9B" w14:textId="77777777" w:rsidTr="008F20F1">
        <w:trPr>
          <w:trHeight w:val="224"/>
        </w:trPr>
        <w:tc>
          <w:tcPr>
            <w:tcW w:w="566" w:type="pct"/>
            <w:gridSpan w:val="2"/>
            <w:tcBorders>
              <w:top w:val="nil"/>
              <w:bottom w:val="nil"/>
              <w:right w:val="nil"/>
            </w:tcBorders>
            <w:tcMar>
              <w:top w:w="28" w:type="dxa"/>
              <w:bottom w:w="57" w:type="dxa"/>
            </w:tcMar>
          </w:tcPr>
          <w:p w14:paraId="28C45EE5"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Denmark </w:t>
            </w:r>
          </w:p>
        </w:tc>
        <w:tc>
          <w:tcPr>
            <w:tcW w:w="4434" w:type="pct"/>
            <w:tcBorders>
              <w:top w:val="nil"/>
              <w:left w:val="nil"/>
              <w:bottom w:val="nil"/>
            </w:tcBorders>
            <w:tcMar>
              <w:top w:w="28" w:type="dxa"/>
              <w:bottom w:w="57" w:type="dxa"/>
            </w:tcMar>
          </w:tcPr>
          <w:p w14:paraId="107952C2"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In Denmark there is no comprehensive and systematic data produced on the gifts and money given to health care professionals, as this is not perceived to be an issue of concern.</w:t>
            </w:r>
          </w:p>
        </w:tc>
      </w:tr>
      <w:tr w:rsidR="00F927CA" w:rsidRPr="00546F01" w14:paraId="606D07B7" w14:textId="77777777" w:rsidTr="008F20F1">
        <w:trPr>
          <w:trHeight w:val="503"/>
        </w:trPr>
        <w:tc>
          <w:tcPr>
            <w:tcW w:w="566" w:type="pct"/>
            <w:gridSpan w:val="2"/>
            <w:tcBorders>
              <w:top w:val="nil"/>
              <w:bottom w:val="nil"/>
              <w:right w:val="nil"/>
            </w:tcBorders>
            <w:shd w:val="clear" w:color="auto" w:fill="FFFFFF"/>
            <w:tcMar>
              <w:top w:w="28" w:type="dxa"/>
              <w:bottom w:w="57" w:type="dxa"/>
            </w:tcMar>
          </w:tcPr>
          <w:p w14:paraId="5B3397A4"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Greece</w:t>
            </w:r>
          </w:p>
        </w:tc>
        <w:tc>
          <w:tcPr>
            <w:tcW w:w="4434" w:type="pct"/>
            <w:tcBorders>
              <w:top w:val="nil"/>
              <w:left w:val="nil"/>
              <w:bottom w:val="nil"/>
            </w:tcBorders>
            <w:shd w:val="clear" w:color="auto" w:fill="FFFFFF"/>
            <w:tcMar>
              <w:top w:w="28" w:type="dxa"/>
              <w:bottom w:w="57" w:type="dxa"/>
            </w:tcMar>
          </w:tcPr>
          <w:p w14:paraId="654D456B" w14:textId="77777777" w:rsidR="006E0AFD" w:rsidRPr="00546F01" w:rsidRDefault="006E0AFD" w:rsidP="006E0AFD">
            <w:pPr>
              <w:shd w:val="clear" w:color="auto" w:fill="FFFFFF"/>
              <w:spacing w:after="100" w:afterAutospacing="1" w:line="240" w:lineRule="auto"/>
              <w:outlineLvl w:val="0"/>
              <w:rPr>
                <w:rFonts w:ascii="Times New Roman" w:eastAsia="Times New Roman" w:hAnsi="Times New Roman" w:cs="Times New Roman"/>
                <w:kern w:val="36"/>
                <w:sz w:val="20"/>
                <w:szCs w:val="20"/>
                <w:lang w:val="en-GB" w:eastAsia="pl-PL"/>
                <w14:ligatures w14:val="none"/>
              </w:rPr>
            </w:pPr>
            <w:r w:rsidRPr="00546F01">
              <w:rPr>
                <w:rFonts w:ascii="Times New Roman" w:eastAsia="Times New Roman" w:hAnsi="Times New Roman" w:cs="Times New Roman"/>
                <w:b/>
                <w:bCs/>
                <w:kern w:val="36"/>
                <w:sz w:val="20"/>
                <w:szCs w:val="20"/>
                <w:lang w:val="en-GB" w:eastAsia="pl-PL"/>
                <w14:ligatures w14:val="none"/>
              </w:rPr>
              <w:t>NO</w:t>
            </w:r>
            <w:r w:rsidRPr="00546F01">
              <w:rPr>
                <w:rFonts w:ascii="Times New Roman" w:eastAsia="Times New Roman" w:hAnsi="Times New Roman" w:cs="Times New Roman"/>
                <w:kern w:val="36"/>
                <w:sz w:val="20"/>
                <w:szCs w:val="20"/>
                <w:lang w:val="en-GB" w:eastAsia="pl-PL"/>
                <w14:ligatures w14:val="none"/>
              </w:rPr>
              <w:t xml:space="preserve">: There is no systematic and comprehensive data collection on households’ informal payments by the </w:t>
            </w:r>
            <w:r w:rsidRPr="00546F01">
              <w:rPr>
                <w:rFonts w:ascii="Times New Roman" w:eastAsia="Times New Roman" w:hAnsi="Times New Roman" w:cs="Times New Roman"/>
                <w:kern w:val="36"/>
                <w:sz w:val="20"/>
                <w:szCs w:val="20"/>
                <w:lang w:val="en-GB" w:eastAsia="en-GB"/>
                <w14:ligatures w14:val="none"/>
              </w:rPr>
              <w:t xml:space="preserve">Hellenic Statistical Authority. However, many scholars using population samples have done relevant research with articles published in scientific journals. </w:t>
            </w:r>
          </w:p>
        </w:tc>
      </w:tr>
      <w:tr w:rsidR="00F927CA" w:rsidRPr="00F927CA" w14:paraId="2E4DD44B" w14:textId="77777777" w:rsidTr="008F20F1">
        <w:trPr>
          <w:trHeight w:val="566"/>
        </w:trPr>
        <w:tc>
          <w:tcPr>
            <w:tcW w:w="566" w:type="pct"/>
            <w:gridSpan w:val="2"/>
            <w:tcBorders>
              <w:top w:val="nil"/>
              <w:right w:val="nil"/>
            </w:tcBorders>
            <w:tcMar>
              <w:top w:w="28" w:type="dxa"/>
              <w:bottom w:w="57" w:type="dxa"/>
            </w:tcMar>
          </w:tcPr>
          <w:p w14:paraId="51CDDC42" w14:textId="77777777" w:rsidR="006E0AFD" w:rsidRPr="00546F01"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kern w:val="0"/>
                <w:sz w:val="20"/>
                <w:szCs w:val="20"/>
                <w:lang w:val="en-GB" w:eastAsia="pl-PL"/>
                <w14:ligatures w14:val="none"/>
              </w:rPr>
              <w:t xml:space="preserve">Poland </w:t>
            </w:r>
          </w:p>
        </w:tc>
        <w:tc>
          <w:tcPr>
            <w:tcW w:w="4434" w:type="pct"/>
            <w:tcBorders>
              <w:top w:val="nil"/>
              <w:left w:val="nil"/>
            </w:tcBorders>
            <w:tcMar>
              <w:top w:w="28" w:type="dxa"/>
              <w:bottom w:w="57" w:type="dxa"/>
            </w:tcMar>
          </w:tcPr>
          <w:p w14:paraId="6187B594" w14:textId="39012BA4" w:rsidR="006E0AFD" w:rsidRPr="00F927CA" w:rsidRDefault="006E0AFD" w:rsidP="006E0AFD">
            <w:pPr>
              <w:spacing w:after="0" w:line="240" w:lineRule="auto"/>
              <w:rPr>
                <w:rFonts w:ascii="Times New Roman" w:eastAsia="Times New Roman" w:hAnsi="Times New Roman" w:cs="Times New Roman"/>
                <w:kern w:val="0"/>
                <w:sz w:val="20"/>
                <w:szCs w:val="20"/>
                <w:lang w:val="en-GB" w:eastAsia="pl-PL"/>
                <w14:ligatures w14:val="none"/>
              </w:rPr>
            </w:pPr>
            <w:r w:rsidRPr="00546F01">
              <w:rPr>
                <w:rFonts w:ascii="Times New Roman" w:eastAsia="Times New Roman" w:hAnsi="Times New Roman" w:cs="Times New Roman"/>
                <w:b/>
                <w:bCs/>
                <w:kern w:val="0"/>
                <w:sz w:val="20"/>
                <w:szCs w:val="20"/>
                <w:lang w:val="en-GB" w:eastAsia="pl-PL"/>
                <w14:ligatures w14:val="none"/>
              </w:rPr>
              <w:t>NO</w:t>
            </w:r>
            <w:r w:rsidRPr="00546F01">
              <w:rPr>
                <w:rFonts w:ascii="Times New Roman" w:eastAsia="Times New Roman" w:hAnsi="Times New Roman" w:cs="Times New Roman"/>
                <w:kern w:val="0"/>
                <w:sz w:val="20"/>
                <w:szCs w:val="20"/>
                <w:lang w:val="en-GB" w:eastAsia="pl-PL"/>
                <w14:ligatures w14:val="none"/>
              </w:rPr>
              <w:t>: Some data are collected by the Central Statistical Office and a few think tanks. However, it is not a comprehensive measurement of all kinds of informal payments for all types of services.</w:t>
            </w:r>
            <w:r w:rsidRPr="00F927CA">
              <w:rPr>
                <w:rFonts w:ascii="Times New Roman" w:eastAsia="Times New Roman" w:hAnsi="Times New Roman" w:cs="Times New Roman"/>
                <w:kern w:val="0"/>
                <w:sz w:val="20"/>
                <w:szCs w:val="20"/>
                <w:lang w:val="en-GB" w:eastAsia="pl-PL"/>
                <w14:ligatures w14:val="none"/>
              </w:rPr>
              <w:t xml:space="preserve"> </w:t>
            </w:r>
          </w:p>
        </w:tc>
      </w:tr>
      <w:bookmarkEnd w:id="0"/>
      <w:bookmarkEnd w:id="32"/>
    </w:tbl>
    <w:p w14:paraId="3F554ADA" w14:textId="4E638F69" w:rsidR="00696934" w:rsidRPr="00426110" w:rsidRDefault="00696934"/>
    <w:sectPr w:rsidR="00696934" w:rsidRPr="00426110" w:rsidSect="00073EF1">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0BD5" w14:textId="77777777" w:rsidR="00C65320" w:rsidRDefault="00C65320" w:rsidP="005C3A23">
      <w:pPr>
        <w:spacing w:after="0" w:line="240" w:lineRule="auto"/>
      </w:pPr>
      <w:r>
        <w:separator/>
      </w:r>
    </w:p>
  </w:endnote>
  <w:endnote w:type="continuationSeparator" w:id="0">
    <w:p w14:paraId="7FDAE590" w14:textId="77777777" w:rsidR="00C65320" w:rsidRDefault="00C65320" w:rsidP="005C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 Nazanin">
    <w:altName w:val="Arial"/>
    <w:charset w:val="B2"/>
    <w:family w:val="auto"/>
    <w:pitch w:val="variable"/>
    <w:sig w:usb0="00002001" w:usb1="80000000" w:usb2="00000008" w:usb3="00000000" w:csb0="0000004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857264"/>
      <w:docPartObj>
        <w:docPartGallery w:val="Page Numbers (Bottom of Page)"/>
        <w:docPartUnique/>
      </w:docPartObj>
    </w:sdtPr>
    <w:sdtContent>
      <w:p w14:paraId="286DFBFD" w14:textId="77777777" w:rsidR="002E6414" w:rsidRDefault="002E6414">
        <w:pPr>
          <w:pStyle w:val="Stopka"/>
          <w:jc w:val="right"/>
        </w:pPr>
        <w:r>
          <w:fldChar w:fldCharType="begin"/>
        </w:r>
        <w:r>
          <w:instrText>PAGE   \* MERGEFORMAT</w:instrText>
        </w:r>
        <w:r>
          <w:fldChar w:fldCharType="separate"/>
        </w:r>
        <w:r>
          <w:rPr>
            <w:lang w:val="pl-PL"/>
          </w:rPr>
          <w:t>2</w:t>
        </w:r>
        <w:r>
          <w:fldChar w:fldCharType="end"/>
        </w:r>
      </w:p>
    </w:sdtContent>
  </w:sdt>
  <w:p w14:paraId="1E68E2B8" w14:textId="77777777" w:rsidR="002E6414" w:rsidRDefault="002E64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FDB9" w14:textId="77777777" w:rsidR="00C65320" w:rsidRDefault="00C65320" w:rsidP="005C3A23">
      <w:pPr>
        <w:spacing w:after="0" w:line="240" w:lineRule="auto"/>
      </w:pPr>
      <w:r>
        <w:separator/>
      </w:r>
    </w:p>
  </w:footnote>
  <w:footnote w:type="continuationSeparator" w:id="0">
    <w:p w14:paraId="558DE618" w14:textId="77777777" w:rsidR="00C65320" w:rsidRDefault="00C65320" w:rsidP="005C3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667"/>
    <w:multiLevelType w:val="hybridMultilevel"/>
    <w:tmpl w:val="A53206D0"/>
    <w:lvl w:ilvl="0" w:tplc="04060005">
      <w:start w:val="1"/>
      <w:numFmt w:val="bullet"/>
      <w:lvlText w:val=""/>
      <w:lvlJc w:val="left"/>
      <w:pPr>
        <w:ind w:left="2061" w:hanging="360"/>
      </w:pPr>
      <w:rPr>
        <w:rFonts w:ascii="Wingdings" w:hAnsi="Wingdings"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1" w15:restartNumberingAfterBreak="0">
    <w:nsid w:val="06A640EA"/>
    <w:multiLevelType w:val="hybridMultilevel"/>
    <w:tmpl w:val="BA14145A"/>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D33D2"/>
    <w:multiLevelType w:val="hybridMultilevel"/>
    <w:tmpl w:val="780A7DE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56DB4"/>
    <w:multiLevelType w:val="hybridMultilevel"/>
    <w:tmpl w:val="E4B0E53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04F0C"/>
    <w:multiLevelType w:val="hybridMultilevel"/>
    <w:tmpl w:val="0F3A8864"/>
    <w:lvl w:ilvl="0" w:tplc="23585B60">
      <w:start w:val="1"/>
      <w:numFmt w:val="decimal"/>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0B48A8"/>
    <w:multiLevelType w:val="hybridMultilevel"/>
    <w:tmpl w:val="9948D74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45ABA"/>
    <w:multiLevelType w:val="hybridMultilevel"/>
    <w:tmpl w:val="7CCC27EC"/>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D5B"/>
    <w:multiLevelType w:val="hybridMultilevel"/>
    <w:tmpl w:val="1208283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27331428"/>
    <w:multiLevelType w:val="hybridMultilevel"/>
    <w:tmpl w:val="F68ACB0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3101E67"/>
    <w:multiLevelType w:val="hybridMultilevel"/>
    <w:tmpl w:val="1D2468B8"/>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F19FC"/>
    <w:multiLevelType w:val="hybridMultilevel"/>
    <w:tmpl w:val="36B8AB5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35F85"/>
    <w:multiLevelType w:val="hybridMultilevel"/>
    <w:tmpl w:val="7C46F4C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3A24283D"/>
    <w:multiLevelType w:val="hybridMultilevel"/>
    <w:tmpl w:val="31C4774E"/>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54E0B"/>
    <w:multiLevelType w:val="hybridMultilevel"/>
    <w:tmpl w:val="7598B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565645"/>
    <w:multiLevelType w:val="hybridMultilevel"/>
    <w:tmpl w:val="C2583F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202E0C"/>
    <w:multiLevelType w:val="hybridMultilevel"/>
    <w:tmpl w:val="7B32BE72"/>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4C2622DD"/>
    <w:multiLevelType w:val="hybridMultilevel"/>
    <w:tmpl w:val="32F41A6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0D7C3D"/>
    <w:multiLevelType w:val="hybridMultilevel"/>
    <w:tmpl w:val="71EC0F7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304B3"/>
    <w:multiLevelType w:val="hybridMultilevel"/>
    <w:tmpl w:val="DC0AE5F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74B29"/>
    <w:multiLevelType w:val="hybridMultilevel"/>
    <w:tmpl w:val="EADCC0E6"/>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57F6F"/>
    <w:multiLevelType w:val="hybridMultilevel"/>
    <w:tmpl w:val="2DB6148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5610E"/>
    <w:multiLevelType w:val="hybridMultilevel"/>
    <w:tmpl w:val="28F4A69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16F3C"/>
    <w:multiLevelType w:val="hybridMultilevel"/>
    <w:tmpl w:val="1DF6E8BA"/>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3" w15:restartNumberingAfterBreak="0">
    <w:nsid w:val="6AA45AD8"/>
    <w:multiLevelType w:val="hybridMultilevel"/>
    <w:tmpl w:val="977AA2D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A4B79"/>
    <w:multiLevelType w:val="hybridMultilevel"/>
    <w:tmpl w:val="41E664D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62833"/>
    <w:multiLevelType w:val="hybridMultilevel"/>
    <w:tmpl w:val="1794CA04"/>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113268"/>
    <w:multiLevelType w:val="hybridMultilevel"/>
    <w:tmpl w:val="7CB6D06E"/>
    <w:lvl w:ilvl="0" w:tplc="A69C21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A84D30"/>
    <w:multiLevelType w:val="hybridMultilevel"/>
    <w:tmpl w:val="BD9A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A683A"/>
    <w:multiLevelType w:val="hybridMultilevel"/>
    <w:tmpl w:val="93D619AE"/>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B22E4"/>
    <w:multiLevelType w:val="hybridMultilevel"/>
    <w:tmpl w:val="CABC29D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400355">
    <w:abstractNumId w:val="26"/>
  </w:num>
  <w:num w:numId="2" w16cid:durableId="1526284117">
    <w:abstractNumId w:val="14"/>
  </w:num>
  <w:num w:numId="3" w16cid:durableId="1973556315">
    <w:abstractNumId w:val="4"/>
  </w:num>
  <w:num w:numId="4" w16cid:durableId="1844586284">
    <w:abstractNumId w:val="25"/>
  </w:num>
  <w:num w:numId="5" w16cid:durableId="1575974028">
    <w:abstractNumId w:val="28"/>
  </w:num>
  <w:num w:numId="6" w16cid:durableId="1944336577">
    <w:abstractNumId w:val="29"/>
  </w:num>
  <w:num w:numId="7" w16cid:durableId="2139299748">
    <w:abstractNumId w:val="2"/>
  </w:num>
  <w:num w:numId="8" w16cid:durableId="1919098897">
    <w:abstractNumId w:val="23"/>
  </w:num>
  <w:num w:numId="9" w16cid:durableId="35274289">
    <w:abstractNumId w:val="3"/>
  </w:num>
  <w:num w:numId="10" w16cid:durableId="1093478817">
    <w:abstractNumId w:val="18"/>
  </w:num>
  <w:num w:numId="11" w16cid:durableId="472256057">
    <w:abstractNumId w:val="17"/>
  </w:num>
  <w:num w:numId="12" w16cid:durableId="793980979">
    <w:abstractNumId w:val="20"/>
  </w:num>
  <w:num w:numId="13" w16cid:durableId="391778780">
    <w:abstractNumId w:val="16"/>
  </w:num>
  <w:num w:numId="14" w16cid:durableId="1512649532">
    <w:abstractNumId w:val="9"/>
  </w:num>
  <w:num w:numId="15" w16cid:durableId="128669345">
    <w:abstractNumId w:val="6"/>
  </w:num>
  <w:num w:numId="16" w16cid:durableId="2069106520">
    <w:abstractNumId w:val="21"/>
  </w:num>
  <w:num w:numId="17" w16cid:durableId="1184712553">
    <w:abstractNumId w:val="19"/>
  </w:num>
  <w:num w:numId="18" w16cid:durableId="1194730012">
    <w:abstractNumId w:val="12"/>
  </w:num>
  <w:num w:numId="19" w16cid:durableId="645741158">
    <w:abstractNumId w:val="5"/>
  </w:num>
  <w:num w:numId="20" w16cid:durableId="1609043762">
    <w:abstractNumId w:val="10"/>
  </w:num>
  <w:num w:numId="21" w16cid:durableId="1103888879">
    <w:abstractNumId w:val="24"/>
  </w:num>
  <w:num w:numId="22" w16cid:durableId="60950855">
    <w:abstractNumId w:val="1"/>
  </w:num>
  <w:num w:numId="23" w16cid:durableId="105924845">
    <w:abstractNumId w:val="22"/>
  </w:num>
  <w:num w:numId="24" w16cid:durableId="1163623208">
    <w:abstractNumId w:val="0"/>
  </w:num>
  <w:num w:numId="25" w16cid:durableId="487283316">
    <w:abstractNumId w:val="15"/>
  </w:num>
  <w:num w:numId="26" w16cid:durableId="1699354786">
    <w:abstractNumId w:val="11"/>
  </w:num>
  <w:num w:numId="27" w16cid:durableId="1487893836">
    <w:abstractNumId w:val="7"/>
  </w:num>
  <w:num w:numId="28" w16cid:durableId="831339187">
    <w:abstractNumId w:val="8"/>
  </w:num>
  <w:num w:numId="29" w16cid:durableId="1290673028">
    <w:abstractNumId w:val="13"/>
  </w:num>
  <w:num w:numId="30" w16cid:durableId="13450871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F1"/>
    <w:rsid w:val="00007380"/>
    <w:rsid w:val="0002438C"/>
    <w:rsid w:val="00031C82"/>
    <w:rsid w:val="00045ACF"/>
    <w:rsid w:val="0005261E"/>
    <w:rsid w:val="00053B76"/>
    <w:rsid w:val="00060716"/>
    <w:rsid w:val="00064F31"/>
    <w:rsid w:val="00066FC7"/>
    <w:rsid w:val="00071811"/>
    <w:rsid w:val="00073402"/>
    <w:rsid w:val="00073EF1"/>
    <w:rsid w:val="000A1B7A"/>
    <w:rsid w:val="000A63BC"/>
    <w:rsid w:val="000A6CA9"/>
    <w:rsid w:val="000A7931"/>
    <w:rsid w:val="000C5EE8"/>
    <w:rsid w:val="000D5B1C"/>
    <w:rsid w:val="000E1777"/>
    <w:rsid w:val="000F2355"/>
    <w:rsid w:val="00133D07"/>
    <w:rsid w:val="0013611F"/>
    <w:rsid w:val="00140B06"/>
    <w:rsid w:val="0015599A"/>
    <w:rsid w:val="00164F90"/>
    <w:rsid w:val="00165E21"/>
    <w:rsid w:val="00175A29"/>
    <w:rsid w:val="00195F08"/>
    <w:rsid w:val="00196249"/>
    <w:rsid w:val="001B0C15"/>
    <w:rsid w:val="001B1351"/>
    <w:rsid w:val="001C7532"/>
    <w:rsid w:val="001D7CD2"/>
    <w:rsid w:val="001E1441"/>
    <w:rsid w:val="001E2716"/>
    <w:rsid w:val="00201273"/>
    <w:rsid w:val="00201BB9"/>
    <w:rsid w:val="002023D7"/>
    <w:rsid w:val="00235FAF"/>
    <w:rsid w:val="00236353"/>
    <w:rsid w:val="00243985"/>
    <w:rsid w:val="00245995"/>
    <w:rsid w:val="00252579"/>
    <w:rsid w:val="00252FA7"/>
    <w:rsid w:val="002762D7"/>
    <w:rsid w:val="00276853"/>
    <w:rsid w:val="00276CD2"/>
    <w:rsid w:val="00287248"/>
    <w:rsid w:val="002B54C4"/>
    <w:rsid w:val="002E6414"/>
    <w:rsid w:val="002F6E00"/>
    <w:rsid w:val="002F7DCA"/>
    <w:rsid w:val="003027AA"/>
    <w:rsid w:val="00311FD1"/>
    <w:rsid w:val="00315DFA"/>
    <w:rsid w:val="00320BE1"/>
    <w:rsid w:val="00323462"/>
    <w:rsid w:val="0032396E"/>
    <w:rsid w:val="00324661"/>
    <w:rsid w:val="00330D27"/>
    <w:rsid w:val="0033217C"/>
    <w:rsid w:val="00341B3E"/>
    <w:rsid w:val="00364786"/>
    <w:rsid w:val="0036712D"/>
    <w:rsid w:val="00373223"/>
    <w:rsid w:val="0039097B"/>
    <w:rsid w:val="00392CDD"/>
    <w:rsid w:val="003B0F15"/>
    <w:rsid w:val="003D0ABA"/>
    <w:rsid w:val="003D65B5"/>
    <w:rsid w:val="003E6324"/>
    <w:rsid w:val="003E7FBE"/>
    <w:rsid w:val="003F522D"/>
    <w:rsid w:val="00402988"/>
    <w:rsid w:val="00404A1A"/>
    <w:rsid w:val="00421280"/>
    <w:rsid w:val="00426110"/>
    <w:rsid w:val="00454F2A"/>
    <w:rsid w:val="0046789C"/>
    <w:rsid w:val="00473ACA"/>
    <w:rsid w:val="00477762"/>
    <w:rsid w:val="00477FC2"/>
    <w:rsid w:val="004A3E03"/>
    <w:rsid w:val="004A441B"/>
    <w:rsid w:val="004B544C"/>
    <w:rsid w:val="004C46B6"/>
    <w:rsid w:val="004D00A1"/>
    <w:rsid w:val="004D7AFC"/>
    <w:rsid w:val="004F535E"/>
    <w:rsid w:val="00500B8B"/>
    <w:rsid w:val="005420AA"/>
    <w:rsid w:val="0054321F"/>
    <w:rsid w:val="00543614"/>
    <w:rsid w:val="00546F01"/>
    <w:rsid w:val="00556A0B"/>
    <w:rsid w:val="00562C49"/>
    <w:rsid w:val="00567EF3"/>
    <w:rsid w:val="0058675A"/>
    <w:rsid w:val="005B488C"/>
    <w:rsid w:val="005C0182"/>
    <w:rsid w:val="005C3A23"/>
    <w:rsid w:val="005D0CF3"/>
    <w:rsid w:val="005D198D"/>
    <w:rsid w:val="005D261C"/>
    <w:rsid w:val="005D4CAE"/>
    <w:rsid w:val="005D5EF0"/>
    <w:rsid w:val="005D61BE"/>
    <w:rsid w:val="005E0F80"/>
    <w:rsid w:val="005E7CC1"/>
    <w:rsid w:val="005F79BF"/>
    <w:rsid w:val="00600720"/>
    <w:rsid w:val="006011B1"/>
    <w:rsid w:val="00602153"/>
    <w:rsid w:val="00612CFC"/>
    <w:rsid w:val="00626245"/>
    <w:rsid w:val="00627612"/>
    <w:rsid w:val="00636876"/>
    <w:rsid w:val="00637765"/>
    <w:rsid w:val="0064440B"/>
    <w:rsid w:val="006550B0"/>
    <w:rsid w:val="00661577"/>
    <w:rsid w:val="006701EA"/>
    <w:rsid w:val="0068159A"/>
    <w:rsid w:val="0069214C"/>
    <w:rsid w:val="00696934"/>
    <w:rsid w:val="006A4397"/>
    <w:rsid w:val="006A4FA0"/>
    <w:rsid w:val="006A6DF4"/>
    <w:rsid w:val="006B25D6"/>
    <w:rsid w:val="006B53D5"/>
    <w:rsid w:val="006C3B84"/>
    <w:rsid w:val="006C7CEF"/>
    <w:rsid w:val="006D26A2"/>
    <w:rsid w:val="006D793C"/>
    <w:rsid w:val="006E0AFD"/>
    <w:rsid w:val="0071150A"/>
    <w:rsid w:val="00715DC4"/>
    <w:rsid w:val="007355D8"/>
    <w:rsid w:val="00753885"/>
    <w:rsid w:val="00755318"/>
    <w:rsid w:val="00764134"/>
    <w:rsid w:val="00776F88"/>
    <w:rsid w:val="00781F02"/>
    <w:rsid w:val="007912AA"/>
    <w:rsid w:val="00795E26"/>
    <w:rsid w:val="007A2C50"/>
    <w:rsid w:val="007A71B1"/>
    <w:rsid w:val="007B1B2F"/>
    <w:rsid w:val="007B547F"/>
    <w:rsid w:val="007E0252"/>
    <w:rsid w:val="008025D8"/>
    <w:rsid w:val="00826D6D"/>
    <w:rsid w:val="00834AD5"/>
    <w:rsid w:val="00834F3D"/>
    <w:rsid w:val="008357C5"/>
    <w:rsid w:val="00836416"/>
    <w:rsid w:val="00841D5A"/>
    <w:rsid w:val="00850E13"/>
    <w:rsid w:val="00895EB9"/>
    <w:rsid w:val="0089692D"/>
    <w:rsid w:val="008C3DAD"/>
    <w:rsid w:val="008C7F13"/>
    <w:rsid w:val="008E64BE"/>
    <w:rsid w:val="008F0EA8"/>
    <w:rsid w:val="008F20F1"/>
    <w:rsid w:val="00903C56"/>
    <w:rsid w:val="0091626E"/>
    <w:rsid w:val="00921AF9"/>
    <w:rsid w:val="00921D52"/>
    <w:rsid w:val="00931D7A"/>
    <w:rsid w:val="00963537"/>
    <w:rsid w:val="009668DE"/>
    <w:rsid w:val="0099178F"/>
    <w:rsid w:val="00991AE9"/>
    <w:rsid w:val="009950FB"/>
    <w:rsid w:val="00996A79"/>
    <w:rsid w:val="00997BC9"/>
    <w:rsid w:val="009C59D4"/>
    <w:rsid w:val="009F2585"/>
    <w:rsid w:val="00A04056"/>
    <w:rsid w:val="00A26A76"/>
    <w:rsid w:val="00A27459"/>
    <w:rsid w:val="00A34CE3"/>
    <w:rsid w:val="00A43EEF"/>
    <w:rsid w:val="00A45368"/>
    <w:rsid w:val="00A55BC6"/>
    <w:rsid w:val="00A72000"/>
    <w:rsid w:val="00A76F93"/>
    <w:rsid w:val="00A8025C"/>
    <w:rsid w:val="00A86D82"/>
    <w:rsid w:val="00A90904"/>
    <w:rsid w:val="00A9675C"/>
    <w:rsid w:val="00AC69FC"/>
    <w:rsid w:val="00B14257"/>
    <w:rsid w:val="00B178F8"/>
    <w:rsid w:val="00B2166C"/>
    <w:rsid w:val="00B22051"/>
    <w:rsid w:val="00B23BD4"/>
    <w:rsid w:val="00B333EA"/>
    <w:rsid w:val="00B54153"/>
    <w:rsid w:val="00B57724"/>
    <w:rsid w:val="00B65628"/>
    <w:rsid w:val="00B80AAC"/>
    <w:rsid w:val="00B82BBB"/>
    <w:rsid w:val="00BA04DD"/>
    <w:rsid w:val="00BD5516"/>
    <w:rsid w:val="00BE65F4"/>
    <w:rsid w:val="00BF0244"/>
    <w:rsid w:val="00BF4C8D"/>
    <w:rsid w:val="00C1071A"/>
    <w:rsid w:val="00C14654"/>
    <w:rsid w:val="00C41074"/>
    <w:rsid w:val="00C429DF"/>
    <w:rsid w:val="00C51379"/>
    <w:rsid w:val="00C548CC"/>
    <w:rsid w:val="00C65320"/>
    <w:rsid w:val="00C675A1"/>
    <w:rsid w:val="00C73831"/>
    <w:rsid w:val="00C7649C"/>
    <w:rsid w:val="00C81250"/>
    <w:rsid w:val="00C83235"/>
    <w:rsid w:val="00C911B2"/>
    <w:rsid w:val="00C91637"/>
    <w:rsid w:val="00CA2811"/>
    <w:rsid w:val="00CA39C4"/>
    <w:rsid w:val="00CB2977"/>
    <w:rsid w:val="00CC057B"/>
    <w:rsid w:val="00CC3939"/>
    <w:rsid w:val="00CC565F"/>
    <w:rsid w:val="00CC6555"/>
    <w:rsid w:val="00CD060C"/>
    <w:rsid w:val="00D1600D"/>
    <w:rsid w:val="00D20885"/>
    <w:rsid w:val="00D20CAC"/>
    <w:rsid w:val="00D22272"/>
    <w:rsid w:val="00D25A7A"/>
    <w:rsid w:val="00D26E4C"/>
    <w:rsid w:val="00D342D1"/>
    <w:rsid w:val="00D348FA"/>
    <w:rsid w:val="00D3714A"/>
    <w:rsid w:val="00D45F5B"/>
    <w:rsid w:val="00D52370"/>
    <w:rsid w:val="00D54FE7"/>
    <w:rsid w:val="00D600F5"/>
    <w:rsid w:val="00D87EAA"/>
    <w:rsid w:val="00D938D8"/>
    <w:rsid w:val="00DC4062"/>
    <w:rsid w:val="00DC792D"/>
    <w:rsid w:val="00DD0F41"/>
    <w:rsid w:val="00DD1434"/>
    <w:rsid w:val="00DF25D2"/>
    <w:rsid w:val="00DF503B"/>
    <w:rsid w:val="00DF55E8"/>
    <w:rsid w:val="00DF62F1"/>
    <w:rsid w:val="00E07333"/>
    <w:rsid w:val="00E261C5"/>
    <w:rsid w:val="00E2662D"/>
    <w:rsid w:val="00E34AC0"/>
    <w:rsid w:val="00E53F50"/>
    <w:rsid w:val="00E54057"/>
    <w:rsid w:val="00E60B85"/>
    <w:rsid w:val="00E64934"/>
    <w:rsid w:val="00E74D00"/>
    <w:rsid w:val="00E751E8"/>
    <w:rsid w:val="00E75737"/>
    <w:rsid w:val="00E76A88"/>
    <w:rsid w:val="00E77AE0"/>
    <w:rsid w:val="00E90BF0"/>
    <w:rsid w:val="00E95F94"/>
    <w:rsid w:val="00EA6B83"/>
    <w:rsid w:val="00EA71BE"/>
    <w:rsid w:val="00EB35E2"/>
    <w:rsid w:val="00EB44FA"/>
    <w:rsid w:val="00EE5D9E"/>
    <w:rsid w:val="00EE77B5"/>
    <w:rsid w:val="00F23896"/>
    <w:rsid w:val="00F42D49"/>
    <w:rsid w:val="00F44F1C"/>
    <w:rsid w:val="00F45369"/>
    <w:rsid w:val="00F7183C"/>
    <w:rsid w:val="00F83A43"/>
    <w:rsid w:val="00F927CA"/>
    <w:rsid w:val="00F95318"/>
    <w:rsid w:val="00F958FC"/>
    <w:rsid w:val="00FA0BA2"/>
    <w:rsid w:val="00FB2E48"/>
    <w:rsid w:val="00FC09EB"/>
    <w:rsid w:val="00FC0FCF"/>
    <w:rsid w:val="00FC20D7"/>
    <w:rsid w:val="00FE1811"/>
    <w:rsid w:val="00FE31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4AE0D"/>
  <w15:chartTrackingRefBased/>
  <w15:docId w15:val="{D8048506-382B-4D0F-AC3D-ECAC8EC58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5E7CC1"/>
    <w:pPr>
      <w:spacing w:before="100" w:beforeAutospacing="1" w:after="100" w:afterAutospacing="1" w:line="240" w:lineRule="auto"/>
      <w:outlineLvl w:val="0"/>
    </w:pPr>
    <w:rPr>
      <w:rFonts w:ascii="Times New Roman" w:eastAsia="Times New Roman" w:hAnsi="Times New Roman" w:cs="Times New Roman"/>
      <w:b/>
      <w:bCs/>
      <w:kern w:val="36"/>
      <w:sz w:val="48"/>
      <w:szCs w:val="48"/>
      <w:lang w:val="da-DK" w:eastAsia="da-DK"/>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73EF1"/>
    <w:rPr>
      <w:sz w:val="16"/>
      <w:szCs w:val="16"/>
    </w:rPr>
  </w:style>
  <w:style w:type="paragraph" w:styleId="Tekstkomentarza">
    <w:name w:val="annotation text"/>
    <w:basedOn w:val="Normalny"/>
    <w:link w:val="TekstkomentarzaZnak"/>
    <w:uiPriority w:val="99"/>
    <w:unhideWhenUsed/>
    <w:rsid w:val="00073EF1"/>
    <w:pPr>
      <w:spacing w:line="240" w:lineRule="auto"/>
    </w:pPr>
    <w:rPr>
      <w:kern w:val="0"/>
      <w:sz w:val="20"/>
      <w:szCs w:val="20"/>
      <w:lang w:val="da-DK"/>
      <w14:ligatures w14:val="none"/>
    </w:rPr>
  </w:style>
  <w:style w:type="character" w:customStyle="1" w:styleId="TekstkomentarzaZnak">
    <w:name w:val="Tekst komentarza Znak"/>
    <w:basedOn w:val="Domylnaczcionkaakapitu"/>
    <w:link w:val="Tekstkomentarza"/>
    <w:uiPriority w:val="99"/>
    <w:rsid w:val="00073EF1"/>
    <w:rPr>
      <w:kern w:val="0"/>
      <w:sz w:val="20"/>
      <w:szCs w:val="20"/>
      <w:lang w:val="da-DK"/>
      <w14:ligatures w14:val="none"/>
    </w:rPr>
  </w:style>
  <w:style w:type="table" w:styleId="Tabela-Siatka">
    <w:name w:val="Table Grid"/>
    <w:basedOn w:val="Standardowy"/>
    <w:uiPriority w:val="39"/>
    <w:rsid w:val="00073EF1"/>
    <w:pPr>
      <w:spacing w:after="0" w:line="240" w:lineRule="auto"/>
    </w:pPr>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20CAC"/>
    <w:pPr>
      <w:ind w:left="720"/>
      <w:contextualSpacing/>
    </w:pPr>
  </w:style>
  <w:style w:type="character" w:customStyle="1" w:styleId="Nagwek1Znak">
    <w:name w:val="Nagłówek 1 Znak"/>
    <w:basedOn w:val="Domylnaczcionkaakapitu"/>
    <w:link w:val="Nagwek1"/>
    <w:uiPriority w:val="9"/>
    <w:rsid w:val="005E7CC1"/>
    <w:rPr>
      <w:rFonts w:ascii="Times New Roman" w:eastAsia="Times New Roman" w:hAnsi="Times New Roman" w:cs="Times New Roman"/>
      <w:b/>
      <w:bCs/>
      <w:kern w:val="36"/>
      <w:sz w:val="48"/>
      <w:szCs w:val="48"/>
      <w:lang w:val="da-DK" w:eastAsia="da-DK"/>
      <w14:ligatures w14:val="none"/>
    </w:rPr>
  </w:style>
  <w:style w:type="character" w:styleId="Hipercze">
    <w:name w:val="Hyperlink"/>
    <w:basedOn w:val="Domylnaczcionkaakapitu"/>
    <w:uiPriority w:val="99"/>
    <w:unhideWhenUsed/>
    <w:rsid w:val="005E7CC1"/>
    <w:rPr>
      <w:color w:val="0563C1" w:themeColor="hyperlink"/>
      <w:u w:val="single"/>
    </w:rPr>
  </w:style>
  <w:style w:type="character" w:styleId="Nierozpoznanawzmianka">
    <w:name w:val="Unresolved Mention"/>
    <w:basedOn w:val="Domylnaczcionkaakapitu"/>
    <w:uiPriority w:val="99"/>
    <w:semiHidden/>
    <w:unhideWhenUsed/>
    <w:rsid w:val="005E7CC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E7CC1"/>
    <w:rPr>
      <w:b/>
      <w:bCs/>
      <w:kern w:val="2"/>
      <w:lang w:val="en-US"/>
      <w14:ligatures w14:val="standardContextual"/>
    </w:rPr>
  </w:style>
  <w:style w:type="character" w:customStyle="1" w:styleId="TematkomentarzaZnak">
    <w:name w:val="Temat komentarza Znak"/>
    <w:basedOn w:val="TekstkomentarzaZnak"/>
    <w:link w:val="Tematkomentarza"/>
    <w:uiPriority w:val="99"/>
    <w:semiHidden/>
    <w:rsid w:val="005E7CC1"/>
    <w:rPr>
      <w:b/>
      <w:bCs/>
      <w:kern w:val="0"/>
      <w:sz w:val="20"/>
      <w:szCs w:val="20"/>
      <w:lang w:val="da-DK"/>
      <w14:ligatures w14:val="none"/>
    </w:rPr>
  </w:style>
  <w:style w:type="paragraph" w:customStyle="1" w:styleId="pf0">
    <w:name w:val="pf0"/>
    <w:basedOn w:val="Normalny"/>
    <w:rsid w:val="005E7C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omylnaczcionkaakapitu"/>
    <w:rsid w:val="005E7CC1"/>
    <w:rPr>
      <w:rFonts w:ascii="Segoe UI" w:hAnsi="Segoe UI" w:cs="Segoe UI" w:hint="default"/>
      <w:sz w:val="18"/>
      <w:szCs w:val="18"/>
    </w:rPr>
  </w:style>
  <w:style w:type="paragraph" w:styleId="Poprawka">
    <w:name w:val="Revision"/>
    <w:hidden/>
    <w:uiPriority w:val="99"/>
    <w:semiHidden/>
    <w:rsid w:val="005E7CC1"/>
    <w:pPr>
      <w:spacing w:after="0" w:line="240" w:lineRule="auto"/>
    </w:pPr>
  </w:style>
  <w:style w:type="paragraph" w:styleId="Nagwek">
    <w:name w:val="header"/>
    <w:basedOn w:val="Normalny"/>
    <w:link w:val="NagwekZnak"/>
    <w:uiPriority w:val="99"/>
    <w:unhideWhenUsed/>
    <w:rsid w:val="005C3A23"/>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5C3A23"/>
  </w:style>
  <w:style w:type="paragraph" w:styleId="Stopka">
    <w:name w:val="footer"/>
    <w:basedOn w:val="Normalny"/>
    <w:link w:val="StopkaZnak"/>
    <w:uiPriority w:val="99"/>
    <w:unhideWhenUsed/>
    <w:rsid w:val="005C3A23"/>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5C3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36686">
      <w:bodyDiv w:val="1"/>
      <w:marLeft w:val="0"/>
      <w:marRight w:val="0"/>
      <w:marTop w:val="0"/>
      <w:marBottom w:val="0"/>
      <w:divBdr>
        <w:top w:val="none" w:sz="0" w:space="0" w:color="auto"/>
        <w:left w:val="none" w:sz="0" w:space="0" w:color="auto"/>
        <w:bottom w:val="none" w:sz="0" w:space="0" w:color="auto"/>
        <w:right w:val="none" w:sz="0" w:space="0" w:color="auto"/>
      </w:divBdr>
    </w:div>
    <w:div w:id="777408817">
      <w:bodyDiv w:val="1"/>
      <w:marLeft w:val="0"/>
      <w:marRight w:val="0"/>
      <w:marTop w:val="0"/>
      <w:marBottom w:val="0"/>
      <w:divBdr>
        <w:top w:val="none" w:sz="0" w:space="0" w:color="auto"/>
        <w:left w:val="none" w:sz="0" w:space="0" w:color="auto"/>
        <w:bottom w:val="none" w:sz="0" w:space="0" w:color="auto"/>
        <w:right w:val="none" w:sz="0" w:space="0" w:color="auto"/>
      </w:divBdr>
    </w:div>
    <w:div w:id="204308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72D1-0283-4BC0-A9E6-F6C5652F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5150</Words>
  <Characters>29360</Characters>
  <Application>Microsoft Office Word</Application>
  <DocSecurity>0</DocSecurity>
  <Lines>244</Lines>
  <Paragraphs>68</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Tambor</dc:creator>
  <cp:keywords/>
  <dc:description/>
  <cp:lastModifiedBy>M. Tambor</cp:lastModifiedBy>
  <cp:revision>3</cp:revision>
  <dcterms:created xsi:type="dcterms:W3CDTF">2025-12-05T11:57:00Z</dcterms:created>
  <dcterms:modified xsi:type="dcterms:W3CDTF">2025-12-08T17:23:00Z</dcterms:modified>
</cp:coreProperties>
</file>