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84436" w14:textId="77777777" w:rsidR="005D36AD" w:rsidRPr="008520C5" w:rsidRDefault="005D36AD" w:rsidP="005D36AD">
      <w:pPr>
        <w:pStyle w:val="a9"/>
        <w:keepNext/>
        <w:rPr>
          <w:sz w:val="22"/>
          <w:szCs w:val="22"/>
        </w:rPr>
      </w:pPr>
      <w:bookmarkStart w:id="0" w:name="_Hlk217413780"/>
      <w:r w:rsidRPr="008520C5">
        <w:rPr>
          <w:sz w:val="22"/>
          <w:szCs w:val="22"/>
        </w:rPr>
        <w:t xml:space="preserve">Supplementary Table </w:t>
      </w:r>
      <w:r w:rsidRPr="008520C5">
        <w:rPr>
          <w:sz w:val="22"/>
          <w:szCs w:val="22"/>
        </w:rPr>
        <w:fldChar w:fldCharType="begin"/>
      </w:r>
      <w:r w:rsidRPr="008520C5">
        <w:rPr>
          <w:sz w:val="22"/>
          <w:szCs w:val="22"/>
        </w:rPr>
        <w:instrText xml:space="preserve"> SEQ Table \* ARABIC </w:instrText>
      </w:r>
      <w:r w:rsidRPr="008520C5">
        <w:rPr>
          <w:sz w:val="22"/>
          <w:szCs w:val="22"/>
        </w:rPr>
        <w:fldChar w:fldCharType="separate"/>
      </w:r>
      <w:r w:rsidRPr="008520C5">
        <w:rPr>
          <w:noProof/>
          <w:sz w:val="22"/>
          <w:szCs w:val="22"/>
        </w:rPr>
        <w:t>1</w:t>
      </w:r>
      <w:r w:rsidRPr="008520C5">
        <w:rPr>
          <w:noProof/>
          <w:sz w:val="22"/>
          <w:szCs w:val="22"/>
        </w:rPr>
        <w:fldChar w:fldCharType="end"/>
      </w:r>
      <w:r w:rsidRPr="008520C5">
        <w:rPr>
          <w:sz w:val="22"/>
          <w:szCs w:val="22"/>
        </w:rPr>
        <w:t>. Stroke-Related Diagnoses Considered in the Readmission Model 2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709"/>
        <w:gridCol w:w="2126"/>
        <w:gridCol w:w="4394"/>
        <w:gridCol w:w="855"/>
      </w:tblGrid>
      <w:tr w:rsidR="00554596" w:rsidRPr="00537841" w14:paraId="3065E60E" w14:textId="61C846CF" w:rsidTr="00C64EC5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14:paraId="32ED7EB8" w14:textId="09297D5C" w:rsidR="00554596" w:rsidRPr="00537841" w:rsidRDefault="00554596" w:rsidP="0055459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Category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232E09" w14:textId="785A56FE" w:rsidR="00554596" w:rsidRPr="00537841" w:rsidRDefault="00554596" w:rsidP="0055459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ICD Code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A9FD44" w14:textId="67753E4F" w:rsidR="00554596" w:rsidRPr="00537841" w:rsidRDefault="00554596" w:rsidP="0055459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Diagnosis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419A0" w14:textId="2D150F61" w:rsidR="00554596" w:rsidRPr="00537841" w:rsidRDefault="00554596" w:rsidP="0055459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Clinical relevance to ischemic stroke / post-stroke course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15C3F" w14:textId="24009517" w:rsidR="00554596" w:rsidRPr="00537841" w:rsidRDefault="00554596" w:rsidP="0055459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Key refs</w:t>
            </w:r>
          </w:p>
        </w:tc>
      </w:tr>
      <w:tr w:rsidR="00554596" w:rsidRPr="00537841" w14:paraId="3E55A1C2" w14:textId="5B4CD00D" w:rsidTr="00C64EC5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0378472" w14:textId="36E39E2D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Neurological disorders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E0EFB0" w14:textId="5E78BC1E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G40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5830D1" w14:textId="1B98A4B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Epilepsy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C6B4D" w14:textId="49F478A5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Post-stroke seizures and epilepsy are recognized neurological complications that can drive early rehospitalization and adverse outcomes.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66388" w14:textId="1ED7843B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[1]</w:t>
            </w:r>
          </w:p>
        </w:tc>
      </w:tr>
      <w:tr w:rsidR="00554596" w:rsidRPr="00537841" w14:paraId="42AA832E" w14:textId="37B525F5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762B7587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48A504" w14:textId="76122C54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G41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EF76BA" w14:textId="30E600B3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Status epilepticus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AB8FC" w14:textId="02B58E86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Status epilepticus can occur after stroke and is associated with severe clinical course and poor prognosis.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E01C5" w14:textId="7155A776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[2], [3]</w:t>
            </w:r>
          </w:p>
        </w:tc>
      </w:tr>
      <w:tr w:rsidR="00554596" w:rsidRPr="00537841" w14:paraId="2C8204CB" w14:textId="6C16AD44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22774BBD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A144D6" w14:textId="50F125EE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G45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DAA1E8" w14:textId="62D73B89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Transient cerebral ischemic attacks and related syndromes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444BD" w14:textId="7613E356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TIA reflects unstable cerebrovascular disease and confers high short-term risk of subsequent ischemic stroke.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20D94" w14:textId="0D8DEC0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[4]</w:t>
            </w:r>
          </w:p>
        </w:tc>
      </w:tr>
      <w:tr w:rsidR="00554596" w:rsidRPr="00537841" w14:paraId="739B380B" w14:textId="12CFB49F" w:rsidTr="00C64EC5">
        <w:trPr>
          <w:trHeight w:val="20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FEAC7A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2B77CC" w14:textId="7A05942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G46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9F9EC8" w14:textId="33DD1E5F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Vascular syndromes of the brain in cerebrovascular diseases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158FC" w14:textId="44E30438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These syndromes represent neurological deficits attributable to underlying cerebrovascular pathology and are conceptually aligned with stroke mechanisms.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0E0AC" w14:textId="4462900F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[5]</w:t>
            </w:r>
          </w:p>
        </w:tc>
      </w:tr>
      <w:tr w:rsidR="00554596" w:rsidRPr="00537841" w14:paraId="05637B2C" w14:textId="4AC80711" w:rsidTr="00C64EC5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C1F296" w14:textId="1164DFE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Cardiac conditions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84303F" w14:textId="214B9D41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I44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3BACDD" w14:textId="651BA9C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Conduction disorders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98B89" w14:textId="714DDA89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Post-stroke cardiac complications include arrhythmias and conduction abnormalities, reflecting brain–heart interactions after acute cerebral injury.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3F62F" w14:textId="06B2F4D3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[6], [7]</w:t>
            </w:r>
          </w:p>
        </w:tc>
      </w:tr>
      <w:tr w:rsidR="00554596" w:rsidRPr="00537841" w14:paraId="0D4E1183" w14:textId="56C84F33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5478F524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613BB9" w14:textId="7CC62D18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I46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3CF34A" w14:textId="4012A27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Cardiac arrest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BFC4E" w14:textId="25F04A50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Severe cardiac events are part of post-stroke cardiovascular complications and are linked to worse short-term outcomes.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3478B" w14:textId="04E43A08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[6], [8]</w:t>
            </w:r>
          </w:p>
        </w:tc>
      </w:tr>
      <w:tr w:rsidR="00554596" w:rsidRPr="00537841" w14:paraId="6CCE2D8B" w14:textId="762C8E89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070287D7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21EDE5" w14:textId="1AA32109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I47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B012CE" w14:textId="7FFBD958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Paroxysmal tachycardia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59764" w14:textId="7BCE0A90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Tachyarrhythmias may occur after stroke as part of post-stroke cardiac complications and can contribute to clinical instability.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52551" w14:textId="600CC07E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[6], [7]</w:t>
            </w:r>
          </w:p>
        </w:tc>
      </w:tr>
      <w:tr w:rsidR="00554596" w:rsidRPr="00537841" w14:paraId="087F1AE2" w14:textId="11555E88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3CB61CFD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82FA8A" w14:textId="41EA8848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I48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D257CD" w14:textId="53DE6EF0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Atrial fibrillation and flutter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9A5F6" w14:textId="1752D38B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Atrial fibrillation is a major cardioembolic source and is strongly associated with ischemic stroke risk and recurrence.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85389" w14:textId="53EB101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[9], [10]</w:t>
            </w:r>
          </w:p>
        </w:tc>
      </w:tr>
      <w:tr w:rsidR="00554596" w:rsidRPr="00537841" w14:paraId="2ED4883D" w14:textId="2749773A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0F37078D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296F95" w14:textId="58491B09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AA8C48" w14:textId="79D04176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Acute myocardial infarction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9253D" w14:textId="456C4BEB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Acute coronary syndromes are clinically relevant vascular comorbidities after stroke and contribute to post-stroke prognosis and recurrent vascular events.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FB859" w14:textId="036AD3F6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5</w:t>
            </w: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, [1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1</w:t>
            </w:r>
            <w:r w:rsidR="00F4726D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</w:p>
        </w:tc>
      </w:tr>
      <w:tr w:rsidR="00554596" w:rsidRPr="00537841" w14:paraId="1BCCF179" w14:textId="010004BB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2A7B5D16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AECF0F" w14:textId="11A448D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I20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4A69E3" w14:textId="20CBD89A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Angina pectoris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AD1BB" w14:textId="47415F31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Coronary artery disease commonly coexists with ischemic stroke and informs secondary prevention and vascular risk burden.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2179A" w14:textId="0739A7F5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5</w:t>
            </w:r>
            <w:r w:rsidR="007A5662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</w:p>
        </w:tc>
      </w:tr>
      <w:tr w:rsidR="00554596" w:rsidRPr="00537841" w14:paraId="064029B6" w14:textId="49106C73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205877CA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F84923" w14:textId="4B023E53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1AABDD" w14:textId="023449A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Chronic ischemic heart disease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9C21E" w14:textId="2AFB03D5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Chronic coronary disease reflects systemic atherosclerosis and is relevant to recurrent vascular risk after ischemic stroke.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D66C0" w14:textId="48A1EE24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5</w:t>
            </w:r>
            <w:r w:rsidR="007A5662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</w:p>
        </w:tc>
      </w:tr>
      <w:tr w:rsidR="00554596" w:rsidRPr="00537841" w14:paraId="63C5B355" w14:textId="00FB879B" w:rsidTr="00C64EC5">
        <w:trPr>
          <w:trHeight w:val="20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8CD839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4FE9E2" w14:textId="0ADDFAD4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I50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CC6183" w14:textId="01BF2EC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Heart failure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C529B" w14:textId="1E72FD3D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Heart failure is a frequent and prognostically important comorbidity in stroke populations and is part of post-stroke cardiovascular risk.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DED18" w14:textId="5E262B23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5</w:t>
            </w: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, [12]</w:t>
            </w:r>
          </w:p>
        </w:tc>
      </w:tr>
      <w:tr w:rsidR="00554596" w:rsidRPr="00537841" w14:paraId="73FAED68" w14:textId="7BCD9CDD" w:rsidTr="00C64EC5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27DAE6E" w14:textId="1ACF3B09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Cerebrovascular diseases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9970AE" w14:textId="16F6AD0D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I65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8477F7" w14:textId="5593EC23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Occlusion and stenosis of cerebral arteries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5E2F3" w14:textId="26D6D9E0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Cerebral artery stenosis/occlusion represents cerebrovascular pathology directly related to recurrence risk and secondary prevention.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7CC37" w14:textId="3D2B3152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5</w:t>
            </w:r>
            <w:r w:rsidR="000305E1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</w:p>
        </w:tc>
      </w:tr>
      <w:tr w:rsidR="00554596" w:rsidRPr="00537841" w14:paraId="55213B01" w14:textId="38320C42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7C72B533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9E60A2" w14:textId="4498B3D4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I67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EE1179" w14:textId="3C087514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Other and unspecified cerebrovascular diseases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48A66" w14:textId="2B806499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This category captures residual or ongoing cerebrovascular pathology relevant to recurrent cerebrovascular events.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D153E" w14:textId="12C45110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5</w:t>
            </w:r>
            <w:r w:rsidR="00F4726D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</w:p>
        </w:tc>
      </w:tr>
      <w:tr w:rsidR="00554596" w:rsidRPr="00537841" w14:paraId="689B800E" w14:textId="57F4E07C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76E16C80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0C7438" w14:textId="41376345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I60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D35CCA" w14:textId="5B3E2AB5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Subarachnoid hemorrhage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5099D" w14:textId="7AF94F39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Major cerebrovascular event requiring urgent care; clinically relevant within a broadened stroke-related readmission definition.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4E3B7" w14:textId="3D0FFD24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2</w:t>
            </w:r>
            <w:r w:rsidR="000305E1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</w:p>
        </w:tc>
      </w:tr>
      <w:tr w:rsidR="00554596" w:rsidRPr="00537841" w14:paraId="1C578D41" w14:textId="1BB0C830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308C8EA6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494FEC" w14:textId="14648879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I61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8BCD80" w14:textId="3BCA028F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Intracerebral hemorrhage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FEE8C" w14:textId="4FD0F2CD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Intracerebral hemorrhage is a major cerebrovascular event; hemorrhagic complications can occur in stroke care pathways and influence outcomes.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C91B5" w14:textId="210A73D9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3]</w:t>
            </w:r>
          </w:p>
        </w:tc>
      </w:tr>
      <w:tr w:rsidR="00554596" w:rsidRPr="00537841" w14:paraId="1514AB66" w14:textId="5F6EB667" w:rsidTr="00C64EC5">
        <w:trPr>
          <w:trHeight w:val="20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D2C3B6" w14:textId="4246C8D0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Vascular conditions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AB19CC" w14:textId="066C3616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I74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098A89" w14:textId="06A5CCE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Aortic aneurysm and dissection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053C7" w14:textId="21B2653B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Acute aortic dissection is associated with stroke occurrence and perioperative/acute neurological complications.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86B9B" w14:textId="40FD8D61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4]</w:t>
            </w:r>
          </w:p>
        </w:tc>
      </w:tr>
      <w:tr w:rsidR="00554596" w:rsidRPr="00537841" w14:paraId="3EBEDE67" w14:textId="1C24D926" w:rsidTr="00C64EC5">
        <w:trPr>
          <w:trHeight w:val="20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50024D2" w14:textId="2B626F25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Other conditions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91720C" w14:textId="39202969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L89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BA51CE" w14:textId="77777777" w:rsidR="00D067EC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 xml:space="preserve">Decubitus ulcer </w:t>
            </w:r>
          </w:p>
          <w:p w14:paraId="43D0DD19" w14:textId="04F29E94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(pressure ulcer)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6488C" w14:textId="512B28C9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Pressure ulcers are common post-stroke complications linked to immobility/frailty and are associated with poorer outcomes.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B575A" w14:textId="0ADA22A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5</w:t>
            </w:r>
            <w:r w:rsidR="00F4726D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</w:p>
        </w:tc>
      </w:tr>
      <w:tr w:rsidR="00554596" w:rsidRPr="00537841" w14:paraId="3BA51933" w14:textId="6442FBA6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3B66DDF3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5D8685" w14:textId="1DDE88BF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R13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FE94F3" w14:textId="55B0919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Dysphagia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9FABC" w14:textId="71CE2080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Dysphagia is a common post-stroke complication and increases aspiration pneumonia risk, rehospitalization, and mortality.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CF4FB" w14:textId="6D700D8C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6</w:t>
            </w:r>
            <w:r w:rsidR="00F4726D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</w:p>
        </w:tc>
      </w:tr>
      <w:tr w:rsidR="00554596" w:rsidRPr="00537841" w14:paraId="0253D153" w14:textId="040F2DAF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47C49B15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7E6180" w14:textId="5B176560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R00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6F426A" w14:textId="262C0869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Palpitations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23133" w14:textId="024B7419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Palpitations may indicate arrhythmias (e.g., AF) and relate to post-stroke cardiac complications/monitoring needs.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846A6" w14:textId="6DD2EA2A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[6], [10]</w:t>
            </w:r>
          </w:p>
        </w:tc>
      </w:tr>
      <w:tr w:rsidR="00554596" w:rsidRPr="00537841" w14:paraId="5D97A1B2" w14:textId="369B315C" w:rsidTr="00C64EC5">
        <w:trPr>
          <w:trHeight w:val="20"/>
        </w:trPr>
        <w:tc>
          <w:tcPr>
            <w:tcW w:w="1276" w:type="dxa"/>
            <w:shd w:val="clear" w:color="auto" w:fill="auto"/>
            <w:vAlign w:val="center"/>
            <w:hideMark/>
          </w:tcPr>
          <w:p w14:paraId="64921785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9D3643" w14:textId="55A9F918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R56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379D3A" w14:textId="6B92999B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Convulsions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56A21" w14:textId="721BB3C9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Seizures/convulsions can occur after stroke and are clinically relevant neurological complications requiring acute care.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17534" w14:textId="75D90620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[1], [2]</w:t>
            </w:r>
          </w:p>
        </w:tc>
      </w:tr>
      <w:tr w:rsidR="00554596" w:rsidRPr="00537841" w14:paraId="12D19AD2" w14:textId="6ABA4379" w:rsidTr="00C64EC5">
        <w:trPr>
          <w:trHeight w:val="20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230B86" w14:textId="77777777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7DCFB2" w14:textId="5081E136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R57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95CC76" w14:textId="073D1D2B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Hypotension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69D16" w14:textId="4E94B5AA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Hemodynamic instability can adversely affect cerebral perfusion and is clinically relevant in post-stroke management.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B7544" w14:textId="30887A76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[11]</w:t>
            </w:r>
          </w:p>
        </w:tc>
      </w:tr>
      <w:tr w:rsidR="00554596" w:rsidRPr="00537841" w14:paraId="54F18CC2" w14:textId="608E724A" w:rsidTr="00554596">
        <w:trPr>
          <w:trHeight w:val="2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2D1680" w14:textId="5ED77860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Respiratory infections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C4E66B" w14:textId="13F9284A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J17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C88060" w14:textId="76C903BA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Other and unspecified pneumonia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F6992" w14:textId="18A0DAE7" w:rsidR="00554596" w:rsidRPr="00537841" w:rsidRDefault="00554596" w:rsidP="00F70625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Stroke-associated pneumonia is a leading medical complication and is strongly associated with short-term mortality and worse outcomes.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370C0" w14:textId="0B4F7D91" w:rsidR="00554596" w:rsidRPr="00537841" w:rsidRDefault="00554596" w:rsidP="006D2EAD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[1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7</w:t>
            </w: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, [1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8</w:t>
            </w:r>
            <w:r w:rsidR="006D2EAD">
              <w:rPr>
                <w:rFonts w:ascii="Times New Roman" w:hAnsi="Times New Roman" w:cs="Times New Roman" w:hint="eastAsia"/>
                <w:sz w:val="20"/>
                <w:szCs w:val="18"/>
              </w:rPr>
              <w:t>]</w:t>
            </w:r>
            <w:r w:rsidRPr="006D2EAD">
              <w:rPr>
                <w:rFonts w:ascii="Times New Roman" w:hAnsi="Times New Roman" w:cs="Times New Roman"/>
                <w:sz w:val="20"/>
                <w:szCs w:val="18"/>
              </w:rPr>
              <w:t>, [</w:t>
            </w:r>
            <w:r w:rsidR="00CE4CC7" w:rsidRPr="006D2EAD">
              <w:rPr>
                <w:rFonts w:ascii="Times New Roman" w:hAnsi="Times New Roman" w:cs="Times New Roman" w:hint="eastAsia"/>
                <w:sz w:val="20"/>
                <w:szCs w:val="18"/>
              </w:rPr>
              <w:t>19</w:t>
            </w:r>
          </w:p>
        </w:tc>
      </w:tr>
    </w:tbl>
    <w:p w14:paraId="51B1DCEC" w14:textId="22BD5C8D" w:rsidR="00453C9E" w:rsidRDefault="00453C9E">
      <w:pPr>
        <w:rPr>
          <w:i/>
          <w:iCs/>
          <w:color w:val="44546A" w:themeColor="text2"/>
        </w:rPr>
      </w:pPr>
    </w:p>
    <w:p w14:paraId="1E48E960" w14:textId="77777777" w:rsidR="008520C5" w:rsidRDefault="008520C5">
      <w:pPr>
        <w:rPr>
          <w:b/>
          <w:bCs/>
          <w:i/>
          <w:iCs/>
          <w:color w:val="44546A" w:themeColor="text2"/>
        </w:rPr>
      </w:pPr>
      <w:r>
        <w:rPr>
          <w:b/>
          <w:bCs/>
          <w:i/>
          <w:iCs/>
          <w:color w:val="44546A" w:themeColor="text2"/>
        </w:rPr>
        <w:br w:type="page"/>
      </w:r>
    </w:p>
    <w:p w14:paraId="6CFC50D5" w14:textId="530913C9" w:rsidR="00215199" w:rsidRPr="00215199" w:rsidRDefault="00215199" w:rsidP="00215199">
      <w:pPr>
        <w:rPr>
          <w:b/>
          <w:bCs/>
          <w:i/>
          <w:iCs/>
          <w:color w:val="44546A" w:themeColor="text2"/>
        </w:rPr>
      </w:pPr>
      <w:r w:rsidRPr="00215199">
        <w:rPr>
          <w:b/>
          <w:bCs/>
          <w:i/>
          <w:iCs/>
          <w:color w:val="44546A" w:themeColor="text2"/>
        </w:rPr>
        <w:lastRenderedPageBreak/>
        <w:t>Supplementary References</w:t>
      </w:r>
    </w:p>
    <w:p w14:paraId="2CB5FD43" w14:textId="77777777" w:rsidR="00D63456" w:rsidRPr="00D63456" w:rsidRDefault="00D63456" w:rsidP="00D63456">
      <w:pPr>
        <w:rPr>
          <w:b/>
          <w:bCs/>
          <w:i/>
          <w:iCs/>
          <w:color w:val="44546A" w:themeColor="text2"/>
        </w:rPr>
      </w:pPr>
      <w:r w:rsidRPr="00D63456">
        <w:rPr>
          <w:b/>
          <w:bCs/>
          <w:i/>
          <w:iCs/>
          <w:color w:val="44546A" w:themeColor="text2"/>
        </w:rPr>
        <w:t>Supplementary References (APA; DOI + URL)</w:t>
      </w:r>
    </w:p>
    <w:p w14:paraId="5CC1B965" w14:textId="2460F0F6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[1] </w:t>
      </w:r>
      <w:proofErr w:type="spellStart"/>
      <w:r w:rsidRPr="00D63456">
        <w:rPr>
          <w:i/>
          <w:iCs/>
          <w:color w:val="44546A" w:themeColor="text2"/>
        </w:rPr>
        <w:t>Bladin</w:t>
      </w:r>
      <w:proofErr w:type="spellEnd"/>
      <w:r w:rsidRPr="00D63456">
        <w:rPr>
          <w:i/>
          <w:iCs/>
          <w:color w:val="44546A" w:themeColor="text2"/>
        </w:rPr>
        <w:t xml:space="preserve">, C. F., Alexandrov, A. V., </w:t>
      </w:r>
      <w:proofErr w:type="spellStart"/>
      <w:r w:rsidRPr="00D63456">
        <w:rPr>
          <w:i/>
          <w:iCs/>
          <w:color w:val="44546A" w:themeColor="text2"/>
        </w:rPr>
        <w:t>Bellavance</w:t>
      </w:r>
      <w:proofErr w:type="spellEnd"/>
      <w:r w:rsidRPr="00D63456">
        <w:rPr>
          <w:i/>
          <w:iCs/>
          <w:color w:val="44546A" w:themeColor="text2"/>
        </w:rPr>
        <w:t xml:space="preserve">, A., Bornstein, N., Chambers, B., Coté, R., Lebrun, L., </w:t>
      </w:r>
      <w:proofErr w:type="spellStart"/>
      <w:r w:rsidRPr="00D63456">
        <w:rPr>
          <w:i/>
          <w:iCs/>
          <w:color w:val="44546A" w:themeColor="text2"/>
        </w:rPr>
        <w:t>Pirisi</w:t>
      </w:r>
      <w:proofErr w:type="spellEnd"/>
      <w:r w:rsidRPr="00D63456">
        <w:rPr>
          <w:i/>
          <w:iCs/>
          <w:color w:val="44546A" w:themeColor="text2"/>
        </w:rPr>
        <w:t xml:space="preserve">, A., &amp; Norris, J. W. (2000). Seizures after stroke: A prospective multicenter study. Archives of Neurology, 57(11), 1617–1622. https://doi.org/10.1001/archneur.57.11.1617 </w:t>
      </w:r>
      <w:hyperlink r:id="rId8" w:tgtFrame="_new" w:history="1">
        <w:r w:rsidRPr="00D63456">
          <w:rPr>
            <w:rStyle w:val="a3"/>
            <w:i/>
            <w:iCs/>
          </w:rPr>
          <w:t>https://pubmed.ncbi.nlm.nih.gov/11074794/</w:t>
        </w:r>
      </w:hyperlink>
      <w:r w:rsidRPr="00D63456">
        <w:rPr>
          <w:i/>
          <w:iCs/>
          <w:color w:val="44546A" w:themeColor="text2"/>
        </w:rPr>
        <w:t xml:space="preserve"> </w:t>
      </w:r>
    </w:p>
    <w:p w14:paraId="0EF25187" w14:textId="0B2835A2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[2] </w:t>
      </w:r>
      <w:proofErr w:type="spellStart"/>
      <w:r w:rsidRPr="00D63456">
        <w:rPr>
          <w:i/>
          <w:iCs/>
          <w:color w:val="44546A" w:themeColor="text2"/>
        </w:rPr>
        <w:t>Rumbach</w:t>
      </w:r>
      <w:proofErr w:type="spellEnd"/>
      <w:r w:rsidRPr="00D63456">
        <w:rPr>
          <w:i/>
          <w:iCs/>
          <w:color w:val="44546A" w:themeColor="text2"/>
        </w:rPr>
        <w:t xml:space="preserve">, L., </w:t>
      </w:r>
      <w:proofErr w:type="spellStart"/>
      <w:r w:rsidRPr="00D63456">
        <w:rPr>
          <w:i/>
          <w:iCs/>
          <w:color w:val="44546A" w:themeColor="text2"/>
        </w:rPr>
        <w:t>Sablot</w:t>
      </w:r>
      <w:proofErr w:type="spellEnd"/>
      <w:r w:rsidRPr="00D63456">
        <w:rPr>
          <w:i/>
          <w:iCs/>
          <w:color w:val="44546A" w:themeColor="text2"/>
        </w:rPr>
        <w:t xml:space="preserve">, D., Berger, E., Tatu, L., </w:t>
      </w:r>
      <w:proofErr w:type="spellStart"/>
      <w:r w:rsidRPr="00D63456">
        <w:rPr>
          <w:i/>
          <w:iCs/>
          <w:color w:val="44546A" w:themeColor="text2"/>
        </w:rPr>
        <w:t>Vuillier</w:t>
      </w:r>
      <w:proofErr w:type="spellEnd"/>
      <w:r w:rsidRPr="00D63456">
        <w:rPr>
          <w:i/>
          <w:iCs/>
          <w:color w:val="44546A" w:themeColor="text2"/>
        </w:rPr>
        <w:t xml:space="preserve">, F., &amp; Moulin, T. (2000). Status epilepticus in stroke: Report on a hospital-based stroke cohort. Neurology, 54(2), 350–354. https://doi.org/10.1212/WNL.54.2.350 </w:t>
      </w:r>
      <w:hyperlink r:id="rId9" w:tgtFrame="_new" w:history="1">
        <w:r w:rsidRPr="00D63456">
          <w:rPr>
            <w:rStyle w:val="a3"/>
            <w:i/>
            <w:iCs/>
          </w:rPr>
          <w:t>https://www.neurology.org/doi/10.1212/WNL.54.2.350</w:t>
        </w:r>
      </w:hyperlink>
    </w:p>
    <w:p w14:paraId="012E68DC" w14:textId="209E3A0E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[3] </w:t>
      </w:r>
      <w:proofErr w:type="spellStart"/>
      <w:r w:rsidRPr="00D63456">
        <w:rPr>
          <w:i/>
          <w:iCs/>
          <w:color w:val="44546A" w:themeColor="text2"/>
        </w:rPr>
        <w:t>Velioğlu</w:t>
      </w:r>
      <w:proofErr w:type="spellEnd"/>
      <w:r w:rsidRPr="00D63456">
        <w:rPr>
          <w:i/>
          <w:iCs/>
          <w:color w:val="44546A" w:themeColor="text2"/>
        </w:rPr>
        <w:t xml:space="preserve">, S. K., </w:t>
      </w:r>
      <w:proofErr w:type="spellStart"/>
      <w:r w:rsidRPr="00D63456">
        <w:rPr>
          <w:i/>
          <w:iCs/>
          <w:color w:val="44546A" w:themeColor="text2"/>
        </w:rPr>
        <w:t>Ozmenoğlu</w:t>
      </w:r>
      <w:proofErr w:type="spellEnd"/>
      <w:r w:rsidRPr="00D63456">
        <w:rPr>
          <w:i/>
          <w:iCs/>
          <w:color w:val="44546A" w:themeColor="text2"/>
        </w:rPr>
        <w:t xml:space="preserve">, M., Boz, C., &amp; </w:t>
      </w:r>
      <w:proofErr w:type="spellStart"/>
      <w:r w:rsidRPr="00D63456">
        <w:rPr>
          <w:i/>
          <w:iCs/>
          <w:color w:val="44546A" w:themeColor="text2"/>
        </w:rPr>
        <w:t>Alioğlu</w:t>
      </w:r>
      <w:proofErr w:type="spellEnd"/>
      <w:r w:rsidRPr="00D63456">
        <w:rPr>
          <w:i/>
          <w:iCs/>
          <w:color w:val="44546A" w:themeColor="text2"/>
        </w:rPr>
        <w:t xml:space="preserve">, Z. (2001). Status epilepticus after stroke. Stroke, 32(5), 1169–1172. https://doi.org/10.1161/01.STR.32.5.1169 </w:t>
      </w:r>
      <w:hyperlink r:id="rId10" w:tgtFrame="_new" w:history="1">
        <w:r w:rsidRPr="00D63456">
          <w:rPr>
            <w:rStyle w:val="a3"/>
            <w:i/>
            <w:iCs/>
          </w:rPr>
          <w:t>https://pubmed.ncbi.nlm.nih.gov/11340227/</w:t>
        </w:r>
      </w:hyperlink>
      <w:r w:rsidRPr="00D63456">
        <w:rPr>
          <w:i/>
          <w:iCs/>
          <w:color w:val="44546A" w:themeColor="text2"/>
        </w:rPr>
        <w:t xml:space="preserve"> </w:t>
      </w:r>
    </w:p>
    <w:p w14:paraId="6F333D00" w14:textId="36DF5BBA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[4] Easton, J. D., Saver, J. L., Albers, G. W., et al. (2009). Definition and evaluation of transient ischemic attack: A scientific statement for healthcare professionals from the American Heart Association/American Stroke Association. Stroke, 40(6), 2276–2293. </w:t>
      </w:r>
      <w:hyperlink r:id="rId11" w:history="1">
        <w:r w:rsidR="00285D7B" w:rsidRPr="00D63456">
          <w:rPr>
            <w:rStyle w:val="a3"/>
            <w:i/>
            <w:iCs/>
          </w:rPr>
          <w:t>https://doi.org/10.1161/STROKEAHA.108.192218</w:t>
        </w:r>
      </w:hyperlink>
    </w:p>
    <w:p w14:paraId="53ED6325" w14:textId="3744479A" w:rsidR="00285D7B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[5] </w:t>
      </w:r>
      <w:proofErr w:type="spellStart"/>
      <w:r w:rsidRPr="00D63456">
        <w:rPr>
          <w:i/>
          <w:iCs/>
          <w:color w:val="44546A" w:themeColor="text2"/>
        </w:rPr>
        <w:t>Kleindorfer</w:t>
      </w:r>
      <w:proofErr w:type="spellEnd"/>
      <w:r w:rsidRPr="00D63456">
        <w:rPr>
          <w:i/>
          <w:iCs/>
          <w:color w:val="44546A" w:themeColor="text2"/>
        </w:rPr>
        <w:t xml:space="preserve">, D. O., </w:t>
      </w:r>
      <w:proofErr w:type="spellStart"/>
      <w:r w:rsidRPr="00D63456">
        <w:rPr>
          <w:i/>
          <w:iCs/>
          <w:color w:val="44546A" w:themeColor="text2"/>
        </w:rPr>
        <w:t>Towfighi</w:t>
      </w:r>
      <w:proofErr w:type="spellEnd"/>
      <w:r w:rsidRPr="00D63456">
        <w:rPr>
          <w:i/>
          <w:iCs/>
          <w:color w:val="44546A" w:themeColor="text2"/>
        </w:rPr>
        <w:t xml:space="preserve">, A., Chaturvedi, S., et al. (2021). 2021 Guideline for the prevention of stroke in patients with stroke and transient ischemic attack: A guideline from the American Heart Association/American Stroke Association. Stroke, 52(7), e364–e467. </w:t>
      </w:r>
      <w:hyperlink r:id="rId12" w:history="1">
        <w:r w:rsidR="00285D7B" w:rsidRPr="00D63456">
          <w:rPr>
            <w:rStyle w:val="a3"/>
            <w:i/>
            <w:iCs/>
          </w:rPr>
          <w:t>https://doi.org/10.1161/STR.0000000000000375</w:t>
        </w:r>
      </w:hyperlink>
    </w:p>
    <w:p w14:paraId="0943BCE8" w14:textId="7135C6BB" w:rsid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[6] </w:t>
      </w:r>
      <w:proofErr w:type="spellStart"/>
      <w:r w:rsidRPr="00D63456">
        <w:rPr>
          <w:i/>
          <w:iCs/>
          <w:color w:val="44546A" w:themeColor="text2"/>
        </w:rPr>
        <w:t>Scheitz</w:t>
      </w:r>
      <w:proofErr w:type="spellEnd"/>
      <w:r w:rsidRPr="00D63456">
        <w:rPr>
          <w:i/>
          <w:iCs/>
          <w:color w:val="44546A" w:themeColor="text2"/>
        </w:rPr>
        <w:t xml:space="preserve">, J. F., Nolte, C. H., </w:t>
      </w:r>
      <w:proofErr w:type="spellStart"/>
      <w:r w:rsidRPr="00D63456">
        <w:rPr>
          <w:i/>
          <w:iCs/>
          <w:color w:val="44546A" w:themeColor="text2"/>
        </w:rPr>
        <w:t>Doehner</w:t>
      </w:r>
      <w:proofErr w:type="spellEnd"/>
      <w:r w:rsidRPr="00D63456">
        <w:rPr>
          <w:i/>
          <w:iCs/>
          <w:color w:val="44546A" w:themeColor="text2"/>
        </w:rPr>
        <w:t xml:space="preserve">, W., </w:t>
      </w:r>
      <w:proofErr w:type="spellStart"/>
      <w:r w:rsidRPr="00D63456">
        <w:rPr>
          <w:i/>
          <w:iCs/>
          <w:color w:val="44546A" w:themeColor="text2"/>
        </w:rPr>
        <w:t>Hachinski</w:t>
      </w:r>
      <w:proofErr w:type="spellEnd"/>
      <w:r w:rsidRPr="00D63456">
        <w:rPr>
          <w:i/>
          <w:iCs/>
          <w:color w:val="44546A" w:themeColor="text2"/>
        </w:rPr>
        <w:t xml:space="preserve">, V., &amp; Endres, M. (2018). Stroke–heart syndrome: Clinical presentation and underlying mechanisms. The Lancet Neurology, 17(12), 1109–1120. </w:t>
      </w:r>
      <w:hyperlink r:id="rId13" w:history="1">
        <w:r w:rsidR="00285D7B" w:rsidRPr="00D63456">
          <w:rPr>
            <w:rStyle w:val="a3"/>
            <w:i/>
            <w:iCs/>
          </w:rPr>
          <w:t>https://doi.org/10.1016/S1474-4422(18)30336-3</w:t>
        </w:r>
      </w:hyperlink>
    </w:p>
    <w:p w14:paraId="06B2D4EB" w14:textId="6F1BBBAB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[7] </w:t>
      </w:r>
      <w:proofErr w:type="spellStart"/>
      <w:r w:rsidRPr="00D63456">
        <w:rPr>
          <w:i/>
          <w:iCs/>
          <w:color w:val="44546A" w:themeColor="text2"/>
        </w:rPr>
        <w:t>Sposato</w:t>
      </w:r>
      <w:proofErr w:type="spellEnd"/>
      <w:r w:rsidRPr="00D63456">
        <w:rPr>
          <w:i/>
          <w:iCs/>
          <w:color w:val="44546A" w:themeColor="text2"/>
        </w:rPr>
        <w:t xml:space="preserve">, L. A., </w:t>
      </w:r>
      <w:proofErr w:type="spellStart"/>
      <w:r w:rsidRPr="00D63456">
        <w:rPr>
          <w:i/>
          <w:iCs/>
          <w:color w:val="44546A" w:themeColor="text2"/>
        </w:rPr>
        <w:t>Hilz</w:t>
      </w:r>
      <w:proofErr w:type="spellEnd"/>
      <w:r w:rsidRPr="00D63456">
        <w:rPr>
          <w:i/>
          <w:iCs/>
          <w:color w:val="44546A" w:themeColor="text2"/>
        </w:rPr>
        <w:t xml:space="preserve">, M. J., </w:t>
      </w:r>
      <w:proofErr w:type="spellStart"/>
      <w:r w:rsidRPr="00D63456">
        <w:rPr>
          <w:i/>
          <w:iCs/>
          <w:color w:val="44546A" w:themeColor="text2"/>
        </w:rPr>
        <w:t>Aspberg</w:t>
      </w:r>
      <w:proofErr w:type="spellEnd"/>
      <w:r w:rsidRPr="00D63456">
        <w:rPr>
          <w:i/>
          <w:iCs/>
          <w:color w:val="44546A" w:themeColor="text2"/>
        </w:rPr>
        <w:t xml:space="preserve">, S., et al. (2020). Post-stroke cardiovascular complications and neurogenic cardiac injury: JACC state-of-the-art review. Journal of the American College of Cardiology. </w:t>
      </w:r>
      <w:hyperlink r:id="rId14" w:tgtFrame="_new" w:history="1">
        <w:r w:rsidRPr="00D63456">
          <w:rPr>
            <w:rStyle w:val="a3"/>
            <w:i/>
            <w:iCs/>
          </w:rPr>
          <w:t>https://doi.org/10.1016/j.jacc.2020.10.009</w:t>
        </w:r>
      </w:hyperlink>
    </w:p>
    <w:p w14:paraId="159EFD89" w14:textId="6CCAAAF0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[8] Prosser, J., MacGregor, L., Lees, K. R., et al. (2007). Predictors of early cardiac morbidity and mortality after ischemic stroke. Stroke, 38(8), 2295–2302. https://doi.org/10.1161/STROKEAHA.106.471813 </w:t>
      </w:r>
      <w:hyperlink r:id="rId15" w:tgtFrame="_new" w:history="1">
        <w:r w:rsidRPr="00D63456">
          <w:rPr>
            <w:rStyle w:val="a3"/>
            <w:i/>
            <w:iCs/>
          </w:rPr>
          <w:t>https://pubmed.ncbi.nlm.nih.gov/17569877/</w:t>
        </w:r>
      </w:hyperlink>
    </w:p>
    <w:p w14:paraId="0F713329" w14:textId="360CA0BD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[9] Wolf, P. A., Abbott, R. D., &amp; </w:t>
      </w:r>
      <w:proofErr w:type="spellStart"/>
      <w:r w:rsidRPr="00D63456">
        <w:rPr>
          <w:i/>
          <w:iCs/>
          <w:color w:val="44546A" w:themeColor="text2"/>
        </w:rPr>
        <w:t>Kannel</w:t>
      </w:r>
      <w:proofErr w:type="spellEnd"/>
      <w:r w:rsidRPr="00D63456">
        <w:rPr>
          <w:i/>
          <w:iCs/>
          <w:color w:val="44546A" w:themeColor="text2"/>
        </w:rPr>
        <w:t xml:space="preserve">, W. B. (1991). Atrial fibrillation as an independent risk factor for stroke: The Framingham Study. Stroke, 22(8), 983–988. https://doi.org/10.1161/01.STR.22.8.983 </w:t>
      </w:r>
      <w:hyperlink r:id="rId16" w:tgtFrame="_new" w:history="1">
        <w:r w:rsidRPr="00D63456">
          <w:rPr>
            <w:rStyle w:val="a3"/>
            <w:i/>
            <w:iCs/>
          </w:rPr>
          <w:t>https://pubmed.ncbi.nlm.nih.gov/1866765/</w:t>
        </w:r>
      </w:hyperlink>
      <w:r w:rsidRPr="00D63456">
        <w:rPr>
          <w:i/>
          <w:iCs/>
          <w:color w:val="44546A" w:themeColor="text2"/>
        </w:rPr>
        <w:t xml:space="preserve"> </w:t>
      </w:r>
    </w:p>
    <w:p w14:paraId="00CA99D1" w14:textId="77777777" w:rsidR="00F4726D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 xml:space="preserve">[10] January, C. T., </w:t>
      </w:r>
      <w:proofErr w:type="spellStart"/>
      <w:r w:rsidRPr="00D63456">
        <w:rPr>
          <w:i/>
          <w:iCs/>
          <w:color w:val="44546A" w:themeColor="text2"/>
        </w:rPr>
        <w:t>Wann</w:t>
      </w:r>
      <w:proofErr w:type="spellEnd"/>
      <w:r w:rsidRPr="00D63456">
        <w:rPr>
          <w:i/>
          <w:iCs/>
          <w:color w:val="44546A" w:themeColor="text2"/>
        </w:rPr>
        <w:t xml:space="preserve">, L. S., Calkins, H., et al. (2019). 2019 AHA/ACC/HRS focused update of the 2014 AHA/ACC/HRS guideline for the management of patients with atrial fibrillation. Circulation, 140, e125–e151. </w:t>
      </w:r>
      <w:hyperlink r:id="rId17" w:tgtFrame="_new" w:history="1">
        <w:r w:rsidRPr="00D63456">
          <w:rPr>
            <w:rStyle w:val="a3"/>
            <w:i/>
            <w:iCs/>
          </w:rPr>
          <w:t>https://doi.org/10.1161/CIR.0000000000000665</w:t>
        </w:r>
      </w:hyperlink>
      <w:r w:rsidR="00F4726D">
        <w:rPr>
          <w:rFonts w:hint="eastAsia"/>
          <w:i/>
          <w:iCs/>
          <w:color w:val="44546A" w:themeColor="text2"/>
        </w:rPr>
        <w:t xml:space="preserve"> </w:t>
      </w:r>
    </w:p>
    <w:p w14:paraId="6BF3812E" w14:textId="5DFF277A" w:rsid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>[1</w:t>
      </w:r>
      <w:r w:rsidR="00F4726D">
        <w:rPr>
          <w:rFonts w:hint="eastAsia"/>
          <w:i/>
          <w:iCs/>
          <w:color w:val="44546A" w:themeColor="text2"/>
        </w:rPr>
        <w:t xml:space="preserve">1] </w:t>
      </w:r>
      <w:r w:rsidRPr="00D63456">
        <w:rPr>
          <w:i/>
          <w:iCs/>
          <w:color w:val="44546A" w:themeColor="text2"/>
        </w:rPr>
        <w:t xml:space="preserve">Witt, B. J., et al. (2006). The incidence of stroke after myocardial infarction: A meta-analysis. The American Journal of Medicine, 119(4), 354.e1–354.e9. </w:t>
      </w:r>
      <w:hyperlink r:id="rId18" w:history="1">
        <w:r w:rsidR="00F4726D" w:rsidRPr="00D63456">
          <w:rPr>
            <w:rStyle w:val="a3"/>
            <w:i/>
            <w:iCs/>
          </w:rPr>
          <w:t>https://doi.org/10.1016/j.amjmed.2005.10.058</w:t>
        </w:r>
      </w:hyperlink>
    </w:p>
    <w:p w14:paraId="77AFA9A2" w14:textId="0FED0422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lastRenderedPageBreak/>
        <w:t>[1</w:t>
      </w:r>
      <w:r w:rsidR="00F4726D">
        <w:rPr>
          <w:rFonts w:hint="eastAsia"/>
          <w:i/>
          <w:iCs/>
          <w:color w:val="44546A" w:themeColor="text2"/>
        </w:rPr>
        <w:t>2</w:t>
      </w:r>
      <w:r w:rsidRPr="00D63456">
        <w:rPr>
          <w:i/>
          <w:iCs/>
          <w:color w:val="44546A" w:themeColor="text2"/>
        </w:rPr>
        <w:t xml:space="preserve">] Connolly, E. S., Jr., </w:t>
      </w:r>
      <w:proofErr w:type="spellStart"/>
      <w:r w:rsidRPr="00D63456">
        <w:rPr>
          <w:i/>
          <w:iCs/>
          <w:color w:val="44546A" w:themeColor="text2"/>
        </w:rPr>
        <w:t>Rabinstein</w:t>
      </w:r>
      <w:proofErr w:type="spellEnd"/>
      <w:r w:rsidRPr="00D63456">
        <w:rPr>
          <w:i/>
          <w:iCs/>
          <w:color w:val="44546A" w:themeColor="text2"/>
        </w:rPr>
        <w:t xml:space="preserve">, A. A., </w:t>
      </w:r>
      <w:proofErr w:type="spellStart"/>
      <w:r w:rsidRPr="00D63456">
        <w:rPr>
          <w:i/>
          <w:iCs/>
          <w:color w:val="44546A" w:themeColor="text2"/>
        </w:rPr>
        <w:t>Carhuapoma</w:t>
      </w:r>
      <w:proofErr w:type="spellEnd"/>
      <w:r w:rsidRPr="00D63456">
        <w:rPr>
          <w:i/>
          <w:iCs/>
          <w:color w:val="44546A" w:themeColor="text2"/>
        </w:rPr>
        <w:t xml:space="preserve">, J. R., et al. (2012). Guidelines for the management of aneurysmal subarachnoid hemorrhage: A guideline for healthcare professionals from the American Heart Association/American Stroke Association. Stroke, 43(6), 1711–1737. </w:t>
      </w:r>
      <w:hyperlink r:id="rId19" w:tgtFrame="_new" w:history="1">
        <w:r w:rsidRPr="00D63456">
          <w:rPr>
            <w:rStyle w:val="a3"/>
            <w:i/>
            <w:iCs/>
          </w:rPr>
          <w:t>https://doi.org/10.1161/STR.0b013e3182587839</w:t>
        </w:r>
      </w:hyperlink>
    </w:p>
    <w:p w14:paraId="290BA9A8" w14:textId="4B79512E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>[1</w:t>
      </w:r>
      <w:r w:rsidR="00F4726D">
        <w:rPr>
          <w:rFonts w:hint="eastAsia"/>
          <w:i/>
          <w:iCs/>
          <w:color w:val="44546A" w:themeColor="text2"/>
        </w:rPr>
        <w:t>3</w:t>
      </w:r>
      <w:r w:rsidRPr="00D63456">
        <w:rPr>
          <w:i/>
          <w:iCs/>
          <w:color w:val="44546A" w:themeColor="text2"/>
        </w:rPr>
        <w:t xml:space="preserve">] Greenberg, S. M., </w:t>
      </w:r>
      <w:proofErr w:type="spellStart"/>
      <w:r w:rsidRPr="00D63456">
        <w:rPr>
          <w:i/>
          <w:iCs/>
          <w:color w:val="44546A" w:themeColor="text2"/>
        </w:rPr>
        <w:t>Ziai</w:t>
      </w:r>
      <w:proofErr w:type="spellEnd"/>
      <w:r w:rsidRPr="00D63456">
        <w:rPr>
          <w:i/>
          <w:iCs/>
          <w:color w:val="44546A" w:themeColor="text2"/>
        </w:rPr>
        <w:t xml:space="preserve">, W. C., </w:t>
      </w:r>
      <w:proofErr w:type="spellStart"/>
      <w:r w:rsidRPr="00D63456">
        <w:rPr>
          <w:i/>
          <w:iCs/>
          <w:color w:val="44546A" w:themeColor="text2"/>
        </w:rPr>
        <w:t>Cordonnier</w:t>
      </w:r>
      <w:proofErr w:type="spellEnd"/>
      <w:r w:rsidRPr="00D63456">
        <w:rPr>
          <w:i/>
          <w:iCs/>
          <w:color w:val="44546A" w:themeColor="text2"/>
        </w:rPr>
        <w:t xml:space="preserve">, C., et al. (2022). 2022 Guideline for the management of patients with spontaneous intracerebral hemorrhage. Stroke, 53(7), e282–e361. </w:t>
      </w:r>
      <w:hyperlink r:id="rId20" w:tgtFrame="_new" w:history="1">
        <w:r w:rsidRPr="00D63456">
          <w:rPr>
            <w:rStyle w:val="a3"/>
            <w:i/>
            <w:iCs/>
          </w:rPr>
          <w:t>https://doi.org/10.1161/STR.0000000000000407</w:t>
        </w:r>
      </w:hyperlink>
      <w:r w:rsidR="00F4726D" w:rsidRPr="00D63456">
        <w:rPr>
          <w:i/>
          <w:iCs/>
          <w:color w:val="44546A" w:themeColor="text2"/>
        </w:rPr>
        <w:t xml:space="preserve"> </w:t>
      </w:r>
    </w:p>
    <w:p w14:paraId="3F786AF9" w14:textId="4B353052" w:rsid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>[1</w:t>
      </w:r>
      <w:r w:rsidR="00F4726D">
        <w:rPr>
          <w:rFonts w:hint="eastAsia"/>
          <w:i/>
          <w:iCs/>
          <w:color w:val="44546A" w:themeColor="text2"/>
        </w:rPr>
        <w:t>4</w:t>
      </w:r>
      <w:r w:rsidRPr="00D63456">
        <w:rPr>
          <w:i/>
          <w:iCs/>
          <w:color w:val="44546A" w:themeColor="text2"/>
        </w:rPr>
        <w:t xml:space="preserve">] </w:t>
      </w:r>
      <w:proofErr w:type="spellStart"/>
      <w:r w:rsidRPr="00D63456">
        <w:rPr>
          <w:i/>
          <w:iCs/>
          <w:color w:val="44546A" w:themeColor="text2"/>
        </w:rPr>
        <w:t>Bossone</w:t>
      </w:r>
      <w:proofErr w:type="spellEnd"/>
      <w:r w:rsidRPr="00D63456">
        <w:rPr>
          <w:i/>
          <w:iCs/>
          <w:color w:val="44546A" w:themeColor="text2"/>
        </w:rPr>
        <w:t xml:space="preserve">, E., </w:t>
      </w:r>
      <w:proofErr w:type="spellStart"/>
      <w:r w:rsidRPr="00D63456">
        <w:rPr>
          <w:i/>
          <w:iCs/>
          <w:color w:val="44546A" w:themeColor="text2"/>
        </w:rPr>
        <w:t>Corteville</w:t>
      </w:r>
      <w:proofErr w:type="spellEnd"/>
      <w:r w:rsidRPr="00D63456">
        <w:rPr>
          <w:i/>
          <w:iCs/>
          <w:color w:val="44546A" w:themeColor="text2"/>
        </w:rPr>
        <w:t xml:space="preserve">, D. C., Harris, K. M., et al. (2013). Stroke and outcomes in patients with acute type A aortic dissection. Circulation. </w:t>
      </w:r>
      <w:hyperlink r:id="rId21" w:history="1">
        <w:r w:rsidR="00F4726D" w:rsidRPr="00D63456">
          <w:rPr>
            <w:rStyle w:val="a3"/>
            <w:i/>
            <w:iCs/>
          </w:rPr>
          <w:t>https://doi.org/10.1161/CIRCULATIONAHA.112.000327</w:t>
        </w:r>
      </w:hyperlink>
    </w:p>
    <w:p w14:paraId="09AC9D3D" w14:textId="4B419454" w:rsid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>[1</w:t>
      </w:r>
      <w:r w:rsidR="00F4726D">
        <w:rPr>
          <w:rFonts w:hint="eastAsia"/>
          <w:i/>
          <w:iCs/>
          <w:color w:val="44546A" w:themeColor="text2"/>
        </w:rPr>
        <w:t>5</w:t>
      </w:r>
      <w:r w:rsidRPr="00D63456">
        <w:rPr>
          <w:i/>
          <w:iCs/>
          <w:color w:val="44546A" w:themeColor="text2"/>
        </w:rPr>
        <w:t xml:space="preserve">] Langhorne, P., Stott, D. J., Robertson, L., et al. (2000). Medical complications after stroke: A multicenter study. Stroke, 31(6), 1223–1229. </w:t>
      </w:r>
      <w:hyperlink r:id="rId22" w:history="1">
        <w:r w:rsidR="008D25E0" w:rsidRPr="00D63456">
          <w:rPr>
            <w:rStyle w:val="a3"/>
            <w:i/>
            <w:iCs/>
          </w:rPr>
          <w:t>https://doi.org/10.1161/01.STR.31.6.1223</w:t>
        </w:r>
      </w:hyperlink>
    </w:p>
    <w:p w14:paraId="3E18EB47" w14:textId="1504F23D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>[1</w:t>
      </w:r>
      <w:r w:rsidR="00F4726D">
        <w:rPr>
          <w:rFonts w:hint="eastAsia"/>
          <w:i/>
          <w:iCs/>
          <w:color w:val="44546A" w:themeColor="text2"/>
        </w:rPr>
        <w:t>6</w:t>
      </w:r>
      <w:r w:rsidRPr="00D63456">
        <w:rPr>
          <w:i/>
          <w:iCs/>
          <w:color w:val="44546A" w:themeColor="text2"/>
        </w:rPr>
        <w:t xml:space="preserve">] Martino, R., Foley, N., </w:t>
      </w:r>
      <w:proofErr w:type="spellStart"/>
      <w:r w:rsidRPr="00D63456">
        <w:rPr>
          <w:i/>
          <w:iCs/>
          <w:color w:val="44546A" w:themeColor="text2"/>
        </w:rPr>
        <w:t>Bhogal</w:t>
      </w:r>
      <w:proofErr w:type="spellEnd"/>
      <w:r w:rsidRPr="00D63456">
        <w:rPr>
          <w:i/>
          <w:iCs/>
          <w:color w:val="44546A" w:themeColor="text2"/>
        </w:rPr>
        <w:t xml:space="preserve">, S., Diamant, N., </w:t>
      </w:r>
      <w:proofErr w:type="spellStart"/>
      <w:r w:rsidRPr="00D63456">
        <w:rPr>
          <w:i/>
          <w:iCs/>
          <w:color w:val="44546A" w:themeColor="text2"/>
        </w:rPr>
        <w:t>Speechley</w:t>
      </w:r>
      <w:proofErr w:type="spellEnd"/>
      <w:r w:rsidRPr="00D63456">
        <w:rPr>
          <w:i/>
          <w:iCs/>
          <w:color w:val="44546A" w:themeColor="text2"/>
        </w:rPr>
        <w:t xml:space="preserve">, M., &amp; </w:t>
      </w:r>
      <w:proofErr w:type="spellStart"/>
      <w:r w:rsidRPr="00D63456">
        <w:rPr>
          <w:i/>
          <w:iCs/>
          <w:color w:val="44546A" w:themeColor="text2"/>
        </w:rPr>
        <w:t>Teasell</w:t>
      </w:r>
      <w:proofErr w:type="spellEnd"/>
      <w:r w:rsidRPr="00D63456">
        <w:rPr>
          <w:i/>
          <w:iCs/>
          <w:color w:val="44546A" w:themeColor="text2"/>
        </w:rPr>
        <w:t xml:space="preserve">, R. (2005). Dysphagia after stroke: Incidence, diagnosis, and pulmonary complications. Stroke, 36, 2756–2763. </w:t>
      </w:r>
      <w:hyperlink r:id="rId23" w:tgtFrame="_new" w:history="1">
        <w:r w:rsidRPr="00D63456">
          <w:rPr>
            <w:rStyle w:val="a3"/>
            <w:i/>
            <w:iCs/>
          </w:rPr>
          <w:t>https://doi.org/10.1161/01.STR.0000190056.76543.EB</w:t>
        </w:r>
      </w:hyperlink>
      <w:r w:rsidRPr="00D63456">
        <w:rPr>
          <w:i/>
          <w:iCs/>
          <w:color w:val="44546A" w:themeColor="text2"/>
        </w:rPr>
        <w:t xml:space="preserve"> </w:t>
      </w:r>
    </w:p>
    <w:p w14:paraId="28F4D40A" w14:textId="6889D95B" w:rsidR="00285D7B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>[1</w:t>
      </w:r>
      <w:r w:rsidR="00F4726D">
        <w:rPr>
          <w:rFonts w:hint="eastAsia"/>
          <w:i/>
          <w:iCs/>
          <w:color w:val="44546A" w:themeColor="text2"/>
        </w:rPr>
        <w:t>7</w:t>
      </w:r>
      <w:r w:rsidRPr="00D63456">
        <w:rPr>
          <w:i/>
          <w:iCs/>
          <w:color w:val="44546A" w:themeColor="text2"/>
        </w:rPr>
        <w:t xml:space="preserve">] </w:t>
      </w:r>
      <w:proofErr w:type="spellStart"/>
      <w:r w:rsidRPr="00D63456">
        <w:rPr>
          <w:i/>
          <w:iCs/>
          <w:color w:val="44546A" w:themeColor="text2"/>
        </w:rPr>
        <w:t>Katzan</w:t>
      </w:r>
      <w:proofErr w:type="spellEnd"/>
      <w:r w:rsidRPr="00D63456">
        <w:rPr>
          <w:i/>
          <w:iCs/>
          <w:color w:val="44546A" w:themeColor="text2"/>
        </w:rPr>
        <w:t xml:space="preserve">, I. L., </w:t>
      </w:r>
      <w:proofErr w:type="spellStart"/>
      <w:r w:rsidRPr="00D63456">
        <w:rPr>
          <w:i/>
          <w:iCs/>
          <w:color w:val="44546A" w:themeColor="text2"/>
        </w:rPr>
        <w:t>Cebul</w:t>
      </w:r>
      <w:proofErr w:type="spellEnd"/>
      <w:r w:rsidRPr="00D63456">
        <w:rPr>
          <w:i/>
          <w:iCs/>
          <w:color w:val="44546A" w:themeColor="text2"/>
        </w:rPr>
        <w:t xml:space="preserve">, R. D., </w:t>
      </w:r>
      <w:proofErr w:type="spellStart"/>
      <w:r w:rsidRPr="00D63456">
        <w:rPr>
          <w:i/>
          <w:iCs/>
          <w:color w:val="44546A" w:themeColor="text2"/>
        </w:rPr>
        <w:t>Husak</w:t>
      </w:r>
      <w:proofErr w:type="spellEnd"/>
      <w:r w:rsidRPr="00D63456">
        <w:rPr>
          <w:i/>
          <w:iCs/>
          <w:color w:val="44546A" w:themeColor="text2"/>
        </w:rPr>
        <w:t xml:space="preserve">, S. H., Dawson, N. V., &amp; Baker, D. W. (2003). The effect of pneumonia on mortality among patients hospitalized for acute stroke. Neurology, 60(4), 620–625. </w:t>
      </w:r>
      <w:hyperlink r:id="rId24" w:history="1">
        <w:r w:rsidR="00285D7B" w:rsidRPr="00D63456">
          <w:rPr>
            <w:rStyle w:val="a3"/>
            <w:i/>
            <w:iCs/>
          </w:rPr>
          <w:t>https://doi.org/10.1212/01.WNL.0000046586.38284.60</w:t>
        </w:r>
      </w:hyperlink>
    </w:p>
    <w:p w14:paraId="68E10054" w14:textId="246CE1CC" w:rsid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>[1</w:t>
      </w:r>
      <w:r w:rsidR="00F4726D">
        <w:rPr>
          <w:rFonts w:hint="eastAsia"/>
          <w:i/>
          <w:iCs/>
          <w:color w:val="44546A" w:themeColor="text2"/>
        </w:rPr>
        <w:t>8</w:t>
      </w:r>
      <w:r w:rsidRPr="00D63456">
        <w:rPr>
          <w:i/>
          <w:iCs/>
          <w:color w:val="44546A" w:themeColor="text2"/>
        </w:rPr>
        <w:t xml:space="preserve">] </w:t>
      </w:r>
      <w:proofErr w:type="spellStart"/>
      <w:r w:rsidRPr="00D63456">
        <w:rPr>
          <w:i/>
          <w:iCs/>
          <w:color w:val="44546A" w:themeColor="text2"/>
        </w:rPr>
        <w:t>Hilker</w:t>
      </w:r>
      <w:proofErr w:type="spellEnd"/>
      <w:r w:rsidRPr="00D63456">
        <w:rPr>
          <w:i/>
          <w:iCs/>
          <w:color w:val="44546A" w:themeColor="text2"/>
        </w:rPr>
        <w:t xml:space="preserve">, R., </w:t>
      </w:r>
      <w:proofErr w:type="spellStart"/>
      <w:r w:rsidRPr="00D63456">
        <w:rPr>
          <w:i/>
          <w:iCs/>
          <w:color w:val="44546A" w:themeColor="text2"/>
        </w:rPr>
        <w:t>Poetter</w:t>
      </w:r>
      <w:proofErr w:type="spellEnd"/>
      <w:r w:rsidRPr="00D63456">
        <w:rPr>
          <w:i/>
          <w:iCs/>
          <w:color w:val="44546A" w:themeColor="text2"/>
        </w:rPr>
        <w:t xml:space="preserve">, C., </w:t>
      </w:r>
      <w:proofErr w:type="spellStart"/>
      <w:r w:rsidRPr="00D63456">
        <w:rPr>
          <w:i/>
          <w:iCs/>
          <w:color w:val="44546A" w:themeColor="text2"/>
        </w:rPr>
        <w:t>Findeisen</w:t>
      </w:r>
      <w:proofErr w:type="spellEnd"/>
      <w:r w:rsidRPr="00D63456">
        <w:rPr>
          <w:i/>
          <w:iCs/>
          <w:color w:val="44546A" w:themeColor="text2"/>
        </w:rPr>
        <w:t xml:space="preserve">, N., et al. (2003). Nosocomial pneumonia after acute stroke: Implications for neurological intensive care medicine. Stroke, 34(4), 975–981. </w:t>
      </w:r>
      <w:hyperlink r:id="rId25" w:history="1">
        <w:r w:rsidR="00285D7B" w:rsidRPr="00D63456">
          <w:rPr>
            <w:rStyle w:val="a3"/>
            <w:i/>
            <w:iCs/>
          </w:rPr>
          <w:t>https://doi.org/10.1161/01.STR.0000063373.70993.CD</w:t>
        </w:r>
      </w:hyperlink>
    </w:p>
    <w:p w14:paraId="1AD67394" w14:textId="54D2088A" w:rsidR="00D63456" w:rsidRPr="00D63456" w:rsidRDefault="00D63456" w:rsidP="00D63456">
      <w:pPr>
        <w:rPr>
          <w:i/>
          <w:iCs/>
          <w:color w:val="44546A" w:themeColor="text2"/>
        </w:rPr>
      </w:pPr>
      <w:r w:rsidRPr="00D63456">
        <w:rPr>
          <w:i/>
          <w:iCs/>
          <w:color w:val="44546A" w:themeColor="text2"/>
        </w:rPr>
        <w:t>[</w:t>
      </w:r>
      <w:r w:rsidR="00F4726D">
        <w:rPr>
          <w:rFonts w:hint="eastAsia"/>
          <w:i/>
          <w:iCs/>
          <w:color w:val="44546A" w:themeColor="text2"/>
        </w:rPr>
        <w:t>19</w:t>
      </w:r>
      <w:r w:rsidRPr="00D63456">
        <w:rPr>
          <w:i/>
          <w:iCs/>
          <w:color w:val="44546A" w:themeColor="text2"/>
        </w:rPr>
        <w:t xml:space="preserve">] </w:t>
      </w:r>
      <w:proofErr w:type="spellStart"/>
      <w:r w:rsidRPr="00D63456">
        <w:rPr>
          <w:i/>
          <w:iCs/>
          <w:color w:val="44546A" w:themeColor="text2"/>
        </w:rPr>
        <w:t>Westendorp</w:t>
      </w:r>
      <w:proofErr w:type="spellEnd"/>
      <w:r w:rsidRPr="00D63456">
        <w:rPr>
          <w:i/>
          <w:iCs/>
          <w:color w:val="44546A" w:themeColor="text2"/>
        </w:rPr>
        <w:t xml:space="preserve">, W. F., </w:t>
      </w:r>
      <w:proofErr w:type="spellStart"/>
      <w:r w:rsidRPr="00D63456">
        <w:rPr>
          <w:i/>
          <w:iCs/>
          <w:color w:val="44546A" w:themeColor="text2"/>
        </w:rPr>
        <w:t>Nederkoorn</w:t>
      </w:r>
      <w:proofErr w:type="spellEnd"/>
      <w:r w:rsidRPr="00D63456">
        <w:rPr>
          <w:i/>
          <w:iCs/>
          <w:color w:val="44546A" w:themeColor="text2"/>
        </w:rPr>
        <w:t xml:space="preserve">, P. J., </w:t>
      </w:r>
      <w:proofErr w:type="spellStart"/>
      <w:r w:rsidRPr="00D63456">
        <w:rPr>
          <w:i/>
          <w:iCs/>
          <w:color w:val="44546A" w:themeColor="text2"/>
        </w:rPr>
        <w:t>Vermeij</w:t>
      </w:r>
      <w:proofErr w:type="spellEnd"/>
      <w:r w:rsidRPr="00D63456">
        <w:rPr>
          <w:i/>
          <w:iCs/>
          <w:color w:val="44546A" w:themeColor="text2"/>
        </w:rPr>
        <w:t xml:space="preserve">, J.-D., </w:t>
      </w:r>
      <w:proofErr w:type="spellStart"/>
      <w:r w:rsidRPr="00D63456">
        <w:rPr>
          <w:i/>
          <w:iCs/>
          <w:color w:val="44546A" w:themeColor="text2"/>
        </w:rPr>
        <w:t>Dijkgraaf</w:t>
      </w:r>
      <w:proofErr w:type="spellEnd"/>
      <w:r w:rsidRPr="00D63456">
        <w:rPr>
          <w:i/>
          <w:iCs/>
          <w:color w:val="44546A" w:themeColor="text2"/>
        </w:rPr>
        <w:t xml:space="preserve">, M. G. W., &amp; van de Beek, D. (2011). Post-stroke infection: A systematic review and meta-analysis. BMC Neurology, 11, 110. </w:t>
      </w:r>
      <w:hyperlink r:id="rId26" w:tgtFrame="_new" w:history="1">
        <w:r w:rsidRPr="00D63456">
          <w:rPr>
            <w:rStyle w:val="a3"/>
            <w:i/>
            <w:iCs/>
          </w:rPr>
          <w:t>https://doi.org/10.1186/1471-2377-11-110</w:t>
        </w:r>
      </w:hyperlink>
      <w:r w:rsidRPr="00D63456">
        <w:rPr>
          <w:i/>
          <w:iCs/>
          <w:color w:val="44546A" w:themeColor="text2"/>
        </w:rPr>
        <w:t xml:space="preserve"> </w:t>
      </w:r>
    </w:p>
    <w:p w14:paraId="7D8DC84E" w14:textId="4E0D5625" w:rsidR="008D25E0" w:rsidRDefault="008D25E0">
      <w:pPr>
        <w:rPr>
          <w:i/>
          <w:iCs/>
          <w:color w:val="44546A" w:themeColor="text2"/>
        </w:rPr>
      </w:pPr>
      <w:r>
        <w:rPr>
          <w:i/>
          <w:iCs/>
          <w:color w:val="44546A" w:themeColor="text2"/>
        </w:rPr>
        <w:br w:type="page"/>
      </w:r>
    </w:p>
    <w:p w14:paraId="708590C1" w14:textId="7322E881" w:rsidR="006245EB" w:rsidRPr="00FE5DD3" w:rsidRDefault="001C1332" w:rsidP="00FE5DD3">
      <w:pPr>
        <w:pStyle w:val="a9"/>
        <w:keepNext/>
        <w:rPr>
          <w:sz w:val="22"/>
          <w:szCs w:val="22"/>
        </w:rPr>
      </w:pPr>
      <w:bookmarkStart w:id="1" w:name="_Hlk217413771"/>
      <w:r w:rsidRPr="00FE5DD3">
        <w:rPr>
          <w:rFonts w:hint="eastAsia"/>
          <w:sz w:val="22"/>
          <w:szCs w:val="22"/>
        </w:rPr>
        <w:lastRenderedPageBreak/>
        <w:t>S</w:t>
      </w:r>
      <w:r w:rsidRPr="00FE5DD3">
        <w:rPr>
          <w:sz w:val="22"/>
          <w:szCs w:val="22"/>
        </w:rPr>
        <w:t xml:space="preserve">upplementary </w:t>
      </w:r>
      <w:r w:rsidR="006245EB" w:rsidRPr="00FE5DD3">
        <w:rPr>
          <w:sz w:val="22"/>
          <w:szCs w:val="22"/>
        </w:rPr>
        <w:t xml:space="preserve">Table </w:t>
      </w:r>
      <w:r w:rsidR="00FE5DD3">
        <w:rPr>
          <w:sz w:val="22"/>
          <w:szCs w:val="22"/>
        </w:rPr>
        <w:t>2</w:t>
      </w:r>
      <w:r w:rsidR="006245EB" w:rsidRPr="00FE5DD3">
        <w:rPr>
          <w:sz w:val="22"/>
          <w:szCs w:val="22"/>
        </w:rPr>
        <w:t xml:space="preserve">. Baseline characteristics of the Model </w:t>
      </w:r>
      <w:r w:rsidR="00EF3264" w:rsidRPr="00FE5DD3">
        <w:rPr>
          <w:sz w:val="22"/>
          <w:szCs w:val="22"/>
        </w:rPr>
        <w:t>2</w:t>
      </w:r>
      <w:r w:rsidR="006245EB" w:rsidRPr="00FE5DD3">
        <w:rPr>
          <w:sz w:val="22"/>
          <w:szCs w:val="22"/>
        </w:rPr>
        <w:t xml:space="preserve"> PSM-matched cohort by 3-year mortality status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126"/>
        <w:gridCol w:w="1276"/>
        <w:gridCol w:w="1701"/>
        <w:gridCol w:w="1418"/>
        <w:gridCol w:w="1134"/>
      </w:tblGrid>
      <w:tr w:rsidR="006245EB" w:rsidRPr="00E43808" w14:paraId="540A1BC3" w14:textId="77777777" w:rsidTr="001A05B1">
        <w:trPr>
          <w:trHeight w:val="19"/>
        </w:trPr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bookmarkEnd w:id="1"/>
          <w:p w14:paraId="4F0F3DBD" w14:textId="77777777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Variables</w:t>
            </w:r>
          </w:p>
        </w:tc>
        <w:tc>
          <w:tcPr>
            <w:tcW w:w="21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6C05ECB" w14:textId="77777777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D015122" w14:textId="77777777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All</w:t>
            </w:r>
          </w:p>
          <w:p w14:paraId="669278D0" w14:textId="23EA9177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Participants (n=</w:t>
            </w:r>
            <w:r w:rsidR="00DE135E">
              <w:rPr>
                <w:rFonts w:ascii="Times New Roman" w:eastAsia="Times New Roman" w:hAnsi="Times New Roman" w:cs="Times New Roman"/>
                <w:sz w:val="18"/>
              </w:rPr>
              <w:t>34,452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1C31C052" w14:textId="77777777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Survivors</w:t>
            </w:r>
          </w:p>
          <w:p w14:paraId="3BABCDD3" w14:textId="3333C766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(n=</w:t>
            </w:r>
            <w:r w:rsidR="00DE135E">
              <w:rPr>
                <w:rFonts w:ascii="Times New Roman" w:eastAsia="Times New Roman" w:hAnsi="Times New Roman" w:cs="Times New Roman"/>
                <w:sz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</w:rPr>
              <w:t>8,7</w:t>
            </w:r>
            <w:r w:rsidR="00DE135E">
              <w:rPr>
                <w:rFonts w:ascii="Times New Roman" w:eastAsia="Times New Roman" w:hAnsi="Times New Roman" w:cs="Times New Roman"/>
                <w:sz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</w:rPr>
              <w:t>0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, 8</w:t>
            </w:r>
            <w:r>
              <w:rPr>
                <w:rFonts w:ascii="Times New Roman" w:eastAsia="Times New Roman" w:hAnsi="Times New Roman" w:cs="Times New Roman"/>
                <w:sz w:val="18"/>
              </w:rPr>
              <w:t>3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</w:rPr>
              <w:t>33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%)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4903EECB" w14:textId="77777777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Non-survivors</w:t>
            </w:r>
          </w:p>
          <w:p w14:paraId="36ECC51A" w14:textId="124A070D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(n=</w:t>
            </w:r>
            <w:r w:rsidR="00DE135E">
              <w:rPr>
                <w:rFonts w:ascii="Times New Roman" w:eastAsia="Times New Roman" w:hAnsi="Times New Roman" w:cs="Times New Roman"/>
                <w:sz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</w:rPr>
              <w:t>,7</w:t>
            </w:r>
            <w:r w:rsidR="00DE135E">
              <w:rPr>
                <w:rFonts w:ascii="Times New Roman" w:eastAsia="Times New Roman" w:hAnsi="Times New Roman" w:cs="Times New Roman"/>
                <w:sz w:val="18"/>
              </w:rPr>
              <w:t>42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, 1</w:t>
            </w:r>
            <w:r>
              <w:rPr>
                <w:rFonts w:ascii="Times New Roman" w:eastAsia="Times New Roman" w:hAnsi="Times New Roman" w:cs="Times New Roman"/>
                <w:sz w:val="18"/>
              </w:rPr>
              <w:t>6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</w:rPr>
              <w:t>67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%)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4524ABE" w14:textId="77777777" w:rsidR="006245EB" w:rsidRPr="00E43808" w:rsidRDefault="006245EB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P-value</w:t>
            </w:r>
          </w:p>
        </w:tc>
      </w:tr>
      <w:tr w:rsidR="000E2607" w:rsidRPr="00E43808" w14:paraId="7F164D3D" w14:textId="77777777" w:rsidTr="00FF01EA">
        <w:trPr>
          <w:trHeight w:val="19"/>
        </w:trPr>
        <w:tc>
          <w:tcPr>
            <w:tcW w:w="1843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2D7DF49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Sex</w:t>
            </w:r>
          </w:p>
        </w:tc>
        <w:tc>
          <w:tcPr>
            <w:tcW w:w="212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E9DA605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Female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6F7FE" w14:textId="26225CCA" w:rsidR="000E2607" w:rsidRPr="00DE135E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13,175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6D948D82" w14:textId="0F4E677D" w:rsidR="000E2607" w:rsidRPr="00DE135E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10,964(38.19)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7705A3F1" w14:textId="4DE4D012" w:rsidR="000E2607" w:rsidRPr="00DE135E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2,211(38.51)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2E6F4E29" w14:textId="3B76148A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.642</w:t>
            </w:r>
          </w:p>
        </w:tc>
      </w:tr>
      <w:tr w:rsidR="000E2607" w:rsidRPr="00E43808" w14:paraId="6A30BECF" w14:textId="77777777" w:rsidTr="00FF01E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E0EE7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E8390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Male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A2EBD" w14:textId="5E0F1C14" w:rsidR="000E2607" w:rsidRPr="00DE135E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21,277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FD337" w14:textId="04B5076E" w:rsidR="000E2607" w:rsidRPr="00DE135E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17,746(61.81)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6B48D" w14:textId="2FEACA79" w:rsidR="000E2607" w:rsidRPr="00DE135E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3,531(61.49)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981AD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453C4860" w14:textId="77777777" w:rsidTr="00F4772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4F9CB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Age group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BFBE7C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Under 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B5784" w14:textId="7C6D9FA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8,695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92CD6" w14:textId="1491D6C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7,229(25.18)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9C4F7" w14:textId="39EA654B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1,466(25.53)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60C8C" w14:textId="3BFEBA70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.767</w:t>
            </w:r>
          </w:p>
        </w:tc>
      </w:tr>
      <w:tr w:rsidR="000E2607" w:rsidRPr="00E43808" w14:paraId="46C0DCCA" w14:textId="77777777" w:rsidTr="00F4772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16BD5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2A5DF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60–69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2072B" w14:textId="703CBA85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10,180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9EE70" w14:textId="64CC7D1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8,498(29.60)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D1528" w14:textId="13E70604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1,682(29.29)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16A89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59FB8437" w14:textId="77777777" w:rsidTr="00F4772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3151C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ADCA4E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70–79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70B59" w14:textId="20DE7F34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10,587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B164C" w14:textId="12C2A6C4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8,823(30.73)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2797" w14:textId="50845B8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1,764(30.72)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2BEB9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4EC8A6C4" w14:textId="77777777" w:rsidTr="00F4772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C16FC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A95B0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Over 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D8077" w14:textId="00B76DCF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4,990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634E9" w14:textId="17FC610A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4,160(14.49)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8CD1F" w14:textId="4823710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830(14.45)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F7A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261A65D7" w14:textId="77777777" w:rsidTr="0080282F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2992E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I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nsurance type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B2360" w14:textId="77777777" w:rsidR="000E2607" w:rsidRPr="00B8566B" w:rsidRDefault="000E2607" w:rsidP="000E2607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B8566B">
              <w:rPr>
                <w:rFonts w:ascii="Times New Roman" w:eastAsia="Times New Roman" w:hAnsi="Times New Roman" w:cs="Times New Roman"/>
                <w:sz w:val="18"/>
              </w:rPr>
              <w:t>Community-based insur</w:t>
            </w:r>
            <w:r>
              <w:rPr>
                <w:rFonts w:ascii="Times New Roman" w:hAnsi="Times New Roman" w:cs="Times New Roman" w:hint="eastAsia"/>
                <w:sz w:val="18"/>
              </w:rPr>
              <w:t>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8CD0D" w14:textId="4D994A0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13,095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F5EE3" w14:textId="0CB9050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10,831(37.73)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80B58" w14:textId="31035A6D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2,264(39.43)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829DA" w14:textId="36433F64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.107</w:t>
            </w:r>
          </w:p>
        </w:tc>
      </w:tr>
      <w:tr w:rsidR="000E2607" w:rsidRPr="00E43808" w14:paraId="2AE5D374" w14:textId="77777777" w:rsidTr="0080282F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1B42F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A4910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Employer-based Insured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1CA6C" w14:textId="68B0E2D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18,909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F6263" w14:textId="64FBF4E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15,854(55.22)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E1894" w14:textId="30EF19B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3,055(53.20)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1AA7A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130CE9EC" w14:textId="77777777" w:rsidTr="0080282F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DC768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7B873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Medical aid recipient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BDB2F" w14:textId="5FBB16A3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2,448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477E2" w14:textId="2760672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2,025(7.05)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802D3" w14:textId="3861E0EA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423(7.37)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13DCF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39D24874" w14:textId="77777777" w:rsidTr="000125E9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6AD4A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Income level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2F6AD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Bottom-1st </w:t>
            </w:r>
            <w:proofErr w:type="spellStart"/>
            <w:r w:rsidRPr="00E43808">
              <w:rPr>
                <w:rFonts w:ascii="Times New Roman" w:eastAsia="Times New Roman" w:hAnsi="Times New Roman" w:cs="Times New Roman"/>
                <w:sz w:val="18"/>
              </w:rPr>
              <w:t>ventile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E425C" w14:textId="0A3F39E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4,244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49278" w14:textId="369DBDAB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3,543(12.34)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3F7A2" w14:textId="5C822608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701(12.21)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FED5F" w14:textId="4CE3BDF6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.749</w:t>
            </w:r>
          </w:p>
        </w:tc>
      </w:tr>
      <w:tr w:rsidR="000E2607" w:rsidRPr="00E43808" w14:paraId="3B779F56" w14:textId="77777777" w:rsidTr="000125E9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25631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217DA7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2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nd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–10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E43808">
              <w:rPr>
                <w:rFonts w:ascii="Times New Roman" w:eastAsia="Times New Roman" w:hAnsi="Times New Roman" w:cs="Times New Roman"/>
                <w:sz w:val="18"/>
              </w:rPr>
              <w:t>ventile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E4012" w14:textId="07F9E3B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13,191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CA232" w14:textId="18A2938B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10,988(38.27)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71FB9" w14:textId="3002F2B8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2,203(38.37)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8C198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6C722A67" w14:textId="77777777" w:rsidTr="000125E9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288C24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5427A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11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–16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E43808">
              <w:rPr>
                <w:rFonts w:ascii="Times New Roman" w:eastAsia="Times New Roman" w:hAnsi="Times New Roman" w:cs="Times New Roman"/>
                <w:sz w:val="18"/>
              </w:rPr>
              <w:t>ventile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436D6" w14:textId="7C2651A9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11,042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87486" w14:textId="6517B1E9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9,212(32.09)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B2F24" w14:textId="591118AD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1,830(31.87)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58A9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4057C580" w14:textId="77777777" w:rsidTr="000125E9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1978B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F9F83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17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–20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E43808">
              <w:rPr>
                <w:rFonts w:ascii="Times New Roman" w:eastAsia="Times New Roman" w:hAnsi="Times New Roman" w:cs="Times New Roman"/>
                <w:sz w:val="18"/>
              </w:rPr>
              <w:t>ventile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753B6" w14:textId="7FEC874D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5,975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32EFB" w14:textId="300F88BD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4,967(17.30)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2010" w14:textId="5EFD869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1,008(17.55)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0C739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42E0E7BE" w14:textId="77777777" w:rsidTr="002343B0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099A5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Region type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2EFC4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Capital areas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4D4C0" w14:textId="7D5F011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11,052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28A1B" w14:textId="40B8D3A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9,210(32.08)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277F" w14:textId="0D9C657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1,842(32.08)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CE604" w14:textId="57FB7004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.996</w:t>
            </w:r>
          </w:p>
        </w:tc>
      </w:tr>
      <w:tr w:rsidR="000E2607" w:rsidRPr="00E43808" w14:paraId="11A404F0" w14:textId="77777777" w:rsidTr="002343B0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73805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9CE30C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Metropolitan cities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F04ED" w14:textId="43EE529D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8,684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CA91A" w14:textId="28E4219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7,237(25.21)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027D9" w14:textId="52E93515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1,447(25.20)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56017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6D9AB18F" w14:textId="77777777" w:rsidTr="002343B0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E1DF9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0C89E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Province areas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D0774" w14:textId="57A64C4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14,716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3AD82" w14:textId="21CA38D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12,263(42.71)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408D4" w14:textId="65F31DD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2,453(42.72)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37420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14729F7F" w14:textId="77777777" w:rsidTr="00693698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AB528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BMI category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24A342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Under 18.5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8121C" w14:textId="2FB9212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1,014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BB509" w14:textId="6C3A5F89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855(2.98)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CD4B" w14:textId="167000B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159(2.77)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AAD6" w14:textId="640527A3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.420</w:t>
            </w:r>
          </w:p>
        </w:tc>
      </w:tr>
      <w:tr w:rsidR="000E2607" w:rsidRPr="00E43808" w14:paraId="612CD1F9" w14:textId="77777777" w:rsidTr="00693698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D971E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B146A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18.5~25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B2163" w14:textId="61D7F5FF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19,078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CCEFA" w14:textId="35051419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15,901(55.38)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CF19D" w14:textId="1EE0E278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3,177(55.33)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DCEA1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38400C9B" w14:textId="77777777" w:rsidTr="00693698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03558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B3C6C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25~30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9D1B4" w14:textId="345CD1D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12,466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EB165" w14:textId="67EADA14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10,389(36.19)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842B6" w14:textId="37BD1B37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2,077(36.17)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423D9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25794CD2" w14:textId="77777777" w:rsidTr="00693698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3068CF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18027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Over 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E1F6C" w14:textId="6CC9E0A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1,894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86878" w14:textId="17BD229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1,565(5.45)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CB590" w14:textId="4DE3E6B9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329(5.73)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E135A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5CDD4CF5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984E80F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hAnsi="Times New Roman" w:cs="Times New Roman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Surgical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intervention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during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the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initial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admission.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76423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960A5" w14:textId="175F744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30,162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D49D3" w14:textId="43FB667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25,135(87.55)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5D9C0" w14:textId="1E977578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5,027(87.55)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F7A23" w14:textId="34CE7E6B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1</w:t>
            </w:r>
            <w:r>
              <w:rPr>
                <w:rFonts w:ascii="Times New Roman" w:hAnsi="Times New Roman" w:cs="Times New Roman"/>
                <w:sz w:val="18"/>
              </w:rPr>
              <w:t>.000</w:t>
            </w:r>
          </w:p>
        </w:tc>
      </w:tr>
      <w:tr w:rsidR="000E2607" w:rsidRPr="00E43808" w14:paraId="7FCBEC6D" w14:textId="77777777" w:rsidTr="00DE135E">
        <w:trPr>
          <w:trHeight w:val="421"/>
        </w:trPr>
        <w:tc>
          <w:tcPr>
            <w:tcW w:w="18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DE2E58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4A98E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98049" w14:textId="33824EF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4,290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B1FE0" w14:textId="291B3EE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3,575(12.45)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2A66C" w14:textId="1549FFF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715(12.45)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7531A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223FFC17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A0596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heart disease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52C39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E73A7" w14:textId="2BC241B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31,024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7AB8D" w14:textId="565ECB89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26,036(90.69)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D30EB" w14:textId="0DB3355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4,988(86.87)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A620B" w14:textId="70D49F6B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&lt;</w:t>
            </w:r>
            <w:r>
              <w:rPr>
                <w:rFonts w:ascii="Times New Roman" w:hAnsi="Times New Roman" w:cs="Times New Roman"/>
                <w:sz w:val="18"/>
              </w:rPr>
              <w:t>.0001</w:t>
            </w:r>
          </w:p>
        </w:tc>
      </w:tr>
      <w:tr w:rsidR="000E2607" w:rsidRPr="00E43808" w14:paraId="3E287BB1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6CBC3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39D4D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68C48" w14:textId="2F130E8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3,428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082FE" w14:textId="0920E713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2,674(9.31)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E2623" w14:textId="4E4D86D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754(13.13)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9DAB8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6D24BFD2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E0DA4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History of hypertension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E2C56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7BE54" w14:textId="4C24D4B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16,952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D6340" w14:textId="3C0213BA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14,219(49.53)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553B5" w14:textId="36BBA1D5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2,733(47.60)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92F35" w14:textId="27F4AFD4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.008</w:t>
            </w:r>
          </w:p>
        </w:tc>
      </w:tr>
      <w:tr w:rsidR="000E2607" w:rsidRPr="00E43808" w14:paraId="2E8F6E41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DFC4A4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878A0A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77FE5" w14:textId="573C4B5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17,500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23B01" w14:textId="3F23E03D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14,491(50.47)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E3B6D" w14:textId="5E5E598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3,009(52.40)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AA8EE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3C844836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858B81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diabetes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5B02D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47FCB" w14:textId="4503C80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25,861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77997" w14:textId="3D1C8BA8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21,617(75.29)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096F4" w14:textId="0B2675D7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4,244(73.91)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C0DA5" w14:textId="710A177A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.027</w:t>
            </w:r>
          </w:p>
        </w:tc>
      </w:tr>
      <w:tr w:rsidR="000E2607" w:rsidRPr="00E43808" w14:paraId="31120D73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30E38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54292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7DF23" w14:textId="5D83695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8,591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248B" w14:textId="156DC75D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7,093(24.71)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ED8BD" w14:textId="2F86059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1,498(26.09)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DA865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598FB6EC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9AB7D7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dyslipidemia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B7C62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FAE2A" w14:textId="6BB90F87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30,012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9771F" w14:textId="3595A21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25,055(87.27)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BAF63" w14:textId="4878CD9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4,957(86.33)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43B9D" w14:textId="2B339DC1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.052</w:t>
            </w:r>
          </w:p>
        </w:tc>
      </w:tr>
      <w:tr w:rsidR="000E2607" w:rsidRPr="00E43808" w14:paraId="1D0B3F2C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9611C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F6628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EF773" w14:textId="5D73BCE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4,440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7FEB2" w14:textId="3C2383E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3,655(12.73)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2DFAF" w14:textId="3986EF8F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785(13.67)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C216E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2A78E1C7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33607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tuberculosis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C897A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2EC7B" w14:textId="6F18F3FF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33,943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6F889" w14:textId="2B55620B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28,276(98.49)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96F0B" w14:textId="059F02C3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5,667(98.69)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5D993" w14:textId="7637C775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.239</w:t>
            </w:r>
          </w:p>
        </w:tc>
      </w:tr>
      <w:tr w:rsidR="000E2607" w:rsidRPr="00E43808" w14:paraId="0AE9658E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A4F0E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7BC07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540C5" w14:textId="4039A03F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509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29272" w14:textId="7DC56D9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434(1.51)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8E0D4" w14:textId="1A096E55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75(1.31)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5EE72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695C8830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9BFC5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other diseases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EB179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B3EAE" w14:textId="751F059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28,071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07D3D" w14:textId="422548AB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23,395(81.49)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179E1" w14:textId="2B619C9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4,676(81.44)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D9C28" w14:textId="54EBC53E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.926</w:t>
            </w:r>
          </w:p>
        </w:tc>
      </w:tr>
      <w:tr w:rsidR="000E2607" w:rsidRPr="00E43808" w14:paraId="694C1D7A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19B97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AB6E2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703CB" w14:textId="5AC03559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6,381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98126" w14:textId="1ACB8CE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5,315(18.51)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C790D" w14:textId="0DE906CF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1,066(18.56)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CD74B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6FD1313A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13CB3B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Smoking status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85E38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Non-smoker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33E45" w14:textId="6A2F0E85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19,309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8B22E" w14:textId="2A4D0365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16,099(56.07)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89C1A" w14:textId="678815ED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3,210(55.90)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961FF" w14:textId="73FAD188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.578</w:t>
            </w:r>
          </w:p>
        </w:tc>
      </w:tr>
      <w:tr w:rsidR="000E2607" w:rsidRPr="00E43808" w14:paraId="2254C950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5A63BF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182F5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Former smoker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9D269" w14:textId="6ABE15F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10,769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9E515" w14:textId="195C8729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8,985(31.30)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0F6D" w14:textId="0DB9E3C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1,784(31.07)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A964C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3392E17C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BC487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F26F1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Current smoker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5B25B" w14:textId="2F62E48A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4,374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3FD8" w14:textId="7FE646EA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3,626(12.63)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64C29" w14:textId="403B7578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748(13.03)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4A320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59EB9CAE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12A3D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Drinking frequency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1E37FB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Weekly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67F83" w14:textId="0CF59F7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8,563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68AA7" w14:textId="45F2755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7,234(25.20)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1D5C6" w14:textId="018C426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1,329(23.15)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2F41C" w14:textId="784551D4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&lt;</w:t>
            </w:r>
            <w:r>
              <w:rPr>
                <w:rFonts w:ascii="Times New Roman" w:hAnsi="Times New Roman" w:cs="Times New Roman"/>
                <w:sz w:val="18"/>
              </w:rPr>
              <w:t>.0001</w:t>
            </w:r>
          </w:p>
        </w:tc>
      </w:tr>
      <w:tr w:rsidR="000E2607" w:rsidRPr="00E43808" w14:paraId="4C4A447E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69621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1A3E71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Monthly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A2F59" w14:textId="7CDD35C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3,299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728F1" w14:textId="4D65CA05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2,783(9.69)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AADEC" w14:textId="5504116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516(8.99)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F00B0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341CEBBC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26678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1FB7D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Yearly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9A17C" w14:textId="181BC834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980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4D8EE" w14:textId="7CDC201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829(2.89)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2F5DB" w14:textId="23C740B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151(2.63)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EB2C4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55F98D63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C5FAA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EEAD4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Never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39A57" w14:textId="2E095404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21,610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4AE7B" w14:textId="36E8DA25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17,864(62.22)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68B56" w14:textId="1E059C3A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3,746(65.24)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363D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48E2D5D9" w14:textId="77777777" w:rsidTr="001A05B1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61B1F6E3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Light physical activity</w:t>
            </w:r>
          </w:p>
          <w:p w14:paraId="03596033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(≥2 Days/Week)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C3010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C9DBF" w14:textId="629DEC9B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22,067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C6A40" w14:textId="5F8AE76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18,392(64.06)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4E621" w14:textId="6EDB2B62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3,675(64.00)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D4167" w14:textId="166122EF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.932</w:t>
            </w:r>
          </w:p>
        </w:tc>
      </w:tr>
      <w:tr w:rsidR="000E2607" w:rsidRPr="00E43808" w14:paraId="563280A9" w14:textId="77777777" w:rsidTr="001A05B1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4132BFF9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B7AA3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CAE7D" w14:textId="691C42D0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12,385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E9AC5" w14:textId="7C3C1B46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10,318(35.94)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45B98" w14:textId="28EF33FB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2,067(36.00)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AC2DE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0E2607" w:rsidRPr="00E43808" w14:paraId="7D72DF00" w14:textId="77777777" w:rsidTr="001A05B1">
        <w:trPr>
          <w:trHeight w:val="76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6A7EAE35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Moderate-to-Vigorous Exercise (≥2 Days/Week)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E06CA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73D8F" w14:textId="76A239A1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29,732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19069" w14:textId="4889BAD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24,755(86.22)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DD08E" w14:textId="66D2A758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4,977(86.68)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6AB35" w14:textId="2785FA7A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.362</w:t>
            </w:r>
          </w:p>
        </w:tc>
      </w:tr>
      <w:tr w:rsidR="000E2607" w:rsidRPr="00E43808" w14:paraId="2A575692" w14:textId="77777777" w:rsidTr="001A05B1">
        <w:trPr>
          <w:trHeight w:val="58"/>
        </w:trPr>
        <w:tc>
          <w:tcPr>
            <w:tcW w:w="1843" w:type="dxa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3AE1FF88" w14:textId="77777777" w:rsidR="000E2607" w:rsidRPr="00E43808" w:rsidRDefault="000E2607" w:rsidP="000E260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0B14DA0E" w14:textId="77777777" w:rsidR="000E2607" w:rsidRPr="00E43808" w:rsidRDefault="000E2607" w:rsidP="000E2607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39FDEFCD" w14:textId="3A6ACCD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4,720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5DE56576" w14:textId="2E41F15C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3,955(13.78)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44723F7A" w14:textId="32D51D4E" w:rsidR="000E2607" w:rsidRPr="00E43808" w:rsidRDefault="000E2607" w:rsidP="000E2607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DE135E">
              <w:rPr>
                <w:rFonts w:ascii="Times New Roman" w:eastAsia="Times New Roman" w:hAnsi="Times New Roman" w:cs="Times New Roman" w:hint="eastAsia"/>
                <w:sz w:val="18"/>
              </w:rPr>
              <w:t>765(13.32)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DF9FC77" w14:textId="77777777" w:rsidR="000E2607" w:rsidRPr="00E43808" w:rsidRDefault="000E2607" w:rsidP="000E2607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73A0E3E5" w14:textId="77777777" w:rsidR="006245EB" w:rsidRPr="00E43808" w:rsidRDefault="006245EB" w:rsidP="006245EB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</w:p>
    <w:p w14:paraId="4CDB70D2" w14:textId="2C1E5154" w:rsidR="00B00FF1" w:rsidRDefault="006245EB">
      <w:pPr>
        <w:rPr>
          <w:i/>
          <w:iCs/>
          <w:color w:val="44546A" w:themeColor="text2"/>
        </w:rPr>
      </w:pPr>
      <w:r>
        <w:rPr>
          <w:i/>
          <w:iCs/>
          <w:color w:val="44546A" w:themeColor="text2"/>
        </w:rPr>
        <w:br w:type="page"/>
      </w:r>
    </w:p>
    <w:p w14:paraId="1C63E1C3" w14:textId="12251A4A" w:rsidR="00B00FF1" w:rsidRPr="00692C88" w:rsidRDefault="00B00FF1" w:rsidP="00692C88">
      <w:pPr>
        <w:pStyle w:val="a9"/>
        <w:keepNext/>
        <w:rPr>
          <w:sz w:val="22"/>
          <w:szCs w:val="22"/>
        </w:rPr>
      </w:pPr>
      <w:bookmarkStart w:id="2" w:name="_Hlk217413764"/>
      <w:r w:rsidRPr="00692C88">
        <w:rPr>
          <w:rFonts w:hint="eastAsia"/>
          <w:sz w:val="22"/>
          <w:szCs w:val="22"/>
        </w:rPr>
        <w:lastRenderedPageBreak/>
        <w:t>S</w:t>
      </w:r>
      <w:r w:rsidRPr="00692C88">
        <w:rPr>
          <w:sz w:val="22"/>
          <w:szCs w:val="22"/>
        </w:rPr>
        <w:t>upplementary Table</w:t>
      </w:r>
      <w:r w:rsidR="00692C88">
        <w:rPr>
          <w:sz w:val="22"/>
          <w:szCs w:val="22"/>
        </w:rPr>
        <w:t xml:space="preserve"> 3</w:t>
      </w:r>
      <w:r w:rsidRPr="00692C88">
        <w:rPr>
          <w:sz w:val="22"/>
          <w:szCs w:val="22"/>
        </w:rPr>
        <w:t>. Baseline characteristics of the Model 3 PSM-matched cohort by 3-year mortality status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126"/>
        <w:gridCol w:w="1276"/>
        <w:gridCol w:w="1701"/>
        <w:gridCol w:w="1559"/>
        <w:gridCol w:w="993"/>
      </w:tblGrid>
      <w:tr w:rsidR="00B00FF1" w:rsidRPr="00E43808" w14:paraId="1F18D9EF" w14:textId="77777777" w:rsidTr="002754AA">
        <w:trPr>
          <w:trHeight w:val="19"/>
        </w:trPr>
        <w:tc>
          <w:tcPr>
            <w:tcW w:w="1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bookmarkEnd w:id="2"/>
          <w:p w14:paraId="3ED8B7ED" w14:textId="77777777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Variables</w:t>
            </w:r>
          </w:p>
        </w:tc>
        <w:tc>
          <w:tcPr>
            <w:tcW w:w="212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1B14E0E2" w14:textId="77777777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0B03F328" w14:textId="77777777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All</w:t>
            </w:r>
          </w:p>
          <w:p w14:paraId="3193E9B9" w14:textId="0D96A7A6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Participants (n=</w:t>
            </w:r>
            <w:r w:rsidR="00DE135E">
              <w:rPr>
                <w:rFonts w:ascii="Times New Roman" w:eastAsia="Times New Roman" w:hAnsi="Times New Roman" w:cs="Times New Roman"/>
                <w:sz w:val="18"/>
              </w:rPr>
              <w:t>42,279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)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127A2DC9" w14:textId="77777777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Survivors</w:t>
            </w:r>
          </w:p>
          <w:p w14:paraId="743B27BF" w14:textId="67F62927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(n=</w:t>
            </w:r>
            <w:r w:rsidR="002754AA">
              <w:rPr>
                <w:rFonts w:ascii="Times New Roman" w:eastAsia="Times New Roman" w:hAnsi="Times New Roman" w:cs="Times New Roman"/>
                <w:sz w:val="18"/>
              </w:rPr>
              <w:t>28,186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 w:rsidR="002754AA">
              <w:rPr>
                <w:rFonts w:ascii="Times New Roman" w:eastAsia="Times New Roman" w:hAnsi="Times New Roman" w:cs="Times New Roman"/>
                <w:sz w:val="18"/>
              </w:rPr>
              <w:t>66.67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%)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1C70BF47" w14:textId="77777777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Non-survivors</w:t>
            </w:r>
          </w:p>
          <w:p w14:paraId="2C66C80F" w14:textId="747CA3BA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(n=</w:t>
            </w:r>
            <w:r w:rsidR="002754AA">
              <w:rPr>
                <w:rFonts w:ascii="Times New Roman" w:eastAsia="Times New Roman" w:hAnsi="Times New Roman" w:cs="Times New Roman"/>
                <w:sz w:val="18"/>
              </w:rPr>
              <w:t>14,093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r w:rsidR="002754AA">
              <w:rPr>
                <w:rFonts w:ascii="Times New Roman" w:eastAsia="Times New Roman" w:hAnsi="Times New Roman" w:cs="Times New Roman"/>
                <w:sz w:val="18"/>
              </w:rPr>
              <w:t>33.33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%)</w:t>
            </w:r>
          </w:p>
        </w:tc>
        <w:tc>
          <w:tcPr>
            <w:tcW w:w="9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E15A2F0" w14:textId="77777777" w:rsidR="00B00FF1" w:rsidRPr="00E43808" w:rsidRDefault="00B00FF1" w:rsidP="001A05B1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P-value</w:t>
            </w:r>
          </w:p>
        </w:tc>
      </w:tr>
      <w:tr w:rsidR="00EE6C44" w:rsidRPr="00E43808" w14:paraId="2F60341C" w14:textId="77777777" w:rsidTr="00AB4D70">
        <w:trPr>
          <w:trHeight w:val="19"/>
        </w:trPr>
        <w:tc>
          <w:tcPr>
            <w:tcW w:w="1843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176D6C56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Sex</w:t>
            </w:r>
          </w:p>
        </w:tc>
        <w:tc>
          <w:tcPr>
            <w:tcW w:w="212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BE1CFCB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Female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D9390" w14:textId="244C203B" w:rsidR="00EE6C44" w:rsidRPr="00EE6C44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17,403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3542B59C" w14:textId="177D300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11,565(41.03)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5B3DE149" w14:textId="38A77586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5,838(41.42)</w:t>
            </w:r>
          </w:p>
        </w:tc>
        <w:tc>
          <w:tcPr>
            <w:tcW w:w="993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6FF89B06" w14:textId="6CFF87D7" w:rsidR="00EE6C44" w:rsidRPr="00E43808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.438</w:t>
            </w:r>
          </w:p>
        </w:tc>
      </w:tr>
      <w:tr w:rsidR="00EE6C44" w:rsidRPr="00E43808" w14:paraId="4DB92143" w14:textId="77777777" w:rsidTr="00AB4D70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BBE4A0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E886A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Male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456DA" w14:textId="0B54636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24,876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4A4EA" w14:textId="3F7567F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16,621(58.97)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775EE" w14:textId="16214B0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8,255(58.58)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40BE5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5BEF100F" w14:textId="77777777" w:rsidTr="00B32235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DF5B5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Age group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80FF3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Under 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8A609" w14:textId="0EB7A0E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9,990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6690F" w14:textId="35A3BB5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6,616(23.47)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92A5B" w14:textId="6555FBA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3,374(23.94)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AD0F5" w14:textId="40B149BA" w:rsidR="00EE6C44" w:rsidRPr="00E43808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.729</w:t>
            </w:r>
          </w:p>
        </w:tc>
      </w:tr>
      <w:tr w:rsidR="00EE6C44" w:rsidRPr="00E43808" w14:paraId="0C9A0FB9" w14:textId="77777777" w:rsidTr="00B32235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7ED1B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026F5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60–69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37279" w14:textId="2EA303DD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11,478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7441" w14:textId="3ED80DDA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7,682(27.25)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7DBD2" w14:textId="0198328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3,796(26.94)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8EAF1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77DB89D8" w14:textId="77777777" w:rsidTr="00B32235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9DC8A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E53AD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70–79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D00DE" w14:textId="46D604D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13,474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72980" w14:textId="1B8533C8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9,020(32.00)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00012" w14:textId="6020460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4,454(31.60)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F93F2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376014D3" w14:textId="77777777" w:rsidTr="00B32235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428FE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56620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Over 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BA8E7" w14:textId="512AD06F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7,337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B6022" w14:textId="728B090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4,868(17.27)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3FDBA" w14:textId="5AE5BE5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2,469(17.52)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98856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577B1ED0" w14:textId="77777777" w:rsidTr="00797502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BA45C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I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nsurance type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D6916" w14:textId="77777777" w:rsidR="00EE6C44" w:rsidRPr="00B8566B" w:rsidRDefault="00EE6C44" w:rsidP="00EE6C44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B8566B">
              <w:rPr>
                <w:rFonts w:ascii="Times New Roman" w:eastAsia="Times New Roman" w:hAnsi="Times New Roman" w:cs="Times New Roman"/>
                <w:sz w:val="18"/>
              </w:rPr>
              <w:t>Community-based insur</w:t>
            </w:r>
            <w:r>
              <w:rPr>
                <w:rFonts w:ascii="Times New Roman" w:hAnsi="Times New Roman" w:cs="Times New Roman" w:hint="eastAsia"/>
                <w:sz w:val="18"/>
              </w:rPr>
              <w:t>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56103" w14:textId="2B2CFE3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15,886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778C6" w14:textId="7820E82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10,532(37.37)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0FEBF" w14:textId="21781E01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5,354(37.99)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9D5C7" w14:textId="0F6C47FB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.633</w:t>
            </w:r>
          </w:p>
        </w:tc>
      </w:tr>
      <w:tr w:rsidR="00EE6C44" w:rsidRPr="00E43808" w14:paraId="3589290C" w14:textId="77777777" w:rsidTr="00797502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A0481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B94C3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Employer-based Insured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6FD1F" w14:textId="1823D86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23,050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9408B" w14:textId="3232425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15,512(55.03)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DC368" w14:textId="4D2893D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7,538(53.49)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E1505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6F346875" w14:textId="77777777" w:rsidTr="00797502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88F18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66E78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Medical aid recipient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9013B" w14:textId="28BBB54F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3,343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1637" w14:textId="44275F41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2,142(7.60)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1765" w14:textId="357E2C5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1,201(8.52)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4483F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5AEE1EFF" w14:textId="77777777" w:rsidTr="004A1CD4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84CF6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Income level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CD47F8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Bottom-1st </w:t>
            </w:r>
            <w:proofErr w:type="spellStart"/>
            <w:r w:rsidRPr="00E43808">
              <w:rPr>
                <w:rFonts w:ascii="Times New Roman" w:eastAsia="Times New Roman" w:hAnsi="Times New Roman" w:cs="Times New Roman"/>
                <w:sz w:val="18"/>
              </w:rPr>
              <w:t>ventile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EBD52" w14:textId="331B281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5,552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1F6E4" w14:textId="33DD3EDD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3,687(13.08)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9454B" w14:textId="49C17595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1,865(13.23)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43E7E" w14:textId="2DBA2504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.562</w:t>
            </w:r>
          </w:p>
        </w:tc>
      </w:tr>
      <w:tr w:rsidR="00EE6C44" w:rsidRPr="00E43808" w14:paraId="5994A70D" w14:textId="77777777" w:rsidTr="004A1CD4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7F174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6E0A9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2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nd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–10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E43808">
              <w:rPr>
                <w:rFonts w:ascii="Times New Roman" w:eastAsia="Times New Roman" w:hAnsi="Times New Roman" w:cs="Times New Roman"/>
                <w:sz w:val="18"/>
              </w:rPr>
              <w:t>ventile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56E10" w14:textId="1DC8B20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15,601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C3E44" w14:textId="37630C7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10,384(36.84)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AA78" w14:textId="6DE1FB1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5,217(37.02)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1897F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64B8B2D6" w14:textId="77777777" w:rsidTr="004A1CD4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9765D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EA30E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11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–16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E43808">
              <w:rPr>
                <w:rFonts w:ascii="Times New Roman" w:eastAsia="Times New Roman" w:hAnsi="Times New Roman" w:cs="Times New Roman"/>
                <w:sz w:val="18"/>
              </w:rPr>
              <w:t>ventile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21EB0" w14:textId="116B3EC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13,584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00E2B" w14:textId="5A536D5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9,080(32.21)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C655B" w14:textId="4D97A7A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4,504(31.96)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936D1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309F8404" w14:textId="77777777" w:rsidTr="004A1CD4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19D73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21938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17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>–20</w:t>
            </w:r>
            <w:r w:rsidRPr="00E43808">
              <w:rPr>
                <w:rFonts w:ascii="Times New Roman" w:eastAsia="Times New Roman" w:hAnsi="Times New Roman" w:cs="Times New Roman"/>
                <w:sz w:val="18"/>
                <w:vertAlign w:val="superscript"/>
              </w:rPr>
              <w:t>th</w:t>
            </w: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E43808">
              <w:rPr>
                <w:rFonts w:ascii="Times New Roman" w:eastAsia="Times New Roman" w:hAnsi="Times New Roman" w:cs="Times New Roman"/>
                <w:sz w:val="18"/>
              </w:rPr>
              <w:t>ventile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E6E62" w14:textId="4E06CEB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7,542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D74CD" w14:textId="763411C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5,035(17.86)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6B617" w14:textId="469BB379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2,507(17.79)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44D20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62D1744F" w14:textId="77777777" w:rsidTr="00B81065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985A8D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Region type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6CFE7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Capital areas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2B45A" w14:textId="175DFEFD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13,646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D9599" w14:textId="0C0BE47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9,101(32.29)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0CB33" w14:textId="3F475CD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4,545(32.25)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03B59" w14:textId="282114C6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.868</w:t>
            </w:r>
          </w:p>
        </w:tc>
      </w:tr>
      <w:tr w:rsidR="00EE6C44" w:rsidRPr="00E43808" w14:paraId="7E83B9C2" w14:textId="77777777" w:rsidTr="00B81065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7F6A2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D68F6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Metropolitan cities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0837A" w14:textId="2FC0F71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10,022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BE8D" w14:textId="18D3676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6,688(23.73)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B2254" w14:textId="01318EB1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3,334(23.66)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0DB23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68B92546" w14:textId="77777777" w:rsidTr="00B81065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A44D5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F74DF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Province areas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37285" w14:textId="653BD458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18,611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D1430" w14:textId="434E2F1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12,397(43.98)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C2DEF" w14:textId="2970E1E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6,214(44.09)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B0205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625A12FD" w14:textId="77777777" w:rsidTr="00AB055C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7D5C2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BMI category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03975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Under 18.5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9305F" w14:textId="396CFDC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1,359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17186" w14:textId="25500BB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851(3.02)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CE051" w14:textId="0ADE3836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508(3.60)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67DF0" w14:textId="4FB7EE2E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.054</w:t>
            </w:r>
          </w:p>
        </w:tc>
      </w:tr>
      <w:tr w:rsidR="00EE6C44" w:rsidRPr="00E43808" w14:paraId="22D82C0C" w14:textId="77777777" w:rsidTr="00AB055C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975398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EC656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18.5~25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B9C19" w14:textId="0A1F2319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23,530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0302B" w14:textId="6792216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15,680(55.63)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4A73C" w14:textId="6C17D2B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7,850(55.70)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05275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031C44F0" w14:textId="77777777" w:rsidTr="00AB055C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E7E28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AAE67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25~30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19883" w14:textId="68FBAB11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15,110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48D10" w14:textId="19DE9D4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10,131(35.94)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496D9" w14:textId="0C45123A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4,979(35.33)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BDC38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11236777" w14:textId="77777777" w:rsidTr="00AB055C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D5093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909BF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Over 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7B5FB" w14:textId="50D8F59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2,280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56F9" w14:textId="2E52766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1,524(5.41)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E3A71" w14:textId="2C941685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756(5.36)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4CC6D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6BE29921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1644E8FF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hAnsi="Times New Roman" w:cs="Times New Roman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Surgical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intervention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during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the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initial</w:t>
            </w:r>
            <w:r w:rsidRPr="00E43808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3808">
              <w:rPr>
                <w:rFonts w:ascii="Times New Roman" w:hAnsi="Times New Roman" w:cs="Times New Roman" w:hint="eastAsia"/>
                <w:sz w:val="18"/>
              </w:rPr>
              <w:t>admission.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B2AEB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A609E" w14:textId="561D650A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36,591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9994B" w14:textId="40BA06BA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24,394(86.55)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A8A85" w14:textId="3BA0DC19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12,197(86.55)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0D39B" w14:textId="75233202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1</w:t>
            </w:r>
            <w:r>
              <w:rPr>
                <w:rFonts w:ascii="Times New Roman" w:hAnsi="Times New Roman" w:cs="Times New Roman"/>
                <w:sz w:val="18"/>
              </w:rPr>
              <w:t>.000</w:t>
            </w:r>
          </w:p>
        </w:tc>
      </w:tr>
      <w:tr w:rsidR="00EE6C44" w:rsidRPr="00E43808" w14:paraId="3D1E6DCE" w14:textId="77777777" w:rsidTr="00EE6C44">
        <w:trPr>
          <w:trHeight w:val="422"/>
        </w:trPr>
        <w:tc>
          <w:tcPr>
            <w:tcW w:w="184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196D30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EC159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hAnsi="Times New Roman" w:cs="Times New Roman"/>
                <w:sz w:val="18"/>
              </w:rPr>
            </w:pPr>
            <w:r w:rsidRPr="00E43808">
              <w:rPr>
                <w:rFonts w:ascii="Times New Roman" w:hAnsi="Times New Roman" w:cs="Times New Roman" w:hint="eastAsia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C575D" w14:textId="25286C59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5,688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05112" w14:textId="1AD14DD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3,792(13.45)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2E18E" w14:textId="6AA37A08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1,896(13.45)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3B90A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123C719A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74204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heart disease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C668D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6F38E" w14:textId="2A753B8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38,023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8199" w14:textId="6E7A0CB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25,538(90.61)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AC3D1" w14:textId="5B461A9F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12,485(88.59)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6FEDE" w14:textId="05A4573E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&lt;</w:t>
            </w:r>
            <w:r>
              <w:rPr>
                <w:rFonts w:ascii="Times New Roman" w:hAnsi="Times New Roman" w:cs="Times New Roman"/>
                <w:sz w:val="18"/>
              </w:rPr>
              <w:t>.0001</w:t>
            </w:r>
          </w:p>
        </w:tc>
      </w:tr>
      <w:tr w:rsidR="00EE6C44" w:rsidRPr="00E43808" w14:paraId="0F1E3435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EEA73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D51EE3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EAD86" w14:textId="2B783FA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4,256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3DD52" w14:textId="3F2F714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2,648(9.39)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E855B" w14:textId="1A1917FF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1,608(11.41)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EC37B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076AB387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585BC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History of hypertension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A844C6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36B12" w14:textId="21486C4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20,508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F7739" w14:textId="726D863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13,759(48.82)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D657B" w14:textId="6EC24025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6,749(47.89)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AD3C3" w14:textId="3092B4FA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.073</w:t>
            </w:r>
          </w:p>
        </w:tc>
      </w:tr>
      <w:tr w:rsidR="00EE6C44" w:rsidRPr="00E43808" w14:paraId="6C4720E0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60884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17035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A5E95" w14:textId="2D23C1C1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21,771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B5A9A" w14:textId="4FCCDBC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14,427(51.18)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F9E4A" w14:textId="011788B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7,344(52.11)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83648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7D368FAD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51E78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diabetes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2ECD6A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B4408" w14:textId="5D8674C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31,720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DCFA7" w14:textId="0A3A3BC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21,485(76.23)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43752" w14:textId="7713FA16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10,235(72.62)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B3615" w14:textId="6EB126CE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&lt;</w:t>
            </w:r>
            <w:r>
              <w:rPr>
                <w:rFonts w:ascii="Times New Roman" w:hAnsi="Times New Roman" w:cs="Times New Roman"/>
                <w:sz w:val="18"/>
              </w:rPr>
              <w:t>.0001</w:t>
            </w:r>
          </w:p>
        </w:tc>
      </w:tr>
      <w:tr w:rsidR="00EE6C44" w:rsidRPr="00E43808" w14:paraId="79D1C619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2EE10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3AC5D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8295F" w14:textId="546E120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10,559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82D8E" w14:textId="1DB78ADD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6,701(23.77)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866CB" w14:textId="255709B8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3,858(27.38)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C5B27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6D4BEC85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9B29A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dyslipidemia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5B229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09E3F" w14:textId="4A4D48F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36,731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39812" w14:textId="11F5B7AD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24,495(86.90)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DEBCB" w14:textId="1A94304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12,236(86.82)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B8AE3" w14:textId="02EBCB4C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.815</w:t>
            </w:r>
          </w:p>
        </w:tc>
      </w:tr>
      <w:tr w:rsidR="00EE6C44" w:rsidRPr="00E43808" w14:paraId="12E677EC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DA427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F2D21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33755" w14:textId="420DEC9D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5,548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EAABE" w14:textId="2B3B196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3,691(13.10)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92652" w14:textId="154B550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1,857(13.18)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FF5D4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4B0FB73A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34B2A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tuberculosis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74719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F76CF" w14:textId="79D78FE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41,686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D85D0" w14:textId="5DB7CA56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27,772(98.53)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3799E" w14:textId="6EDA1B2F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13,914(98.73)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D8262" w14:textId="48432022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.102</w:t>
            </w:r>
          </w:p>
        </w:tc>
      </w:tr>
      <w:tr w:rsidR="00EE6C44" w:rsidRPr="00E43808" w14:paraId="660FFA35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F50CCE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9016B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843C1" w14:textId="4051C10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C33CE" w14:textId="1B66F33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414(1.47)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C46DE" w14:textId="578CB435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179(1.27)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7951C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5D02DC15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EB573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History of other diseases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3A95B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50B2E" w14:textId="40C742F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34,090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ADF1E" w14:textId="376006F8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22,900(81.25)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E6208" w14:textId="79F835C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11,190(79.40)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3A877" w14:textId="2BE8F874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&lt;</w:t>
            </w:r>
            <w:r>
              <w:rPr>
                <w:rFonts w:ascii="Times New Roman" w:hAnsi="Times New Roman" w:cs="Times New Roman"/>
                <w:sz w:val="18"/>
              </w:rPr>
              <w:t>.0001</w:t>
            </w:r>
          </w:p>
        </w:tc>
      </w:tr>
      <w:tr w:rsidR="00EE6C44" w:rsidRPr="00E43808" w14:paraId="0FFC300E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1FF66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FC9DE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00D02" w14:textId="423308E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8,189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FEAE2" w14:textId="3AE94D0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5,286(18.75)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29BD2" w14:textId="233CC77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2,903(20.60)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09836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2D948A21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C33CB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Smoking status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EBE11E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Non-smoker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804BA" w14:textId="358EBE7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24,781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A42B0" w14:textId="402D2069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16,472(58.44)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D422A" w14:textId="1E4145C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8,309(58.96)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01223" w14:textId="1C6D745C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.730</w:t>
            </w:r>
          </w:p>
        </w:tc>
      </w:tr>
      <w:tr w:rsidR="00EE6C44" w:rsidRPr="00E43808" w14:paraId="6AEDC087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3DD6B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22C02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Former smoker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F3646" w14:textId="491F5AE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12,504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1E47D" w14:textId="52F042AA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8,410(29.84)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746B6" w14:textId="663A444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4,094(29.05)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0698B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24B1C4AC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FDC60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626EB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Current smoker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FC942" w14:textId="645B484A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4,994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B22F" w14:textId="1CF12490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3,304(11.72)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87A50" w14:textId="6A146E71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1,690(11.99)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8FC40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3E54B679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2AE69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 xml:space="preserve">Drinking frequency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9C743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Weekly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E3C5F" w14:textId="40A860F6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9,905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EB2B3" w14:textId="169C8E4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6,793(24.10)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A3A9E" w14:textId="0F0B8D5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3,112(22.08)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7A514" w14:textId="3E26F581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&lt;</w:t>
            </w:r>
            <w:r>
              <w:rPr>
                <w:rFonts w:ascii="Times New Roman" w:hAnsi="Times New Roman" w:cs="Times New Roman"/>
                <w:sz w:val="18"/>
              </w:rPr>
              <w:t>.0001</w:t>
            </w:r>
          </w:p>
        </w:tc>
      </w:tr>
      <w:tr w:rsidR="00EE6C44" w:rsidRPr="00E43808" w14:paraId="2FB81CD8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E9215D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1CBB8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Monthly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13101" w14:textId="49392D7F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3,879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1C111" w14:textId="31934F82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2,679(9.50)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86A83" w14:textId="7B5DF70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1,200(8.51)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B0C6A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18BA2B18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7583F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13131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Yearly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90982" w14:textId="5EDBC33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1,173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E787F" w14:textId="2FDC8A1E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817(2.90)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189C9" w14:textId="3AAB6DC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356(2.53)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FC234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024ADC36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40844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DFCA8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Never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29EB5" w14:textId="5D9F2CB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27,322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F7240" w14:textId="3E82E52F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17,897(63.50)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EDBAF" w14:textId="3E9F1637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9,425(66.88)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ED1FF" w14:textId="66BE789C" w:rsidR="00EE6C44" w:rsidRPr="00EE6C44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EE6C44" w:rsidRPr="00E43808" w14:paraId="5077B311" w14:textId="77777777" w:rsidTr="002754AA">
        <w:trPr>
          <w:trHeight w:val="19"/>
        </w:trPr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0CEEBC6B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Light physical activity</w:t>
            </w:r>
          </w:p>
          <w:p w14:paraId="3DBEFC36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(≥2 Days/Week)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E7BF2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E9C1" w14:textId="67BF8AE5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27,260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547BC" w14:textId="3A404FF4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18,045(64.02)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DE119" w14:textId="50481889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9,215(65.39)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141D7" w14:textId="1A12102B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.006</w:t>
            </w:r>
          </w:p>
        </w:tc>
      </w:tr>
      <w:tr w:rsidR="00EE6C44" w:rsidRPr="00E43808" w14:paraId="3E1F3BE6" w14:textId="77777777" w:rsidTr="002754AA">
        <w:trPr>
          <w:trHeight w:val="19"/>
        </w:trPr>
        <w:tc>
          <w:tcPr>
            <w:tcW w:w="1843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14:paraId="1B1D647A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452DE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BF17B" w14:textId="78E211E3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15,019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BC58F" w14:textId="13D534AB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10,141(35.98)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702E6" w14:textId="755239B1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4,878(34.61)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70672" w14:textId="5E5A2553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E6C44" w:rsidRPr="00E43808" w14:paraId="020FE84B" w14:textId="77777777" w:rsidTr="002754AA">
        <w:trPr>
          <w:trHeight w:val="76"/>
        </w:trPr>
        <w:tc>
          <w:tcPr>
            <w:tcW w:w="1843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4F49C364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Moderate-to-Vigorous Exercise (≥2 Days/Week)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9AF30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2B8CD" w14:textId="74E3E345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36,763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86DAF" w14:textId="6592BC49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24,443(86.72)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4AAEA" w14:textId="494E1DDA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12,320(87.42)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DB2C5" w14:textId="15E8DB37" w:rsidR="00EE6C44" w:rsidRPr="000E2607" w:rsidRDefault="000E2607" w:rsidP="00EE6C44">
            <w:pPr>
              <w:snapToGrid w:val="0"/>
              <w:spacing w:after="0" w:line="48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0</w:t>
            </w:r>
            <w:r>
              <w:rPr>
                <w:rFonts w:ascii="Times New Roman" w:hAnsi="Times New Roman" w:cs="Times New Roman"/>
                <w:sz w:val="18"/>
              </w:rPr>
              <w:t>.044</w:t>
            </w:r>
          </w:p>
        </w:tc>
      </w:tr>
      <w:tr w:rsidR="00EE6C44" w:rsidRPr="00E43808" w14:paraId="31461169" w14:textId="77777777" w:rsidTr="002754AA">
        <w:trPr>
          <w:trHeight w:val="58"/>
        </w:trPr>
        <w:tc>
          <w:tcPr>
            <w:tcW w:w="1843" w:type="dxa"/>
            <w:vMerge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374F259E" w14:textId="77777777" w:rsidR="00EE6C44" w:rsidRPr="00E43808" w:rsidRDefault="00EE6C44" w:rsidP="00EE6C44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</w:tcPr>
          <w:p w14:paraId="7262E3DB" w14:textId="77777777" w:rsidR="00EE6C44" w:rsidRPr="00E43808" w:rsidRDefault="00EE6C44" w:rsidP="00EE6C44">
            <w:pPr>
              <w:snapToGrid w:val="0"/>
              <w:spacing w:after="0" w:line="480" w:lineRule="auto"/>
              <w:rPr>
                <w:rFonts w:ascii="Times New Roman" w:eastAsia="Times New Roman" w:hAnsi="Times New Roman" w:cs="Times New Roman"/>
                <w:sz w:val="18"/>
              </w:rPr>
            </w:pPr>
            <w:r w:rsidRPr="00E43808"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56CC4803" w14:textId="54DC0C29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5,516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75F373E0" w14:textId="18CB642D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3,743(13.28)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17B161F2" w14:textId="4DCEDFAC" w:rsidR="00EE6C44" w:rsidRPr="00E43808" w:rsidRDefault="00EE6C44" w:rsidP="00EE6C44">
            <w:pPr>
              <w:snapToGrid w:val="0"/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18"/>
              </w:rPr>
            </w:pPr>
            <w:r w:rsidRPr="00EE6C44">
              <w:rPr>
                <w:rFonts w:ascii="Times New Roman" w:eastAsia="Times New Roman" w:hAnsi="Times New Roman" w:cs="Times New Roman" w:hint="eastAsia"/>
                <w:sz w:val="18"/>
              </w:rPr>
              <w:t>1,773(12.58)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0B074746" w14:textId="77777777" w:rsidR="00EE6C44" w:rsidRPr="00E43808" w:rsidRDefault="00EE6C44" w:rsidP="00EE6C44">
            <w:pPr>
              <w:snapToGri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6816BFD6" w14:textId="77777777" w:rsidR="00B00FF1" w:rsidRPr="00E43808" w:rsidRDefault="00B00FF1" w:rsidP="00B00FF1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</w:p>
    <w:p w14:paraId="4BCA54A6" w14:textId="77777777" w:rsidR="00B00FF1" w:rsidRDefault="00B00FF1" w:rsidP="00B00FF1">
      <w:pPr>
        <w:rPr>
          <w:i/>
          <w:iCs/>
          <w:color w:val="44546A" w:themeColor="text2"/>
        </w:rPr>
      </w:pPr>
      <w:r>
        <w:rPr>
          <w:i/>
          <w:iCs/>
          <w:color w:val="44546A" w:themeColor="text2"/>
        </w:rPr>
        <w:br w:type="page"/>
      </w:r>
    </w:p>
    <w:p w14:paraId="5254D5C6" w14:textId="518D0177" w:rsidR="008E6CE3" w:rsidRPr="00871910" w:rsidRDefault="008E6CE3" w:rsidP="008E6CE3">
      <w:pPr>
        <w:pStyle w:val="a9"/>
        <w:keepNext/>
        <w:rPr>
          <w:sz w:val="22"/>
          <w:szCs w:val="22"/>
        </w:rPr>
      </w:pPr>
      <w:bookmarkStart w:id="3" w:name="_Hlk217413756"/>
      <w:r w:rsidRPr="00871910">
        <w:rPr>
          <w:sz w:val="22"/>
          <w:szCs w:val="22"/>
        </w:rPr>
        <w:lastRenderedPageBreak/>
        <w:t xml:space="preserve">Supplementary Table </w:t>
      </w:r>
      <w:r>
        <w:rPr>
          <w:sz w:val="22"/>
          <w:szCs w:val="22"/>
        </w:rPr>
        <w:t>4</w:t>
      </w:r>
      <w:r w:rsidRPr="00871910">
        <w:rPr>
          <w:sz w:val="22"/>
          <w:szCs w:val="22"/>
        </w:rPr>
        <w:t>. Sensitivity Analysis of Model 3 According to Different Propensity Score Matching Ratios</w:t>
      </w:r>
    </w:p>
    <w:tbl>
      <w:tblPr>
        <w:tblW w:w="9342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5387"/>
        <w:gridCol w:w="1687"/>
      </w:tblGrid>
      <w:tr w:rsidR="008E6CE3" w:rsidRPr="00537841" w14:paraId="17FD0606" w14:textId="77777777" w:rsidTr="00464D56">
        <w:trPr>
          <w:trHeight w:val="123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bookmarkEnd w:id="3"/>
          <w:p w14:paraId="1B99ECD7" w14:textId="5AE43B71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Variable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1FBAC2" w14:textId="42E4F254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Definition / Categories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CAFB2" w14:textId="529E06A1" w:rsidR="008E6CE3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Reference Category</w:t>
            </w:r>
          </w:p>
        </w:tc>
      </w:tr>
      <w:tr w:rsidR="008E6CE3" w:rsidRPr="00537841" w14:paraId="587E4C13" w14:textId="77777777" w:rsidTr="00464D56">
        <w:trPr>
          <w:trHeight w:val="123"/>
        </w:trPr>
        <w:tc>
          <w:tcPr>
            <w:tcW w:w="226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DCDD28" w14:textId="13711ED1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Readmission status</w:t>
            </w:r>
          </w:p>
        </w:tc>
        <w:tc>
          <w:tcPr>
            <w:tcW w:w="538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1D4497" w14:textId="75B7E09C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Hospital readmission within 90 days after discharge (Yes / No)</w:t>
            </w:r>
          </w:p>
        </w:tc>
        <w:tc>
          <w:tcPr>
            <w:tcW w:w="168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1DD0E67" w14:textId="2A30B2B7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503C5181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3959C3" w14:textId="2944DBA4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Sex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352DAF" w14:textId="51AAEF27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Female, Male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2673FC" w14:textId="25A59D6F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Female</w:t>
            </w:r>
          </w:p>
        </w:tc>
      </w:tr>
      <w:tr w:rsidR="008E6CE3" w:rsidRPr="00537841" w14:paraId="6D921788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0F9C3A" w14:textId="5D95853D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Age group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E93929" w14:textId="4C254DCD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Under 60, 60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69, 70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79, Over 80 years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8429670" w14:textId="4E2686BE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60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69 years</w:t>
            </w:r>
          </w:p>
        </w:tc>
      </w:tr>
      <w:tr w:rsidR="008E6CE3" w:rsidRPr="00537841" w14:paraId="5C06CE4E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6D3F46" w14:textId="370BF5A0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Insurance type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21450F" w14:textId="141D6CFA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Community-based, Employee-based,</w:t>
            </w:r>
            <w:r w:rsidR="002C426A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Medical Aid beneficiary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63281E" w14:textId="438557CB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Community-based insurance</w:t>
            </w:r>
          </w:p>
        </w:tc>
      </w:tr>
      <w:tr w:rsidR="008E6CE3" w:rsidRPr="00537841" w14:paraId="76912EB7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EEDF3A" w14:textId="6D85E980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Income level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F68511" w14:textId="1C979C34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0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1st </w:t>
            </w:r>
            <w:proofErr w:type="spellStart"/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ventile</w:t>
            </w:r>
            <w:proofErr w:type="spellEnd"/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(lowest), 2nd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10th, 11th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16th, 17th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20th (highest)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75BC493" w14:textId="6B65D9B5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0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1st </w:t>
            </w:r>
            <w:proofErr w:type="spellStart"/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ventile</w:t>
            </w:r>
            <w:proofErr w:type="spellEnd"/>
          </w:p>
        </w:tc>
      </w:tr>
      <w:tr w:rsidR="008E6CE3" w:rsidRPr="00537841" w14:paraId="28033D29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3D758F" w14:textId="3D5DF688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Residential area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D3A401" w14:textId="5A3771B4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Capital area (Seoul and Gyeong-</w:t>
            </w:r>
            <w:proofErr w:type="spellStart"/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gi</w:t>
            </w:r>
            <w:proofErr w:type="spellEnd"/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province), Metropolitan cit</w:t>
            </w:r>
            <w:r w:rsidR="00467EE7">
              <w:rPr>
                <w:rFonts w:ascii="Times New Roman" w:hAnsi="Times New Roman" w:cs="Times New Roman" w:hint="eastAsia"/>
                <w:sz w:val="20"/>
                <w:szCs w:val="18"/>
              </w:rPr>
              <w:t>ies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, Province</w:t>
            </w:r>
            <w:r w:rsidR="002C426A">
              <w:rPr>
                <w:rFonts w:ascii="Times New Roman" w:hAnsi="Times New Roman" w:cs="Times New Roman" w:hint="eastAsia"/>
                <w:sz w:val="20"/>
                <w:szCs w:val="18"/>
              </w:rPr>
              <w:t>s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475E8E" w14:textId="7A0471F0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Capital area</w:t>
            </w:r>
          </w:p>
        </w:tc>
      </w:tr>
      <w:tr w:rsidR="008E6CE3" w:rsidRPr="00537841" w14:paraId="255F01C1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CB3822" w14:textId="179400A5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Body mass index (BMI)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3552BB" w14:textId="23E9888B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&lt;18.5 (Underweight), 18.5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25 (Normal), 25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30 (Overweight), 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≥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30 (Obese)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7B3BCCE" w14:textId="512804BA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18.5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–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25</w:t>
            </w:r>
          </w:p>
        </w:tc>
      </w:tr>
      <w:tr w:rsidR="008E6CE3" w:rsidRPr="00537841" w14:paraId="594C7A77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67EB8B" w14:textId="074A314F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History of heart disease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C423D0" w14:textId="44526017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Presence of physician-diagnosed heart disease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F9EC732" w14:textId="273D3BA2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5CE66C16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33A6E3" w14:textId="73257131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History of hypertension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96348B" w14:textId="7E745F9B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Presence of physician-diagnosed hypertension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96AAFC9" w14:textId="5184B26C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760C230E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ED4CDA" w14:textId="6ABDAF79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History of diabetes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AA2F59" w14:textId="0A01B7C9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Presence of physician-diagnosed diabetes mellitus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EE72F3E" w14:textId="7EF45309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3AED4030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B659AB" w14:textId="7E22893C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History of hyperlipidemia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9ABE67" w14:textId="0DF7C480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Presence of physician-diagnosed hyperlipidemia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87419F" w14:textId="753A2628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1EE9EDBB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FD3C23" w14:textId="52D6CD8F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History of tuberculosis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F8C995" w14:textId="1598B8B3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History of tuberculosis diagnosis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F5A1BD0" w14:textId="1EF26506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58DCB2DD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6C8283" w14:textId="541A6148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History of other diseases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D792BD" w14:textId="1312F9A6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Presence of other chronic diseases requiring ongoing medication or outpatient follow-up, including all malignancies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C252A83" w14:textId="5A001DC2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1C6B3F0E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EB987A" w14:textId="51828E1E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Surgical intervention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454230" w14:textId="1892EB4B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Surgical treatment during initial hospitalization (e.g., thrombectomy or thrombolysis)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B08D1F3" w14:textId="57596048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245BDAB8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834507" w14:textId="1ACF814D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Smoking status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FBE9C0" w14:textId="7AC37978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Never smoke</w:t>
            </w:r>
            <w:r w:rsidR="00C5625E">
              <w:rPr>
                <w:rFonts w:ascii="Times New Roman" w:hAnsi="Times New Roman" w:cs="Times New Roman" w:hint="eastAsia"/>
                <w:sz w:val="20"/>
                <w:szCs w:val="18"/>
              </w:rPr>
              <w:t>d</w:t>
            </w: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, Former smoker, Current smoker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4313D0" w14:textId="0ACDE4A7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Never smoke</w:t>
            </w:r>
            <w:r w:rsidR="00C5625E">
              <w:rPr>
                <w:rFonts w:ascii="Times New Roman" w:hAnsi="Times New Roman" w:cs="Times New Roman" w:hint="eastAsia"/>
                <w:sz w:val="20"/>
                <w:szCs w:val="18"/>
              </w:rPr>
              <w:t>d</w:t>
            </w:r>
          </w:p>
        </w:tc>
      </w:tr>
      <w:tr w:rsidR="008E6CE3" w:rsidRPr="00537841" w14:paraId="2BAE8277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9A14A7" w14:textId="14C765C7" w:rsidR="008E6CE3" w:rsidRPr="00537841" w:rsidRDefault="004A3E2A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Drinking frequency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77C0B2" w14:textId="77777777" w:rsidR="004A3E2A" w:rsidRDefault="004A3E2A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4A3E2A">
              <w:rPr>
                <w:rFonts w:ascii="Times New Roman" w:hAnsi="Times New Roman" w:cs="Times New Roman"/>
                <w:sz w:val="20"/>
                <w:szCs w:val="18"/>
              </w:rPr>
              <w:t xml:space="preserve">Frequency of alcohol consumption </w:t>
            </w:r>
          </w:p>
          <w:p w14:paraId="0D171048" w14:textId="178B48E2" w:rsidR="008E6CE3" w:rsidRPr="00537841" w:rsidRDefault="004A3E2A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4A3E2A">
              <w:rPr>
                <w:rFonts w:ascii="Times New Roman" w:hAnsi="Times New Roman" w:cs="Times New Roman"/>
                <w:sz w:val="20"/>
                <w:szCs w:val="18"/>
              </w:rPr>
              <w:t>(weekly, monthly, yearly, or none)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8D843D1" w14:textId="5C590372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None</w:t>
            </w:r>
          </w:p>
        </w:tc>
      </w:tr>
      <w:tr w:rsidR="008E6CE3" w:rsidRPr="00537841" w14:paraId="51A32811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668F3E" w14:textId="799CF1E9" w:rsidR="008E6CE3" w:rsidRPr="00537841" w:rsidRDefault="00E70A88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L</w:t>
            </w:r>
            <w:r w:rsidR="008E6CE3"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ight physical activity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91E8E7" w14:textId="5F0320D5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Engagement in light physical activity (Yes / No)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DA0ECA3" w14:textId="160F72DC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  <w:tr w:rsidR="008E6CE3" w:rsidRPr="00537841" w14:paraId="72952FB8" w14:textId="77777777" w:rsidTr="00464D56">
        <w:trPr>
          <w:trHeight w:val="123"/>
        </w:trPr>
        <w:tc>
          <w:tcPr>
            <w:tcW w:w="226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10579D" w14:textId="69B60F7A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Moderate-to-vigorous exercise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FE041F" w14:textId="087CA5F2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Engagement in moderate-to-vigorous physical activity (Yes / No)</w:t>
            </w:r>
          </w:p>
        </w:tc>
        <w:tc>
          <w:tcPr>
            <w:tcW w:w="16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FF0C3D3" w14:textId="30F6FA99" w:rsidR="008E6CE3" w:rsidRPr="00537841" w:rsidRDefault="008E6CE3" w:rsidP="002C426A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8E6CE3">
              <w:rPr>
                <w:rFonts w:ascii="Times New Roman" w:hAnsi="Times New Roman" w:cs="Times New Roman" w:hint="eastAsia"/>
                <w:sz w:val="20"/>
                <w:szCs w:val="18"/>
              </w:rPr>
              <w:t>No</w:t>
            </w:r>
          </w:p>
        </w:tc>
      </w:tr>
    </w:tbl>
    <w:p w14:paraId="71E5CCFE" w14:textId="77777777" w:rsidR="008E6CE3" w:rsidRDefault="008E6CE3" w:rsidP="008E6CE3">
      <w:pPr>
        <w:rPr>
          <w:i/>
          <w:iCs/>
          <w:color w:val="44546A" w:themeColor="text2"/>
        </w:rPr>
      </w:pPr>
    </w:p>
    <w:p w14:paraId="55A5A913" w14:textId="77777777" w:rsidR="008E6CE3" w:rsidRDefault="008E6CE3" w:rsidP="008E6CE3">
      <w:pPr>
        <w:rPr>
          <w:i/>
          <w:iCs/>
          <w:color w:val="44546A" w:themeColor="text2"/>
        </w:rPr>
      </w:pPr>
    </w:p>
    <w:p w14:paraId="23F55229" w14:textId="44FFDDD0" w:rsidR="00D74F4A" w:rsidRPr="00871910" w:rsidRDefault="00C31561" w:rsidP="00871910">
      <w:pPr>
        <w:pStyle w:val="a9"/>
        <w:keepNext/>
        <w:rPr>
          <w:sz w:val="22"/>
          <w:szCs w:val="22"/>
        </w:rPr>
      </w:pPr>
      <w:bookmarkStart w:id="4" w:name="_Hlk217413751"/>
      <w:r w:rsidRPr="00871910">
        <w:rPr>
          <w:sz w:val="22"/>
          <w:szCs w:val="22"/>
        </w:rPr>
        <w:t xml:space="preserve">Supplementary Table </w:t>
      </w:r>
      <w:r w:rsidR="008E6CE3">
        <w:rPr>
          <w:rFonts w:hint="eastAsia"/>
          <w:sz w:val="22"/>
          <w:szCs w:val="22"/>
        </w:rPr>
        <w:t>5</w:t>
      </w:r>
      <w:r w:rsidRPr="00871910">
        <w:rPr>
          <w:sz w:val="22"/>
          <w:szCs w:val="22"/>
        </w:rPr>
        <w:t>. Sensitivity Analysis of Model 3 According to Different Propensity Score Matching Ratios</w:t>
      </w:r>
    </w:p>
    <w:tbl>
      <w:tblPr>
        <w:tblW w:w="9342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2981"/>
        <w:gridCol w:w="3578"/>
      </w:tblGrid>
      <w:tr w:rsidR="00D74F4A" w:rsidRPr="00537841" w14:paraId="4C35460E" w14:textId="77777777" w:rsidTr="00B4309E">
        <w:trPr>
          <w:trHeight w:val="123"/>
        </w:trPr>
        <w:tc>
          <w:tcPr>
            <w:tcW w:w="2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bookmarkEnd w:id="4"/>
          <w:p w14:paraId="288BBA07" w14:textId="5990477E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Matching ratio</w:t>
            </w:r>
          </w:p>
        </w:tc>
        <w:tc>
          <w:tcPr>
            <w:tcW w:w="2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C7696" w14:textId="36CE5448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Matched N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E1C61" w14:textId="271DB980" w:rsidR="00D74F4A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Adjusted HR (95% CI)</w:t>
            </w:r>
          </w:p>
        </w:tc>
      </w:tr>
      <w:tr w:rsidR="00D74F4A" w:rsidRPr="00537841" w14:paraId="360077BC" w14:textId="77777777" w:rsidTr="00B4309E">
        <w:trPr>
          <w:trHeight w:val="123"/>
        </w:trPr>
        <w:tc>
          <w:tcPr>
            <w:tcW w:w="278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2CD5F21" w14:textId="766C6FC3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1:1</w:t>
            </w:r>
          </w:p>
        </w:tc>
        <w:tc>
          <w:tcPr>
            <w:tcW w:w="298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BC738E0" w14:textId="4A8D2B85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14,093:14,093</w:t>
            </w:r>
            <w:r w:rsidR="00B0538A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="00B0538A" w:rsidRPr="00E06209">
              <w:rPr>
                <w:rFonts w:ascii="Times New Roman" w:hAnsi="Times New Roman" w:cs="Times New Roman" w:hint="eastAsia"/>
                <w:i/>
                <w:iCs/>
                <w:sz w:val="20"/>
                <w:szCs w:val="18"/>
              </w:rPr>
              <w:t>(No loss)</w:t>
            </w:r>
          </w:p>
        </w:tc>
        <w:tc>
          <w:tcPr>
            <w:tcW w:w="3578" w:type="dxa"/>
            <w:tcBorders>
              <w:top w:val="single" w:sz="4" w:space="0" w:color="auto"/>
              <w:bottom w:val="nil"/>
            </w:tcBorders>
            <w:vAlign w:val="center"/>
          </w:tcPr>
          <w:p w14:paraId="74DDB294" w14:textId="2BF93311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1.356(1.237-1.486)</w:t>
            </w:r>
          </w:p>
        </w:tc>
      </w:tr>
      <w:tr w:rsidR="00D74F4A" w:rsidRPr="00537841" w14:paraId="1F84606E" w14:textId="77777777" w:rsidTr="00B4309E">
        <w:trPr>
          <w:trHeight w:val="123"/>
        </w:trPr>
        <w:tc>
          <w:tcPr>
            <w:tcW w:w="2783" w:type="dxa"/>
            <w:tcBorders>
              <w:bottom w:val="nil"/>
            </w:tcBorders>
            <w:shd w:val="clear" w:color="auto" w:fill="auto"/>
            <w:vAlign w:val="center"/>
          </w:tcPr>
          <w:p w14:paraId="4AFE3645" w14:textId="571796A7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1:2(primary)</w:t>
            </w:r>
          </w:p>
        </w:tc>
        <w:tc>
          <w:tcPr>
            <w:tcW w:w="2981" w:type="dxa"/>
            <w:tcBorders>
              <w:bottom w:val="nil"/>
            </w:tcBorders>
            <w:shd w:val="clear" w:color="auto" w:fill="auto"/>
            <w:vAlign w:val="center"/>
          </w:tcPr>
          <w:p w14:paraId="1574E024" w14:textId="2FABBB08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14,093:28,186</w:t>
            </w:r>
            <w:r w:rsidR="00B0538A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="00B0538A" w:rsidRPr="00E06209">
              <w:rPr>
                <w:rFonts w:ascii="Times New Roman" w:hAnsi="Times New Roman" w:cs="Times New Roman" w:hint="eastAsia"/>
                <w:i/>
                <w:iCs/>
                <w:sz w:val="20"/>
                <w:szCs w:val="18"/>
              </w:rPr>
              <w:t>(No loss)</w:t>
            </w:r>
          </w:p>
        </w:tc>
        <w:tc>
          <w:tcPr>
            <w:tcW w:w="3578" w:type="dxa"/>
            <w:tcBorders>
              <w:bottom w:val="nil"/>
            </w:tcBorders>
            <w:vAlign w:val="center"/>
          </w:tcPr>
          <w:p w14:paraId="3FC78E35" w14:textId="1228EBBF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1.378(1.274-1.490)</w:t>
            </w:r>
          </w:p>
        </w:tc>
      </w:tr>
      <w:tr w:rsidR="00D74F4A" w:rsidRPr="00537841" w14:paraId="580ABB13" w14:textId="77777777" w:rsidTr="00B4309E">
        <w:trPr>
          <w:trHeight w:val="123"/>
        </w:trPr>
        <w:tc>
          <w:tcPr>
            <w:tcW w:w="27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741AC0" w14:textId="23B7ED12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1:3</w:t>
            </w:r>
          </w:p>
        </w:tc>
        <w:tc>
          <w:tcPr>
            <w:tcW w:w="29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3319D4" w14:textId="4E666CD8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14,093:40,631</w:t>
            </w:r>
            <w:r w:rsidR="00B0538A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="00B0538A" w:rsidRPr="00E06209">
              <w:rPr>
                <w:rFonts w:ascii="Times New Roman" w:hAnsi="Times New Roman" w:cs="Times New Roman" w:hint="eastAsia"/>
                <w:i/>
                <w:iCs/>
                <w:sz w:val="20"/>
                <w:szCs w:val="18"/>
              </w:rPr>
              <w:t>(1</w:t>
            </w:r>
            <w:r w:rsidR="00E06209" w:rsidRPr="00E06209">
              <w:rPr>
                <w:rFonts w:ascii="Times New Roman" w:hAnsi="Times New Roman" w:cs="Times New Roman" w:hint="eastAsia"/>
                <w:i/>
                <w:iCs/>
                <w:sz w:val="20"/>
                <w:szCs w:val="18"/>
              </w:rPr>
              <w:t>,</w:t>
            </w:r>
            <w:r w:rsidR="00B0538A" w:rsidRPr="00E06209">
              <w:rPr>
                <w:rFonts w:ascii="Times New Roman" w:hAnsi="Times New Roman" w:cs="Times New Roman" w:hint="eastAsia"/>
                <w:i/>
                <w:iCs/>
                <w:sz w:val="20"/>
                <w:szCs w:val="18"/>
              </w:rPr>
              <w:t>648 Loss)</w:t>
            </w:r>
          </w:p>
        </w:tc>
        <w:tc>
          <w:tcPr>
            <w:tcW w:w="3578" w:type="dxa"/>
            <w:tcBorders>
              <w:bottom w:val="single" w:sz="4" w:space="0" w:color="auto"/>
            </w:tcBorders>
            <w:vAlign w:val="center"/>
          </w:tcPr>
          <w:p w14:paraId="7472D14C" w14:textId="46E8A653" w:rsidR="00D74F4A" w:rsidRPr="00537841" w:rsidRDefault="00D74F4A" w:rsidP="009B2D9E">
            <w:pPr>
              <w:adjustRightInd w:val="0"/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1.364(1.267-1.468)</w:t>
            </w:r>
          </w:p>
        </w:tc>
      </w:tr>
    </w:tbl>
    <w:p w14:paraId="2B1F8CCC" w14:textId="77777777" w:rsidR="00D74F4A" w:rsidRDefault="00D74F4A" w:rsidP="00D74F4A">
      <w:pPr>
        <w:rPr>
          <w:i/>
          <w:iCs/>
          <w:color w:val="44546A" w:themeColor="text2"/>
        </w:rPr>
      </w:pPr>
    </w:p>
    <w:p w14:paraId="13F5D31B" w14:textId="4A62A279" w:rsidR="00F5773B" w:rsidRPr="00317412" w:rsidRDefault="00F5773B" w:rsidP="00F5773B">
      <w:pPr>
        <w:pStyle w:val="a9"/>
        <w:keepNext/>
        <w:rPr>
          <w:sz w:val="22"/>
          <w:szCs w:val="22"/>
        </w:rPr>
      </w:pPr>
      <w:bookmarkStart w:id="5" w:name="_Hlk217413746"/>
      <w:r w:rsidRPr="00317412">
        <w:rPr>
          <w:sz w:val="22"/>
          <w:szCs w:val="22"/>
        </w:rPr>
        <w:lastRenderedPageBreak/>
        <w:t xml:space="preserve">Supplementary Table </w:t>
      </w:r>
      <w:r w:rsidR="008E6CE3">
        <w:rPr>
          <w:rFonts w:hint="eastAsia"/>
          <w:sz w:val="22"/>
          <w:szCs w:val="22"/>
        </w:rPr>
        <w:t>6</w:t>
      </w:r>
      <w:r w:rsidRPr="00317412">
        <w:rPr>
          <w:sz w:val="22"/>
          <w:szCs w:val="22"/>
        </w:rPr>
        <w:t>. Calibration of Models 1–3 Based on Observed 3-Year Mortality Across Risk Quartiles</w:t>
      </w:r>
    </w:p>
    <w:bookmarkEnd w:id="5"/>
    <w:tbl>
      <w:tblPr>
        <w:tblW w:w="9465" w:type="dxa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634"/>
        <w:gridCol w:w="2016"/>
        <w:gridCol w:w="633"/>
        <w:gridCol w:w="2016"/>
        <w:gridCol w:w="759"/>
        <w:gridCol w:w="2031"/>
      </w:tblGrid>
      <w:tr w:rsidR="00F5773B" w:rsidRPr="00F5773B" w14:paraId="04A56E4C" w14:textId="77777777" w:rsidTr="00F5773B">
        <w:trPr>
          <w:trHeight w:val="191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DF90A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8DA2F" w14:textId="32CC0D16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5B202" w14:textId="28C46853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38301" w14:textId="4D44565C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Model 3</w:t>
            </w:r>
          </w:p>
        </w:tc>
      </w:tr>
      <w:tr w:rsidR="00F5773B" w:rsidRPr="00F5773B" w14:paraId="63C129DF" w14:textId="77777777" w:rsidTr="00F5773B">
        <w:trPr>
          <w:trHeight w:val="183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AE33AC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Risk quartile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00F619" w14:textId="591ECA4D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EDE1CA" w14:textId="0D43C67D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Observed mortality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FBF1E0" w14:textId="11E2FD8A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7B0301" w14:textId="4C255240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Observed mortality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2F1507" w14:textId="51B1DFE9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469B50" w14:textId="2FE7DB5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Observed mortality</w:t>
            </w:r>
          </w:p>
        </w:tc>
      </w:tr>
      <w:tr w:rsidR="00F5773B" w:rsidRPr="00F5773B" w14:paraId="42525FC0" w14:textId="77777777" w:rsidTr="00F5773B">
        <w:trPr>
          <w:trHeight w:val="191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47039BD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Q1 (lowest)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063C673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5,637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EC10BDB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0.0236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EF0C7D7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8,613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62F89E6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0.0206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8CA3411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10,568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03C3F3A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0.0204</w:t>
            </w:r>
          </w:p>
        </w:tc>
      </w:tr>
      <w:tr w:rsidR="00F5773B" w:rsidRPr="00F5773B" w14:paraId="2109D42C" w14:textId="77777777" w:rsidTr="00F5773B">
        <w:trPr>
          <w:trHeight w:val="191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D300DC2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Q2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78CB07A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5,637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B5B32D5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0.0656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4B9C82F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8,613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6416C65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0.0608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6E836D0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10,572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58B6E0E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0.0691</w:t>
            </w:r>
          </w:p>
        </w:tc>
      </w:tr>
      <w:tr w:rsidR="00F5773B" w:rsidRPr="00F5773B" w14:paraId="62AE937A" w14:textId="77777777" w:rsidTr="00F5773B">
        <w:trPr>
          <w:trHeight w:val="191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11D6199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Q3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35D43E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5,637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F1C2810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0.1323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639C9FA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8,614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2063F54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0.1314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4B86C9C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10,569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22B5026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0.1424</w:t>
            </w:r>
          </w:p>
        </w:tc>
      </w:tr>
      <w:tr w:rsidR="00F5773B" w:rsidRPr="00F5773B" w14:paraId="08FD073C" w14:textId="77777777" w:rsidTr="00F5773B">
        <w:trPr>
          <w:trHeight w:val="198"/>
          <w:tblCellSpacing w:w="15" w:type="dxa"/>
        </w:trPr>
        <w:tc>
          <w:tcPr>
            <w:tcW w:w="0" w:type="auto"/>
            <w:vAlign w:val="center"/>
            <w:hideMark/>
          </w:tcPr>
          <w:p w14:paraId="5E5C88B5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Q4 (highest)</w:t>
            </w:r>
          </w:p>
        </w:tc>
        <w:tc>
          <w:tcPr>
            <w:tcW w:w="0" w:type="auto"/>
            <w:vAlign w:val="center"/>
            <w:hideMark/>
          </w:tcPr>
          <w:p w14:paraId="1EF57C58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5,637</w:t>
            </w:r>
          </w:p>
        </w:tc>
        <w:tc>
          <w:tcPr>
            <w:tcW w:w="0" w:type="auto"/>
            <w:vAlign w:val="center"/>
            <w:hideMark/>
          </w:tcPr>
          <w:p w14:paraId="4AB007B9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0.3054</w:t>
            </w:r>
          </w:p>
        </w:tc>
        <w:tc>
          <w:tcPr>
            <w:tcW w:w="0" w:type="auto"/>
            <w:vAlign w:val="center"/>
            <w:hideMark/>
          </w:tcPr>
          <w:p w14:paraId="5E25102F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8,612</w:t>
            </w:r>
          </w:p>
        </w:tc>
        <w:tc>
          <w:tcPr>
            <w:tcW w:w="0" w:type="auto"/>
            <w:vAlign w:val="center"/>
            <w:hideMark/>
          </w:tcPr>
          <w:p w14:paraId="4EEABBF5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0.2943</w:t>
            </w:r>
          </w:p>
        </w:tc>
        <w:tc>
          <w:tcPr>
            <w:tcW w:w="0" w:type="auto"/>
            <w:vAlign w:val="center"/>
            <w:hideMark/>
          </w:tcPr>
          <w:p w14:paraId="1E397A87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10,570</w:t>
            </w:r>
          </w:p>
        </w:tc>
        <w:tc>
          <w:tcPr>
            <w:tcW w:w="0" w:type="auto"/>
            <w:vAlign w:val="center"/>
            <w:hideMark/>
          </w:tcPr>
          <w:p w14:paraId="1E1E3C53" w14:textId="77777777" w:rsidR="00F5773B" w:rsidRPr="00F5773B" w:rsidRDefault="00F5773B" w:rsidP="009B2D9E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5773B">
              <w:rPr>
                <w:rFonts w:ascii="Times New Roman" w:hAnsi="Times New Roman" w:cs="Times New Roman"/>
                <w:sz w:val="20"/>
                <w:szCs w:val="18"/>
              </w:rPr>
              <w:t>0.3202</w:t>
            </w:r>
          </w:p>
        </w:tc>
      </w:tr>
    </w:tbl>
    <w:p w14:paraId="188E440F" w14:textId="77777777" w:rsidR="00D74F4A" w:rsidRPr="00537841" w:rsidRDefault="00D74F4A">
      <w:pPr>
        <w:rPr>
          <w:rFonts w:hint="eastAsia"/>
          <w:i/>
          <w:iCs/>
          <w:color w:val="44546A" w:themeColor="text2"/>
        </w:rPr>
      </w:pPr>
    </w:p>
    <w:sectPr w:rsidR="00D74F4A" w:rsidRPr="00537841" w:rsidSect="00537841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7860B" w14:textId="77777777" w:rsidR="00A75538" w:rsidRDefault="00A75538" w:rsidP="00D30AC0">
      <w:pPr>
        <w:spacing w:after="0" w:line="240" w:lineRule="auto"/>
      </w:pPr>
      <w:r>
        <w:separator/>
      </w:r>
    </w:p>
  </w:endnote>
  <w:endnote w:type="continuationSeparator" w:id="0">
    <w:p w14:paraId="4F235970" w14:textId="77777777" w:rsidR="00A75538" w:rsidRDefault="00A75538" w:rsidP="00D3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1C8D5" w14:textId="77777777" w:rsidR="00A75538" w:rsidRDefault="00A75538" w:rsidP="00D30AC0">
      <w:pPr>
        <w:spacing w:after="0" w:line="240" w:lineRule="auto"/>
      </w:pPr>
      <w:r>
        <w:separator/>
      </w:r>
    </w:p>
  </w:footnote>
  <w:footnote w:type="continuationSeparator" w:id="0">
    <w:p w14:paraId="0F21C58A" w14:textId="77777777" w:rsidR="00A75538" w:rsidRDefault="00A75538" w:rsidP="00D30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4538E"/>
    <w:multiLevelType w:val="hybridMultilevel"/>
    <w:tmpl w:val="3536B806"/>
    <w:lvl w:ilvl="0" w:tplc="F4841CCC">
      <w:start w:val="1"/>
      <w:numFmt w:val="lowerLetter"/>
      <w:lvlText w:val="%1)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" w15:restartNumberingAfterBreak="0">
    <w:nsid w:val="17DE438F"/>
    <w:multiLevelType w:val="multilevel"/>
    <w:tmpl w:val="2888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23CC6"/>
    <w:multiLevelType w:val="hybridMultilevel"/>
    <w:tmpl w:val="90E62CD4"/>
    <w:lvl w:ilvl="0" w:tplc="A5A2E018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" w15:restartNumberingAfterBreak="0">
    <w:nsid w:val="37BA11F0"/>
    <w:multiLevelType w:val="hybridMultilevel"/>
    <w:tmpl w:val="C2F4B08A"/>
    <w:lvl w:ilvl="0" w:tplc="04090017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4" w15:restartNumberingAfterBreak="0">
    <w:nsid w:val="46BE3689"/>
    <w:multiLevelType w:val="hybridMultilevel"/>
    <w:tmpl w:val="CF102F1E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5" w15:restartNumberingAfterBreak="0">
    <w:nsid w:val="615B2976"/>
    <w:multiLevelType w:val="multilevel"/>
    <w:tmpl w:val="9C4EC5F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decimal"/>
      <w:lvlText w:val="(%5)"/>
      <w:lvlJc w:val="left"/>
      <w:pPr>
        <w:ind w:left="0" w:firstLine="0"/>
      </w:pPr>
    </w:lvl>
    <w:lvl w:ilvl="5">
      <w:start w:val="1"/>
      <w:numFmt w:val="decimal"/>
      <w:lvlText w:val="(%6)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70750CF6"/>
    <w:multiLevelType w:val="hybridMultilevel"/>
    <w:tmpl w:val="DA9C46A8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7" w15:restartNumberingAfterBreak="0">
    <w:nsid w:val="725A3458"/>
    <w:multiLevelType w:val="hybridMultilevel"/>
    <w:tmpl w:val="983016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479755">
    <w:abstractNumId w:val="7"/>
  </w:num>
  <w:num w:numId="2" w16cid:durableId="2050494635">
    <w:abstractNumId w:val="5"/>
  </w:num>
  <w:num w:numId="3" w16cid:durableId="439496647">
    <w:abstractNumId w:val="2"/>
  </w:num>
  <w:num w:numId="4" w16cid:durableId="1036077984">
    <w:abstractNumId w:val="4"/>
  </w:num>
  <w:num w:numId="5" w16cid:durableId="1359238027">
    <w:abstractNumId w:val="0"/>
  </w:num>
  <w:num w:numId="6" w16cid:durableId="324625766">
    <w:abstractNumId w:val="3"/>
  </w:num>
  <w:num w:numId="7" w16cid:durableId="414667084">
    <w:abstractNumId w:val="1"/>
  </w:num>
  <w:num w:numId="8" w16cid:durableId="576666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0v2vwprp92tqexea952v07rxdaew9xtfr5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/record-ids&gt;&lt;/item&gt;&lt;/Libraries&gt;"/>
  </w:docVars>
  <w:rsids>
    <w:rsidRoot w:val="00DF3A67"/>
    <w:rsid w:val="00017C55"/>
    <w:rsid w:val="000305E1"/>
    <w:rsid w:val="000356B2"/>
    <w:rsid w:val="00070354"/>
    <w:rsid w:val="0009212E"/>
    <w:rsid w:val="000E2607"/>
    <w:rsid w:val="001141BC"/>
    <w:rsid w:val="00192D4C"/>
    <w:rsid w:val="001969DD"/>
    <w:rsid w:val="001A05B1"/>
    <w:rsid w:val="001C1332"/>
    <w:rsid w:val="001D403E"/>
    <w:rsid w:val="001E7209"/>
    <w:rsid w:val="002064C6"/>
    <w:rsid w:val="00215199"/>
    <w:rsid w:val="002423E0"/>
    <w:rsid w:val="002540DF"/>
    <w:rsid w:val="00257F35"/>
    <w:rsid w:val="002754AA"/>
    <w:rsid w:val="0028059D"/>
    <w:rsid w:val="00285D7B"/>
    <w:rsid w:val="00285F7A"/>
    <w:rsid w:val="00294792"/>
    <w:rsid w:val="00294F51"/>
    <w:rsid w:val="00297459"/>
    <w:rsid w:val="002C426A"/>
    <w:rsid w:val="002C6374"/>
    <w:rsid w:val="002E7AF7"/>
    <w:rsid w:val="003038D6"/>
    <w:rsid w:val="00317412"/>
    <w:rsid w:val="00323100"/>
    <w:rsid w:val="00363600"/>
    <w:rsid w:val="00383375"/>
    <w:rsid w:val="003C30BE"/>
    <w:rsid w:val="003D6C17"/>
    <w:rsid w:val="0041577A"/>
    <w:rsid w:val="00420502"/>
    <w:rsid w:val="004453E0"/>
    <w:rsid w:val="00453C9E"/>
    <w:rsid w:val="00464D56"/>
    <w:rsid w:val="00467EE7"/>
    <w:rsid w:val="00493540"/>
    <w:rsid w:val="00495A4D"/>
    <w:rsid w:val="004A3E2A"/>
    <w:rsid w:val="004F5A68"/>
    <w:rsid w:val="00512A7B"/>
    <w:rsid w:val="00521C99"/>
    <w:rsid w:val="00537841"/>
    <w:rsid w:val="00542DC1"/>
    <w:rsid w:val="00554596"/>
    <w:rsid w:val="00560817"/>
    <w:rsid w:val="00565129"/>
    <w:rsid w:val="00577C98"/>
    <w:rsid w:val="00583B8B"/>
    <w:rsid w:val="00596E50"/>
    <w:rsid w:val="005B471B"/>
    <w:rsid w:val="005B6F91"/>
    <w:rsid w:val="005D36AD"/>
    <w:rsid w:val="005F512F"/>
    <w:rsid w:val="00620987"/>
    <w:rsid w:val="00621A29"/>
    <w:rsid w:val="006245EB"/>
    <w:rsid w:val="0064480A"/>
    <w:rsid w:val="00654460"/>
    <w:rsid w:val="00656699"/>
    <w:rsid w:val="00670DE7"/>
    <w:rsid w:val="00675E7A"/>
    <w:rsid w:val="0069213F"/>
    <w:rsid w:val="00692C88"/>
    <w:rsid w:val="006A29B0"/>
    <w:rsid w:val="006D2EAD"/>
    <w:rsid w:val="006F2AF2"/>
    <w:rsid w:val="00710C6F"/>
    <w:rsid w:val="00725367"/>
    <w:rsid w:val="00760C40"/>
    <w:rsid w:val="00763DE6"/>
    <w:rsid w:val="00772B4A"/>
    <w:rsid w:val="007A5662"/>
    <w:rsid w:val="007B419B"/>
    <w:rsid w:val="007B5DC6"/>
    <w:rsid w:val="007F5B4D"/>
    <w:rsid w:val="007F6507"/>
    <w:rsid w:val="00801FE3"/>
    <w:rsid w:val="008127C0"/>
    <w:rsid w:val="00816D89"/>
    <w:rsid w:val="008520C5"/>
    <w:rsid w:val="008671BC"/>
    <w:rsid w:val="00871910"/>
    <w:rsid w:val="008A41DA"/>
    <w:rsid w:val="008B0770"/>
    <w:rsid w:val="008B5F04"/>
    <w:rsid w:val="008B7DC3"/>
    <w:rsid w:val="008C5FBC"/>
    <w:rsid w:val="008D25E0"/>
    <w:rsid w:val="008E6CE3"/>
    <w:rsid w:val="00920FCA"/>
    <w:rsid w:val="00924EA2"/>
    <w:rsid w:val="009269CE"/>
    <w:rsid w:val="00943DD3"/>
    <w:rsid w:val="00960E2D"/>
    <w:rsid w:val="00985F38"/>
    <w:rsid w:val="009A473A"/>
    <w:rsid w:val="009A5276"/>
    <w:rsid w:val="009B2D9E"/>
    <w:rsid w:val="009B48FA"/>
    <w:rsid w:val="009C3B66"/>
    <w:rsid w:val="009C6945"/>
    <w:rsid w:val="00A123EA"/>
    <w:rsid w:val="00A212A0"/>
    <w:rsid w:val="00A75538"/>
    <w:rsid w:val="00A94CB7"/>
    <w:rsid w:val="00AD26B7"/>
    <w:rsid w:val="00AE1B51"/>
    <w:rsid w:val="00B00FF1"/>
    <w:rsid w:val="00B0538A"/>
    <w:rsid w:val="00B247CD"/>
    <w:rsid w:val="00B4309E"/>
    <w:rsid w:val="00B44FCC"/>
    <w:rsid w:val="00B471FE"/>
    <w:rsid w:val="00BC1DE7"/>
    <w:rsid w:val="00BF0CD1"/>
    <w:rsid w:val="00BF4552"/>
    <w:rsid w:val="00C16EE0"/>
    <w:rsid w:val="00C26185"/>
    <w:rsid w:val="00C31561"/>
    <w:rsid w:val="00C479D9"/>
    <w:rsid w:val="00C5625E"/>
    <w:rsid w:val="00C641AC"/>
    <w:rsid w:val="00C64EC5"/>
    <w:rsid w:val="00C94DBE"/>
    <w:rsid w:val="00C95EFF"/>
    <w:rsid w:val="00CA0D44"/>
    <w:rsid w:val="00CB61B5"/>
    <w:rsid w:val="00CE44B5"/>
    <w:rsid w:val="00CE4CC7"/>
    <w:rsid w:val="00D00689"/>
    <w:rsid w:val="00D04D08"/>
    <w:rsid w:val="00D067EC"/>
    <w:rsid w:val="00D14340"/>
    <w:rsid w:val="00D27620"/>
    <w:rsid w:val="00D30AC0"/>
    <w:rsid w:val="00D3409B"/>
    <w:rsid w:val="00D35FE7"/>
    <w:rsid w:val="00D4459F"/>
    <w:rsid w:val="00D51800"/>
    <w:rsid w:val="00D63456"/>
    <w:rsid w:val="00D74F4A"/>
    <w:rsid w:val="00D81BBC"/>
    <w:rsid w:val="00DC3F56"/>
    <w:rsid w:val="00DC7C31"/>
    <w:rsid w:val="00DD38E0"/>
    <w:rsid w:val="00DE135E"/>
    <w:rsid w:val="00DF3A67"/>
    <w:rsid w:val="00DF501C"/>
    <w:rsid w:val="00DF6953"/>
    <w:rsid w:val="00E06209"/>
    <w:rsid w:val="00E07BF0"/>
    <w:rsid w:val="00E13304"/>
    <w:rsid w:val="00E209FD"/>
    <w:rsid w:val="00E40879"/>
    <w:rsid w:val="00E70A88"/>
    <w:rsid w:val="00EB1AD7"/>
    <w:rsid w:val="00EE6C44"/>
    <w:rsid w:val="00EF3264"/>
    <w:rsid w:val="00F461C8"/>
    <w:rsid w:val="00F46DEE"/>
    <w:rsid w:val="00F4726D"/>
    <w:rsid w:val="00F54062"/>
    <w:rsid w:val="00F568EE"/>
    <w:rsid w:val="00F5773B"/>
    <w:rsid w:val="00F70625"/>
    <w:rsid w:val="00F76B1C"/>
    <w:rsid w:val="00F82C8C"/>
    <w:rsid w:val="00F94EF6"/>
    <w:rsid w:val="00FB79DE"/>
    <w:rsid w:val="00FE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8C677"/>
  <w15:chartTrackingRefBased/>
  <w15:docId w15:val="{757608D6-9808-4C48-A5BF-4B9050FA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3A67"/>
    <w:rPr>
      <w:color w:val="0563C1"/>
    </w:rPr>
  </w:style>
  <w:style w:type="paragraph" w:styleId="a4">
    <w:name w:val="List Paragraph"/>
    <w:basedOn w:val="a"/>
    <w:uiPriority w:val="99"/>
    <w:rsid w:val="00DF3A67"/>
    <w:pPr>
      <w:widowControl w:val="0"/>
      <w:ind w:left="720"/>
      <w:contextualSpacing/>
      <w:jc w:val="both"/>
    </w:pPr>
    <w:rPr>
      <w:kern w:val="2"/>
      <w:sz w:val="20"/>
    </w:rPr>
  </w:style>
  <w:style w:type="paragraph" w:customStyle="1" w:styleId="a5">
    <w:name w:val="바탕글"/>
    <w:basedOn w:val="a"/>
    <w:rsid w:val="00285F7A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Times New Roman" w:hAnsi="Times New Roman" w:cs="Times New Roman"/>
      <w:color w:val="000000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CA0D4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CA0D44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Char"/>
    <w:rsid w:val="00CA0D4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CA0D44"/>
    <w:rPr>
      <w:rFonts w:ascii="Calibri" w:hAnsi="Calibri" w:cs="Calibri"/>
      <w:noProof/>
    </w:rPr>
  </w:style>
  <w:style w:type="character" w:styleId="a6">
    <w:name w:val="Unresolved Mention"/>
    <w:basedOn w:val="a0"/>
    <w:uiPriority w:val="99"/>
    <w:semiHidden/>
    <w:unhideWhenUsed/>
    <w:rsid w:val="00CA0D44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6F2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tive">
    <w:name w:val="relative"/>
    <w:basedOn w:val="a0"/>
    <w:rsid w:val="006F2AF2"/>
  </w:style>
  <w:style w:type="character" w:styleId="a8">
    <w:name w:val="Strong"/>
    <w:basedOn w:val="a0"/>
    <w:uiPriority w:val="22"/>
    <w:qFormat/>
    <w:rsid w:val="006F2AF2"/>
    <w:rPr>
      <w:b/>
      <w:bCs/>
    </w:rPr>
  </w:style>
  <w:style w:type="paragraph" w:styleId="a9">
    <w:name w:val="caption"/>
    <w:basedOn w:val="a"/>
    <w:next w:val="a"/>
    <w:unhideWhenUsed/>
    <w:qFormat/>
    <w:rsid w:val="007B419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xl66">
    <w:name w:val="xl66"/>
    <w:basedOn w:val="a"/>
    <w:rsid w:val="002540DF"/>
    <w:pPr>
      <w:widowControl w:val="0"/>
      <w:shd w:val="clear" w:color="auto" w:fill="EDF2F9"/>
      <w:autoSpaceDE w:val="0"/>
      <w:autoSpaceDN w:val="0"/>
      <w:spacing w:after="0" w:line="240" w:lineRule="auto"/>
      <w:textAlignment w:val="center"/>
    </w:pPr>
    <w:rPr>
      <w:rFonts w:ascii="한컴바탕" w:eastAsia="Times New Roman" w:hAnsi="Times New Roman" w:cs="Times New Roman"/>
      <w:b/>
      <w:bCs/>
      <w:color w:val="112277"/>
      <w:sz w:val="20"/>
      <w:szCs w:val="20"/>
    </w:rPr>
  </w:style>
  <w:style w:type="paragraph" w:customStyle="1" w:styleId="xl65">
    <w:name w:val="xl65"/>
    <w:basedOn w:val="a"/>
    <w:rsid w:val="002540DF"/>
    <w:pPr>
      <w:widowControl w:val="0"/>
      <w:shd w:val="clear" w:color="auto" w:fill="EDF2F9"/>
      <w:autoSpaceDE w:val="0"/>
      <w:autoSpaceDN w:val="0"/>
      <w:spacing w:after="0" w:line="240" w:lineRule="auto"/>
      <w:textAlignment w:val="center"/>
    </w:pPr>
    <w:rPr>
      <w:rFonts w:ascii="한컴바탕" w:eastAsia="Times New Roman" w:hAnsi="Times New Roman" w:cs="Times New Roman"/>
      <w:b/>
      <w:bCs/>
      <w:color w:val="112277"/>
      <w:sz w:val="20"/>
      <w:szCs w:val="20"/>
    </w:rPr>
  </w:style>
  <w:style w:type="paragraph" w:customStyle="1" w:styleId="td">
    <w:name w:val="td"/>
    <w:basedOn w:val="a"/>
    <w:rsid w:val="002540DF"/>
    <w:pPr>
      <w:widowControl w:val="0"/>
      <w:autoSpaceDE w:val="0"/>
      <w:autoSpaceDN w:val="0"/>
      <w:spacing w:after="0" w:line="240" w:lineRule="auto"/>
      <w:jc w:val="both"/>
      <w:textAlignment w:val="center"/>
    </w:pPr>
    <w:rPr>
      <w:rFonts w:ascii="Calibri" w:eastAsia="Times New Roman" w:hAnsi="Times New Roman" w:cs="Times New Roman"/>
      <w:color w:val="000000"/>
    </w:rPr>
  </w:style>
  <w:style w:type="paragraph" w:styleId="aa">
    <w:name w:val="header"/>
    <w:basedOn w:val="a"/>
    <w:link w:val="Char"/>
    <w:uiPriority w:val="99"/>
    <w:unhideWhenUsed/>
    <w:rsid w:val="00D30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a"/>
    <w:uiPriority w:val="99"/>
    <w:rsid w:val="00D30AC0"/>
  </w:style>
  <w:style w:type="paragraph" w:styleId="ab">
    <w:name w:val="footer"/>
    <w:basedOn w:val="a"/>
    <w:link w:val="Char0"/>
    <w:uiPriority w:val="99"/>
    <w:unhideWhenUsed/>
    <w:rsid w:val="00D30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b"/>
    <w:uiPriority w:val="99"/>
    <w:rsid w:val="00D30AC0"/>
  </w:style>
  <w:style w:type="table" w:styleId="ac">
    <w:name w:val="Table Grid"/>
    <w:basedOn w:val="a1"/>
    <w:uiPriority w:val="39"/>
    <w:rsid w:val="00EB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2151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9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8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9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9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3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11074794/?utm_source=chatgpt.com" TargetMode="External"/><Relationship Id="rId13" Type="http://schemas.openxmlformats.org/officeDocument/2006/relationships/hyperlink" Target="https://doi.org/10.1016/S1474-4422(18)30336-3" TargetMode="External"/><Relationship Id="rId18" Type="http://schemas.openxmlformats.org/officeDocument/2006/relationships/hyperlink" Target="https://doi.org/10.1016/j.amjmed.2005.10.058" TargetMode="External"/><Relationship Id="rId26" Type="http://schemas.openxmlformats.org/officeDocument/2006/relationships/hyperlink" Target="https://doi.org/10.1186/1471-2377-11-110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161/CIRCULATIONAHA.112.00032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161/STR.0000000000000375" TargetMode="External"/><Relationship Id="rId17" Type="http://schemas.openxmlformats.org/officeDocument/2006/relationships/hyperlink" Target="https://doi.org/10.1161/CIR.0000000000000665" TargetMode="External"/><Relationship Id="rId25" Type="http://schemas.openxmlformats.org/officeDocument/2006/relationships/hyperlink" Target="https://doi.org/10.1161/01.STR.0000063373.70993.C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ubmed.ncbi.nlm.nih.gov/1866765/?utm_source=chatgpt.com" TargetMode="External"/><Relationship Id="rId20" Type="http://schemas.openxmlformats.org/officeDocument/2006/relationships/hyperlink" Target="https://doi.org/10.1161/STR.000000000000040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61/STROKEAHA.108.192218" TargetMode="External"/><Relationship Id="rId24" Type="http://schemas.openxmlformats.org/officeDocument/2006/relationships/hyperlink" Target="https://doi.org/10.1212/01.WNL.0000046586.38284.6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ubmed.ncbi.nlm.nih.gov/17569877/?utm_source=chatgpt.com" TargetMode="External"/><Relationship Id="rId23" Type="http://schemas.openxmlformats.org/officeDocument/2006/relationships/hyperlink" Target="https://doi.org/10.1161/01.STR.0000190056.76543.EB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ubmed.ncbi.nlm.nih.gov/11340227/?utm_source=chatgpt.com" TargetMode="External"/><Relationship Id="rId19" Type="http://schemas.openxmlformats.org/officeDocument/2006/relationships/hyperlink" Target="https://doi.org/10.1161/STR.0b013e31825878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urology.org/doi/10.1212/WNL.54.2.350?utm_source=chatgpt.com" TargetMode="External"/><Relationship Id="rId14" Type="http://schemas.openxmlformats.org/officeDocument/2006/relationships/hyperlink" Target="https://doi.org/10.1016/j.jacc.2020.10.009" TargetMode="External"/><Relationship Id="rId22" Type="http://schemas.openxmlformats.org/officeDocument/2006/relationships/hyperlink" Target="https://doi.org/10.1161/01.STR.31.6.122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82DE2-46CC-460B-8E15-CC217136D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2705</Words>
  <Characters>15424</Characters>
  <Application>Microsoft Office Word</Application>
  <DocSecurity>0</DocSecurity>
  <Lines>128</Lines>
  <Paragraphs>36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tkdydgkthtj@naver.com</dc:creator>
  <cp:keywords/>
  <dc:description/>
  <cp:lastModifiedBy>Hwang Yu Seong</cp:lastModifiedBy>
  <cp:revision>19</cp:revision>
  <dcterms:created xsi:type="dcterms:W3CDTF">2025-12-22T14:29:00Z</dcterms:created>
  <dcterms:modified xsi:type="dcterms:W3CDTF">2025-12-23T11:23:00Z</dcterms:modified>
</cp:coreProperties>
</file>